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ascii="黑体" w:eastAsia="黑体" w:cs="黑体"/>
          <w:b/>
          <w:bCs/>
        </w:rPr>
      </w:pPr>
      <w:r>
        <w:rPr>
          <w:rFonts w:ascii="黑体" w:eastAsia="黑体" w:cs="黑体"/>
          <w:b/>
          <w:bCs/>
        </w:rPr>
        <w:t>ICS</w:t>
      </w:r>
      <w:r>
        <w:rPr>
          <w:rFonts w:ascii="黑体" w:eastAsia="黑体" w:cs="黑体"/>
          <w:b/>
          <w:bCs/>
          <w:spacing w:val="104"/>
        </w:rPr>
        <w:t xml:space="preserve"> </w:t>
      </w:r>
      <w:r>
        <w:rPr>
          <w:rFonts w:ascii="黑体" w:eastAsia="黑体" w:cs="黑体"/>
          <w:b/>
          <w:bCs/>
        </w:rPr>
        <w:t>29.240</w:t>
      </w:r>
    </w:p>
    <w:p>
      <w:pPr>
        <w:pStyle w:val="2"/>
        <w:overflowPunct w:val="0"/>
        <w:spacing w:before="43"/>
        <w:ind w:left="120"/>
        <w:rPr>
          <w:rFonts w:ascii="黑体" w:eastAsia="黑体" w:cs="黑体"/>
          <w:b/>
          <w:bCs/>
        </w:rPr>
      </w:pPr>
      <w:r>
        <w:rPr>
          <w:rFonts w:ascii="黑体" w:eastAsia="黑体" w:cs="黑体"/>
          <w:b/>
          <w:bCs/>
        </w:rPr>
        <w:t>P</w:t>
      </w:r>
      <w:r>
        <w:rPr>
          <w:rFonts w:ascii="黑体" w:eastAsia="黑体" w:cs="黑体"/>
          <w:b/>
          <w:bCs/>
          <w:spacing w:val="-2"/>
        </w:rPr>
        <w:t xml:space="preserve"> </w:t>
      </w:r>
      <w:r>
        <w:rPr>
          <w:rFonts w:ascii="黑体" w:eastAsia="黑体" w:cs="黑体"/>
          <w:b/>
          <w:bCs/>
        </w:rPr>
        <w:t>62</w:t>
      </w:r>
    </w:p>
    <w:p>
      <w:pPr>
        <w:pStyle w:val="2"/>
        <w:overflowPunct w:val="0"/>
        <w:spacing w:before="23"/>
        <w:ind w:left="120"/>
        <w:rPr>
          <w:rFonts w:ascii="黑体" w:eastAsia="黑体" w:cs="黑体"/>
          <w:b/>
          <w:bCs/>
          <w:sz w:val="24"/>
          <w:szCs w:val="24"/>
        </w:rPr>
      </w:pPr>
      <w:r>
        <w:rPr>
          <w:rFonts w:hint="eastAsia" w:ascii="黑体" w:eastAsia="黑体" w:cs="黑体"/>
          <w:b/>
          <w:bCs/>
          <w:sz w:val="24"/>
          <w:szCs w:val="24"/>
        </w:rPr>
        <w:t>备案号：</w:t>
      </w:r>
    </w:p>
    <w:p>
      <w:pPr>
        <w:pStyle w:val="19"/>
        <w:overflowPunct w:val="0"/>
      </w:pPr>
      <w:r>
        <w:rPr>
          <w:b w:val="0"/>
          <w:bCs w:val="0"/>
          <w:sz w:val="24"/>
          <w:szCs w:val="24"/>
        </w:rPr>
        <w:br w:type="column"/>
      </w:r>
      <w:r>
        <w:t>T/CEC</w:t>
      </w:r>
    </w:p>
    <w:p>
      <w:pPr>
        <w:pStyle w:val="19"/>
        <w:overflowPunct w:val="0"/>
        <w:sectPr>
          <w:headerReference r:id="rId3" w:type="default"/>
          <w:footerReference r:id="rId5" w:type="default"/>
          <w:headerReference r:id="rId4" w:type="even"/>
          <w:footerReference r:id="rId6" w:type="even"/>
          <w:pgSz w:w="11910" w:h="16840"/>
          <w:pgMar w:top="851" w:right="1588" w:bottom="851" w:left="1701" w:header="720" w:footer="720" w:gutter="0"/>
          <w:cols w:equalWidth="0" w:num="2">
            <w:col w:w="1304" w:space="4785"/>
            <w:col w:w="2532"/>
          </w:cols>
          <w:titlePg/>
          <w:docGrid w:linePitch="299" w:charSpace="0"/>
        </w:sectPr>
      </w:pPr>
    </w:p>
    <w:p>
      <w:pPr>
        <w:pStyle w:val="2"/>
        <w:overflowPunct w:val="0"/>
        <w:spacing w:line="661" w:lineRule="exact"/>
        <w:ind w:left="343"/>
        <w:rPr>
          <w:b/>
          <w:bCs/>
          <w:w w:val="135"/>
          <w:sz w:val="52"/>
          <w:szCs w:val="52"/>
        </w:rPr>
      </w:pPr>
      <w:r>
        <w:rPr>
          <w:rFonts w:hint="eastAsia"/>
          <w:b/>
          <w:bCs/>
          <w:w w:val="135"/>
          <w:sz w:val="52"/>
          <w:szCs w:val="52"/>
        </w:rPr>
        <w:t>中国电力企业联合会标准</w:t>
      </w:r>
    </w:p>
    <w:p>
      <w:pPr>
        <w:pStyle w:val="2"/>
        <w:overflowPunct w:val="0"/>
        <w:rPr>
          <w:b/>
          <w:bCs/>
          <w:sz w:val="20"/>
          <w:szCs w:val="20"/>
        </w:rPr>
      </w:pPr>
    </w:p>
    <w:p>
      <w:pPr>
        <w:pStyle w:val="2"/>
        <w:overflowPunct w:val="0"/>
        <w:rPr>
          <w:b/>
          <w:bCs/>
          <w:sz w:val="20"/>
          <w:szCs w:val="20"/>
        </w:rPr>
      </w:pPr>
    </w:p>
    <w:p>
      <w:pPr>
        <w:pStyle w:val="2"/>
        <w:overflowPunct w:val="0"/>
        <w:spacing w:before="4"/>
        <w:rPr>
          <w:b/>
          <w:bCs/>
          <w:sz w:val="29"/>
          <w:szCs w:val="29"/>
        </w:rPr>
      </w:pPr>
    </w:p>
    <w:p>
      <w:pPr>
        <w:pStyle w:val="2"/>
        <w:tabs>
          <w:tab w:val="left" w:pos="6103"/>
        </w:tabs>
        <w:overflowPunct w:val="0"/>
        <w:spacing w:before="89"/>
        <w:ind w:left="509"/>
        <w:rPr>
          <w:rFonts w:ascii="Times New Roman" w:cs="Times New Roman" w:eastAsiaTheme="minorEastAsia"/>
          <w:sz w:val="28"/>
          <w:szCs w:val="28"/>
        </w:rPr>
      </w:pPr>
      <w:r>
        <w:rPr>
          <w:rFonts w:ascii="Times New Roman" w:cs="Times New Roman" w:eastAsiaTheme="minorEastAsia"/>
          <w:sz w:val="28"/>
          <w:szCs w:val="28"/>
        </w:rPr>
        <w:t>P</w:t>
      </w:r>
      <w:r>
        <w:rPr>
          <w:rFonts w:ascii="Times New Roman" w:cs="Times New Roman" w:eastAsiaTheme="minorEastAsia"/>
          <w:sz w:val="28"/>
          <w:szCs w:val="28"/>
        </w:rPr>
        <w:tab/>
      </w:r>
      <w:r>
        <w:rPr>
          <w:rFonts w:ascii="Times New Roman" w:cs="Times New Roman" w:eastAsiaTheme="minorEastAsia"/>
          <w:sz w:val="28"/>
          <w:szCs w:val="28"/>
        </w:rPr>
        <w:t>T/CEC</w:t>
      </w:r>
      <w:r>
        <w:rPr>
          <w:rFonts w:ascii="Times New Roman" w:cs="Times New Roman" w:eastAsiaTheme="minorEastAsia"/>
          <w:spacing w:val="8"/>
          <w:sz w:val="28"/>
          <w:szCs w:val="28"/>
        </w:rPr>
        <w:t xml:space="preserve"> </w:t>
      </w:r>
      <w:r>
        <w:rPr>
          <w:rFonts w:ascii="Times New Roman" w:cs="Times New Roman" w:eastAsiaTheme="minorEastAsia"/>
          <w:sz w:val="28"/>
          <w:szCs w:val="28"/>
        </w:rPr>
        <w:t>XXX—202</w:t>
      </w:r>
      <w:r>
        <w:rPr>
          <w:rFonts w:hint="eastAsia" w:ascii="Times New Roman" w:cs="Times New Roman" w:eastAsiaTheme="minorEastAsia"/>
          <w:sz w:val="28"/>
          <w:szCs w:val="28"/>
        </w:rPr>
        <w:t>X</w:t>
      </w:r>
    </w:p>
    <w:p>
      <w:pPr>
        <w:pStyle w:val="2"/>
        <w:overflowPunct w:val="0"/>
        <w:rPr>
          <w:rFonts w:ascii="Times New Roman" w:cs="Times New Roman" w:eastAsiaTheme="minorEastAsia"/>
          <w:sz w:val="20"/>
          <w:szCs w:val="20"/>
        </w:rPr>
      </w:pPr>
      <w:r>
        <mc:AlternateContent>
          <mc:Choice Requires="wps">
            <w:drawing>
              <wp:anchor distT="0" distB="0" distL="114300" distR="114300" simplePos="0" relativeHeight="251659264" behindDoc="0" locked="0" layoutInCell="0" allowOverlap="1">
                <wp:simplePos x="0" y="0"/>
                <wp:positionH relativeFrom="page">
                  <wp:posOffset>1104900</wp:posOffset>
                </wp:positionH>
                <wp:positionV relativeFrom="page">
                  <wp:posOffset>2884805</wp:posOffset>
                </wp:positionV>
                <wp:extent cx="5457825" cy="45085"/>
                <wp:effectExtent l="0" t="0" r="28575" b="0"/>
                <wp:wrapNone/>
                <wp:docPr id="331" name="任意多边形 331"/>
                <wp:cNvGraphicFramePr/>
                <a:graphic xmlns:a="http://schemas.openxmlformats.org/drawingml/2006/main">
                  <a:graphicData uri="http://schemas.microsoft.com/office/word/2010/wordprocessingShape">
                    <wps:wsp>
                      <wps:cNvSpPr/>
                      <wps:spPr bwMode="auto">
                        <a:xfrm flipV="1">
                          <a:off x="0" y="0"/>
                          <a:ext cx="5457825" cy="45085"/>
                        </a:xfrm>
                        <a:custGeom>
                          <a:avLst/>
                          <a:gdLst>
                            <a:gd name="T0" fmla="*/ 0 w 9180"/>
                            <a:gd name="T1" fmla="*/ 0 h 1"/>
                            <a:gd name="T2" fmla="*/ 9180 w 9180"/>
                            <a:gd name="T3" fmla="*/ 0 h 1"/>
                          </a:gdLst>
                          <a:ahLst/>
                          <a:cxnLst>
                            <a:cxn ang="0">
                              <a:pos x="T0" y="T1"/>
                            </a:cxn>
                            <a:cxn ang="0">
                              <a:pos x="T2" y="T3"/>
                            </a:cxn>
                          </a:cxnLst>
                          <a:rect l="0" t="0" r="r" b="b"/>
                          <a:pathLst>
                            <a:path w="9180" h="1">
                              <a:moveTo>
                                <a:pt x="0" y="0"/>
                              </a:moveTo>
                              <a:lnTo>
                                <a:pt x="9180" y="0"/>
                              </a:lnTo>
                            </a:path>
                          </a:pathLst>
                        </a:cu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flip:y;margin-left:87pt;margin-top:227.15pt;height:3.55pt;width:429.75pt;mso-position-horizontal-relative:page;mso-position-vertical-relative:page;z-index:251659264;mso-width-relative:page;mso-height-relative:page;" filled="f" stroked="t" coordsize="9180,1" o:allowincell="f" o:gfxdata="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" path="m0,0l9180,0e">
                <v:path o:connectlocs="0,0;5457825,0" o:connectangles="0,0"/>
                <v:fill on="f" focussize="0,0"/>
                <v:stroke color="#000000" joinstyle="round"/>
                <v:imagedata o:title=""/>
                <o:lock v:ext="edit" aspectratio="f"/>
              </v:shape>
            </w:pict>
          </mc:Fallback>
        </mc:AlternateContent>
      </w:r>
    </w:p>
    <w:p>
      <w:pPr>
        <w:pStyle w:val="2"/>
        <w:overflowPunct w:val="0"/>
        <w:rPr>
          <w:rFonts w:ascii="Times New Roman" w:cs="Times New Roman" w:eastAsiaTheme="minorEastAsia"/>
          <w:sz w:val="20"/>
          <w:szCs w:val="20"/>
        </w:rPr>
      </w:pPr>
    </w:p>
    <w:p>
      <w:pPr>
        <w:pStyle w:val="2"/>
        <w:overflowPunct w:val="0"/>
        <w:rPr>
          <w:rFonts w:ascii="Times New Roman" w:cs="Times New Roman" w:eastAsiaTheme="minorEastAsia"/>
          <w:sz w:val="20"/>
          <w:szCs w:val="20"/>
        </w:rPr>
      </w:pPr>
    </w:p>
    <w:p>
      <w:pPr>
        <w:pStyle w:val="2"/>
        <w:overflowPunct w:val="0"/>
        <w:rPr>
          <w:rFonts w:ascii="Times New Roman" w:cs="Times New Roman" w:eastAsiaTheme="minorEastAsia"/>
          <w:sz w:val="20"/>
          <w:szCs w:val="20"/>
        </w:rPr>
      </w:pPr>
    </w:p>
    <w:p>
      <w:pPr>
        <w:pStyle w:val="2"/>
        <w:overflowPunct w:val="0"/>
        <w:rPr>
          <w:rFonts w:ascii="Times New Roman" w:cs="Times New Roman" w:eastAsiaTheme="minorEastAsia"/>
          <w:sz w:val="20"/>
          <w:szCs w:val="20"/>
        </w:rPr>
      </w:pPr>
    </w:p>
    <w:p>
      <w:pPr>
        <w:pStyle w:val="2"/>
        <w:overflowPunct w:val="0"/>
        <w:rPr>
          <w:rFonts w:ascii="Times New Roman" w:cs="Times New Roman" w:eastAsiaTheme="minorEastAsia"/>
          <w:sz w:val="20"/>
          <w:szCs w:val="20"/>
        </w:rPr>
      </w:pPr>
    </w:p>
    <w:p>
      <w:pPr>
        <w:pStyle w:val="2"/>
        <w:overflowPunct w:val="0"/>
        <w:rPr>
          <w:rFonts w:ascii="Times New Roman" w:cs="Times New Roman" w:eastAsiaTheme="minorEastAsia"/>
          <w:sz w:val="20"/>
          <w:szCs w:val="20"/>
        </w:rPr>
      </w:pPr>
    </w:p>
    <w:p>
      <w:pPr>
        <w:pStyle w:val="2"/>
        <w:overflowPunct w:val="0"/>
        <w:rPr>
          <w:rFonts w:ascii="Times New Roman" w:cs="Times New Roman" w:eastAsiaTheme="minorEastAsia"/>
          <w:sz w:val="20"/>
          <w:szCs w:val="20"/>
        </w:rPr>
      </w:pPr>
    </w:p>
    <w:p>
      <w:pPr>
        <w:pStyle w:val="2"/>
        <w:overflowPunct w:val="0"/>
        <w:rPr>
          <w:rFonts w:ascii="Times New Roman" w:cs="Times New Roman" w:eastAsiaTheme="minorEastAsia"/>
          <w:sz w:val="20"/>
          <w:szCs w:val="20"/>
        </w:rPr>
      </w:pPr>
    </w:p>
    <w:p>
      <w:pPr>
        <w:pStyle w:val="2"/>
        <w:overflowPunct w:val="0"/>
        <w:rPr>
          <w:rFonts w:ascii="Times New Roman" w:cs="Times New Roman" w:eastAsiaTheme="minorEastAsia"/>
          <w:sz w:val="20"/>
          <w:szCs w:val="20"/>
        </w:rPr>
      </w:pPr>
    </w:p>
    <w:p>
      <w:pPr>
        <w:pStyle w:val="2"/>
        <w:overflowPunct w:val="0"/>
        <w:rPr>
          <w:rFonts w:ascii="Times New Roman" w:cs="Times New Roman" w:eastAsiaTheme="minorEastAsia"/>
          <w:sz w:val="20"/>
          <w:szCs w:val="20"/>
        </w:rPr>
      </w:pPr>
    </w:p>
    <w:p>
      <w:pPr>
        <w:pStyle w:val="2"/>
        <w:overflowPunct w:val="0"/>
        <w:spacing w:before="190"/>
        <w:ind w:left="156"/>
        <w:jc w:val="center"/>
        <w:rPr>
          <w:rFonts w:ascii="黑体" w:eastAsia="黑体" w:cs="黑体"/>
          <w:b/>
          <w:bCs/>
          <w:w w:val="95"/>
          <w:sz w:val="52"/>
          <w:szCs w:val="52"/>
        </w:rPr>
      </w:pPr>
      <w:r>
        <w:rPr>
          <w:rFonts w:hint="eastAsia" w:ascii="黑体" w:eastAsia="黑体" w:cs="黑体"/>
          <w:b/>
          <w:bCs/>
          <w:w w:val="95"/>
          <w:sz w:val="52"/>
          <w:szCs w:val="52"/>
        </w:rPr>
        <w:t>电力建设火力发电厂工程智慧工地</w:t>
      </w:r>
    </w:p>
    <w:p>
      <w:pPr>
        <w:pStyle w:val="2"/>
        <w:overflowPunct w:val="0"/>
        <w:spacing w:before="190"/>
        <w:ind w:left="156"/>
        <w:jc w:val="center"/>
        <w:rPr>
          <w:rFonts w:ascii="黑体" w:eastAsia="黑体" w:cs="黑体"/>
          <w:b/>
          <w:bCs/>
          <w:w w:val="95"/>
          <w:sz w:val="52"/>
          <w:szCs w:val="52"/>
        </w:rPr>
      </w:pPr>
      <w:r>
        <w:rPr>
          <w:rFonts w:hint="eastAsia" w:ascii="黑体" w:eastAsia="黑体" w:cs="黑体"/>
          <w:b/>
          <w:bCs/>
          <w:w w:val="95"/>
          <w:sz w:val="52"/>
          <w:szCs w:val="52"/>
        </w:rPr>
        <w:t>技术标准</w:t>
      </w:r>
    </w:p>
    <w:p>
      <w:pPr>
        <w:pStyle w:val="2"/>
        <w:overflowPunct w:val="0"/>
        <w:spacing w:before="286"/>
        <w:ind w:left="155"/>
        <w:jc w:val="center"/>
        <w:rPr>
          <w:rFonts w:ascii="Times New Roman" w:cs="Times New Roman" w:eastAsiaTheme="minorEastAsia"/>
          <w:b/>
          <w:bCs/>
          <w:sz w:val="28"/>
          <w:szCs w:val="28"/>
        </w:rPr>
      </w:pPr>
      <w:r>
        <w:rPr>
          <w:rFonts w:ascii="Times New Roman" w:cs="Times New Roman" w:eastAsiaTheme="minorEastAsia"/>
          <w:b/>
          <w:bCs/>
          <w:sz w:val="28"/>
          <w:szCs w:val="28"/>
        </w:rPr>
        <w:t>Technical standard for smart construction site of thermal</w:t>
      </w:r>
      <w:r>
        <w:rPr>
          <w:rFonts w:hint="eastAsia" w:ascii="Times New Roman" w:cs="Times New Roman" w:eastAsiaTheme="minorEastAsia"/>
          <w:b/>
          <w:bCs/>
          <w:sz w:val="28"/>
          <w:szCs w:val="28"/>
        </w:rPr>
        <w:t xml:space="preserve"> power</w:t>
      </w:r>
      <w:r>
        <w:rPr>
          <w:rFonts w:ascii="Times New Roman" w:cs="Times New Roman" w:eastAsiaTheme="minorEastAsia"/>
          <w:b/>
          <w:bCs/>
          <w:sz w:val="28"/>
          <w:szCs w:val="28"/>
        </w:rPr>
        <w:t xml:space="preserve"> plant projects of power construction sector</w:t>
      </w:r>
    </w:p>
    <w:p>
      <w:pPr>
        <w:pStyle w:val="2"/>
        <w:overflowPunct w:val="0"/>
        <w:spacing w:before="4"/>
        <w:rPr>
          <w:rFonts w:ascii="Times New Roman" w:cs="Times New Roman" w:eastAsiaTheme="minorEastAsia"/>
          <w:b/>
          <w:bCs/>
          <w:sz w:val="19"/>
          <w:szCs w:val="19"/>
        </w:rPr>
      </w:pPr>
    </w:p>
    <w:p>
      <w:pPr>
        <w:pStyle w:val="2"/>
        <w:overflowPunct w:val="0"/>
        <w:spacing w:before="61"/>
        <w:ind w:left="161"/>
        <w:jc w:val="center"/>
        <w:rPr>
          <w:b/>
          <w:bCs/>
          <w:color w:val="000000"/>
          <w:sz w:val="28"/>
          <w:szCs w:val="28"/>
        </w:rPr>
      </w:pPr>
      <w:r>
        <w:rPr>
          <w:rFonts w:hint="eastAsia"/>
          <w:b/>
          <w:bCs/>
          <w:color w:val="000000"/>
          <w:sz w:val="28"/>
          <w:szCs w:val="28"/>
          <w:shd w:val="clear" w:color="auto" w:fill="FAFBFD"/>
        </w:rPr>
        <w:t>（征求意见稿）</w:t>
      </w:r>
    </w:p>
    <w:p>
      <w:pPr>
        <w:pStyle w:val="2"/>
        <w:overflowPunct w:val="0"/>
        <w:rPr>
          <w:b/>
          <w:bCs/>
          <w:sz w:val="20"/>
          <w:szCs w:val="20"/>
        </w:rPr>
      </w:pPr>
    </w:p>
    <w:p>
      <w:pPr>
        <w:pStyle w:val="2"/>
        <w:overflowPunct w:val="0"/>
        <w:rPr>
          <w:b/>
          <w:bCs/>
          <w:sz w:val="20"/>
          <w:szCs w:val="20"/>
        </w:rPr>
      </w:pPr>
    </w:p>
    <w:p>
      <w:pPr>
        <w:pStyle w:val="2"/>
        <w:overflowPunct w:val="0"/>
        <w:rPr>
          <w:b/>
          <w:bCs/>
          <w:sz w:val="20"/>
          <w:szCs w:val="20"/>
        </w:rPr>
      </w:pPr>
    </w:p>
    <w:p>
      <w:pPr>
        <w:pStyle w:val="2"/>
        <w:overflowPunct w:val="0"/>
        <w:rPr>
          <w:b/>
          <w:bCs/>
          <w:sz w:val="20"/>
          <w:szCs w:val="20"/>
        </w:rPr>
      </w:pPr>
    </w:p>
    <w:p>
      <w:pPr>
        <w:pStyle w:val="2"/>
        <w:overflowPunct w:val="0"/>
        <w:rPr>
          <w:b/>
          <w:bCs/>
          <w:sz w:val="20"/>
          <w:szCs w:val="20"/>
        </w:rPr>
      </w:pPr>
    </w:p>
    <w:p>
      <w:pPr>
        <w:pStyle w:val="2"/>
        <w:overflowPunct w:val="0"/>
        <w:rPr>
          <w:b/>
          <w:bCs/>
          <w:sz w:val="20"/>
          <w:szCs w:val="20"/>
        </w:rPr>
      </w:pPr>
    </w:p>
    <w:p>
      <w:pPr>
        <w:pStyle w:val="2"/>
        <w:overflowPunct w:val="0"/>
        <w:rPr>
          <w:b/>
          <w:bCs/>
          <w:sz w:val="20"/>
          <w:szCs w:val="20"/>
        </w:rPr>
      </w:pPr>
    </w:p>
    <w:p>
      <w:pPr>
        <w:pStyle w:val="2"/>
        <w:overflowPunct w:val="0"/>
        <w:rPr>
          <w:b/>
          <w:bCs/>
          <w:sz w:val="20"/>
          <w:szCs w:val="20"/>
        </w:rPr>
      </w:pPr>
    </w:p>
    <w:p>
      <w:pPr>
        <w:pStyle w:val="2"/>
        <w:overflowPunct w:val="0"/>
        <w:rPr>
          <w:b/>
          <w:bCs/>
          <w:sz w:val="20"/>
          <w:szCs w:val="20"/>
        </w:rPr>
      </w:pPr>
    </w:p>
    <w:p>
      <w:pPr>
        <w:pStyle w:val="2"/>
        <w:overflowPunct w:val="0"/>
        <w:rPr>
          <w:b/>
          <w:bCs/>
          <w:sz w:val="20"/>
          <w:szCs w:val="20"/>
        </w:rPr>
      </w:pPr>
    </w:p>
    <w:p>
      <w:pPr>
        <w:pStyle w:val="2"/>
        <w:overflowPunct w:val="0"/>
        <w:rPr>
          <w:b/>
          <w:bCs/>
          <w:sz w:val="20"/>
          <w:szCs w:val="20"/>
        </w:rPr>
      </w:pPr>
    </w:p>
    <w:p>
      <w:pPr>
        <w:pStyle w:val="2"/>
        <w:overflowPunct w:val="0"/>
        <w:rPr>
          <w:b/>
          <w:bCs/>
          <w:sz w:val="20"/>
          <w:szCs w:val="20"/>
        </w:rPr>
      </w:pPr>
    </w:p>
    <w:p>
      <w:pPr>
        <w:pStyle w:val="2"/>
        <w:overflowPunct w:val="0"/>
        <w:rPr>
          <w:b/>
          <w:bCs/>
          <w:sz w:val="20"/>
          <w:szCs w:val="20"/>
        </w:rPr>
      </w:pPr>
    </w:p>
    <w:p>
      <w:pPr>
        <w:pStyle w:val="2"/>
        <w:overflowPunct w:val="0"/>
        <w:rPr>
          <w:b/>
          <w:bCs/>
          <w:sz w:val="20"/>
          <w:szCs w:val="20"/>
        </w:rPr>
      </w:pPr>
    </w:p>
    <w:p>
      <w:pPr>
        <w:pStyle w:val="2"/>
        <w:overflowPunct w:val="0"/>
        <w:rPr>
          <w:b/>
          <w:bCs/>
          <w:sz w:val="20"/>
          <w:szCs w:val="20"/>
        </w:rPr>
      </w:pPr>
    </w:p>
    <w:p>
      <w:pPr>
        <w:pStyle w:val="2"/>
        <w:overflowPunct w:val="0"/>
        <w:rPr>
          <w:b/>
          <w:bCs/>
          <w:sz w:val="20"/>
          <w:szCs w:val="20"/>
        </w:rPr>
      </w:pPr>
    </w:p>
    <w:p>
      <w:pPr>
        <w:pStyle w:val="2"/>
        <w:tabs>
          <w:tab w:val="left" w:pos="6311"/>
        </w:tabs>
        <w:overflowPunct w:val="0"/>
        <w:spacing w:before="221"/>
        <w:ind w:left="144"/>
        <w:rPr>
          <w:rFonts w:ascii="黑体" w:eastAsia="黑体" w:cs="黑体"/>
          <w:sz w:val="28"/>
          <w:szCs w:val="28"/>
        </w:rPr>
      </w:pPr>
      <w:r>
        <mc:AlternateContent>
          <mc:Choice Requires="wps">
            <w:drawing>
              <wp:anchor distT="0" distB="0" distL="114300" distR="114300" simplePos="0" relativeHeight="251660288" behindDoc="0" locked="0" layoutInCell="0" allowOverlap="1">
                <wp:simplePos x="0" y="0"/>
                <wp:positionH relativeFrom="page">
                  <wp:posOffset>1059180</wp:posOffset>
                </wp:positionH>
                <wp:positionV relativeFrom="page">
                  <wp:posOffset>8971280</wp:posOffset>
                </wp:positionV>
                <wp:extent cx="5600700" cy="635"/>
                <wp:effectExtent l="0" t="0" r="19050" b="18415"/>
                <wp:wrapNone/>
                <wp:docPr id="332" name="任意多边形 332"/>
                <wp:cNvGraphicFramePr/>
                <a:graphic xmlns:a="http://schemas.openxmlformats.org/drawingml/2006/main">
                  <a:graphicData uri="http://schemas.microsoft.com/office/word/2010/wordprocessingShape">
                    <wps:wsp>
                      <wps:cNvSpPr/>
                      <wps:spPr bwMode="auto">
                        <a:xfrm>
                          <a:off x="0" y="0"/>
                          <a:ext cx="5600700" cy="635"/>
                        </a:xfrm>
                        <a:custGeom>
                          <a:avLst/>
                          <a:gdLst>
                            <a:gd name="T0" fmla="*/ 0 w 8820"/>
                            <a:gd name="T1" fmla="*/ 0 h 1"/>
                            <a:gd name="T2" fmla="*/ 8820 w 8820"/>
                            <a:gd name="T3" fmla="*/ 0 h 1"/>
                          </a:gdLst>
                          <a:ahLst/>
                          <a:cxnLst>
                            <a:cxn ang="0">
                              <a:pos x="T0" y="T1"/>
                            </a:cxn>
                            <a:cxn ang="0">
                              <a:pos x="T2" y="T3"/>
                            </a:cxn>
                          </a:cxnLst>
                          <a:rect l="0" t="0" r="r" b="b"/>
                          <a:pathLst>
                            <a:path w="8820" h="1">
                              <a:moveTo>
                                <a:pt x="0" y="0"/>
                              </a:moveTo>
                              <a:lnTo>
                                <a:pt x="8820" y="0"/>
                              </a:lnTo>
                            </a:path>
                          </a:pathLst>
                        </a:custGeom>
                        <a:noFill/>
                        <a:ln w="9525">
                          <a:solidFill>
                            <a:srgbClr val="000000"/>
                          </a:solidFill>
                          <a:round/>
                        </a:ln>
                      </wps:spPr>
                      <wps:bodyPr rot="0" vert="horz" wrap="square" lIns="91440" tIns="45720" rIns="91440" bIns="45720" anchor="t" anchorCtr="0" upright="1">
                        <a:noAutofit/>
                      </wps:bodyPr>
                    </wps:wsp>
                  </a:graphicData>
                </a:graphic>
              </wp:anchor>
            </w:drawing>
          </mc:Choice>
          <mc:Fallback>
            <w:pict>
              <v:shape id="_x0000_s1026" o:spid="_x0000_s1026" o:spt="100" style="position:absolute;left:0pt;margin-left:83.4pt;margin-top:706.4pt;height:0.05pt;width:441pt;mso-position-horizontal-relative:page;mso-position-vertical-relative:page;z-index:251660288;mso-width-relative:page;mso-height-relative:page;" filled="f" stroked="t" coordsize="8820,1" o:allowincell="f" o:gfxdata="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DZJ6jd2wAAAA4BAAAPAAAAAAAAAAEA&#10;IAAAACIAAABkcnMvZG93bnJldi54bWxQSwECFAAUAAAACACHTuJANyWrw7cCAADHBQAADgAAAAAA&#10;AAABACAAAAAqAQAAZHJzL2Uyb0RvYy54bWxQSwUGAAAAAAYABgBZAQAAUwYAAAAA&#10;" path="m0,0l8820,0e">
                <v:path o:connectlocs="0,0;5600700,0" o:connectangles="0,0"/>
                <v:fill on="f" focussize="0,0"/>
                <v:stroke color="#000000" joinstyle="round"/>
                <v:imagedata o:title=""/>
                <o:lock v:ext="edit" aspectratio="f"/>
              </v:shape>
            </w:pict>
          </mc:Fallback>
        </mc:AlternateContent>
      </w:r>
      <w:r>
        <w:rPr>
          <w:rFonts w:ascii="Times New Roman" w:cs="Times New Roman" w:eastAsiaTheme="minorEastAsia"/>
          <w:sz w:val="28"/>
          <w:szCs w:val="28"/>
        </w:rPr>
        <w:t xml:space="preserve">202X-XX-XX </w:t>
      </w:r>
      <w:r>
        <w:rPr>
          <w:rFonts w:hint="eastAsia" w:ascii="黑体" w:eastAsia="黑体" w:cs="黑体"/>
          <w:sz w:val="28"/>
          <w:szCs w:val="28"/>
        </w:rPr>
        <w:t>发布</w:t>
      </w:r>
      <w:r>
        <w:rPr>
          <w:rFonts w:ascii="黑体" w:eastAsia="黑体" w:cs="黑体"/>
          <w:sz w:val="28"/>
          <w:szCs w:val="28"/>
        </w:rPr>
        <w:tab/>
      </w:r>
      <w:r>
        <w:rPr>
          <w:rFonts w:ascii="Times New Roman" w:eastAsia="黑体" w:cs="Times New Roman"/>
          <w:sz w:val="28"/>
          <w:szCs w:val="28"/>
        </w:rPr>
        <w:t>202X-XX-XX</w:t>
      </w:r>
      <w:r>
        <w:rPr>
          <w:rFonts w:ascii="Times New Roman" w:eastAsia="黑体" w:cs="Times New Roman"/>
          <w:spacing w:val="-1"/>
          <w:sz w:val="28"/>
          <w:szCs w:val="28"/>
        </w:rPr>
        <w:t xml:space="preserve"> </w:t>
      </w:r>
      <w:r>
        <w:rPr>
          <w:rFonts w:hint="eastAsia" w:ascii="黑体" w:eastAsia="黑体" w:cs="黑体"/>
          <w:sz w:val="28"/>
          <w:szCs w:val="28"/>
        </w:rPr>
        <w:t>实施</w:t>
      </w:r>
    </w:p>
    <w:p>
      <w:pPr>
        <w:pStyle w:val="2"/>
        <w:overflowPunct w:val="0"/>
        <w:spacing w:before="5"/>
        <w:rPr>
          <w:rFonts w:ascii="黑体" w:eastAsia="黑体" w:cs="黑体"/>
          <w:sz w:val="28"/>
          <w:szCs w:val="28"/>
        </w:rPr>
      </w:pPr>
    </w:p>
    <w:p>
      <w:pPr>
        <w:pStyle w:val="2"/>
        <w:tabs>
          <w:tab w:val="left" w:pos="4959"/>
        </w:tabs>
        <w:overflowPunct w:val="0"/>
        <w:spacing w:before="57"/>
        <w:ind w:left="223"/>
        <w:jc w:val="center"/>
        <w:rPr>
          <w:rFonts w:ascii="黑体" w:eastAsia="黑体" w:cs="黑体"/>
          <w:b/>
          <w:bCs/>
          <w:w w:val="130"/>
          <w:sz w:val="24"/>
          <w:szCs w:val="24"/>
        </w:rPr>
        <w:sectPr>
          <w:type w:val="continuous"/>
          <w:pgSz w:w="11910" w:h="16840"/>
          <w:pgMar w:top="800" w:right="1540" w:bottom="280" w:left="1680" w:header="720" w:footer="720" w:gutter="0"/>
          <w:cols w:equalWidth="0" w:num="1">
            <w:col w:w="8690"/>
          </w:cols>
        </w:sectPr>
      </w:pPr>
      <w:r>
        <w:rPr>
          <w:rFonts w:hint="eastAsia" w:ascii="华文中宋" w:eastAsia="华文中宋" w:cs="华文中宋"/>
          <w:b/>
          <w:bCs/>
          <w:spacing w:val="51"/>
          <w:w w:val="130"/>
          <w:sz w:val="32"/>
          <w:szCs w:val="32"/>
        </w:rPr>
        <w:t>中</w:t>
      </w:r>
      <w:r>
        <w:rPr>
          <w:rFonts w:hint="eastAsia" w:ascii="华文中宋" w:eastAsia="华文中宋" w:cs="华文中宋"/>
          <w:b/>
          <w:bCs/>
          <w:spacing w:val="49"/>
          <w:w w:val="130"/>
          <w:sz w:val="32"/>
          <w:szCs w:val="32"/>
        </w:rPr>
        <w:t>国</w:t>
      </w:r>
      <w:r>
        <w:rPr>
          <w:rFonts w:hint="eastAsia" w:ascii="华文中宋" w:eastAsia="华文中宋" w:cs="华文中宋"/>
          <w:b/>
          <w:bCs/>
          <w:spacing w:val="51"/>
          <w:w w:val="130"/>
          <w:sz w:val="32"/>
          <w:szCs w:val="32"/>
        </w:rPr>
        <w:t>电力企业</w:t>
      </w:r>
      <w:r>
        <w:rPr>
          <w:rFonts w:hint="eastAsia" w:ascii="华文中宋" w:eastAsia="华文中宋" w:cs="华文中宋"/>
          <w:b/>
          <w:bCs/>
          <w:spacing w:val="49"/>
          <w:w w:val="130"/>
          <w:sz w:val="32"/>
          <w:szCs w:val="32"/>
        </w:rPr>
        <w:t>联</w:t>
      </w:r>
      <w:r>
        <w:rPr>
          <w:rFonts w:hint="eastAsia" w:ascii="华文中宋" w:eastAsia="华文中宋" w:cs="华文中宋"/>
          <w:b/>
          <w:bCs/>
          <w:spacing w:val="51"/>
          <w:w w:val="130"/>
          <w:sz w:val="32"/>
          <w:szCs w:val="32"/>
        </w:rPr>
        <w:t>合</w:t>
      </w:r>
      <w:r>
        <w:rPr>
          <w:rFonts w:hint="eastAsia" w:ascii="华文中宋" w:eastAsia="华文中宋" w:cs="华文中宋"/>
          <w:b/>
          <w:bCs/>
          <w:w w:val="130"/>
          <w:sz w:val="32"/>
          <w:szCs w:val="32"/>
        </w:rPr>
        <w:t>会</w:t>
      </w:r>
      <w:r>
        <w:rPr>
          <w:rFonts w:ascii="华文中宋" w:eastAsia="华文中宋" w:cs="华文中宋"/>
          <w:b/>
          <w:bCs/>
          <w:w w:val="130"/>
          <w:sz w:val="32"/>
          <w:szCs w:val="32"/>
        </w:rPr>
        <w:tab/>
      </w:r>
      <w:r>
        <w:rPr>
          <w:rFonts w:hint="eastAsia" w:ascii="黑体" w:eastAsia="黑体" w:cs="黑体"/>
          <w:b/>
          <w:bCs/>
          <w:w w:val="130"/>
          <w:sz w:val="24"/>
          <w:szCs w:val="24"/>
        </w:rPr>
        <w:t>发</w:t>
      </w:r>
      <w:r>
        <w:rPr>
          <w:rFonts w:ascii="黑体" w:eastAsia="黑体" w:cs="黑体"/>
          <w:b/>
          <w:bCs/>
          <w:spacing w:val="93"/>
          <w:w w:val="130"/>
          <w:sz w:val="24"/>
          <w:szCs w:val="24"/>
        </w:rPr>
        <w:t xml:space="preserve"> </w:t>
      </w:r>
      <w:r>
        <w:rPr>
          <w:rFonts w:hint="eastAsia" w:ascii="黑体" w:eastAsia="黑体" w:cs="黑体"/>
          <w:b/>
          <w:bCs/>
          <w:w w:val="130"/>
          <w:sz w:val="24"/>
          <w:szCs w:val="24"/>
        </w:rPr>
        <w:t>布</w:t>
      </w:r>
    </w:p>
    <w:p>
      <w:pPr>
        <w:pStyle w:val="2"/>
        <w:overflowPunct w:val="0"/>
        <w:spacing w:before="7"/>
        <w:rPr>
          <w:rFonts w:ascii="黑体" w:eastAsia="黑体" w:cs="黑体"/>
          <w:b/>
          <w:bCs/>
          <w:sz w:val="15"/>
          <w:szCs w:val="15"/>
        </w:rPr>
        <w:sectPr>
          <w:pgSz w:w="11910" w:h="16850"/>
          <w:pgMar w:top="1580" w:right="1680" w:bottom="280" w:left="1680" w:header="720" w:footer="720" w:gutter="0"/>
          <w:cols w:equalWidth="0" w:num="1">
            <w:col w:w="8550"/>
          </w:cols>
        </w:sectPr>
      </w:pPr>
    </w:p>
    <w:p>
      <w:pPr>
        <w:pStyle w:val="4"/>
        <w:overflowPunct w:val="0"/>
        <w:spacing w:before="69"/>
        <w:ind w:right="45"/>
        <w:rPr>
          <w:spacing w:val="52"/>
        </w:rPr>
      </w:pPr>
      <w:bookmarkStart w:id="0" w:name="_Toc117408362"/>
      <w:bookmarkStart w:id="1" w:name="_Toc141106874"/>
      <w:r>
        <w:rPr>
          <w:rFonts w:hint="eastAsia"/>
          <w:spacing w:val="52"/>
        </w:rPr>
        <w:t>前言</w:t>
      </w:r>
      <w:bookmarkEnd w:id="0"/>
      <w:bookmarkEnd w:id="1"/>
    </w:p>
    <w:p>
      <w:pPr>
        <w:pStyle w:val="2"/>
        <w:overflowPunct w:val="0"/>
        <w:rPr>
          <w:rFonts w:ascii="黑体" w:eastAsia="黑体" w:cs="黑体"/>
          <w:sz w:val="32"/>
          <w:szCs w:val="32"/>
        </w:rPr>
      </w:pPr>
    </w:p>
    <w:p>
      <w:pPr>
        <w:pStyle w:val="2"/>
        <w:overflowPunct w:val="0"/>
        <w:spacing w:line="278" w:lineRule="auto"/>
        <w:ind w:left="120" w:right="106" w:firstLine="419"/>
        <w:rPr>
          <w:spacing w:val="-5"/>
        </w:rPr>
      </w:pPr>
      <w:r>
        <w:rPr>
          <w:rFonts w:hint="eastAsia"/>
          <w:spacing w:val="-5"/>
        </w:rPr>
        <w:t>本标准按照 GB/T 1.1—2020《标准化工作导则 第1部分：标准化文件的结构和起草规则》的规定起草。</w:t>
      </w:r>
    </w:p>
    <w:p>
      <w:pPr>
        <w:pStyle w:val="2"/>
        <w:overflowPunct w:val="0"/>
        <w:spacing w:line="278" w:lineRule="auto"/>
        <w:ind w:left="120" w:right="106" w:firstLine="419"/>
        <w:rPr>
          <w:spacing w:val="-5"/>
        </w:rPr>
      </w:pPr>
      <w:r>
        <w:rPr>
          <w:rFonts w:hint="eastAsia"/>
          <w:spacing w:val="-5"/>
        </w:rPr>
        <w:t>本标准根据《关于印发2022年第一批中国电力企业联合会标准制修订计划的通知》（中电联标准〔2022〕121号）要求制定。</w:t>
      </w:r>
    </w:p>
    <w:p>
      <w:pPr>
        <w:pStyle w:val="2"/>
        <w:overflowPunct w:val="0"/>
        <w:spacing w:line="278" w:lineRule="auto"/>
        <w:ind w:left="120" w:right="106" w:firstLine="419"/>
        <w:rPr>
          <w:spacing w:val="-5"/>
        </w:rPr>
      </w:pPr>
      <w:r>
        <w:rPr>
          <w:rFonts w:hint="eastAsia"/>
          <w:spacing w:val="-5"/>
        </w:rPr>
        <w:t>请注意本文件的某些内容可能涉及专利，本文件的发布机构不承担识别这些专利的责任。</w:t>
      </w:r>
    </w:p>
    <w:p>
      <w:pPr>
        <w:pStyle w:val="2"/>
        <w:overflowPunct w:val="0"/>
        <w:spacing w:line="278" w:lineRule="auto"/>
        <w:ind w:left="120" w:right="106" w:firstLine="419"/>
      </w:pPr>
      <w:r>
        <w:rPr>
          <w:rFonts w:hint="eastAsia"/>
          <w:spacing w:val="-5"/>
        </w:rPr>
        <w:t>本标准由中国电力企业联合会提出并归口。</w:t>
      </w:r>
    </w:p>
    <w:p>
      <w:pPr>
        <w:pStyle w:val="2"/>
        <w:overflowPunct w:val="0"/>
        <w:spacing w:line="278" w:lineRule="auto"/>
        <w:ind w:left="120" w:right="106" w:firstLine="419"/>
        <w:rPr>
          <w:spacing w:val="-5"/>
        </w:rPr>
      </w:pPr>
      <w:r>
        <w:rPr>
          <w:rFonts w:hint="eastAsia"/>
          <w:spacing w:val="-5"/>
        </w:rPr>
        <w:t>本标准主编单位：</w:t>
      </w:r>
    </w:p>
    <w:p>
      <w:pPr>
        <w:pStyle w:val="2"/>
        <w:overflowPunct w:val="0"/>
        <w:spacing w:line="278" w:lineRule="auto"/>
        <w:ind w:left="120" w:right="106" w:firstLine="1978" w:firstLineChars="989"/>
        <w:rPr>
          <w:spacing w:val="-5"/>
        </w:rPr>
      </w:pPr>
    </w:p>
    <w:p>
      <w:pPr>
        <w:pStyle w:val="2"/>
        <w:overflowPunct w:val="0"/>
        <w:spacing w:line="278" w:lineRule="auto"/>
        <w:ind w:left="120" w:right="106" w:firstLine="419"/>
        <w:rPr>
          <w:spacing w:val="-5"/>
        </w:rPr>
      </w:pPr>
      <w:r>
        <w:rPr>
          <w:rFonts w:hint="eastAsia"/>
          <w:spacing w:val="-5"/>
        </w:rPr>
        <w:t>本标准参编单位：</w:t>
      </w:r>
    </w:p>
    <w:p>
      <w:pPr>
        <w:pStyle w:val="2"/>
        <w:overflowPunct w:val="0"/>
        <w:spacing w:line="278" w:lineRule="auto"/>
        <w:ind w:right="106" w:firstLine="2126" w:firstLineChars="1063"/>
        <w:rPr>
          <w:spacing w:val="-5"/>
        </w:rPr>
      </w:pPr>
    </w:p>
    <w:p>
      <w:pPr>
        <w:pStyle w:val="2"/>
        <w:overflowPunct w:val="0"/>
        <w:spacing w:line="278" w:lineRule="auto"/>
        <w:ind w:left="119" w:right="108" w:firstLine="2007" w:firstLineChars="1004"/>
        <w:rPr>
          <w:spacing w:val="-5"/>
        </w:rPr>
      </w:pPr>
    </w:p>
    <w:p>
      <w:pPr>
        <w:pStyle w:val="2"/>
        <w:overflowPunct w:val="0"/>
        <w:spacing w:line="278" w:lineRule="auto"/>
        <w:ind w:left="119" w:right="108" w:firstLine="2007" w:firstLineChars="1004"/>
        <w:rPr>
          <w:spacing w:val="-5"/>
        </w:rPr>
      </w:pPr>
    </w:p>
    <w:p>
      <w:pPr>
        <w:pStyle w:val="2"/>
        <w:overflowPunct w:val="0"/>
        <w:spacing w:line="278" w:lineRule="auto"/>
        <w:ind w:left="119" w:right="108" w:firstLine="2007" w:firstLineChars="1004"/>
        <w:rPr>
          <w:spacing w:val="-5"/>
        </w:rPr>
      </w:pPr>
    </w:p>
    <w:p>
      <w:pPr>
        <w:pStyle w:val="2"/>
        <w:overflowPunct w:val="0"/>
        <w:spacing w:line="278" w:lineRule="auto"/>
        <w:ind w:left="119" w:right="108" w:firstLine="2007" w:firstLineChars="1004"/>
        <w:rPr>
          <w:spacing w:val="-5"/>
        </w:rPr>
      </w:pPr>
    </w:p>
    <w:p>
      <w:pPr>
        <w:pStyle w:val="2"/>
        <w:overflowPunct w:val="0"/>
        <w:spacing w:line="278" w:lineRule="auto"/>
        <w:ind w:left="119" w:right="108" w:firstLine="2007" w:firstLineChars="1004"/>
        <w:rPr>
          <w:spacing w:val="-5"/>
        </w:rPr>
      </w:pPr>
    </w:p>
    <w:p>
      <w:pPr>
        <w:pStyle w:val="2"/>
        <w:overflowPunct w:val="0"/>
        <w:spacing w:line="278" w:lineRule="auto"/>
        <w:ind w:left="119" w:right="108" w:firstLine="2007" w:firstLineChars="1004"/>
        <w:rPr>
          <w:spacing w:val="-5"/>
        </w:rPr>
      </w:pPr>
    </w:p>
    <w:p>
      <w:pPr>
        <w:pStyle w:val="2"/>
        <w:overflowPunct w:val="0"/>
        <w:spacing w:line="278" w:lineRule="auto"/>
        <w:ind w:left="119" w:right="108" w:firstLine="2007" w:firstLineChars="1004"/>
        <w:rPr>
          <w:spacing w:val="-5"/>
        </w:rPr>
      </w:pPr>
    </w:p>
    <w:p>
      <w:pPr>
        <w:pStyle w:val="2"/>
        <w:overflowPunct w:val="0"/>
        <w:spacing w:line="278" w:lineRule="auto"/>
        <w:ind w:left="119" w:right="108" w:firstLine="2007" w:firstLineChars="1004"/>
        <w:rPr>
          <w:spacing w:val="-5"/>
        </w:rPr>
      </w:pPr>
    </w:p>
    <w:p>
      <w:pPr>
        <w:pStyle w:val="2"/>
        <w:overflowPunct w:val="0"/>
        <w:spacing w:line="278" w:lineRule="auto"/>
        <w:ind w:left="119" w:right="108" w:firstLine="2007" w:firstLineChars="956"/>
        <w:rPr>
          <w:rFonts w:eastAsiaTheme="minorEastAsia"/>
        </w:rPr>
      </w:pPr>
    </w:p>
    <w:p>
      <w:pPr>
        <w:pStyle w:val="2"/>
        <w:overflowPunct w:val="0"/>
        <w:spacing w:before="8"/>
        <w:rPr>
          <w:sz w:val="5"/>
          <w:szCs w:val="5"/>
        </w:rPr>
      </w:pPr>
    </w:p>
    <w:tbl>
      <w:tblPr>
        <w:tblStyle w:val="21"/>
        <w:tblW w:w="0" w:type="auto"/>
        <w:tblInd w:w="550" w:type="dxa"/>
        <w:tblLayout w:type="fixed"/>
        <w:tblCellMar>
          <w:top w:w="0" w:type="dxa"/>
          <w:left w:w="0" w:type="dxa"/>
          <w:bottom w:w="0" w:type="dxa"/>
          <w:right w:w="0" w:type="dxa"/>
        </w:tblCellMar>
      </w:tblPr>
      <w:tblGrid>
        <w:gridCol w:w="2940"/>
        <w:gridCol w:w="946"/>
        <w:gridCol w:w="1050"/>
        <w:gridCol w:w="893"/>
        <w:gridCol w:w="891"/>
        <w:gridCol w:w="839"/>
      </w:tblGrid>
      <w:tr>
        <w:tblPrEx>
          <w:tblCellMar>
            <w:top w:w="0" w:type="dxa"/>
            <w:left w:w="0" w:type="dxa"/>
            <w:bottom w:w="0" w:type="dxa"/>
            <w:right w:w="0" w:type="dxa"/>
          </w:tblCellMar>
        </w:tblPrEx>
        <w:trPr>
          <w:trHeight w:val="261" w:hRule="atLeast"/>
        </w:trPr>
        <w:tc>
          <w:tcPr>
            <w:tcW w:w="2940" w:type="dxa"/>
            <w:tcBorders>
              <w:top w:val="nil"/>
              <w:left w:val="nil"/>
              <w:bottom w:val="nil"/>
              <w:right w:val="nil"/>
            </w:tcBorders>
          </w:tcPr>
          <w:p>
            <w:pPr>
              <w:pStyle w:val="2"/>
              <w:overflowPunct w:val="0"/>
              <w:spacing w:line="268" w:lineRule="exact"/>
            </w:pPr>
            <w:r>
              <w:rPr>
                <w:rFonts w:hint="eastAsia"/>
              </w:rPr>
              <w:t>本标准主要起草人员：</w:t>
            </w:r>
          </w:p>
        </w:tc>
        <w:tc>
          <w:tcPr>
            <w:tcW w:w="946" w:type="dxa"/>
            <w:tcBorders>
              <w:top w:val="nil"/>
              <w:left w:val="nil"/>
              <w:bottom w:val="nil"/>
              <w:right w:val="nil"/>
            </w:tcBorders>
          </w:tcPr>
          <w:p>
            <w:pPr>
              <w:pStyle w:val="2"/>
              <w:overflowPunct w:val="0"/>
              <w:spacing w:line="268" w:lineRule="exact"/>
              <w:ind w:left="600"/>
            </w:pPr>
          </w:p>
        </w:tc>
        <w:tc>
          <w:tcPr>
            <w:tcW w:w="1050" w:type="dxa"/>
            <w:tcBorders>
              <w:top w:val="nil"/>
              <w:left w:val="nil"/>
              <w:bottom w:val="nil"/>
              <w:right w:val="nil"/>
            </w:tcBorders>
          </w:tcPr>
          <w:p>
            <w:pPr>
              <w:pStyle w:val="2"/>
              <w:overflowPunct w:val="0"/>
              <w:spacing w:line="268" w:lineRule="exact"/>
              <w:ind w:left="600"/>
            </w:pPr>
          </w:p>
        </w:tc>
        <w:tc>
          <w:tcPr>
            <w:tcW w:w="893" w:type="dxa"/>
            <w:tcBorders>
              <w:top w:val="nil"/>
              <w:left w:val="nil"/>
              <w:bottom w:val="nil"/>
              <w:right w:val="nil"/>
            </w:tcBorders>
          </w:tcPr>
          <w:p>
            <w:pPr>
              <w:pStyle w:val="2"/>
              <w:overflowPunct w:val="0"/>
              <w:spacing w:line="268" w:lineRule="exact"/>
              <w:ind w:left="600"/>
            </w:pPr>
          </w:p>
        </w:tc>
        <w:tc>
          <w:tcPr>
            <w:tcW w:w="891" w:type="dxa"/>
            <w:tcBorders>
              <w:top w:val="nil"/>
              <w:left w:val="nil"/>
              <w:bottom w:val="nil"/>
              <w:right w:val="nil"/>
            </w:tcBorders>
          </w:tcPr>
          <w:p>
            <w:pPr>
              <w:pStyle w:val="2"/>
              <w:overflowPunct w:val="0"/>
              <w:spacing w:line="268" w:lineRule="exact"/>
              <w:ind w:left="600"/>
            </w:pPr>
          </w:p>
        </w:tc>
        <w:tc>
          <w:tcPr>
            <w:tcW w:w="839" w:type="dxa"/>
            <w:tcBorders>
              <w:top w:val="nil"/>
              <w:left w:val="nil"/>
              <w:bottom w:val="nil"/>
              <w:right w:val="nil"/>
            </w:tcBorders>
          </w:tcPr>
          <w:p>
            <w:pPr>
              <w:pStyle w:val="2"/>
              <w:overflowPunct w:val="0"/>
              <w:spacing w:line="268" w:lineRule="exact"/>
              <w:ind w:left="600"/>
            </w:pPr>
          </w:p>
        </w:tc>
      </w:tr>
      <w:tr>
        <w:tblPrEx>
          <w:tblCellMar>
            <w:top w:w="0" w:type="dxa"/>
            <w:left w:w="0" w:type="dxa"/>
            <w:bottom w:w="0" w:type="dxa"/>
            <w:right w:w="0" w:type="dxa"/>
          </w:tblCellMar>
        </w:tblPrEx>
        <w:trPr>
          <w:trHeight w:val="312" w:hRule="atLeast"/>
        </w:trPr>
        <w:tc>
          <w:tcPr>
            <w:tcW w:w="2940" w:type="dxa"/>
            <w:tcBorders>
              <w:top w:val="nil"/>
              <w:left w:val="nil"/>
              <w:bottom w:val="nil"/>
              <w:right w:val="nil"/>
            </w:tcBorders>
          </w:tcPr>
          <w:p>
            <w:pPr>
              <w:pStyle w:val="2"/>
              <w:overflowPunct w:val="0"/>
              <w:spacing w:line="268" w:lineRule="exact"/>
              <w:ind w:left="600"/>
            </w:pPr>
          </w:p>
        </w:tc>
        <w:tc>
          <w:tcPr>
            <w:tcW w:w="946" w:type="dxa"/>
            <w:tcBorders>
              <w:top w:val="nil"/>
              <w:left w:val="nil"/>
              <w:bottom w:val="nil"/>
              <w:right w:val="nil"/>
            </w:tcBorders>
          </w:tcPr>
          <w:p>
            <w:pPr>
              <w:pStyle w:val="2"/>
              <w:overflowPunct w:val="0"/>
              <w:spacing w:line="268" w:lineRule="exact"/>
              <w:ind w:left="600"/>
            </w:pPr>
          </w:p>
        </w:tc>
        <w:tc>
          <w:tcPr>
            <w:tcW w:w="1050" w:type="dxa"/>
            <w:tcBorders>
              <w:top w:val="nil"/>
              <w:left w:val="nil"/>
              <w:bottom w:val="nil"/>
              <w:right w:val="nil"/>
            </w:tcBorders>
          </w:tcPr>
          <w:p>
            <w:pPr>
              <w:pStyle w:val="2"/>
              <w:overflowPunct w:val="0"/>
              <w:spacing w:line="268" w:lineRule="exact"/>
              <w:ind w:left="600"/>
            </w:pPr>
          </w:p>
        </w:tc>
        <w:tc>
          <w:tcPr>
            <w:tcW w:w="893" w:type="dxa"/>
            <w:tcBorders>
              <w:top w:val="nil"/>
              <w:left w:val="nil"/>
              <w:bottom w:val="nil"/>
              <w:right w:val="nil"/>
            </w:tcBorders>
          </w:tcPr>
          <w:p>
            <w:pPr>
              <w:pStyle w:val="2"/>
              <w:overflowPunct w:val="0"/>
              <w:spacing w:line="268" w:lineRule="exact"/>
              <w:ind w:left="600"/>
            </w:pPr>
          </w:p>
        </w:tc>
        <w:tc>
          <w:tcPr>
            <w:tcW w:w="891" w:type="dxa"/>
            <w:tcBorders>
              <w:top w:val="nil"/>
              <w:left w:val="nil"/>
              <w:bottom w:val="nil"/>
              <w:right w:val="nil"/>
            </w:tcBorders>
          </w:tcPr>
          <w:p>
            <w:pPr>
              <w:pStyle w:val="2"/>
              <w:overflowPunct w:val="0"/>
              <w:spacing w:line="268" w:lineRule="exact"/>
              <w:ind w:left="600"/>
            </w:pPr>
          </w:p>
        </w:tc>
        <w:tc>
          <w:tcPr>
            <w:tcW w:w="839" w:type="dxa"/>
            <w:tcBorders>
              <w:top w:val="nil"/>
              <w:left w:val="nil"/>
              <w:bottom w:val="nil"/>
              <w:right w:val="nil"/>
            </w:tcBorders>
          </w:tcPr>
          <w:p>
            <w:pPr>
              <w:pStyle w:val="2"/>
              <w:overflowPunct w:val="0"/>
              <w:spacing w:line="268" w:lineRule="exact"/>
              <w:ind w:left="600"/>
            </w:pPr>
          </w:p>
        </w:tc>
      </w:tr>
      <w:tr>
        <w:tblPrEx>
          <w:tblCellMar>
            <w:top w:w="0" w:type="dxa"/>
            <w:left w:w="0" w:type="dxa"/>
            <w:bottom w:w="0" w:type="dxa"/>
            <w:right w:w="0" w:type="dxa"/>
          </w:tblCellMar>
        </w:tblPrEx>
        <w:trPr>
          <w:trHeight w:val="312" w:hRule="atLeast"/>
        </w:trPr>
        <w:tc>
          <w:tcPr>
            <w:tcW w:w="2940" w:type="dxa"/>
            <w:tcBorders>
              <w:top w:val="nil"/>
              <w:left w:val="nil"/>
              <w:bottom w:val="nil"/>
              <w:right w:val="nil"/>
            </w:tcBorders>
          </w:tcPr>
          <w:p>
            <w:pPr>
              <w:pStyle w:val="2"/>
              <w:overflowPunct w:val="0"/>
              <w:spacing w:line="268" w:lineRule="exact"/>
              <w:ind w:left="600"/>
            </w:pPr>
          </w:p>
        </w:tc>
        <w:tc>
          <w:tcPr>
            <w:tcW w:w="946" w:type="dxa"/>
            <w:tcBorders>
              <w:top w:val="nil"/>
              <w:left w:val="nil"/>
              <w:bottom w:val="nil"/>
              <w:right w:val="nil"/>
            </w:tcBorders>
          </w:tcPr>
          <w:p>
            <w:pPr>
              <w:pStyle w:val="2"/>
              <w:overflowPunct w:val="0"/>
              <w:spacing w:line="268" w:lineRule="exact"/>
              <w:ind w:left="600"/>
            </w:pPr>
          </w:p>
        </w:tc>
        <w:tc>
          <w:tcPr>
            <w:tcW w:w="1050" w:type="dxa"/>
            <w:tcBorders>
              <w:top w:val="nil"/>
              <w:left w:val="nil"/>
              <w:bottom w:val="nil"/>
              <w:right w:val="nil"/>
            </w:tcBorders>
          </w:tcPr>
          <w:p>
            <w:pPr>
              <w:pStyle w:val="2"/>
              <w:overflowPunct w:val="0"/>
              <w:spacing w:line="268" w:lineRule="exact"/>
              <w:ind w:left="600"/>
            </w:pPr>
          </w:p>
        </w:tc>
        <w:tc>
          <w:tcPr>
            <w:tcW w:w="893" w:type="dxa"/>
            <w:tcBorders>
              <w:top w:val="nil"/>
              <w:left w:val="nil"/>
              <w:bottom w:val="nil"/>
              <w:right w:val="nil"/>
            </w:tcBorders>
          </w:tcPr>
          <w:p>
            <w:pPr>
              <w:pStyle w:val="2"/>
              <w:overflowPunct w:val="0"/>
              <w:spacing w:line="268" w:lineRule="exact"/>
              <w:ind w:left="600"/>
            </w:pPr>
          </w:p>
        </w:tc>
        <w:tc>
          <w:tcPr>
            <w:tcW w:w="891" w:type="dxa"/>
            <w:tcBorders>
              <w:top w:val="nil"/>
              <w:left w:val="nil"/>
              <w:bottom w:val="nil"/>
              <w:right w:val="nil"/>
            </w:tcBorders>
          </w:tcPr>
          <w:p>
            <w:pPr>
              <w:pStyle w:val="2"/>
              <w:overflowPunct w:val="0"/>
              <w:spacing w:line="268" w:lineRule="exact"/>
              <w:ind w:left="600"/>
            </w:pPr>
          </w:p>
        </w:tc>
        <w:tc>
          <w:tcPr>
            <w:tcW w:w="839" w:type="dxa"/>
            <w:tcBorders>
              <w:top w:val="nil"/>
              <w:left w:val="nil"/>
              <w:bottom w:val="nil"/>
              <w:right w:val="nil"/>
            </w:tcBorders>
          </w:tcPr>
          <w:p>
            <w:pPr>
              <w:pStyle w:val="2"/>
              <w:overflowPunct w:val="0"/>
              <w:spacing w:line="268" w:lineRule="exact"/>
              <w:ind w:left="600"/>
            </w:pPr>
          </w:p>
        </w:tc>
      </w:tr>
      <w:tr>
        <w:tblPrEx>
          <w:tblCellMar>
            <w:top w:w="0" w:type="dxa"/>
            <w:left w:w="0" w:type="dxa"/>
            <w:bottom w:w="0" w:type="dxa"/>
            <w:right w:w="0" w:type="dxa"/>
          </w:tblCellMar>
        </w:tblPrEx>
        <w:trPr>
          <w:trHeight w:val="312" w:hRule="atLeast"/>
        </w:trPr>
        <w:tc>
          <w:tcPr>
            <w:tcW w:w="2940" w:type="dxa"/>
            <w:tcBorders>
              <w:top w:val="nil"/>
              <w:left w:val="nil"/>
              <w:bottom w:val="nil"/>
              <w:right w:val="nil"/>
            </w:tcBorders>
          </w:tcPr>
          <w:p>
            <w:pPr>
              <w:pStyle w:val="2"/>
              <w:overflowPunct w:val="0"/>
              <w:spacing w:line="268" w:lineRule="exact"/>
              <w:ind w:left="600"/>
            </w:pPr>
          </w:p>
        </w:tc>
        <w:tc>
          <w:tcPr>
            <w:tcW w:w="946" w:type="dxa"/>
            <w:tcBorders>
              <w:top w:val="nil"/>
              <w:left w:val="nil"/>
              <w:bottom w:val="nil"/>
              <w:right w:val="nil"/>
            </w:tcBorders>
          </w:tcPr>
          <w:p>
            <w:pPr>
              <w:pStyle w:val="2"/>
              <w:overflowPunct w:val="0"/>
              <w:spacing w:line="268" w:lineRule="exact"/>
              <w:ind w:left="600"/>
            </w:pPr>
          </w:p>
        </w:tc>
        <w:tc>
          <w:tcPr>
            <w:tcW w:w="1050" w:type="dxa"/>
            <w:tcBorders>
              <w:top w:val="nil"/>
              <w:left w:val="nil"/>
              <w:bottom w:val="nil"/>
              <w:right w:val="nil"/>
            </w:tcBorders>
          </w:tcPr>
          <w:p>
            <w:pPr>
              <w:pStyle w:val="2"/>
              <w:overflowPunct w:val="0"/>
              <w:spacing w:line="268" w:lineRule="exact"/>
              <w:ind w:left="600"/>
            </w:pPr>
          </w:p>
        </w:tc>
        <w:tc>
          <w:tcPr>
            <w:tcW w:w="893" w:type="dxa"/>
            <w:tcBorders>
              <w:top w:val="nil"/>
              <w:left w:val="nil"/>
              <w:bottom w:val="nil"/>
              <w:right w:val="nil"/>
            </w:tcBorders>
          </w:tcPr>
          <w:p>
            <w:pPr>
              <w:pStyle w:val="2"/>
              <w:overflowPunct w:val="0"/>
              <w:spacing w:line="268" w:lineRule="exact"/>
              <w:ind w:left="600"/>
            </w:pPr>
          </w:p>
        </w:tc>
        <w:tc>
          <w:tcPr>
            <w:tcW w:w="891" w:type="dxa"/>
            <w:tcBorders>
              <w:top w:val="nil"/>
              <w:left w:val="nil"/>
              <w:bottom w:val="nil"/>
              <w:right w:val="nil"/>
            </w:tcBorders>
          </w:tcPr>
          <w:p>
            <w:pPr>
              <w:pStyle w:val="2"/>
              <w:overflowPunct w:val="0"/>
              <w:spacing w:line="268" w:lineRule="exact"/>
              <w:ind w:left="600"/>
            </w:pPr>
          </w:p>
        </w:tc>
        <w:tc>
          <w:tcPr>
            <w:tcW w:w="839" w:type="dxa"/>
            <w:tcBorders>
              <w:top w:val="nil"/>
              <w:left w:val="nil"/>
              <w:bottom w:val="nil"/>
              <w:right w:val="nil"/>
            </w:tcBorders>
          </w:tcPr>
          <w:p>
            <w:pPr>
              <w:pStyle w:val="2"/>
              <w:overflowPunct w:val="0"/>
              <w:spacing w:line="268" w:lineRule="exact"/>
              <w:ind w:left="600"/>
            </w:pPr>
          </w:p>
        </w:tc>
      </w:tr>
      <w:tr>
        <w:tblPrEx>
          <w:tblCellMar>
            <w:top w:w="0" w:type="dxa"/>
            <w:left w:w="0" w:type="dxa"/>
            <w:bottom w:w="0" w:type="dxa"/>
            <w:right w:w="0" w:type="dxa"/>
          </w:tblCellMar>
        </w:tblPrEx>
        <w:trPr>
          <w:trHeight w:val="311" w:hRule="atLeast"/>
        </w:trPr>
        <w:tc>
          <w:tcPr>
            <w:tcW w:w="2940" w:type="dxa"/>
            <w:tcBorders>
              <w:top w:val="nil"/>
              <w:left w:val="nil"/>
              <w:bottom w:val="nil"/>
              <w:right w:val="nil"/>
            </w:tcBorders>
          </w:tcPr>
          <w:p>
            <w:pPr>
              <w:pStyle w:val="2"/>
              <w:overflowPunct w:val="0"/>
              <w:spacing w:line="268" w:lineRule="exact"/>
            </w:pPr>
            <w:r>
              <w:rPr>
                <w:rFonts w:hint="eastAsia"/>
              </w:rPr>
              <w:t>本标准主要审查人员：</w:t>
            </w:r>
          </w:p>
        </w:tc>
        <w:tc>
          <w:tcPr>
            <w:tcW w:w="946" w:type="dxa"/>
            <w:tcBorders>
              <w:top w:val="nil"/>
              <w:left w:val="nil"/>
              <w:bottom w:val="nil"/>
              <w:right w:val="nil"/>
            </w:tcBorders>
          </w:tcPr>
          <w:p>
            <w:pPr>
              <w:pStyle w:val="2"/>
              <w:overflowPunct w:val="0"/>
              <w:spacing w:line="268" w:lineRule="exact"/>
              <w:ind w:left="600"/>
            </w:pPr>
          </w:p>
        </w:tc>
        <w:tc>
          <w:tcPr>
            <w:tcW w:w="1050" w:type="dxa"/>
            <w:tcBorders>
              <w:top w:val="nil"/>
              <w:left w:val="nil"/>
              <w:bottom w:val="nil"/>
              <w:right w:val="nil"/>
            </w:tcBorders>
          </w:tcPr>
          <w:p>
            <w:pPr>
              <w:pStyle w:val="2"/>
              <w:overflowPunct w:val="0"/>
              <w:spacing w:line="268" w:lineRule="exact"/>
              <w:ind w:left="600"/>
            </w:pPr>
          </w:p>
        </w:tc>
        <w:tc>
          <w:tcPr>
            <w:tcW w:w="893" w:type="dxa"/>
            <w:tcBorders>
              <w:top w:val="nil"/>
              <w:left w:val="nil"/>
              <w:bottom w:val="nil"/>
              <w:right w:val="nil"/>
            </w:tcBorders>
          </w:tcPr>
          <w:p>
            <w:pPr>
              <w:pStyle w:val="2"/>
              <w:overflowPunct w:val="0"/>
              <w:spacing w:line="268" w:lineRule="exact"/>
              <w:ind w:left="600"/>
            </w:pPr>
          </w:p>
        </w:tc>
        <w:tc>
          <w:tcPr>
            <w:tcW w:w="891" w:type="dxa"/>
            <w:tcBorders>
              <w:top w:val="nil"/>
              <w:left w:val="nil"/>
              <w:bottom w:val="nil"/>
              <w:right w:val="nil"/>
            </w:tcBorders>
          </w:tcPr>
          <w:p>
            <w:pPr>
              <w:pStyle w:val="2"/>
              <w:overflowPunct w:val="0"/>
              <w:spacing w:line="268" w:lineRule="exact"/>
              <w:ind w:left="600"/>
            </w:pPr>
          </w:p>
        </w:tc>
        <w:tc>
          <w:tcPr>
            <w:tcW w:w="839" w:type="dxa"/>
            <w:tcBorders>
              <w:top w:val="nil"/>
              <w:left w:val="nil"/>
              <w:bottom w:val="nil"/>
              <w:right w:val="nil"/>
            </w:tcBorders>
          </w:tcPr>
          <w:p>
            <w:pPr>
              <w:pStyle w:val="2"/>
              <w:overflowPunct w:val="0"/>
              <w:spacing w:line="268" w:lineRule="exact"/>
              <w:ind w:left="600"/>
            </w:pPr>
          </w:p>
        </w:tc>
      </w:tr>
      <w:tr>
        <w:tblPrEx>
          <w:tblCellMar>
            <w:top w:w="0" w:type="dxa"/>
            <w:left w:w="0" w:type="dxa"/>
            <w:bottom w:w="0" w:type="dxa"/>
            <w:right w:w="0" w:type="dxa"/>
          </w:tblCellMar>
        </w:tblPrEx>
        <w:trPr>
          <w:trHeight w:val="311" w:hRule="atLeast"/>
        </w:trPr>
        <w:tc>
          <w:tcPr>
            <w:tcW w:w="2940" w:type="dxa"/>
            <w:tcBorders>
              <w:top w:val="nil"/>
              <w:left w:val="nil"/>
              <w:bottom w:val="nil"/>
              <w:right w:val="nil"/>
            </w:tcBorders>
          </w:tcPr>
          <w:p>
            <w:pPr>
              <w:pStyle w:val="2"/>
              <w:overflowPunct w:val="0"/>
              <w:spacing w:line="268" w:lineRule="exact"/>
              <w:ind w:left="600"/>
            </w:pPr>
          </w:p>
        </w:tc>
        <w:tc>
          <w:tcPr>
            <w:tcW w:w="946" w:type="dxa"/>
            <w:tcBorders>
              <w:top w:val="nil"/>
              <w:left w:val="nil"/>
              <w:bottom w:val="nil"/>
              <w:right w:val="nil"/>
            </w:tcBorders>
          </w:tcPr>
          <w:p>
            <w:pPr>
              <w:pStyle w:val="2"/>
              <w:overflowPunct w:val="0"/>
              <w:spacing w:line="268" w:lineRule="exact"/>
              <w:ind w:left="600"/>
            </w:pPr>
          </w:p>
        </w:tc>
        <w:tc>
          <w:tcPr>
            <w:tcW w:w="1050" w:type="dxa"/>
            <w:tcBorders>
              <w:top w:val="nil"/>
              <w:left w:val="nil"/>
              <w:bottom w:val="nil"/>
              <w:right w:val="nil"/>
            </w:tcBorders>
          </w:tcPr>
          <w:p>
            <w:pPr>
              <w:pStyle w:val="2"/>
              <w:overflowPunct w:val="0"/>
              <w:spacing w:line="268" w:lineRule="exact"/>
              <w:ind w:left="600"/>
            </w:pPr>
          </w:p>
        </w:tc>
        <w:tc>
          <w:tcPr>
            <w:tcW w:w="893" w:type="dxa"/>
            <w:tcBorders>
              <w:top w:val="nil"/>
              <w:left w:val="nil"/>
              <w:bottom w:val="nil"/>
              <w:right w:val="nil"/>
            </w:tcBorders>
          </w:tcPr>
          <w:p>
            <w:pPr>
              <w:pStyle w:val="2"/>
              <w:overflowPunct w:val="0"/>
              <w:spacing w:line="268" w:lineRule="exact"/>
              <w:ind w:left="600"/>
            </w:pPr>
          </w:p>
        </w:tc>
        <w:tc>
          <w:tcPr>
            <w:tcW w:w="891" w:type="dxa"/>
            <w:tcBorders>
              <w:top w:val="nil"/>
              <w:left w:val="nil"/>
              <w:bottom w:val="nil"/>
              <w:right w:val="nil"/>
            </w:tcBorders>
          </w:tcPr>
          <w:p>
            <w:pPr>
              <w:pStyle w:val="2"/>
              <w:overflowPunct w:val="0"/>
              <w:spacing w:line="268" w:lineRule="exact"/>
              <w:ind w:left="600"/>
            </w:pPr>
          </w:p>
        </w:tc>
        <w:tc>
          <w:tcPr>
            <w:tcW w:w="839" w:type="dxa"/>
            <w:tcBorders>
              <w:top w:val="nil"/>
              <w:left w:val="nil"/>
              <w:bottom w:val="nil"/>
              <w:right w:val="nil"/>
            </w:tcBorders>
          </w:tcPr>
          <w:p>
            <w:pPr>
              <w:pStyle w:val="2"/>
              <w:overflowPunct w:val="0"/>
              <w:spacing w:line="268" w:lineRule="exact"/>
              <w:ind w:left="600"/>
            </w:pPr>
          </w:p>
        </w:tc>
      </w:tr>
      <w:tr>
        <w:tblPrEx>
          <w:tblCellMar>
            <w:top w:w="0" w:type="dxa"/>
            <w:left w:w="0" w:type="dxa"/>
            <w:bottom w:w="0" w:type="dxa"/>
            <w:right w:w="0" w:type="dxa"/>
          </w:tblCellMar>
        </w:tblPrEx>
        <w:trPr>
          <w:trHeight w:val="312" w:hRule="atLeast"/>
        </w:trPr>
        <w:tc>
          <w:tcPr>
            <w:tcW w:w="2940" w:type="dxa"/>
            <w:tcBorders>
              <w:top w:val="nil"/>
              <w:left w:val="nil"/>
              <w:bottom w:val="nil"/>
              <w:right w:val="nil"/>
            </w:tcBorders>
          </w:tcPr>
          <w:p>
            <w:pPr>
              <w:pStyle w:val="2"/>
              <w:overflowPunct w:val="0"/>
              <w:spacing w:line="268" w:lineRule="exact"/>
              <w:ind w:left="600"/>
            </w:pPr>
          </w:p>
        </w:tc>
        <w:tc>
          <w:tcPr>
            <w:tcW w:w="946" w:type="dxa"/>
            <w:tcBorders>
              <w:top w:val="nil"/>
              <w:left w:val="nil"/>
              <w:bottom w:val="nil"/>
              <w:right w:val="nil"/>
            </w:tcBorders>
          </w:tcPr>
          <w:p>
            <w:pPr>
              <w:pStyle w:val="2"/>
              <w:overflowPunct w:val="0"/>
              <w:spacing w:line="268" w:lineRule="exact"/>
              <w:ind w:left="600"/>
            </w:pPr>
          </w:p>
        </w:tc>
        <w:tc>
          <w:tcPr>
            <w:tcW w:w="1050" w:type="dxa"/>
            <w:tcBorders>
              <w:top w:val="nil"/>
              <w:left w:val="nil"/>
              <w:bottom w:val="nil"/>
              <w:right w:val="nil"/>
            </w:tcBorders>
          </w:tcPr>
          <w:p>
            <w:pPr>
              <w:pStyle w:val="2"/>
              <w:overflowPunct w:val="0"/>
              <w:spacing w:line="268" w:lineRule="exact"/>
              <w:ind w:left="600"/>
            </w:pPr>
          </w:p>
        </w:tc>
        <w:tc>
          <w:tcPr>
            <w:tcW w:w="893" w:type="dxa"/>
            <w:tcBorders>
              <w:top w:val="nil"/>
              <w:left w:val="nil"/>
              <w:bottom w:val="nil"/>
              <w:right w:val="nil"/>
            </w:tcBorders>
          </w:tcPr>
          <w:p>
            <w:pPr>
              <w:pStyle w:val="2"/>
              <w:overflowPunct w:val="0"/>
              <w:spacing w:line="268" w:lineRule="exact"/>
              <w:ind w:left="600"/>
            </w:pPr>
          </w:p>
        </w:tc>
        <w:tc>
          <w:tcPr>
            <w:tcW w:w="891" w:type="dxa"/>
            <w:tcBorders>
              <w:top w:val="nil"/>
              <w:left w:val="nil"/>
              <w:bottom w:val="nil"/>
              <w:right w:val="nil"/>
            </w:tcBorders>
          </w:tcPr>
          <w:p>
            <w:pPr>
              <w:pStyle w:val="2"/>
              <w:overflowPunct w:val="0"/>
              <w:spacing w:line="268" w:lineRule="exact"/>
              <w:ind w:left="600"/>
            </w:pPr>
          </w:p>
        </w:tc>
        <w:tc>
          <w:tcPr>
            <w:tcW w:w="839" w:type="dxa"/>
            <w:tcBorders>
              <w:top w:val="nil"/>
              <w:left w:val="nil"/>
              <w:bottom w:val="nil"/>
              <w:right w:val="nil"/>
            </w:tcBorders>
          </w:tcPr>
          <w:p>
            <w:pPr>
              <w:pStyle w:val="2"/>
              <w:overflowPunct w:val="0"/>
              <w:spacing w:line="268" w:lineRule="exact"/>
              <w:ind w:left="600"/>
            </w:pPr>
          </w:p>
        </w:tc>
      </w:tr>
      <w:tr>
        <w:tblPrEx>
          <w:tblCellMar>
            <w:top w:w="0" w:type="dxa"/>
            <w:left w:w="0" w:type="dxa"/>
            <w:bottom w:w="0" w:type="dxa"/>
            <w:right w:w="0" w:type="dxa"/>
          </w:tblCellMar>
        </w:tblPrEx>
        <w:trPr>
          <w:trHeight w:val="261" w:hRule="atLeast"/>
        </w:trPr>
        <w:tc>
          <w:tcPr>
            <w:tcW w:w="2940" w:type="dxa"/>
            <w:tcBorders>
              <w:top w:val="nil"/>
              <w:left w:val="nil"/>
              <w:bottom w:val="nil"/>
              <w:right w:val="nil"/>
            </w:tcBorders>
          </w:tcPr>
          <w:p>
            <w:pPr>
              <w:pStyle w:val="2"/>
              <w:overflowPunct w:val="0"/>
              <w:spacing w:line="268" w:lineRule="exact"/>
              <w:ind w:left="600"/>
            </w:pPr>
          </w:p>
        </w:tc>
        <w:tc>
          <w:tcPr>
            <w:tcW w:w="946" w:type="dxa"/>
            <w:tcBorders>
              <w:top w:val="nil"/>
              <w:left w:val="nil"/>
              <w:bottom w:val="nil"/>
              <w:right w:val="nil"/>
            </w:tcBorders>
          </w:tcPr>
          <w:p>
            <w:pPr>
              <w:pStyle w:val="2"/>
              <w:overflowPunct w:val="0"/>
              <w:spacing w:line="268" w:lineRule="exact"/>
              <w:ind w:left="600"/>
            </w:pPr>
          </w:p>
        </w:tc>
        <w:tc>
          <w:tcPr>
            <w:tcW w:w="1050" w:type="dxa"/>
            <w:tcBorders>
              <w:top w:val="nil"/>
              <w:left w:val="nil"/>
              <w:bottom w:val="nil"/>
              <w:right w:val="nil"/>
            </w:tcBorders>
          </w:tcPr>
          <w:p>
            <w:pPr>
              <w:pStyle w:val="2"/>
              <w:overflowPunct w:val="0"/>
              <w:spacing w:line="268" w:lineRule="exact"/>
              <w:ind w:left="600"/>
            </w:pPr>
          </w:p>
        </w:tc>
        <w:tc>
          <w:tcPr>
            <w:tcW w:w="893" w:type="dxa"/>
            <w:tcBorders>
              <w:top w:val="nil"/>
              <w:left w:val="nil"/>
              <w:bottom w:val="nil"/>
              <w:right w:val="nil"/>
            </w:tcBorders>
          </w:tcPr>
          <w:p>
            <w:pPr>
              <w:pStyle w:val="2"/>
              <w:overflowPunct w:val="0"/>
              <w:spacing w:line="268" w:lineRule="exact"/>
              <w:ind w:left="600"/>
            </w:pPr>
          </w:p>
        </w:tc>
        <w:tc>
          <w:tcPr>
            <w:tcW w:w="891" w:type="dxa"/>
            <w:tcBorders>
              <w:top w:val="nil"/>
              <w:left w:val="nil"/>
              <w:bottom w:val="nil"/>
              <w:right w:val="nil"/>
            </w:tcBorders>
          </w:tcPr>
          <w:p>
            <w:pPr>
              <w:pStyle w:val="2"/>
              <w:overflowPunct w:val="0"/>
              <w:spacing w:line="268" w:lineRule="exact"/>
              <w:ind w:left="600"/>
            </w:pPr>
          </w:p>
        </w:tc>
        <w:tc>
          <w:tcPr>
            <w:tcW w:w="839" w:type="dxa"/>
            <w:tcBorders>
              <w:top w:val="nil"/>
              <w:left w:val="nil"/>
              <w:bottom w:val="nil"/>
              <w:right w:val="nil"/>
            </w:tcBorders>
          </w:tcPr>
          <w:p>
            <w:pPr>
              <w:pStyle w:val="2"/>
              <w:overflowPunct w:val="0"/>
              <w:spacing w:line="268" w:lineRule="exact"/>
              <w:ind w:left="600"/>
            </w:pPr>
          </w:p>
        </w:tc>
      </w:tr>
    </w:tbl>
    <w:p>
      <w:pPr>
        <w:pStyle w:val="2"/>
        <w:overflowPunct w:val="0"/>
        <w:rPr>
          <w:sz w:val="20"/>
          <w:szCs w:val="20"/>
        </w:rPr>
      </w:pPr>
    </w:p>
    <w:p>
      <w:pPr>
        <w:pStyle w:val="2"/>
        <w:overflowPunct w:val="0"/>
        <w:rPr>
          <w:sz w:val="20"/>
          <w:szCs w:val="20"/>
        </w:rPr>
      </w:pPr>
    </w:p>
    <w:p>
      <w:pPr>
        <w:pStyle w:val="2"/>
        <w:overflowPunct w:val="0"/>
        <w:spacing w:line="278" w:lineRule="auto"/>
        <w:ind w:left="120" w:right="106" w:firstLine="419"/>
        <w:rPr>
          <w:spacing w:val="-5"/>
        </w:rPr>
      </w:pPr>
      <w:r>
        <w:rPr>
          <w:spacing w:val="-5"/>
        </w:rPr>
        <w:t>本标准为首次发布</w:t>
      </w:r>
      <w:r>
        <w:rPr>
          <w:rFonts w:hint="eastAsia"/>
          <w:spacing w:val="-5"/>
        </w:rPr>
        <w:t>。</w:t>
      </w:r>
    </w:p>
    <w:p>
      <w:pPr>
        <w:pStyle w:val="2"/>
        <w:overflowPunct w:val="0"/>
        <w:spacing w:line="278" w:lineRule="auto"/>
        <w:ind w:left="120" w:right="106" w:firstLine="419"/>
        <w:rPr>
          <w:spacing w:val="-5"/>
        </w:rPr>
      </w:pPr>
      <w:r>
        <w:rPr>
          <w:rFonts w:hint="eastAsia"/>
          <w:spacing w:val="-5"/>
        </w:rPr>
        <w:t>本标准在执行过程中的意见或建议反馈至中国电力企业联合会标准化中心（地址：北京市西城区白广路二条1号，100761）。</w:t>
      </w:r>
    </w:p>
    <w:p>
      <w:pPr>
        <w:pStyle w:val="2"/>
        <w:overflowPunct w:val="0"/>
        <w:spacing w:line="278" w:lineRule="auto"/>
        <w:ind w:left="120" w:right="106" w:firstLine="419"/>
      </w:pPr>
    </w:p>
    <w:p>
      <w:pPr>
        <w:pStyle w:val="2"/>
        <w:overflowPunct w:val="0"/>
        <w:spacing w:before="4"/>
        <w:rPr>
          <w:rFonts w:ascii="Times New Roman" w:cs="Times New Roman" w:eastAsiaTheme="minorEastAsia"/>
          <w:sz w:val="17"/>
          <w:szCs w:val="17"/>
        </w:rPr>
        <w:sectPr>
          <w:footerReference r:id="rId7" w:type="default"/>
          <w:pgSz w:w="11910" w:h="16850"/>
          <w:pgMar w:top="1580" w:right="1680" w:bottom="280" w:left="1680" w:header="720" w:footer="720" w:gutter="0"/>
          <w:cols w:equalWidth="0" w:num="1">
            <w:col w:w="8550"/>
          </w:cols>
          <w:docGrid w:linePitch="299" w:charSpace="0"/>
        </w:sectPr>
      </w:pPr>
    </w:p>
    <w:sdt>
      <w:sdtPr>
        <w:rPr>
          <w:rFonts w:ascii="宋体" w:hAnsi="Times New Roman" w:eastAsia="宋体" w:cs="宋体"/>
          <w:b w:val="0"/>
          <w:bCs w:val="0"/>
          <w:color w:val="auto"/>
          <w:sz w:val="22"/>
          <w:szCs w:val="22"/>
          <w:lang w:val="zh-CN"/>
        </w:rPr>
        <w:id w:val="817926232"/>
        <w:docPartObj>
          <w:docPartGallery w:val="Table of Contents"/>
          <w:docPartUnique/>
        </w:docPartObj>
      </w:sdtPr>
      <w:sdtEndPr>
        <w:rPr>
          <w:rFonts w:ascii="宋体" w:hAnsi="Times New Roman" w:eastAsia="宋体" w:cs="宋体"/>
          <w:b w:val="0"/>
          <w:bCs w:val="0"/>
          <w:color w:val="auto"/>
          <w:sz w:val="22"/>
          <w:szCs w:val="22"/>
          <w:lang w:val="zh-CN"/>
        </w:rPr>
      </w:sdtEndPr>
      <w:sdtContent>
        <w:p>
          <w:pPr>
            <w:pStyle w:val="46"/>
            <w:jc w:val="center"/>
          </w:pPr>
          <w:r>
            <w:t>目</w:t>
          </w:r>
          <w:r>
            <w:rPr>
              <w:rFonts w:hint="eastAsia"/>
            </w:rPr>
            <w:t xml:space="preserve">  </w:t>
          </w:r>
          <w:r>
            <w:t>次</w:t>
          </w:r>
        </w:p>
        <w:p>
          <w:pPr>
            <w:rPr>
              <w:lang w:val="zh-CN"/>
            </w:rPr>
          </w:pPr>
        </w:p>
        <w:p>
          <w:pPr>
            <w:pStyle w:val="18"/>
            <w:tabs>
              <w:tab w:val="right" w:leader="dot" w:pos="8640"/>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"_Toc141106874" </w:instrText>
          </w:r>
          <w:r>
            <w:fldChar w:fldCharType="separate"/>
          </w:r>
          <w:r>
            <w:rPr>
              <w:rStyle w:val="24"/>
              <w:rFonts w:hint="eastAsia"/>
              <w:spacing w:val="52"/>
            </w:rPr>
            <w:t>前言</w:t>
          </w:r>
          <w:r>
            <w:tab/>
          </w:r>
          <w:r>
            <w:fldChar w:fldCharType="begin"/>
          </w:r>
          <w:r>
            <w:instrText xml:space="preserve"> PAGEREF _Toc141106874 \h </w:instrText>
          </w:r>
          <w:r>
            <w:fldChar w:fldCharType="separate"/>
          </w:r>
          <w:r>
            <w:t>3</w:t>
          </w:r>
          <w:r>
            <w:fldChar w:fldCharType="end"/>
          </w:r>
          <w:r>
            <w:fldChar w:fldCharType="end"/>
          </w:r>
        </w:p>
        <w:p>
          <w:pPr>
            <w:pStyle w:val="18"/>
            <w:tabs>
              <w:tab w:val="right" w:leader="dot" w:pos="8640"/>
            </w:tabs>
            <w:rPr>
              <w:rFonts w:asciiTheme="minorHAnsi" w:hAnsiTheme="minorHAnsi" w:eastAsiaTheme="minorEastAsia" w:cstheme="minorBidi"/>
              <w:kern w:val="2"/>
              <w:sz w:val="21"/>
            </w:rPr>
          </w:pPr>
          <w:r>
            <w:fldChar w:fldCharType="begin"/>
          </w:r>
          <w:r>
            <w:instrText xml:space="preserve"> HYPERLINK \l "_Toc141106875" </w:instrText>
          </w:r>
          <w:r>
            <w:fldChar w:fldCharType="separate"/>
          </w:r>
          <w:r>
            <w:rPr>
              <w:rStyle w:val="24"/>
            </w:rPr>
            <w:t xml:space="preserve">1 </w:t>
          </w:r>
          <w:r>
            <w:rPr>
              <w:rStyle w:val="24"/>
              <w:rFonts w:hint="eastAsia"/>
            </w:rPr>
            <w:t>范围</w:t>
          </w:r>
          <w:r>
            <w:tab/>
          </w:r>
          <w:r>
            <w:fldChar w:fldCharType="begin"/>
          </w:r>
          <w:r>
            <w:instrText xml:space="preserve"> PAGEREF _Toc141106875 \h </w:instrText>
          </w:r>
          <w:r>
            <w:fldChar w:fldCharType="separate"/>
          </w:r>
          <w:r>
            <w:t>5</w:t>
          </w:r>
          <w:r>
            <w:fldChar w:fldCharType="end"/>
          </w:r>
          <w:r>
            <w:fldChar w:fldCharType="end"/>
          </w:r>
        </w:p>
        <w:p>
          <w:pPr>
            <w:pStyle w:val="18"/>
            <w:tabs>
              <w:tab w:val="right" w:leader="dot" w:pos="8640"/>
            </w:tabs>
            <w:rPr>
              <w:rFonts w:asciiTheme="minorHAnsi" w:hAnsiTheme="minorHAnsi" w:eastAsiaTheme="minorEastAsia" w:cstheme="minorBidi"/>
              <w:kern w:val="2"/>
              <w:sz w:val="21"/>
            </w:rPr>
          </w:pPr>
          <w:r>
            <w:fldChar w:fldCharType="begin"/>
          </w:r>
          <w:r>
            <w:instrText xml:space="preserve"> HYPERLINK \l "_Toc141106876" </w:instrText>
          </w:r>
          <w:r>
            <w:fldChar w:fldCharType="separate"/>
          </w:r>
          <w:r>
            <w:rPr>
              <w:rStyle w:val="24"/>
            </w:rPr>
            <w:t xml:space="preserve">2 </w:t>
          </w:r>
          <w:r>
            <w:rPr>
              <w:rStyle w:val="24"/>
              <w:rFonts w:hint="eastAsia"/>
            </w:rPr>
            <w:t>规范性引用文件</w:t>
          </w:r>
          <w:r>
            <w:tab/>
          </w:r>
          <w:r>
            <w:fldChar w:fldCharType="begin"/>
          </w:r>
          <w:r>
            <w:instrText xml:space="preserve"> PAGEREF _Toc141106876 \h </w:instrText>
          </w:r>
          <w:r>
            <w:fldChar w:fldCharType="separate"/>
          </w:r>
          <w:r>
            <w:t>5</w:t>
          </w:r>
          <w:r>
            <w:fldChar w:fldCharType="end"/>
          </w:r>
          <w:r>
            <w:fldChar w:fldCharType="end"/>
          </w:r>
        </w:p>
        <w:p>
          <w:pPr>
            <w:pStyle w:val="18"/>
            <w:tabs>
              <w:tab w:val="right" w:leader="dot" w:pos="8640"/>
            </w:tabs>
            <w:rPr>
              <w:rFonts w:asciiTheme="minorHAnsi" w:hAnsiTheme="minorHAnsi" w:eastAsiaTheme="minorEastAsia" w:cstheme="minorBidi"/>
              <w:kern w:val="2"/>
              <w:sz w:val="21"/>
            </w:rPr>
          </w:pPr>
          <w:r>
            <w:fldChar w:fldCharType="begin"/>
          </w:r>
          <w:r>
            <w:instrText xml:space="preserve"> HYPERLINK \l "_Toc141106877" </w:instrText>
          </w:r>
          <w:r>
            <w:fldChar w:fldCharType="separate"/>
          </w:r>
          <w:r>
            <w:rPr>
              <w:rStyle w:val="24"/>
            </w:rPr>
            <w:t xml:space="preserve">3 </w:t>
          </w:r>
          <w:r>
            <w:rPr>
              <w:rStyle w:val="24"/>
              <w:rFonts w:hint="eastAsia"/>
            </w:rPr>
            <w:t>术语和定义</w:t>
          </w:r>
          <w:r>
            <w:tab/>
          </w:r>
          <w:r>
            <w:fldChar w:fldCharType="begin"/>
          </w:r>
          <w:r>
            <w:instrText xml:space="preserve"> PAGEREF _Toc141106877 \h </w:instrText>
          </w:r>
          <w:r>
            <w:fldChar w:fldCharType="separate"/>
          </w:r>
          <w:r>
            <w:t>5</w:t>
          </w:r>
          <w:r>
            <w:fldChar w:fldCharType="end"/>
          </w:r>
          <w:r>
            <w:fldChar w:fldCharType="end"/>
          </w:r>
        </w:p>
        <w:p>
          <w:pPr>
            <w:pStyle w:val="18"/>
            <w:tabs>
              <w:tab w:val="right" w:leader="dot" w:pos="8640"/>
            </w:tabs>
            <w:rPr>
              <w:rFonts w:asciiTheme="minorHAnsi" w:hAnsiTheme="minorHAnsi" w:eastAsiaTheme="minorEastAsia" w:cstheme="minorBidi"/>
              <w:kern w:val="2"/>
              <w:sz w:val="21"/>
            </w:rPr>
          </w:pPr>
          <w:r>
            <w:fldChar w:fldCharType="begin"/>
          </w:r>
          <w:r>
            <w:instrText xml:space="preserve"> HYPERLINK \l "_Toc141106878" </w:instrText>
          </w:r>
          <w:r>
            <w:fldChar w:fldCharType="separate"/>
          </w:r>
          <w:r>
            <w:rPr>
              <w:rStyle w:val="24"/>
            </w:rPr>
            <w:t xml:space="preserve">4 </w:t>
          </w:r>
          <w:r>
            <w:rPr>
              <w:rStyle w:val="24"/>
              <w:rFonts w:hint="eastAsia"/>
            </w:rPr>
            <w:t>总体要求</w:t>
          </w:r>
          <w:r>
            <w:tab/>
          </w:r>
          <w:r>
            <w:fldChar w:fldCharType="begin"/>
          </w:r>
          <w:r>
            <w:instrText xml:space="preserve"> PAGEREF _Toc141106878 \h </w:instrText>
          </w:r>
          <w:r>
            <w:fldChar w:fldCharType="separate"/>
          </w:r>
          <w:r>
            <w:t>5</w:t>
          </w:r>
          <w:r>
            <w:fldChar w:fldCharType="end"/>
          </w:r>
          <w:r>
            <w:fldChar w:fldCharType="end"/>
          </w:r>
        </w:p>
        <w:p>
          <w:pPr>
            <w:pStyle w:val="18"/>
            <w:tabs>
              <w:tab w:val="right" w:leader="dot" w:pos="8640"/>
            </w:tabs>
            <w:rPr>
              <w:rFonts w:asciiTheme="minorHAnsi" w:hAnsiTheme="minorHAnsi" w:eastAsiaTheme="minorEastAsia" w:cstheme="minorBidi"/>
              <w:kern w:val="2"/>
              <w:sz w:val="21"/>
            </w:rPr>
          </w:pPr>
          <w:r>
            <w:fldChar w:fldCharType="begin"/>
          </w:r>
          <w:r>
            <w:instrText xml:space="preserve"> HYPERLINK \l "_Toc141106879" </w:instrText>
          </w:r>
          <w:r>
            <w:fldChar w:fldCharType="separate"/>
          </w:r>
          <w:r>
            <w:rPr>
              <w:rStyle w:val="24"/>
            </w:rPr>
            <w:t xml:space="preserve">5 </w:t>
          </w:r>
          <w:r>
            <w:rPr>
              <w:rStyle w:val="24"/>
              <w:rFonts w:hint="eastAsia"/>
            </w:rPr>
            <w:t>设计管理</w:t>
          </w:r>
          <w:r>
            <w:tab/>
          </w:r>
          <w:r>
            <w:fldChar w:fldCharType="begin"/>
          </w:r>
          <w:r>
            <w:instrText xml:space="preserve"> PAGEREF _Toc141106879 \h </w:instrText>
          </w:r>
          <w:r>
            <w:fldChar w:fldCharType="separate"/>
          </w:r>
          <w:r>
            <w:t>6</w:t>
          </w:r>
          <w:r>
            <w:fldChar w:fldCharType="end"/>
          </w:r>
          <w:r>
            <w:fldChar w:fldCharType="end"/>
          </w:r>
        </w:p>
        <w:p>
          <w:pPr>
            <w:pStyle w:val="18"/>
            <w:tabs>
              <w:tab w:val="right" w:leader="dot" w:pos="8640"/>
            </w:tabs>
            <w:rPr>
              <w:rFonts w:asciiTheme="minorHAnsi" w:hAnsiTheme="minorHAnsi" w:eastAsiaTheme="minorEastAsia" w:cstheme="minorBidi"/>
              <w:kern w:val="2"/>
              <w:sz w:val="21"/>
            </w:rPr>
          </w:pPr>
          <w:r>
            <w:fldChar w:fldCharType="begin"/>
          </w:r>
          <w:r>
            <w:instrText xml:space="preserve"> HYPERLINK \l "_Toc141106880" </w:instrText>
          </w:r>
          <w:r>
            <w:fldChar w:fldCharType="separate"/>
          </w:r>
          <w:r>
            <w:rPr>
              <w:rStyle w:val="24"/>
            </w:rPr>
            <w:t xml:space="preserve">6 </w:t>
          </w:r>
          <w:r>
            <w:rPr>
              <w:rStyle w:val="24"/>
              <w:rFonts w:hint="eastAsia"/>
            </w:rPr>
            <w:t>采购管理</w:t>
          </w:r>
          <w:r>
            <w:tab/>
          </w:r>
          <w:r>
            <w:fldChar w:fldCharType="begin"/>
          </w:r>
          <w:r>
            <w:instrText xml:space="preserve"> PAGEREF _Toc141106880 \h </w:instrText>
          </w:r>
          <w:r>
            <w:fldChar w:fldCharType="separate"/>
          </w:r>
          <w:r>
            <w:t>6</w:t>
          </w:r>
          <w:r>
            <w:fldChar w:fldCharType="end"/>
          </w:r>
          <w:r>
            <w:fldChar w:fldCharType="end"/>
          </w:r>
        </w:p>
        <w:p>
          <w:pPr>
            <w:pStyle w:val="18"/>
            <w:tabs>
              <w:tab w:val="right" w:leader="dot" w:pos="8640"/>
            </w:tabs>
            <w:rPr>
              <w:rFonts w:asciiTheme="minorHAnsi" w:hAnsiTheme="minorHAnsi" w:eastAsiaTheme="minorEastAsia" w:cstheme="minorBidi"/>
              <w:kern w:val="2"/>
              <w:sz w:val="21"/>
            </w:rPr>
          </w:pPr>
          <w:r>
            <w:fldChar w:fldCharType="begin"/>
          </w:r>
          <w:r>
            <w:instrText xml:space="preserve"> HYPERLINK \l "_Toc141106881" </w:instrText>
          </w:r>
          <w:r>
            <w:fldChar w:fldCharType="separate"/>
          </w:r>
          <w:r>
            <w:rPr>
              <w:rStyle w:val="24"/>
            </w:rPr>
            <w:t xml:space="preserve">7 </w:t>
          </w:r>
          <w:r>
            <w:rPr>
              <w:rStyle w:val="24"/>
              <w:rFonts w:hint="eastAsia"/>
            </w:rPr>
            <w:t>施工管理</w:t>
          </w:r>
          <w:r>
            <w:tab/>
          </w:r>
          <w:r>
            <w:fldChar w:fldCharType="begin"/>
          </w:r>
          <w:r>
            <w:instrText xml:space="preserve"> PAGEREF _Toc141106881 \h </w:instrText>
          </w:r>
          <w:r>
            <w:fldChar w:fldCharType="separate"/>
          </w:r>
          <w:r>
            <w:t>7</w:t>
          </w:r>
          <w:r>
            <w:fldChar w:fldCharType="end"/>
          </w:r>
          <w:r>
            <w:fldChar w:fldCharType="end"/>
          </w:r>
        </w:p>
        <w:p>
          <w:pPr>
            <w:pStyle w:val="18"/>
            <w:tabs>
              <w:tab w:val="right" w:leader="dot" w:pos="8640"/>
            </w:tabs>
            <w:rPr>
              <w:rFonts w:asciiTheme="minorHAnsi" w:hAnsiTheme="minorHAnsi" w:eastAsiaTheme="minorEastAsia" w:cstheme="minorBidi"/>
              <w:kern w:val="2"/>
              <w:sz w:val="21"/>
            </w:rPr>
          </w:pPr>
          <w:r>
            <w:fldChar w:fldCharType="begin"/>
          </w:r>
          <w:r>
            <w:instrText xml:space="preserve"> HYPERLINK \l "_Toc141106882" </w:instrText>
          </w:r>
          <w:r>
            <w:fldChar w:fldCharType="separate"/>
          </w:r>
          <w:r>
            <w:rPr>
              <w:rStyle w:val="24"/>
            </w:rPr>
            <w:t xml:space="preserve">8 </w:t>
          </w:r>
          <w:r>
            <w:rPr>
              <w:rStyle w:val="24"/>
              <w:rFonts w:hint="eastAsia"/>
            </w:rPr>
            <w:t>进度管理</w:t>
          </w:r>
          <w:r>
            <w:tab/>
          </w:r>
          <w:r>
            <w:fldChar w:fldCharType="begin"/>
          </w:r>
          <w:r>
            <w:instrText xml:space="preserve"> PAGEREF _Toc141106882 \h </w:instrText>
          </w:r>
          <w:r>
            <w:fldChar w:fldCharType="separate"/>
          </w:r>
          <w:r>
            <w:t>10</w:t>
          </w:r>
          <w:r>
            <w:fldChar w:fldCharType="end"/>
          </w:r>
          <w:r>
            <w:fldChar w:fldCharType="end"/>
          </w:r>
        </w:p>
        <w:p>
          <w:pPr>
            <w:pStyle w:val="18"/>
            <w:tabs>
              <w:tab w:val="right" w:leader="dot" w:pos="8640"/>
            </w:tabs>
            <w:rPr>
              <w:rFonts w:asciiTheme="minorHAnsi" w:hAnsiTheme="minorHAnsi" w:eastAsiaTheme="minorEastAsia" w:cstheme="minorBidi"/>
              <w:kern w:val="2"/>
              <w:sz w:val="21"/>
            </w:rPr>
          </w:pPr>
          <w:r>
            <w:fldChar w:fldCharType="begin"/>
          </w:r>
          <w:r>
            <w:instrText xml:space="preserve"> HYPERLINK \l "_Toc141106883" </w:instrText>
          </w:r>
          <w:r>
            <w:fldChar w:fldCharType="separate"/>
          </w:r>
          <w:r>
            <w:rPr>
              <w:rStyle w:val="24"/>
            </w:rPr>
            <w:t xml:space="preserve">9 </w:t>
          </w:r>
          <w:r>
            <w:rPr>
              <w:rStyle w:val="24"/>
              <w:rFonts w:hint="eastAsia"/>
            </w:rPr>
            <w:t>质量管理</w:t>
          </w:r>
          <w:r>
            <w:tab/>
          </w:r>
          <w:r>
            <w:fldChar w:fldCharType="begin"/>
          </w:r>
          <w:r>
            <w:instrText xml:space="preserve"> PAGEREF _Toc141106883 \h </w:instrText>
          </w:r>
          <w:r>
            <w:fldChar w:fldCharType="separate"/>
          </w:r>
          <w:r>
            <w:t>11</w:t>
          </w:r>
          <w:r>
            <w:fldChar w:fldCharType="end"/>
          </w:r>
          <w:r>
            <w:fldChar w:fldCharType="end"/>
          </w:r>
        </w:p>
        <w:p>
          <w:pPr>
            <w:pStyle w:val="18"/>
            <w:tabs>
              <w:tab w:val="right" w:leader="dot" w:pos="8640"/>
            </w:tabs>
            <w:rPr>
              <w:rFonts w:asciiTheme="minorHAnsi" w:hAnsiTheme="minorHAnsi" w:eastAsiaTheme="minorEastAsia" w:cstheme="minorBidi"/>
              <w:kern w:val="2"/>
              <w:sz w:val="21"/>
            </w:rPr>
          </w:pPr>
          <w:r>
            <w:fldChar w:fldCharType="begin"/>
          </w:r>
          <w:r>
            <w:instrText xml:space="preserve"> HYPERLINK \l "_Toc141106884" </w:instrText>
          </w:r>
          <w:r>
            <w:fldChar w:fldCharType="separate"/>
          </w:r>
          <w:r>
            <w:rPr>
              <w:rStyle w:val="24"/>
            </w:rPr>
            <w:t xml:space="preserve">10 </w:t>
          </w:r>
          <w:r>
            <w:rPr>
              <w:rStyle w:val="24"/>
              <w:rFonts w:hint="eastAsia"/>
            </w:rPr>
            <w:t>费用管理</w:t>
          </w:r>
          <w:r>
            <w:tab/>
          </w:r>
          <w:r>
            <w:fldChar w:fldCharType="begin"/>
          </w:r>
          <w:r>
            <w:instrText xml:space="preserve"> PAGEREF _Toc141106884 \h </w:instrText>
          </w:r>
          <w:r>
            <w:fldChar w:fldCharType="separate"/>
          </w:r>
          <w:r>
            <w:t>11</w:t>
          </w:r>
          <w:r>
            <w:fldChar w:fldCharType="end"/>
          </w:r>
          <w:r>
            <w:fldChar w:fldCharType="end"/>
          </w:r>
        </w:p>
        <w:p>
          <w:pPr>
            <w:pStyle w:val="18"/>
            <w:tabs>
              <w:tab w:val="right" w:leader="dot" w:pos="8640"/>
            </w:tabs>
            <w:rPr>
              <w:rFonts w:asciiTheme="minorHAnsi" w:hAnsiTheme="minorHAnsi" w:eastAsiaTheme="minorEastAsia" w:cstheme="minorBidi"/>
              <w:kern w:val="2"/>
              <w:sz w:val="21"/>
            </w:rPr>
          </w:pPr>
          <w:r>
            <w:fldChar w:fldCharType="begin"/>
          </w:r>
          <w:r>
            <w:instrText xml:space="preserve"> HYPERLINK \l "_Toc141106885" </w:instrText>
          </w:r>
          <w:r>
            <w:fldChar w:fldCharType="separate"/>
          </w:r>
          <w:r>
            <w:rPr>
              <w:rStyle w:val="24"/>
            </w:rPr>
            <w:t xml:space="preserve">11 </w:t>
          </w:r>
          <w:r>
            <w:rPr>
              <w:rStyle w:val="24"/>
              <w:rFonts w:hint="eastAsia"/>
            </w:rPr>
            <w:t>安全管理</w:t>
          </w:r>
          <w:r>
            <w:tab/>
          </w:r>
          <w:r>
            <w:fldChar w:fldCharType="begin"/>
          </w:r>
          <w:r>
            <w:instrText xml:space="preserve"> PAGEREF _Toc141106885 \h </w:instrText>
          </w:r>
          <w:r>
            <w:fldChar w:fldCharType="separate"/>
          </w:r>
          <w:r>
            <w:t>11</w:t>
          </w:r>
          <w:r>
            <w:fldChar w:fldCharType="end"/>
          </w:r>
          <w:r>
            <w:fldChar w:fldCharType="end"/>
          </w:r>
        </w:p>
        <w:p>
          <w:pPr>
            <w:pStyle w:val="18"/>
            <w:tabs>
              <w:tab w:val="right" w:leader="dot" w:pos="8640"/>
            </w:tabs>
            <w:rPr>
              <w:rFonts w:asciiTheme="minorHAnsi" w:hAnsiTheme="minorHAnsi" w:eastAsiaTheme="minorEastAsia" w:cstheme="minorBidi"/>
              <w:kern w:val="2"/>
              <w:sz w:val="21"/>
            </w:rPr>
          </w:pPr>
          <w:r>
            <w:fldChar w:fldCharType="begin"/>
          </w:r>
          <w:r>
            <w:instrText xml:space="preserve"> HYPERLINK \l "_Toc141106886" </w:instrText>
          </w:r>
          <w:r>
            <w:fldChar w:fldCharType="separate"/>
          </w:r>
          <w:r>
            <w:rPr>
              <w:rStyle w:val="24"/>
            </w:rPr>
            <w:t xml:space="preserve">12 </w:t>
          </w:r>
          <w:r>
            <w:rPr>
              <w:rStyle w:val="24"/>
              <w:rFonts w:hint="eastAsia"/>
            </w:rPr>
            <w:t>环境管理</w:t>
          </w:r>
          <w:r>
            <w:tab/>
          </w:r>
          <w:r>
            <w:fldChar w:fldCharType="begin"/>
          </w:r>
          <w:r>
            <w:instrText xml:space="preserve"> PAGEREF _Toc141106886 \h </w:instrText>
          </w:r>
          <w:r>
            <w:fldChar w:fldCharType="separate"/>
          </w:r>
          <w:r>
            <w:t>12</w:t>
          </w:r>
          <w:r>
            <w:fldChar w:fldCharType="end"/>
          </w:r>
          <w:r>
            <w:fldChar w:fldCharType="end"/>
          </w:r>
        </w:p>
        <w:p>
          <w:pPr>
            <w:pStyle w:val="18"/>
            <w:tabs>
              <w:tab w:val="right" w:leader="dot" w:pos="8640"/>
            </w:tabs>
            <w:rPr>
              <w:rFonts w:asciiTheme="minorHAnsi" w:hAnsiTheme="minorHAnsi" w:eastAsiaTheme="minorEastAsia" w:cstheme="minorBidi"/>
              <w:kern w:val="2"/>
              <w:sz w:val="21"/>
            </w:rPr>
          </w:pPr>
          <w:r>
            <w:fldChar w:fldCharType="begin"/>
          </w:r>
          <w:r>
            <w:instrText xml:space="preserve"> HYPERLINK \l "_Toc141106887" </w:instrText>
          </w:r>
          <w:r>
            <w:fldChar w:fldCharType="separate"/>
          </w:r>
          <w:r>
            <w:rPr>
              <w:rStyle w:val="24"/>
            </w:rPr>
            <w:t xml:space="preserve">13 </w:t>
          </w:r>
          <w:r>
            <w:rPr>
              <w:rStyle w:val="24"/>
              <w:rFonts w:hint="eastAsia"/>
            </w:rPr>
            <w:t>应急管理</w:t>
          </w:r>
          <w:r>
            <w:tab/>
          </w:r>
          <w:r>
            <w:fldChar w:fldCharType="begin"/>
          </w:r>
          <w:r>
            <w:instrText xml:space="preserve"> PAGEREF _Toc141106887 \h </w:instrText>
          </w:r>
          <w:r>
            <w:fldChar w:fldCharType="separate"/>
          </w:r>
          <w:r>
            <w:t>12</w:t>
          </w:r>
          <w:r>
            <w:fldChar w:fldCharType="end"/>
          </w:r>
          <w:r>
            <w:fldChar w:fldCharType="end"/>
          </w:r>
        </w:p>
        <w:p>
          <w:pPr>
            <w:pStyle w:val="18"/>
            <w:tabs>
              <w:tab w:val="right" w:leader="dot" w:pos="8640"/>
            </w:tabs>
            <w:rPr>
              <w:rFonts w:asciiTheme="minorHAnsi" w:hAnsiTheme="minorHAnsi" w:eastAsiaTheme="minorEastAsia" w:cstheme="minorBidi"/>
              <w:kern w:val="2"/>
              <w:sz w:val="21"/>
            </w:rPr>
          </w:pPr>
          <w:r>
            <w:fldChar w:fldCharType="begin"/>
          </w:r>
          <w:r>
            <w:instrText xml:space="preserve"> HYPERLINK \l "_Toc141106888" </w:instrText>
          </w:r>
          <w:r>
            <w:fldChar w:fldCharType="separate"/>
          </w:r>
          <w:r>
            <w:rPr>
              <w:rStyle w:val="24"/>
            </w:rPr>
            <w:t xml:space="preserve">14 </w:t>
          </w:r>
          <w:r>
            <w:rPr>
              <w:rStyle w:val="24"/>
              <w:rFonts w:hint="eastAsia"/>
            </w:rPr>
            <w:t>信息管理</w:t>
          </w:r>
          <w:r>
            <w:tab/>
          </w:r>
          <w:r>
            <w:fldChar w:fldCharType="begin"/>
          </w:r>
          <w:r>
            <w:instrText xml:space="preserve"> PAGEREF _Toc141106888 \h </w:instrText>
          </w:r>
          <w:r>
            <w:fldChar w:fldCharType="separate"/>
          </w:r>
          <w:r>
            <w:t>13</w:t>
          </w:r>
          <w:r>
            <w:fldChar w:fldCharType="end"/>
          </w:r>
          <w:r>
            <w:fldChar w:fldCharType="end"/>
          </w:r>
        </w:p>
        <w:p>
          <w:pPr>
            <w:pStyle w:val="18"/>
            <w:tabs>
              <w:tab w:val="right" w:leader="dot" w:pos="8640"/>
            </w:tabs>
            <w:rPr>
              <w:rFonts w:asciiTheme="minorHAnsi" w:hAnsiTheme="minorHAnsi" w:eastAsiaTheme="minorEastAsia" w:cstheme="minorBidi"/>
              <w:kern w:val="2"/>
              <w:sz w:val="21"/>
            </w:rPr>
          </w:pPr>
          <w:r>
            <w:fldChar w:fldCharType="begin"/>
          </w:r>
          <w:r>
            <w:instrText xml:space="preserve"> HYPERLINK \l "_Toc141106889" </w:instrText>
          </w:r>
          <w:r>
            <w:fldChar w:fldCharType="separate"/>
          </w:r>
          <w:r>
            <w:rPr>
              <w:rStyle w:val="24"/>
              <w:rFonts w:hint="eastAsia"/>
            </w:rPr>
            <w:t>附</w:t>
          </w:r>
          <w:r>
            <w:rPr>
              <w:rStyle w:val="24"/>
            </w:rPr>
            <w:t xml:space="preserve">  </w:t>
          </w:r>
          <w:r>
            <w:rPr>
              <w:rStyle w:val="24"/>
              <w:rFonts w:hint="eastAsia"/>
            </w:rPr>
            <w:t>录</w:t>
          </w:r>
          <w:r>
            <w:rPr>
              <w:rStyle w:val="24"/>
            </w:rPr>
            <w:t xml:space="preserve">  A </w:t>
          </w:r>
          <w:r>
            <w:rPr>
              <w:rStyle w:val="24"/>
              <w:rFonts w:hint="eastAsia"/>
            </w:rPr>
            <w:t>（资料性附录）</w:t>
          </w:r>
          <w:r>
            <w:rPr>
              <w:rStyle w:val="24"/>
            </w:rPr>
            <w:t xml:space="preserve"> </w:t>
          </w:r>
          <w:r>
            <w:rPr>
              <w:rStyle w:val="24"/>
              <w:rFonts w:hint="eastAsia"/>
            </w:rPr>
            <w:t>典型应用与功能架构</w:t>
          </w:r>
          <w:r>
            <w:tab/>
          </w:r>
          <w:r>
            <w:fldChar w:fldCharType="begin"/>
          </w:r>
          <w:r>
            <w:instrText xml:space="preserve"> PAGEREF _Toc141106889 \h </w:instrText>
          </w:r>
          <w:r>
            <w:fldChar w:fldCharType="separate"/>
          </w:r>
          <w:r>
            <w:t>14</w:t>
          </w:r>
          <w:r>
            <w:fldChar w:fldCharType="end"/>
          </w:r>
          <w:r>
            <w:fldChar w:fldCharType="end"/>
          </w:r>
        </w:p>
        <w:p>
          <w:pPr>
            <w:pStyle w:val="18"/>
            <w:tabs>
              <w:tab w:val="right" w:leader="dot" w:pos="8640"/>
            </w:tabs>
            <w:rPr>
              <w:rFonts w:asciiTheme="minorHAnsi" w:hAnsiTheme="minorHAnsi" w:eastAsiaTheme="minorEastAsia" w:cstheme="minorBidi"/>
              <w:kern w:val="2"/>
              <w:sz w:val="21"/>
            </w:rPr>
          </w:pPr>
          <w:r>
            <w:fldChar w:fldCharType="begin"/>
          </w:r>
          <w:r>
            <w:instrText xml:space="preserve"> HYPERLINK \l "_Toc141106890" </w:instrText>
          </w:r>
          <w:r>
            <w:fldChar w:fldCharType="separate"/>
          </w:r>
          <w:r>
            <w:rPr>
              <w:rStyle w:val="24"/>
              <w:rFonts w:hint="eastAsia"/>
            </w:rPr>
            <w:t>附</w:t>
          </w:r>
          <w:r>
            <w:rPr>
              <w:rStyle w:val="24"/>
            </w:rPr>
            <w:t xml:space="preserve">  </w:t>
          </w:r>
          <w:r>
            <w:rPr>
              <w:rStyle w:val="24"/>
              <w:rFonts w:hint="eastAsia"/>
            </w:rPr>
            <w:t>录</w:t>
          </w:r>
          <w:r>
            <w:rPr>
              <w:rStyle w:val="24"/>
            </w:rPr>
            <w:t xml:space="preserve">  B </w:t>
          </w:r>
          <w:r>
            <w:rPr>
              <w:rStyle w:val="24"/>
              <w:rFonts w:hint="eastAsia"/>
            </w:rPr>
            <w:t>（资料性附录）</w:t>
          </w:r>
          <w:r>
            <w:rPr>
              <w:rStyle w:val="24"/>
            </w:rPr>
            <w:t xml:space="preserve"> </w:t>
          </w:r>
          <w:r>
            <w:rPr>
              <w:rStyle w:val="24"/>
              <w:rFonts w:hint="eastAsia"/>
            </w:rPr>
            <w:t>基础设施配置清单</w:t>
          </w:r>
          <w:r>
            <w:tab/>
          </w:r>
          <w:r>
            <w:fldChar w:fldCharType="begin"/>
          </w:r>
          <w:r>
            <w:instrText xml:space="preserve"> PAGEREF _Toc141106890 \h </w:instrText>
          </w:r>
          <w:r>
            <w:fldChar w:fldCharType="separate"/>
          </w:r>
          <w:r>
            <w:t>17</w:t>
          </w:r>
          <w:r>
            <w:fldChar w:fldCharType="end"/>
          </w:r>
          <w:r>
            <w:fldChar w:fldCharType="end"/>
          </w:r>
        </w:p>
        <w:p>
          <w:pPr>
            <w:pStyle w:val="18"/>
            <w:tabs>
              <w:tab w:val="right" w:leader="dot" w:pos="8640"/>
            </w:tabs>
            <w:rPr>
              <w:rFonts w:asciiTheme="minorHAnsi" w:hAnsiTheme="minorHAnsi" w:eastAsiaTheme="minorEastAsia" w:cstheme="minorBidi"/>
              <w:kern w:val="2"/>
              <w:sz w:val="21"/>
            </w:rPr>
          </w:pPr>
          <w:r>
            <w:fldChar w:fldCharType="begin"/>
          </w:r>
          <w:r>
            <w:instrText xml:space="preserve"> HYPERLINK \l "_Toc141106891" </w:instrText>
          </w:r>
          <w:r>
            <w:fldChar w:fldCharType="separate"/>
          </w:r>
          <w:r>
            <w:rPr>
              <w:rStyle w:val="24"/>
              <w:rFonts w:hint="eastAsia"/>
            </w:rPr>
            <w:t>附</w:t>
          </w:r>
          <w:r>
            <w:rPr>
              <w:rStyle w:val="24"/>
            </w:rPr>
            <w:t xml:space="preserve">  </w:t>
          </w:r>
          <w:r>
            <w:rPr>
              <w:rStyle w:val="24"/>
              <w:rFonts w:hint="eastAsia"/>
            </w:rPr>
            <w:t>录</w:t>
          </w:r>
          <w:r>
            <w:rPr>
              <w:rStyle w:val="24"/>
            </w:rPr>
            <w:t xml:space="preserve">  C </w:t>
          </w:r>
          <w:r>
            <w:rPr>
              <w:rStyle w:val="24"/>
              <w:rFonts w:hint="eastAsia"/>
            </w:rPr>
            <w:t>（资料性附录）</w:t>
          </w:r>
          <w:r>
            <w:rPr>
              <w:rStyle w:val="24"/>
            </w:rPr>
            <w:t xml:space="preserve"> </w:t>
          </w:r>
          <w:r>
            <w:rPr>
              <w:rStyle w:val="24"/>
              <w:rFonts w:hint="eastAsia"/>
            </w:rPr>
            <w:t>系统部署安装与运行维护</w:t>
          </w:r>
          <w:r>
            <w:tab/>
          </w:r>
          <w:r>
            <w:fldChar w:fldCharType="begin"/>
          </w:r>
          <w:r>
            <w:instrText xml:space="preserve"> PAGEREF _Toc141106891 \h </w:instrText>
          </w:r>
          <w:r>
            <w:fldChar w:fldCharType="separate"/>
          </w:r>
          <w:r>
            <w:t>19</w:t>
          </w:r>
          <w:r>
            <w:fldChar w:fldCharType="end"/>
          </w:r>
          <w:r>
            <w:fldChar w:fldCharType="end"/>
          </w:r>
        </w:p>
        <w:p>
          <w:pPr>
            <w:pStyle w:val="18"/>
            <w:tabs>
              <w:tab w:val="right" w:leader="dot" w:pos="8640"/>
            </w:tabs>
            <w:rPr>
              <w:lang w:val="zh-CN"/>
            </w:rPr>
          </w:pPr>
          <w:r>
            <w:rPr>
              <w:b/>
              <w:bCs/>
              <w:lang w:val="zh-CN"/>
            </w:rPr>
            <w:fldChar w:fldCharType="end"/>
          </w:r>
        </w:p>
      </w:sdtContent>
    </w:sdt>
    <w:p>
      <w:pPr>
        <w:widowControl/>
        <w:autoSpaceDE/>
        <w:autoSpaceDN/>
        <w:adjustRightInd/>
        <w:rPr>
          <w:w w:val="95"/>
        </w:rPr>
      </w:pPr>
      <w:r>
        <w:rPr>
          <w:w w:val="95"/>
        </w:rPr>
        <w:br w:type="page"/>
      </w:r>
    </w:p>
    <w:p>
      <w:pPr>
        <w:rPr>
          <w:w w:val="95"/>
        </w:rPr>
      </w:pPr>
    </w:p>
    <w:p>
      <w:pPr>
        <w:rPr>
          <w:w w:val="95"/>
        </w:rPr>
      </w:pPr>
    </w:p>
    <w:p>
      <w:pPr>
        <w:jc w:val="center"/>
        <w:rPr>
          <w:rFonts w:ascii="黑体" w:hAnsi="黑体" w:eastAsia="黑体"/>
          <w:sz w:val="32"/>
          <w:szCs w:val="32"/>
        </w:rPr>
      </w:pPr>
      <w:bookmarkStart w:id="2" w:name="_Toc117408364"/>
      <w:r>
        <w:rPr>
          <w:rFonts w:hint="eastAsia" w:ascii="黑体" w:hAnsi="黑体" w:eastAsia="黑体"/>
          <w:sz w:val="32"/>
          <w:szCs w:val="32"/>
        </w:rPr>
        <w:t>电力建设火力发电工程智慧工地技术标准</w:t>
      </w:r>
      <w:bookmarkEnd w:id="2"/>
    </w:p>
    <w:p>
      <w:pPr>
        <w:pStyle w:val="2"/>
        <w:overflowPunct w:val="0"/>
        <w:spacing w:before="8"/>
        <w:rPr>
          <w:rFonts w:ascii="黑体" w:eastAsia="黑体" w:cs="黑体"/>
          <w:sz w:val="26"/>
          <w:szCs w:val="26"/>
        </w:rPr>
      </w:pPr>
    </w:p>
    <w:p>
      <w:pPr>
        <w:pStyle w:val="4"/>
        <w:jc w:val="left"/>
        <w:rPr>
          <w:rFonts w:cs="Times New Roman"/>
          <w:b/>
          <w:bCs/>
          <w:color w:val="000000"/>
          <w:sz w:val="21"/>
          <w:szCs w:val="21"/>
        </w:rPr>
      </w:pPr>
      <w:bookmarkStart w:id="3" w:name="_Toc141106875"/>
      <w:r>
        <w:rPr>
          <w:rFonts w:hint="eastAsia"/>
          <w:sz w:val="21"/>
          <w:szCs w:val="21"/>
        </w:rPr>
        <w:t>1 范围</w:t>
      </w:r>
      <w:bookmarkEnd w:id="3"/>
    </w:p>
    <w:p>
      <w:pPr>
        <w:pStyle w:val="2"/>
        <w:overflowPunct w:val="0"/>
        <w:spacing w:before="4"/>
        <w:rPr>
          <w:rFonts w:ascii="黑体" w:eastAsia="黑体" w:cs="黑体"/>
          <w:sz w:val="26"/>
          <w:szCs w:val="26"/>
          <w:highlight w:val="yellow"/>
        </w:rPr>
      </w:pPr>
    </w:p>
    <w:p>
      <w:pPr>
        <w:pStyle w:val="2"/>
        <w:overflowPunct w:val="0"/>
        <w:spacing w:before="1" w:line="278" w:lineRule="auto"/>
        <w:ind w:left="120" w:right="211" w:firstLine="419"/>
      </w:pPr>
      <w:r>
        <w:rPr>
          <w:rFonts w:hint="eastAsia"/>
          <w:spacing w:val="-3"/>
        </w:rPr>
        <w:t>本标准规定了电力建设火力发电工程智慧工地的总体原则、管理要求、典型数字化应用及相关软件系统、硬件设备的部署安装与运行维护</w:t>
      </w:r>
      <w:r>
        <w:rPr>
          <w:rFonts w:hint="eastAsia"/>
        </w:rPr>
        <w:t>要求。</w:t>
      </w:r>
    </w:p>
    <w:p>
      <w:pPr>
        <w:pStyle w:val="2"/>
        <w:overflowPunct w:val="0"/>
        <w:spacing w:line="278" w:lineRule="auto"/>
        <w:ind w:left="120" w:right="211" w:firstLine="419"/>
        <w:rPr>
          <w:spacing w:val="-3"/>
        </w:rPr>
      </w:pPr>
      <w:r>
        <w:rPr>
          <w:rFonts w:hint="eastAsia"/>
          <w:spacing w:val="-3"/>
        </w:rPr>
        <w:t>本标准适用于新建、扩建和改建的火力发电工程。</w:t>
      </w:r>
    </w:p>
    <w:p>
      <w:pPr>
        <w:pStyle w:val="2"/>
        <w:overflowPunct w:val="0"/>
        <w:spacing w:line="278" w:lineRule="auto"/>
        <w:ind w:left="120" w:right="211" w:firstLine="419"/>
        <w:rPr>
          <w:sz w:val="24"/>
          <w:szCs w:val="24"/>
          <w:highlight w:val="yellow"/>
        </w:rPr>
      </w:pPr>
    </w:p>
    <w:p>
      <w:pPr>
        <w:pStyle w:val="4"/>
        <w:jc w:val="left"/>
        <w:rPr>
          <w:color w:val="000000" w:themeColor="text1"/>
          <w:sz w:val="21"/>
          <w:szCs w:val="21"/>
          <w14:textFill>
            <w14:solidFill>
              <w14:schemeClr w14:val="tx1"/>
            </w14:solidFill>
          </w14:textFill>
        </w:rPr>
      </w:pPr>
      <w:bookmarkStart w:id="4" w:name="_Toc141106876"/>
      <w:r>
        <w:rPr>
          <w:rFonts w:hint="eastAsia"/>
          <w:color w:val="000000" w:themeColor="text1"/>
          <w:sz w:val="21"/>
          <w:szCs w:val="21"/>
          <w14:textFill>
            <w14:solidFill>
              <w14:schemeClr w14:val="tx1"/>
            </w14:solidFill>
          </w14:textFill>
        </w:rPr>
        <w:t>2 规范性引用文件</w:t>
      </w:r>
      <w:bookmarkEnd w:id="4"/>
    </w:p>
    <w:p>
      <w:pPr>
        <w:pStyle w:val="2"/>
        <w:overflowPunct w:val="0"/>
        <w:spacing w:before="9"/>
        <w:rPr>
          <w:rFonts w:ascii="黑体" w:eastAsia="黑体" w:cs="黑体"/>
          <w:color w:val="000000" w:themeColor="text1"/>
          <w:sz w:val="27"/>
          <w:szCs w:val="27"/>
          <w14:textFill>
            <w14:solidFill>
              <w14:schemeClr w14:val="tx1"/>
            </w14:solidFill>
          </w14:textFill>
        </w:rPr>
      </w:pPr>
    </w:p>
    <w:p>
      <w:pPr>
        <w:pStyle w:val="2"/>
        <w:overflowPunct w:val="0"/>
        <w:spacing w:line="278" w:lineRule="auto"/>
        <w:ind w:left="120" w:right="117" w:firstLine="419"/>
        <w:rPr>
          <w:color w:val="000000" w:themeColor="text1"/>
          <w14:textFill>
            <w14:solidFill>
              <w14:schemeClr w14:val="tx1"/>
            </w14:solidFill>
          </w14:textFill>
        </w:rPr>
      </w:pPr>
      <w:r>
        <w:rPr>
          <w:rFonts w:hint="eastAsia"/>
          <w:color w:val="000000" w:themeColor="text1"/>
          <w:spacing w:val="-5"/>
          <w14:textFill>
            <w14:solidFill>
              <w14:schemeClr w14:val="tx1"/>
            </w14:solidFill>
          </w14:textFill>
        </w:rPr>
        <w:t>下列文件对于本文的应用是必不可少的。凡是注日期的引用文件，仅所注日期的版本适</w:t>
      </w:r>
      <w:r>
        <w:rPr>
          <w:rFonts w:hint="eastAsia"/>
          <w:color w:val="000000" w:themeColor="text1"/>
          <w14:textFill>
            <w14:solidFill>
              <w14:schemeClr w14:val="tx1"/>
            </w14:solidFill>
          </w14:textFill>
        </w:rPr>
        <w:t>用于本文件。凡是不注日期的引用文件，其最新版本（包括所有的修改单）适用于本文件。</w:t>
      </w:r>
    </w:p>
    <w:p>
      <w:pPr>
        <w:pStyle w:val="2"/>
        <w:tabs>
          <w:tab w:val="left" w:pos="1701"/>
          <w:tab w:val="left" w:pos="2297"/>
        </w:tabs>
        <w:overflowPunct w:val="0"/>
        <w:snapToGrid w:val="0"/>
        <w:ind w:left="539"/>
        <w:rPr>
          <w:rFonts w:ascii="Times New Roman" w:cs="Times New Roman" w:eastAsiaTheme="minorEastAsia"/>
          <w:color w:val="000000" w:themeColor="text1"/>
          <w14:textFill>
            <w14:solidFill>
              <w14:schemeClr w14:val="tx1"/>
            </w14:solidFill>
          </w14:textFill>
        </w:rPr>
      </w:pPr>
      <w:r>
        <w:rPr>
          <w:rFonts w:hint="eastAsia" w:ascii="Times New Roman" w:cs="Times New Roman" w:eastAsiaTheme="minorEastAsia"/>
          <w:color w:val="000000" w:themeColor="text1"/>
          <w14:textFill>
            <w14:solidFill>
              <w14:schemeClr w14:val="tx1"/>
            </w14:solidFill>
          </w14:textFill>
        </w:rPr>
        <w:t xml:space="preserve">GB 13223   </w:t>
      </w:r>
      <w:r>
        <w:rPr>
          <w:rFonts w:hint="eastAsia" w:ascii="Times New Roman" w:cs="Times New Roman" w:eastAsiaTheme="minorEastAsia"/>
          <w:color w:val="000000" w:themeColor="text1"/>
          <w:sz w:val="15"/>
          <w:szCs w:val="15"/>
          <w14:textFill>
            <w14:solidFill>
              <w14:schemeClr w14:val="tx1"/>
            </w14:solidFill>
          </w14:textFill>
        </w:rPr>
        <w:t xml:space="preserve"> </w:t>
      </w:r>
      <w:r>
        <w:rPr>
          <w:rFonts w:hint="eastAsia" w:ascii="Times New Roman" w:cs="Times New Roman" w:eastAsiaTheme="minorEastAsia"/>
          <w:color w:val="000000" w:themeColor="text1"/>
          <w14:textFill>
            <w14:solidFill>
              <w14:schemeClr w14:val="tx1"/>
            </w14:solidFill>
          </w14:textFill>
        </w:rPr>
        <w:t>火电厂大气污染物排放标准</w:t>
      </w:r>
    </w:p>
    <w:p>
      <w:pPr>
        <w:pStyle w:val="2"/>
        <w:tabs>
          <w:tab w:val="left" w:pos="1560"/>
          <w:tab w:val="left" w:pos="2297"/>
        </w:tabs>
        <w:overflowPunct w:val="0"/>
        <w:snapToGrid w:val="0"/>
        <w:ind w:left="539"/>
        <w:rPr>
          <w:rFonts w:ascii="Times New Roman" w:cs="Times New Roman" w:eastAsiaTheme="minorEastAsia"/>
          <w:color w:val="000000" w:themeColor="text1"/>
          <w14:textFill>
            <w14:solidFill>
              <w14:schemeClr w14:val="tx1"/>
            </w14:solidFill>
          </w14:textFill>
        </w:rPr>
      </w:pPr>
      <w:r>
        <w:rPr>
          <w:rFonts w:hint="eastAsia" w:ascii="Times New Roman" w:cs="Times New Roman" w:eastAsiaTheme="minorEastAsia"/>
          <w:color w:val="000000" w:themeColor="text1"/>
          <w14:textFill>
            <w14:solidFill>
              <w14:schemeClr w14:val="tx1"/>
            </w14:solidFill>
          </w14:textFill>
        </w:rPr>
        <w:t>GB/T 32575  发电工程数据移交</w:t>
      </w:r>
    </w:p>
    <w:p>
      <w:pPr>
        <w:pStyle w:val="2"/>
        <w:tabs>
          <w:tab w:val="left" w:pos="1560"/>
          <w:tab w:val="left" w:pos="2297"/>
        </w:tabs>
        <w:overflowPunct w:val="0"/>
        <w:snapToGrid w:val="0"/>
        <w:ind w:left="539"/>
        <w:rPr>
          <w:rFonts w:ascii="Times New Roman" w:cs="Times New Roman" w:eastAsiaTheme="minorEastAsia"/>
          <w:color w:val="000000" w:themeColor="text1"/>
          <w14:textFill>
            <w14:solidFill>
              <w14:schemeClr w14:val="tx1"/>
            </w14:solidFill>
          </w14:textFill>
        </w:rPr>
      </w:pPr>
      <w:r>
        <w:rPr>
          <w:rFonts w:hint="eastAsia" w:ascii="Times New Roman" w:cs="Times New Roman" w:eastAsiaTheme="minorEastAsia"/>
          <w:color w:val="000000" w:themeColor="text1"/>
          <w14:textFill>
            <w14:solidFill>
              <w14:schemeClr w14:val="tx1"/>
            </w14:solidFill>
          </w14:textFill>
        </w:rPr>
        <w:t>GB/T 34982  云计算数据中心基本要求</w:t>
      </w:r>
    </w:p>
    <w:p>
      <w:pPr>
        <w:pStyle w:val="2"/>
        <w:tabs>
          <w:tab w:val="left" w:pos="1560"/>
          <w:tab w:val="left" w:pos="2297"/>
        </w:tabs>
        <w:overflowPunct w:val="0"/>
        <w:snapToGrid w:val="0"/>
        <w:ind w:left="539"/>
        <w:rPr>
          <w:rFonts w:ascii="Times New Roman" w:cs="Times New Roman" w:eastAsiaTheme="minorEastAsia"/>
          <w:color w:val="000000" w:themeColor="text1"/>
          <w14:textFill>
            <w14:solidFill>
              <w14:schemeClr w14:val="tx1"/>
            </w14:solidFill>
          </w14:textFill>
        </w:rPr>
      </w:pPr>
      <w:r>
        <w:rPr>
          <w:rFonts w:hint="eastAsia" w:ascii="Times New Roman" w:cs="Times New Roman" w:eastAsiaTheme="minorEastAsia"/>
          <w:color w:val="000000" w:themeColor="text1"/>
          <w14:textFill>
            <w14:solidFill>
              <w14:schemeClr w14:val="tx1"/>
            </w14:solidFill>
          </w14:textFill>
        </w:rPr>
        <w:t>GB/T 36073  数据管理能力成熟度评估模型</w:t>
      </w:r>
    </w:p>
    <w:p>
      <w:pPr>
        <w:pStyle w:val="2"/>
        <w:tabs>
          <w:tab w:val="left" w:pos="1560"/>
          <w:tab w:val="left" w:pos="2297"/>
        </w:tabs>
        <w:overflowPunct w:val="0"/>
        <w:snapToGrid w:val="0"/>
        <w:ind w:left="539"/>
        <w:rPr>
          <w:rFonts w:ascii="Times New Roman" w:cs="Times New Roman" w:eastAsiaTheme="minorEastAsia"/>
          <w:color w:val="000000" w:themeColor="text1"/>
          <w14:textFill>
            <w14:solidFill>
              <w14:schemeClr w14:val="tx1"/>
            </w14:solidFill>
          </w14:textFill>
        </w:rPr>
      </w:pPr>
      <w:r>
        <w:rPr>
          <w:rFonts w:hint="eastAsia" w:ascii="Times New Roman" w:cs="Times New Roman" w:eastAsiaTheme="minorEastAsia"/>
          <w:color w:val="000000" w:themeColor="text1"/>
          <w14:textFill>
            <w14:solidFill>
              <w14:schemeClr w14:val="tx1"/>
            </w14:solidFill>
          </w14:textFill>
        </w:rPr>
        <w:t xml:space="preserve">GB/T 50549 </w:t>
      </w:r>
      <w:r>
        <w:rPr>
          <w:rFonts w:ascii="Times New Roman" w:cs="Times New Roman" w:eastAsiaTheme="minorEastAsia"/>
          <w:color w:val="000000" w:themeColor="text1"/>
          <w14:textFill>
            <w14:solidFill>
              <w14:schemeClr w14:val="tx1"/>
            </w14:solidFill>
          </w14:textFill>
        </w:rPr>
        <w:t xml:space="preserve"> </w:t>
      </w:r>
      <w:r>
        <w:rPr>
          <w:rFonts w:hint="eastAsia" w:ascii="Times New Roman" w:cs="Times New Roman" w:eastAsiaTheme="minorEastAsia"/>
          <w:color w:val="000000" w:themeColor="text1"/>
          <w14:textFill>
            <w14:solidFill>
              <w14:schemeClr w14:val="tx1"/>
            </w14:solidFill>
          </w14:textFill>
        </w:rPr>
        <w:t>电厂标识系统编码标准</w:t>
      </w:r>
    </w:p>
    <w:p>
      <w:pPr>
        <w:pStyle w:val="2"/>
        <w:tabs>
          <w:tab w:val="left" w:pos="1560"/>
          <w:tab w:val="left" w:pos="2297"/>
        </w:tabs>
        <w:overflowPunct w:val="0"/>
        <w:snapToGrid w:val="0"/>
        <w:ind w:left="539"/>
        <w:rPr>
          <w:rFonts w:ascii="Times New Roman" w:cs="Times New Roman" w:eastAsiaTheme="minorEastAsia"/>
          <w:color w:val="000000" w:themeColor="text1"/>
          <w14:textFill>
            <w14:solidFill>
              <w14:schemeClr w14:val="tx1"/>
            </w14:solidFill>
          </w14:textFill>
        </w:rPr>
      </w:pPr>
      <w:r>
        <w:rPr>
          <w:rFonts w:hint="eastAsia" w:ascii="Times New Roman" w:cs="Times New Roman" w:eastAsiaTheme="minorEastAsia"/>
          <w:color w:val="000000" w:themeColor="text1"/>
          <w14:textFill>
            <w14:solidFill>
              <w14:schemeClr w14:val="tx1"/>
            </w14:solidFill>
          </w14:textFill>
        </w:rPr>
        <w:t>DL/T 5615   发电工程数字化移交内容规定</w:t>
      </w:r>
    </w:p>
    <w:p>
      <w:pPr>
        <w:pStyle w:val="2"/>
        <w:tabs>
          <w:tab w:val="left" w:pos="1560"/>
          <w:tab w:val="left" w:pos="2297"/>
        </w:tabs>
        <w:overflowPunct w:val="0"/>
        <w:snapToGrid w:val="0"/>
        <w:ind w:left="539"/>
        <w:rPr>
          <w:rFonts w:ascii="Times New Roman" w:cs="Times New Roman" w:eastAsiaTheme="minorEastAsia"/>
          <w:color w:val="000000" w:themeColor="text1"/>
          <w14:textFill>
            <w14:solidFill>
              <w14:schemeClr w14:val="tx1"/>
            </w14:solidFill>
          </w14:textFill>
        </w:rPr>
      </w:pPr>
      <w:r>
        <w:rPr>
          <w:rFonts w:hint="eastAsia" w:ascii="Times New Roman" w:cs="Times New Roman" w:eastAsiaTheme="minorEastAsia"/>
          <w:color w:val="000000" w:themeColor="text1"/>
          <w14:textFill>
            <w14:solidFill>
              <w14:schemeClr w14:val="tx1"/>
            </w14:solidFill>
          </w14:textFill>
        </w:rPr>
        <w:t xml:space="preserve">JGJ/T 292 </w:t>
      </w:r>
      <w:r>
        <w:rPr>
          <w:rFonts w:ascii="Times New Roman" w:cs="Times New Roman" w:eastAsiaTheme="minorEastAsia"/>
          <w:color w:val="000000" w:themeColor="text1"/>
          <w14:textFill>
            <w14:solidFill>
              <w14:schemeClr w14:val="tx1"/>
            </w14:solidFill>
          </w14:textFill>
        </w:rPr>
        <w:t xml:space="preserve"> </w:t>
      </w:r>
      <w:r>
        <w:rPr>
          <w:rFonts w:hint="eastAsia" w:ascii="Times New Roman" w:cs="Times New Roman" w:eastAsiaTheme="minorEastAsia"/>
          <w:color w:val="000000" w:themeColor="text1"/>
          <w14:textFill>
            <w14:solidFill>
              <w14:schemeClr w14:val="tx1"/>
            </w14:solidFill>
          </w14:textFill>
        </w:rPr>
        <w:t xml:space="preserve">  建筑工程施工现场视频监控技术规范</w:t>
      </w:r>
    </w:p>
    <w:p>
      <w:pPr>
        <w:pStyle w:val="2"/>
        <w:tabs>
          <w:tab w:val="left" w:pos="1560"/>
          <w:tab w:val="left" w:pos="2297"/>
        </w:tabs>
        <w:overflowPunct w:val="0"/>
        <w:snapToGrid w:val="0"/>
        <w:ind w:left="539"/>
        <w:rPr>
          <w:rFonts w:ascii="Times New Roman" w:cs="Times New Roman" w:eastAsiaTheme="minorEastAsia"/>
          <w:color w:val="000000" w:themeColor="text1"/>
          <w14:textFill>
            <w14:solidFill>
              <w14:schemeClr w14:val="tx1"/>
            </w14:solidFill>
          </w14:textFill>
        </w:rPr>
      </w:pPr>
      <w:r>
        <w:rPr>
          <w:rFonts w:hint="eastAsia" w:ascii="Times New Roman" w:cs="Times New Roman" w:eastAsiaTheme="minorEastAsia"/>
          <w:color w:val="000000" w:themeColor="text1"/>
          <w14:textFill>
            <w14:solidFill>
              <w14:schemeClr w14:val="tx1"/>
            </w14:solidFill>
          </w14:textFill>
        </w:rPr>
        <w:t xml:space="preserve">JGJ/T 434  </w:t>
      </w:r>
      <w:r>
        <w:rPr>
          <w:rFonts w:ascii="Times New Roman" w:cs="Times New Roman" w:eastAsiaTheme="minorEastAsia"/>
          <w:color w:val="000000" w:themeColor="text1"/>
          <w14:textFill>
            <w14:solidFill>
              <w14:schemeClr w14:val="tx1"/>
            </w14:solidFill>
          </w14:textFill>
        </w:rPr>
        <w:t xml:space="preserve"> </w:t>
      </w:r>
      <w:r>
        <w:rPr>
          <w:rFonts w:hint="eastAsia" w:ascii="Times New Roman" w:cs="Times New Roman" w:eastAsiaTheme="minorEastAsia"/>
          <w:color w:val="000000" w:themeColor="text1"/>
          <w14:textFill>
            <w14:solidFill>
              <w14:schemeClr w14:val="tx1"/>
            </w14:solidFill>
          </w14:textFill>
        </w:rPr>
        <w:t xml:space="preserve"> 建筑工程施工现场监管信息系统技术标准</w:t>
      </w:r>
    </w:p>
    <w:p>
      <w:pPr>
        <w:pStyle w:val="2"/>
        <w:tabs>
          <w:tab w:val="left" w:pos="1560"/>
          <w:tab w:val="left" w:pos="2297"/>
        </w:tabs>
        <w:overflowPunct w:val="0"/>
        <w:snapToGrid w:val="0"/>
        <w:ind w:left="539"/>
        <w:rPr>
          <w:rFonts w:ascii="Times New Roman" w:cs="Times New Roman" w:eastAsiaTheme="minorEastAsia"/>
          <w:color w:val="000000" w:themeColor="text1"/>
          <w:highlight w:val="yellow"/>
          <w14:textFill>
            <w14:solidFill>
              <w14:schemeClr w14:val="tx1"/>
            </w14:solidFill>
          </w14:textFill>
        </w:rPr>
      </w:pPr>
    </w:p>
    <w:p>
      <w:pPr>
        <w:pStyle w:val="4"/>
        <w:jc w:val="left"/>
        <w:rPr>
          <w:color w:val="000000" w:themeColor="text1"/>
          <w:sz w:val="21"/>
          <w:szCs w:val="21"/>
          <w14:textFill>
            <w14:solidFill>
              <w14:schemeClr w14:val="tx1"/>
            </w14:solidFill>
          </w14:textFill>
        </w:rPr>
      </w:pPr>
      <w:bookmarkStart w:id="5" w:name="_Toc141106877"/>
      <w:r>
        <w:rPr>
          <w:rFonts w:hint="eastAsia"/>
          <w:color w:val="000000" w:themeColor="text1"/>
          <w:sz w:val="21"/>
          <w:szCs w:val="21"/>
          <w14:textFill>
            <w14:solidFill>
              <w14:schemeClr w14:val="tx1"/>
            </w14:solidFill>
          </w14:textFill>
        </w:rPr>
        <w:t>3 术语和定义</w:t>
      </w:r>
      <w:bookmarkEnd w:id="5"/>
    </w:p>
    <w:p>
      <w:pPr>
        <w:pStyle w:val="2"/>
        <w:overflowPunct w:val="0"/>
        <w:spacing w:before="1"/>
        <w:ind w:left="540"/>
        <w:rPr>
          <w:color w:val="000000" w:themeColor="text1"/>
          <w14:textFill>
            <w14:solidFill>
              <w14:schemeClr w14:val="tx1"/>
            </w14:solidFill>
          </w14:textFill>
        </w:rPr>
      </w:pPr>
    </w:p>
    <w:p>
      <w:pPr>
        <w:pStyle w:val="2"/>
        <w:overflowPunct w:val="0"/>
        <w:spacing w:before="1"/>
        <w:ind w:left="540"/>
        <w:rPr>
          <w:color w:val="000000" w:themeColor="text1"/>
          <w14:textFill>
            <w14:solidFill>
              <w14:schemeClr w14:val="tx1"/>
            </w14:solidFill>
          </w14:textFill>
        </w:rPr>
      </w:pPr>
      <w:r>
        <w:rPr>
          <w:rFonts w:hint="eastAsia"/>
          <w:color w:val="000000" w:themeColor="text1"/>
          <w14:textFill>
            <w14:solidFill>
              <w14:schemeClr w14:val="tx1"/>
            </w14:solidFill>
          </w14:textFill>
        </w:rPr>
        <w:t>下列术语和定义适用于本标准。</w:t>
      </w:r>
    </w:p>
    <w:p>
      <w:pPr>
        <w:pStyle w:val="2"/>
        <w:overflowPunct w:val="0"/>
        <w:ind w:left="120"/>
        <w:rPr>
          <w:rFonts w:ascii="Times New Roman" w:cs="Times New Roman" w:eastAsiaTheme="minorEastAsia"/>
          <w:b/>
          <w:bCs/>
          <w:color w:val="000000" w:themeColor="text1"/>
          <w14:textFill>
            <w14:solidFill>
              <w14:schemeClr w14:val="tx1"/>
            </w14:solidFill>
          </w14:textFill>
        </w:rPr>
      </w:pPr>
      <w:r>
        <w:rPr>
          <w:rFonts w:hint="eastAsia" w:ascii="Times New Roman" w:cs="Times New Roman" w:eastAsiaTheme="minorEastAsia"/>
          <w:b/>
          <w:bCs/>
          <w:color w:val="000000" w:themeColor="text1"/>
          <w14:textFill>
            <w14:solidFill>
              <w14:schemeClr w14:val="tx1"/>
            </w14:solidFill>
          </w14:textFill>
        </w:rPr>
        <w:t>3.1</w:t>
      </w:r>
    </w:p>
    <w:p>
      <w:pPr>
        <w:pStyle w:val="2"/>
        <w:overflowPunct w:val="0"/>
        <w:ind w:left="120" w:firstLine="466" w:firstLineChars="200"/>
        <w:rPr>
          <w:rFonts w:ascii="Times New Roman" w:eastAsia="黑体" w:cs="Times New Roman"/>
          <w:b/>
          <w:bCs/>
          <w:color w:val="000000" w:themeColor="text1"/>
          <w:spacing w:val="11"/>
          <w14:textFill>
            <w14:solidFill>
              <w14:schemeClr w14:val="tx1"/>
            </w14:solidFill>
          </w14:textFill>
        </w:rPr>
      </w:pPr>
      <w:r>
        <w:rPr>
          <w:rFonts w:hint="eastAsia" w:ascii="黑体" w:eastAsia="黑体" w:cs="黑体"/>
          <w:b/>
          <w:bCs/>
          <w:color w:val="000000" w:themeColor="text1"/>
          <w:spacing w:val="11"/>
          <w14:textFill>
            <w14:solidFill>
              <w14:schemeClr w14:val="tx1"/>
            </w14:solidFill>
          </w14:textFill>
        </w:rPr>
        <w:t xml:space="preserve">数字化建造 </w:t>
      </w:r>
      <w:r>
        <w:rPr>
          <w:rFonts w:hint="eastAsia" w:ascii="Times New Roman" w:cs="Times New Roman" w:eastAsiaTheme="minorEastAsia"/>
          <w:b/>
          <w:bCs/>
          <w:color w:val="000000" w:themeColor="text1"/>
          <w14:textFill>
            <w14:solidFill>
              <w14:schemeClr w14:val="tx1"/>
            </w14:solidFill>
          </w14:textFill>
        </w:rPr>
        <w:t>d</w:t>
      </w:r>
      <w:r>
        <w:rPr>
          <w:rFonts w:ascii="Times New Roman" w:cs="Times New Roman" w:eastAsiaTheme="minorEastAsia"/>
          <w:b/>
          <w:bCs/>
          <w:color w:val="000000" w:themeColor="text1"/>
          <w14:textFill>
            <w14:solidFill>
              <w14:schemeClr w14:val="tx1"/>
            </w14:solidFill>
          </w14:textFill>
        </w:rPr>
        <w:t>igital construction</w:t>
      </w:r>
    </w:p>
    <w:p>
      <w:pPr>
        <w:pStyle w:val="2"/>
        <w:overflowPunct w:val="0"/>
        <w:spacing w:before="1" w:line="278" w:lineRule="auto"/>
        <w:ind w:left="120" w:right="211" w:firstLine="419"/>
        <w:jc w:val="both"/>
        <w:rPr>
          <w:color w:val="000000" w:themeColor="text1"/>
          <w:spacing w:val="-3"/>
          <w14:textFill>
            <w14:solidFill>
              <w14:schemeClr w14:val="tx1"/>
            </w14:solidFill>
          </w14:textFill>
        </w:rPr>
      </w:pPr>
    </w:p>
    <w:p>
      <w:pPr>
        <w:pStyle w:val="2"/>
        <w:overflowPunct w:val="0"/>
        <w:spacing w:before="1" w:line="278" w:lineRule="auto"/>
        <w:ind w:left="120" w:right="211" w:firstLine="419"/>
        <w:jc w:val="both"/>
        <w:rPr>
          <w:color w:val="000000" w:themeColor="text1"/>
          <w14:textFill>
            <w14:solidFill>
              <w14:schemeClr w14:val="tx1"/>
            </w14:solidFill>
          </w14:textFill>
        </w:rPr>
      </w:pPr>
      <w:r>
        <w:rPr>
          <w:rFonts w:hint="eastAsia"/>
          <w:color w:val="000000" w:themeColor="text1"/>
          <w:spacing w:val="-3"/>
          <w14:textFill>
            <w14:solidFill>
              <w14:schemeClr w14:val="tx1"/>
            </w14:solidFill>
          </w14:textFill>
        </w:rPr>
        <w:t>数字化建造主要是指运用数字化技术在工程建设过程中，通过数据采集、计算、分析、模拟、监测、控制，辅助工程建造。</w:t>
      </w:r>
    </w:p>
    <w:p>
      <w:pPr>
        <w:pStyle w:val="2"/>
        <w:overflowPunct w:val="0"/>
        <w:spacing w:before="7"/>
        <w:rPr>
          <w:color w:val="000000" w:themeColor="text1"/>
          <w:sz w:val="16"/>
          <w:szCs w:val="16"/>
          <w:highlight w:val="yellow"/>
          <w14:textFill>
            <w14:solidFill>
              <w14:schemeClr w14:val="tx1"/>
            </w14:solidFill>
          </w14:textFill>
        </w:rPr>
      </w:pPr>
    </w:p>
    <w:p>
      <w:pPr>
        <w:pStyle w:val="2"/>
        <w:overflowPunct w:val="0"/>
        <w:ind w:left="120"/>
        <w:rPr>
          <w:rFonts w:ascii="Times New Roman" w:cs="Times New Roman" w:eastAsiaTheme="minorEastAsia"/>
          <w:b/>
          <w:bCs/>
          <w:color w:val="000000" w:themeColor="text1"/>
          <w14:textFill>
            <w14:solidFill>
              <w14:schemeClr w14:val="tx1"/>
            </w14:solidFill>
          </w14:textFill>
        </w:rPr>
      </w:pPr>
      <w:r>
        <w:rPr>
          <w:rFonts w:hint="eastAsia" w:ascii="Times New Roman" w:cs="Times New Roman" w:eastAsiaTheme="minorEastAsia"/>
          <w:b/>
          <w:bCs/>
          <w:color w:val="000000" w:themeColor="text1"/>
          <w14:textFill>
            <w14:solidFill>
              <w14:schemeClr w14:val="tx1"/>
            </w14:solidFill>
          </w14:textFill>
        </w:rPr>
        <w:t>3.2</w:t>
      </w:r>
    </w:p>
    <w:p>
      <w:pPr>
        <w:pStyle w:val="2"/>
        <w:overflowPunct w:val="0"/>
        <w:ind w:left="542"/>
        <w:rPr>
          <w:rFonts w:ascii="Times New Roman" w:cs="Times New Roman" w:eastAsiaTheme="minorEastAsia"/>
          <w:b/>
          <w:bCs/>
          <w:color w:val="000000" w:themeColor="text1"/>
          <w14:textFill>
            <w14:solidFill>
              <w14:schemeClr w14:val="tx1"/>
            </w14:solidFill>
          </w14:textFill>
        </w:rPr>
      </w:pPr>
      <w:r>
        <w:rPr>
          <w:rFonts w:hint="eastAsia" w:ascii="黑体" w:eastAsia="黑体" w:cs="黑体"/>
          <w:b/>
          <w:bCs/>
          <w:color w:val="000000" w:themeColor="text1"/>
          <w:spacing w:val="11"/>
          <w14:textFill>
            <w14:solidFill>
              <w14:schemeClr w14:val="tx1"/>
            </w14:solidFill>
          </w14:textFill>
        </w:rPr>
        <w:t xml:space="preserve">智慧工地 </w:t>
      </w:r>
      <w:r>
        <w:rPr>
          <w:rFonts w:ascii="Times New Roman" w:cs="Times New Roman" w:eastAsiaTheme="minorEastAsia"/>
          <w:b/>
          <w:bCs/>
          <w:color w:val="000000" w:themeColor="text1"/>
          <w14:textFill>
            <w14:solidFill>
              <w14:schemeClr w14:val="tx1"/>
            </w14:solidFill>
          </w14:textFill>
        </w:rPr>
        <w:t>smart construction site</w:t>
      </w:r>
    </w:p>
    <w:p>
      <w:pPr>
        <w:pStyle w:val="2"/>
        <w:overflowPunct w:val="0"/>
        <w:spacing w:before="1" w:line="278" w:lineRule="auto"/>
        <w:ind w:left="120" w:right="211" w:firstLine="419"/>
        <w:jc w:val="both"/>
        <w:rPr>
          <w:color w:val="000000" w:themeColor="text1"/>
          <w:spacing w:val="-3"/>
          <w14:textFill>
            <w14:solidFill>
              <w14:schemeClr w14:val="tx1"/>
            </w14:solidFill>
          </w14:textFill>
        </w:rPr>
      </w:pPr>
    </w:p>
    <w:p>
      <w:pPr>
        <w:pStyle w:val="2"/>
        <w:overflowPunct w:val="0"/>
        <w:ind w:left="120" w:firstLine="408" w:firstLineChars="200"/>
        <w:rPr>
          <w:color w:val="000000" w:themeColor="text1"/>
          <w:spacing w:val="-3"/>
          <w14:textFill>
            <w14:solidFill>
              <w14:schemeClr w14:val="tx1"/>
            </w14:solidFill>
          </w14:textFill>
        </w:rPr>
      </w:pPr>
      <w:r>
        <w:rPr>
          <w:rFonts w:hint="eastAsia"/>
          <w:color w:val="000000" w:themeColor="text1"/>
          <w:spacing w:val="-3"/>
          <w14:textFill>
            <w14:solidFill>
              <w14:schemeClr w14:val="tx1"/>
            </w14:solidFill>
          </w14:textFill>
        </w:rPr>
        <w:t>综合应用云计算、大数据、物联网、移动互联网、人工智能等信息通信技术，全面感知火力发电工程各类型信息，考虑火力发电工程全生命周期、全管理要素，通过智能分析、风险预控，实现工地的互联协同、辅助决策、科学管理、数字化建造。</w:t>
      </w:r>
    </w:p>
    <w:p>
      <w:pPr>
        <w:pStyle w:val="2"/>
        <w:overflowPunct w:val="0"/>
        <w:spacing w:before="7"/>
        <w:ind w:firstLine="420"/>
        <w:rPr>
          <w:rFonts w:eastAsiaTheme="minorEastAsia"/>
          <w:color w:val="000000" w:themeColor="text1"/>
          <w14:textFill>
            <w14:solidFill>
              <w14:schemeClr w14:val="tx1"/>
            </w14:solidFill>
          </w14:textFill>
        </w:rPr>
      </w:pPr>
    </w:p>
    <w:p>
      <w:pPr>
        <w:pStyle w:val="4"/>
        <w:jc w:val="left"/>
        <w:rPr>
          <w:color w:val="000000" w:themeColor="text1"/>
          <w:sz w:val="21"/>
          <w:szCs w:val="21"/>
          <w14:textFill>
            <w14:solidFill>
              <w14:schemeClr w14:val="tx1"/>
            </w14:solidFill>
          </w14:textFill>
        </w:rPr>
      </w:pPr>
      <w:bookmarkStart w:id="6" w:name="_Toc141106878"/>
      <w:r>
        <w:rPr>
          <w:rFonts w:hint="eastAsia"/>
          <w:color w:val="000000" w:themeColor="text1"/>
          <w:sz w:val="21"/>
          <w:szCs w:val="21"/>
          <w14:textFill>
            <w14:solidFill>
              <w14:schemeClr w14:val="tx1"/>
            </w14:solidFill>
          </w14:textFill>
        </w:rPr>
        <w:t>4 总体要求</w:t>
      </w:r>
      <w:bookmarkEnd w:id="6"/>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4.1 智慧工地通过在云平台</w:t>
      </w:r>
      <w:r>
        <w:rPr>
          <w:rFonts w:hint="eastAsia"/>
          <w:color w:val="000000" w:themeColor="text1"/>
          <w:spacing w:val="-3"/>
          <w14:textFill>
            <w14:solidFill>
              <w14:schemeClr w14:val="tx1"/>
            </w14:solidFill>
          </w14:textFill>
        </w:rPr>
        <w:t>应用云计算、大数据、物联网、移动互联网、人工智能等信息通信技术</w:t>
      </w:r>
      <w:r>
        <w:rPr>
          <w:rFonts w:hint="eastAsia"/>
          <w:color w:val="000000" w:themeColor="text1"/>
          <w:sz w:val="21"/>
          <w:szCs w:val="21"/>
          <w14:textFill>
            <w14:solidFill>
              <w14:schemeClr w14:val="tx1"/>
            </w14:solidFill>
          </w14:textFill>
        </w:rPr>
        <w:t>，实现数字化建造、一体化管控和数据统一管理。</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 xml:space="preserve">4.2 </w:t>
      </w:r>
      <w:bookmarkStart w:id="7" w:name="OLE_LINK1"/>
      <w:bookmarkStart w:id="8" w:name="OLE_LINK2"/>
      <w:r>
        <w:rPr>
          <w:rFonts w:hint="eastAsia"/>
          <w:color w:val="000000" w:themeColor="text1"/>
          <w:sz w:val="21"/>
          <w:szCs w:val="21"/>
          <w14:textFill>
            <w14:solidFill>
              <w14:schemeClr w14:val="tx1"/>
            </w14:solidFill>
          </w14:textFill>
        </w:rPr>
        <w:t>智慧工地</w:t>
      </w:r>
      <w:bookmarkEnd w:id="7"/>
      <w:bookmarkEnd w:id="8"/>
      <w:r>
        <w:rPr>
          <w:rFonts w:hint="eastAsia"/>
          <w:color w:val="000000" w:themeColor="text1"/>
          <w:sz w:val="21"/>
          <w:szCs w:val="21"/>
          <w14:textFill>
            <w14:solidFill>
              <w14:schemeClr w14:val="tx1"/>
            </w14:solidFill>
          </w14:textFill>
        </w:rPr>
        <w:t>管理系统应统一技术架构、开发设计、数据策略及安全防护等，保持系统设计、开发、实施过程中全过程标准化管理，系统架构应具有开放性。</w:t>
      </w:r>
    </w:p>
    <w:p>
      <w:pPr>
        <w:tabs>
          <w:tab w:val="left" w:pos="859"/>
          <w:tab w:val="left" w:pos="5245"/>
        </w:tabs>
        <w:overflowPunct w:val="0"/>
        <w:spacing w:before="120" w:beforeLines="50" w:after="120" w:after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4.3 智慧工地管理系统应与三维可视化模型技术相结合。</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4.4 智慧工地管理系统应具备面向政府监管部门、上级单位、参建单位管理系统及公用数据系统的接口。</w:t>
      </w:r>
    </w:p>
    <w:p>
      <w:pPr>
        <w:tabs>
          <w:tab w:val="left" w:pos="859"/>
        </w:tabs>
        <w:overflowPunct w:val="0"/>
        <w:spacing w:before="120" w:beforeLines="50" w:after="120" w:after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4.6 智慧工地功能应用应采用模块化，考虑火力发电工程建设应用场景，兼顾整体数字化规划和生产期智慧电厂应用扩展需求，典型应用及功能架构见附录A。</w:t>
      </w:r>
    </w:p>
    <w:p>
      <w:pPr>
        <w:tabs>
          <w:tab w:val="left" w:pos="859"/>
        </w:tabs>
        <w:overflowPunct w:val="0"/>
        <w:spacing w:before="120" w:beforeLines="50" w:after="120" w:after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4.7 智慧工地管理系统宜建立统一的数据平台，通过数据交互、数据关联，构建项目管理的综合应用场景。</w:t>
      </w:r>
    </w:p>
    <w:p>
      <w:pPr>
        <w:tabs>
          <w:tab w:val="left" w:pos="859"/>
        </w:tabs>
        <w:overflowPunct w:val="0"/>
        <w:spacing w:before="120" w:beforeLines="50" w:after="120" w:after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4.8 智慧工地管理系统应涵盖项目管理全过程、全要素，实现工作量化、过程控制、结果追溯、管理闭环。</w:t>
      </w:r>
    </w:p>
    <w:p>
      <w:pPr>
        <w:tabs>
          <w:tab w:val="left" w:pos="859"/>
        </w:tabs>
        <w:overflowPunct w:val="0"/>
        <w:spacing w:before="120" w:beforeLines="50" w:after="120" w:after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4.9 智慧工地管理系统硬件设备和软件系统的选型应从技术安全性角度出发，坚持自主可控的原则和国产可替代的技术导向。</w:t>
      </w:r>
    </w:p>
    <w:p>
      <w:pPr>
        <w:tabs>
          <w:tab w:val="left" w:pos="859"/>
        </w:tabs>
        <w:overflowPunct w:val="0"/>
        <w:spacing w:before="120" w:beforeLines="50" w:after="120" w:afterLines="50" w:line="278" w:lineRule="auto"/>
        <w:ind w:left="141" w:leftChars="64" w:right="215"/>
        <w:rPr>
          <w:color w:val="000000" w:themeColor="text1"/>
          <w14:textFill>
            <w14:solidFill>
              <w14:schemeClr w14:val="tx1"/>
            </w14:solidFill>
          </w14:textFill>
        </w:rPr>
      </w:pPr>
      <w:r>
        <w:rPr>
          <w:rFonts w:hint="eastAsia"/>
          <w:color w:val="000000" w:themeColor="text1"/>
          <w:sz w:val="21"/>
          <w:szCs w:val="21"/>
          <w14:textFill>
            <w14:solidFill>
              <w14:schemeClr w14:val="tx1"/>
            </w14:solidFill>
          </w14:textFill>
        </w:rPr>
        <w:t>4.10 智慧工地管理系统宜选择具有易维护、易扩展、轻量化的云平台。</w:t>
      </w:r>
    </w:p>
    <w:p>
      <w:pPr>
        <w:ind w:firstLine="140" w:firstLineChars="67"/>
        <w:rPr>
          <w:color w:val="000000" w:themeColor="text1"/>
          <w14:textFill>
            <w14:solidFill>
              <w14:schemeClr w14:val="tx1"/>
            </w14:solidFill>
          </w14:textFill>
        </w:rPr>
      </w:pPr>
      <w:r>
        <w:rPr>
          <w:rFonts w:hint="eastAsia"/>
          <w:color w:val="000000" w:themeColor="text1"/>
          <w:sz w:val="21"/>
          <w:szCs w:val="21"/>
          <w14:textFill>
            <w14:solidFill>
              <w14:schemeClr w14:val="tx1"/>
            </w14:solidFill>
          </w14:textFill>
        </w:rPr>
        <w:t>4.11 智慧工地管理系统应建立统一规范的数字化移交工作内容与流程。</w:t>
      </w:r>
    </w:p>
    <w:p>
      <w:pPr>
        <w:tabs>
          <w:tab w:val="left" w:pos="859"/>
          <w:tab w:val="left" w:pos="5245"/>
        </w:tabs>
        <w:overflowPunct w:val="0"/>
        <w:spacing w:before="120" w:beforeLines="50" w:after="120" w:after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w:t>
      </w:r>
      <w:r>
        <w:rPr>
          <w:color w:val="000000" w:themeColor="text1"/>
          <w:sz w:val="21"/>
          <w:szCs w:val="21"/>
          <w14:textFill>
            <w14:solidFill>
              <w14:schemeClr w14:val="tx1"/>
            </w14:solidFill>
          </w14:textFill>
        </w:rPr>
        <w:t>.</w:t>
      </w:r>
      <w:r>
        <w:rPr>
          <w:rFonts w:hint="eastAsia"/>
          <w:color w:val="000000" w:themeColor="text1"/>
          <w:sz w:val="21"/>
          <w:szCs w:val="21"/>
          <w14:textFill>
            <w14:solidFill>
              <w14:schemeClr w14:val="tx1"/>
            </w14:solidFill>
          </w14:textFill>
        </w:rPr>
        <w:t>12 智慧工地管理系统宜满足《数据管理能力成熟度评估模型》GB/T</w:t>
      </w:r>
      <w:r>
        <w:rPr>
          <w:color w:val="000000" w:themeColor="text1"/>
          <w:sz w:val="21"/>
          <w:szCs w:val="21"/>
          <w14:textFill>
            <w14:solidFill>
              <w14:schemeClr w14:val="tx1"/>
            </w14:solidFill>
          </w14:textFill>
        </w:rPr>
        <w:t xml:space="preserve"> 36073</w:t>
      </w:r>
      <w:r>
        <w:rPr>
          <w:rFonts w:hint="eastAsia"/>
          <w:color w:val="000000" w:themeColor="text1"/>
          <w:sz w:val="21"/>
          <w:szCs w:val="21"/>
          <w14:textFill>
            <w14:solidFill>
              <w14:schemeClr w14:val="tx1"/>
            </w14:solidFill>
          </w14:textFill>
        </w:rPr>
        <w:t>中受管理级、稳健级要求。</w:t>
      </w:r>
      <w:r>
        <w:rPr>
          <w:color w:val="000000" w:themeColor="text1"/>
          <w:sz w:val="21"/>
          <w:szCs w:val="21"/>
          <w14:textFill>
            <w14:solidFill>
              <w14:schemeClr w14:val="tx1"/>
            </w14:solidFill>
          </w14:textFill>
        </w:rPr>
        <w:t xml:space="preserve"> </w:t>
      </w:r>
    </w:p>
    <w:p>
      <w:pPr>
        <w:tabs>
          <w:tab w:val="left" w:pos="859"/>
          <w:tab w:val="left" w:pos="5245"/>
        </w:tabs>
        <w:overflowPunct w:val="0"/>
        <w:spacing w:before="120" w:beforeLines="50" w:after="120" w:after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4.13 智慧工地管理系统基础设施应包括信息采集设备、网络基础设施、技术平台、控制机房、信息应用终端，详见附录B。智慧工地管理系统的部署、安装、运行及维护要求，详见附录C。</w:t>
      </w:r>
    </w:p>
    <w:p>
      <w:pPr>
        <w:rPr>
          <w:color w:val="000000" w:themeColor="text1"/>
          <w:sz w:val="21"/>
          <w:szCs w:val="21"/>
          <w14:textFill>
            <w14:solidFill>
              <w14:schemeClr w14:val="tx1"/>
            </w14:solidFill>
          </w14:textFill>
        </w:rPr>
      </w:pPr>
    </w:p>
    <w:p>
      <w:pPr>
        <w:pStyle w:val="4"/>
        <w:jc w:val="left"/>
        <w:rPr>
          <w:color w:val="000000" w:themeColor="text1"/>
          <w:sz w:val="21"/>
          <w:szCs w:val="21"/>
          <w14:textFill>
            <w14:solidFill>
              <w14:schemeClr w14:val="tx1"/>
            </w14:solidFill>
          </w14:textFill>
        </w:rPr>
      </w:pPr>
      <w:bookmarkStart w:id="9" w:name="_Toc141106879"/>
      <w:r>
        <w:rPr>
          <w:rFonts w:hint="eastAsia"/>
          <w:color w:val="000000" w:themeColor="text1"/>
          <w:sz w:val="21"/>
          <w:szCs w:val="21"/>
          <w14:textFill>
            <w14:solidFill>
              <w14:schemeClr w14:val="tx1"/>
            </w14:solidFill>
          </w14:textFill>
        </w:rPr>
        <w:t>5 设计管理</w:t>
      </w:r>
      <w:bookmarkEnd w:id="9"/>
    </w:p>
    <w:p>
      <w:pPr>
        <w:tabs>
          <w:tab w:val="left" w:pos="859"/>
          <w:tab w:val="left" w:pos="5245"/>
        </w:tabs>
        <w:overflowPunct w:val="0"/>
        <w:spacing w:before="120" w:beforeLines="50" w:after="120" w:after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5.1 设计管理应包括设计资料录入、设计成品交底、设计成品展示、设计成品应用等。</w:t>
      </w:r>
    </w:p>
    <w:p>
      <w:pPr>
        <w:tabs>
          <w:tab w:val="left" w:pos="859"/>
          <w:tab w:val="left" w:pos="5245"/>
        </w:tabs>
        <w:overflowPunct w:val="0"/>
        <w:spacing w:before="120" w:beforeLines="50" w:after="120" w:after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5.2 设计资料录入包括图纸、说明书、三维可视化模型等。设计文档应及时录入智慧工地管理系统。</w:t>
      </w:r>
    </w:p>
    <w:p>
      <w:pPr>
        <w:tabs>
          <w:tab w:val="left" w:pos="859"/>
          <w:tab w:val="left" w:pos="5245"/>
        </w:tabs>
        <w:overflowPunct w:val="0"/>
        <w:spacing w:before="120" w:beforeLines="50" w:after="120" w:after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5.3 设计成品宜通过三维模型技术进行可视化交底。应实现项目相关方协同在线审核，应实现批注、发送、接收、修改全过程数字化管理，应具备文档更新记录和查看功能，应体现设计变更过程。</w:t>
      </w:r>
    </w:p>
    <w:p>
      <w:pPr>
        <w:tabs>
          <w:tab w:val="left" w:pos="859"/>
          <w:tab w:val="left" w:pos="5245"/>
        </w:tabs>
        <w:overflowPunct w:val="0"/>
        <w:spacing w:before="120" w:beforeLines="50" w:after="120" w:after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5.4 设计成品宜满足项目三维可视化展示，实现采购信息、施工信息、地理信息与设计信息等数据的互通。</w:t>
      </w:r>
    </w:p>
    <w:p>
      <w:pPr>
        <w:tabs>
          <w:tab w:val="left" w:pos="859"/>
          <w:tab w:val="left" w:pos="5245"/>
        </w:tabs>
        <w:overflowPunct w:val="0"/>
        <w:spacing w:before="120" w:beforeLines="50" w:after="120" w:after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5.5 设计成品宜满足设计、采购业务链数字化协同，提高业务流程自动化，缩短采购周期，降低采购成本。</w:t>
      </w:r>
    </w:p>
    <w:p>
      <w:pPr>
        <w:tabs>
          <w:tab w:val="left" w:pos="859"/>
          <w:tab w:val="left" w:pos="5245"/>
        </w:tabs>
        <w:overflowPunct w:val="0"/>
        <w:spacing w:before="120" w:beforeLines="50" w:after="120" w:after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5.6 设计成品应满足移动终端应用，应能实现管理人员通过移动设备浏览项目模型及图纸，实现各类预警提示的发送。</w:t>
      </w:r>
    </w:p>
    <w:p>
      <w:pPr>
        <w:rPr>
          <w:sz w:val="21"/>
          <w:szCs w:val="21"/>
        </w:rPr>
      </w:pPr>
    </w:p>
    <w:p>
      <w:pPr>
        <w:pStyle w:val="4"/>
        <w:jc w:val="left"/>
        <w:rPr>
          <w:sz w:val="21"/>
          <w:szCs w:val="21"/>
        </w:rPr>
      </w:pPr>
      <w:bookmarkStart w:id="10" w:name="_Toc141106880"/>
      <w:r>
        <w:rPr>
          <w:rFonts w:hint="eastAsia"/>
          <w:sz w:val="21"/>
          <w:szCs w:val="21"/>
        </w:rPr>
        <w:t>6</w:t>
      </w:r>
      <w:r>
        <w:rPr>
          <w:sz w:val="21"/>
          <w:szCs w:val="21"/>
        </w:rPr>
        <w:t xml:space="preserve"> </w:t>
      </w:r>
      <w:r>
        <w:rPr>
          <w:rFonts w:hint="eastAsia"/>
          <w:sz w:val="21"/>
          <w:szCs w:val="21"/>
        </w:rPr>
        <w:t>采购管理</w:t>
      </w:r>
      <w:bookmarkEnd w:id="10"/>
    </w:p>
    <w:p>
      <w:pPr>
        <w:tabs>
          <w:tab w:val="left" w:pos="859"/>
          <w:tab w:val="left" w:pos="5245"/>
        </w:tabs>
        <w:overflowPunct w:val="0"/>
        <w:spacing w:before="120" w:beforeLines="50" w:after="120" w:after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6.1 采购管理应建立采购全过程跟踪管理，对资源需求、采购周期、加工周期、运输周期、供应商、监造过程、合同、物资出入库进行在线管理和监控；应支持对物资管理过程、价格、库存、用料领料的信息展示。</w:t>
      </w:r>
    </w:p>
    <w:p>
      <w:pPr>
        <w:tabs>
          <w:tab w:val="left" w:pos="859"/>
          <w:tab w:val="left" w:pos="5245"/>
        </w:tabs>
        <w:overflowPunct w:val="0"/>
        <w:spacing w:before="120" w:beforeLines="50" w:after="120" w:after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6.2 采购管理应支持制定项目资源计划，包括需求计划、采购计划、到货计划。应实现计划的在线流转、审批和信息发布，并可对计划的执行情况进行考核和处置。应与设计管理、施工管理功能联动，通过物联网技术实时掌握设备材料运输情况，合理安排施工进度。</w:t>
      </w:r>
    </w:p>
    <w:p>
      <w:pPr>
        <w:tabs>
          <w:tab w:val="left" w:pos="859"/>
          <w:tab w:val="left" w:pos="5245"/>
        </w:tabs>
        <w:overflowPunct w:val="0"/>
        <w:spacing w:before="120" w:beforeLines="50" w:after="120" w:after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6.3 采购管理应建立供应商数据库，支持对供应商进行注册审核、服务能力评价等功能。应支持在采购供应、合同订立、进场验收、仓储管理、使用管理及不合格品处置等管理过程中对供应商进行选择，进行记录、追踪、分析、比对和评价。</w:t>
      </w:r>
    </w:p>
    <w:p>
      <w:pPr>
        <w:tabs>
          <w:tab w:val="left" w:pos="859"/>
          <w:tab w:val="left" w:pos="5245"/>
        </w:tabs>
        <w:overflowPunct w:val="0"/>
        <w:spacing w:before="120" w:beforeLines="50" w:after="120" w:after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6.4 对物资分类管理和标识管理，宜建立物资数据字典并根据物资分类情况制定编码规则，生成物资唯一编码。</w:t>
      </w:r>
    </w:p>
    <w:p>
      <w:pPr>
        <w:tabs>
          <w:tab w:val="left" w:pos="859"/>
          <w:tab w:val="left" w:pos="5245"/>
        </w:tabs>
        <w:overflowPunct w:val="0"/>
        <w:spacing w:before="120" w:beforeLines="50" w:after="120" w:after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6.5 采购管理宜支持对合同范围内关键部件、精密仪器等电力设备的监造过程管理，包括监造工作组织及监造计划、监造实施细则的制定及审批，监造资料的管理和归档。</w:t>
      </w:r>
    </w:p>
    <w:p>
      <w:pPr>
        <w:tabs>
          <w:tab w:val="left" w:pos="859"/>
          <w:tab w:val="left" w:pos="5245"/>
        </w:tabs>
        <w:overflowPunct w:val="0"/>
        <w:spacing w:before="120" w:beforeLines="50" w:after="120" w:after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6.6 采购管理应支持对物资进行开箱检验、入库出库管理，包括开箱检验申请、开箱记录、开箱缺陷通知、开箱处理报验、物资入库登记、领用、借用、退库、出库等管理内容。</w:t>
      </w:r>
    </w:p>
    <w:p>
      <w:pPr>
        <w:tabs>
          <w:tab w:val="left" w:pos="859"/>
          <w:tab w:val="left" w:pos="5245"/>
        </w:tabs>
        <w:overflowPunct w:val="0"/>
        <w:spacing w:before="120" w:beforeLines="50" w:after="120" w:after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6.7 采购管理应支持建立对施工原材料管理过程、四大管道领料过程的管理监控。</w:t>
      </w:r>
    </w:p>
    <w:p>
      <w:pPr>
        <w:tabs>
          <w:tab w:val="left" w:pos="859"/>
          <w:tab w:val="left" w:pos="5245"/>
        </w:tabs>
        <w:overflowPunct w:val="0"/>
        <w:spacing w:before="120" w:beforeLines="50" w:after="120" w:after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6.8 采购管理应支持对工程建设现场产生的剩余、废旧物资进行盘点、登记、核查、处置等过程的管理。</w:t>
      </w:r>
    </w:p>
    <w:p>
      <w:pPr>
        <w:tabs>
          <w:tab w:val="left" w:pos="859"/>
          <w:tab w:val="left" w:pos="5245"/>
        </w:tabs>
        <w:overflowPunct w:val="0"/>
        <w:spacing w:before="120" w:beforeLines="50" w:after="120" w:after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6.9 采购管理宜建立物流在线跟踪，放射源、炸药等危险物品监督，库存消防监测等业务管理过程。</w:t>
      </w:r>
    </w:p>
    <w:p>
      <w:pPr>
        <w:tabs>
          <w:tab w:val="left" w:pos="859"/>
          <w:tab w:val="left" w:pos="5245"/>
        </w:tabs>
        <w:overflowPunct w:val="0"/>
        <w:spacing w:before="120" w:beforeLines="50" w:after="120" w:after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6.10 采购管理应支持对采购过程、物资管理过程数据进行统计报表，宜采用图表对数据进行统计和多维展示。</w:t>
      </w:r>
    </w:p>
    <w:p>
      <w:pPr>
        <w:rPr>
          <w:sz w:val="21"/>
          <w:szCs w:val="21"/>
        </w:rPr>
      </w:pPr>
    </w:p>
    <w:p>
      <w:pPr>
        <w:pStyle w:val="4"/>
        <w:jc w:val="left"/>
        <w:rPr>
          <w:sz w:val="21"/>
          <w:szCs w:val="21"/>
        </w:rPr>
      </w:pPr>
      <w:bookmarkStart w:id="11" w:name="_Toc141106881"/>
      <w:r>
        <w:rPr>
          <w:rFonts w:hint="eastAsia"/>
          <w:sz w:val="21"/>
          <w:szCs w:val="21"/>
        </w:rPr>
        <w:t>7</w:t>
      </w:r>
      <w:r>
        <w:rPr>
          <w:sz w:val="21"/>
          <w:szCs w:val="21"/>
        </w:rPr>
        <w:t xml:space="preserve"> </w:t>
      </w:r>
      <w:r>
        <w:rPr>
          <w:rFonts w:hint="eastAsia"/>
          <w:sz w:val="21"/>
          <w:szCs w:val="21"/>
        </w:rPr>
        <w:t>施工管理</w:t>
      </w:r>
      <w:bookmarkEnd w:id="11"/>
    </w:p>
    <w:p>
      <w:pPr>
        <w:tabs>
          <w:tab w:val="left" w:pos="859"/>
        </w:tabs>
        <w:overflowPunct w:val="0"/>
        <w:spacing w:before="120" w:beforeLines="50" w:line="278" w:lineRule="auto"/>
        <w:ind w:left="141" w:leftChars="64" w:right="215"/>
        <w:rPr>
          <w:sz w:val="21"/>
          <w:szCs w:val="21"/>
        </w:rPr>
      </w:pPr>
      <w:r>
        <w:rPr>
          <w:rFonts w:hint="eastAsia"/>
          <w:sz w:val="21"/>
          <w:szCs w:val="21"/>
        </w:rPr>
        <w:t>7</w:t>
      </w:r>
      <w:r>
        <w:rPr>
          <w:sz w:val="21"/>
          <w:szCs w:val="21"/>
        </w:rPr>
        <w:t>.</w:t>
      </w:r>
      <w:r>
        <w:rPr>
          <w:rFonts w:hint="eastAsia"/>
          <w:sz w:val="21"/>
          <w:szCs w:val="21"/>
        </w:rPr>
        <w:t>1 土建阶段施工管理应包括：施工组织设计、施工方案，土建阶段技术文件，各类资质管理，工程机械及工器具管理，</w:t>
      </w:r>
      <w:r>
        <w:rPr>
          <w:rFonts w:hint="eastAsia"/>
          <w:spacing w:val="-3"/>
          <w:sz w:val="21"/>
          <w:szCs w:val="21"/>
        </w:rPr>
        <w:t>塔机监测，</w:t>
      </w:r>
      <w:r>
        <w:rPr>
          <w:rFonts w:hint="eastAsia"/>
          <w:sz w:val="21"/>
          <w:szCs w:val="21"/>
        </w:rPr>
        <w:t>地基与基础，高支模监测，高边坡监测，外墙脚手架监测，智能张拉监测系统、施工升降电梯监测、冷却塔施工、烟囱施工。具体功能要求见表1：</w:t>
      </w:r>
    </w:p>
    <w:p>
      <w:pPr>
        <w:tabs>
          <w:tab w:val="left" w:pos="859"/>
        </w:tabs>
        <w:overflowPunct w:val="0"/>
        <w:spacing w:before="120" w:beforeLines="50" w:line="278" w:lineRule="auto"/>
        <w:ind w:right="215"/>
        <w:jc w:val="center"/>
        <w:rPr>
          <w:b/>
          <w:bCs/>
          <w:sz w:val="21"/>
          <w:szCs w:val="21"/>
        </w:rPr>
      </w:pPr>
      <w:r>
        <w:rPr>
          <w:rFonts w:hint="eastAsia"/>
          <w:b/>
          <w:bCs/>
          <w:sz w:val="21"/>
          <w:szCs w:val="21"/>
        </w:rPr>
        <w:t>表7.1 土建阶段施工管理内容及功能要求</w:t>
      </w:r>
    </w:p>
    <w:tbl>
      <w:tblPr>
        <w:tblStyle w:val="21"/>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1295"/>
        <w:gridCol w:w="2105"/>
        <w:gridCol w:w="5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64" w:type="dxa"/>
            <w:shd w:val="clear" w:color="auto" w:fill="auto"/>
            <w:vAlign w:val="center"/>
          </w:tcPr>
          <w:p>
            <w:pPr>
              <w:overflowPunct w:val="0"/>
              <w:ind w:right="34"/>
              <w:jc w:val="center"/>
              <w:rPr>
                <w:b/>
                <w:bCs/>
                <w:spacing w:val="-3"/>
                <w:sz w:val="21"/>
                <w:szCs w:val="21"/>
              </w:rPr>
            </w:pPr>
            <w:r>
              <w:rPr>
                <w:rFonts w:hint="eastAsia"/>
                <w:b/>
                <w:bCs/>
                <w:spacing w:val="-3"/>
                <w:sz w:val="21"/>
                <w:szCs w:val="21"/>
              </w:rPr>
              <w:t>序号</w:t>
            </w:r>
          </w:p>
        </w:tc>
        <w:tc>
          <w:tcPr>
            <w:tcW w:w="3400" w:type="dxa"/>
            <w:gridSpan w:val="2"/>
            <w:shd w:val="clear" w:color="auto" w:fill="auto"/>
            <w:vAlign w:val="center"/>
          </w:tcPr>
          <w:p>
            <w:pPr>
              <w:overflowPunct w:val="0"/>
              <w:ind w:right="210"/>
              <w:jc w:val="center"/>
              <w:rPr>
                <w:b/>
                <w:bCs/>
                <w:spacing w:val="-3"/>
                <w:sz w:val="21"/>
                <w:szCs w:val="21"/>
              </w:rPr>
            </w:pPr>
            <w:r>
              <w:rPr>
                <w:rFonts w:hint="eastAsia"/>
                <w:b/>
                <w:bCs/>
                <w:spacing w:val="-3"/>
                <w:sz w:val="21"/>
                <w:szCs w:val="21"/>
              </w:rPr>
              <w:t>管理内容</w:t>
            </w:r>
          </w:p>
        </w:tc>
        <w:tc>
          <w:tcPr>
            <w:tcW w:w="5625" w:type="dxa"/>
            <w:shd w:val="clear" w:color="auto" w:fill="auto"/>
            <w:vAlign w:val="center"/>
          </w:tcPr>
          <w:p>
            <w:pPr>
              <w:overflowPunct w:val="0"/>
              <w:ind w:right="210"/>
              <w:jc w:val="center"/>
              <w:rPr>
                <w:b/>
                <w:bCs/>
                <w:spacing w:val="-3"/>
                <w:sz w:val="21"/>
                <w:szCs w:val="21"/>
              </w:rPr>
            </w:pPr>
            <w:r>
              <w:rPr>
                <w:rFonts w:hint="eastAsia"/>
                <w:b/>
                <w:bCs/>
                <w:spacing w:val="-3"/>
                <w:sz w:val="21"/>
                <w:szCs w:val="21"/>
              </w:rPr>
              <w:t>功能要求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shd w:val="clear" w:color="auto" w:fill="auto"/>
            <w:vAlign w:val="center"/>
          </w:tcPr>
          <w:p>
            <w:pPr>
              <w:overflowPunct w:val="0"/>
              <w:snapToGrid w:val="0"/>
              <w:ind w:right="34"/>
              <w:jc w:val="center"/>
              <w:rPr>
                <w:spacing w:val="-3"/>
                <w:sz w:val="21"/>
                <w:szCs w:val="21"/>
              </w:rPr>
            </w:pPr>
            <w:r>
              <w:rPr>
                <w:rFonts w:hint="eastAsia"/>
                <w:spacing w:val="-3"/>
                <w:sz w:val="21"/>
                <w:szCs w:val="21"/>
              </w:rPr>
              <w:t>1</w:t>
            </w:r>
          </w:p>
        </w:tc>
        <w:tc>
          <w:tcPr>
            <w:tcW w:w="3400" w:type="dxa"/>
            <w:gridSpan w:val="2"/>
            <w:shd w:val="clear" w:color="auto" w:fill="auto"/>
            <w:vAlign w:val="center"/>
          </w:tcPr>
          <w:p>
            <w:pPr>
              <w:overflowPunct w:val="0"/>
              <w:snapToGrid w:val="0"/>
              <w:ind w:right="210"/>
              <w:jc w:val="center"/>
              <w:rPr>
                <w:spacing w:val="-3"/>
                <w:sz w:val="21"/>
                <w:szCs w:val="21"/>
              </w:rPr>
            </w:pPr>
            <w:r>
              <w:rPr>
                <w:rFonts w:hint="eastAsia"/>
                <w:spacing w:val="-3"/>
                <w:sz w:val="21"/>
                <w:szCs w:val="21"/>
              </w:rPr>
              <w:t>施工组织设计、施工方案</w:t>
            </w:r>
          </w:p>
        </w:tc>
        <w:tc>
          <w:tcPr>
            <w:tcW w:w="5625" w:type="dxa"/>
            <w:shd w:val="clear" w:color="auto" w:fill="auto"/>
            <w:vAlign w:val="center"/>
          </w:tcPr>
          <w:p>
            <w:pPr>
              <w:overflowPunct w:val="0"/>
              <w:snapToGrid w:val="0"/>
              <w:ind w:right="210"/>
              <w:rPr>
                <w:sz w:val="21"/>
                <w:szCs w:val="21"/>
              </w:rPr>
            </w:pPr>
            <w:r>
              <w:rPr>
                <w:rFonts w:hint="eastAsia"/>
                <w:sz w:val="21"/>
                <w:szCs w:val="21"/>
              </w:rPr>
              <w:t>提供在线查询、下载、传输功能；</w:t>
            </w:r>
          </w:p>
          <w:p>
            <w:pPr>
              <w:overflowPunct w:val="0"/>
              <w:snapToGrid w:val="0"/>
              <w:ind w:right="210"/>
              <w:rPr>
                <w:sz w:val="21"/>
                <w:szCs w:val="21"/>
              </w:rPr>
            </w:pPr>
            <w:r>
              <w:rPr>
                <w:rFonts w:hint="eastAsia"/>
                <w:sz w:val="21"/>
                <w:szCs w:val="21"/>
              </w:rPr>
              <w:t>提供进行三维可视化展示并用于方案交底的功能；</w:t>
            </w:r>
          </w:p>
          <w:p>
            <w:pPr>
              <w:overflowPunct w:val="0"/>
              <w:snapToGrid w:val="0"/>
              <w:ind w:right="210"/>
              <w:rPr>
                <w:sz w:val="21"/>
                <w:szCs w:val="21"/>
              </w:rPr>
            </w:pPr>
            <w:r>
              <w:rPr>
                <w:rFonts w:hint="eastAsia"/>
                <w:sz w:val="21"/>
                <w:szCs w:val="21"/>
              </w:rPr>
              <w:t>提供开具作业票，并根据交底结果与视频监控、智能巡查系统进行联动的功能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shd w:val="clear" w:color="auto" w:fill="auto"/>
            <w:vAlign w:val="center"/>
          </w:tcPr>
          <w:p>
            <w:pPr>
              <w:overflowPunct w:val="0"/>
              <w:snapToGrid w:val="0"/>
              <w:ind w:right="34"/>
              <w:jc w:val="center"/>
              <w:rPr>
                <w:spacing w:val="-3"/>
                <w:sz w:val="21"/>
                <w:szCs w:val="21"/>
              </w:rPr>
            </w:pPr>
            <w:r>
              <w:rPr>
                <w:rFonts w:hint="eastAsia"/>
                <w:spacing w:val="-3"/>
                <w:sz w:val="21"/>
                <w:szCs w:val="21"/>
              </w:rPr>
              <w:t>2</w:t>
            </w:r>
          </w:p>
        </w:tc>
        <w:tc>
          <w:tcPr>
            <w:tcW w:w="3400" w:type="dxa"/>
            <w:gridSpan w:val="2"/>
            <w:shd w:val="clear" w:color="auto" w:fill="auto"/>
            <w:vAlign w:val="center"/>
          </w:tcPr>
          <w:p>
            <w:pPr>
              <w:overflowPunct w:val="0"/>
              <w:snapToGrid w:val="0"/>
              <w:ind w:right="210"/>
              <w:jc w:val="center"/>
              <w:rPr>
                <w:spacing w:val="-3"/>
                <w:sz w:val="21"/>
                <w:szCs w:val="21"/>
              </w:rPr>
            </w:pPr>
            <w:r>
              <w:rPr>
                <w:rFonts w:hint="eastAsia"/>
                <w:spacing w:val="-3"/>
                <w:sz w:val="21"/>
                <w:szCs w:val="21"/>
              </w:rPr>
              <w:t>土建阶段技术文件</w:t>
            </w:r>
          </w:p>
        </w:tc>
        <w:tc>
          <w:tcPr>
            <w:tcW w:w="5625" w:type="dxa"/>
            <w:shd w:val="clear" w:color="auto" w:fill="auto"/>
            <w:vAlign w:val="center"/>
          </w:tcPr>
          <w:p>
            <w:pPr>
              <w:overflowPunct w:val="0"/>
              <w:snapToGrid w:val="0"/>
              <w:ind w:right="210"/>
              <w:rPr>
                <w:sz w:val="21"/>
                <w:szCs w:val="21"/>
              </w:rPr>
            </w:pPr>
            <w:r>
              <w:rPr>
                <w:rFonts w:hint="eastAsia"/>
                <w:sz w:val="21"/>
                <w:szCs w:val="21"/>
              </w:rPr>
              <w:t>提供技术文件在线提交、审査、台帐管理功能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shd w:val="clear" w:color="auto" w:fill="auto"/>
            <w:vAlign w:val="center"/>
          </w:tcPr>
          <w:p>
            <w:pPr>
              <w:overflowPunct w:val="0"/>
              <w:snapToGrid w:val="0"/>
              <w:ind w:right="34"/>
              <w:jc w:val="center"/>
              <w:rPr>
                <w:spacing w:val="-3"/>
                <w:sz w:val="21"/>
                <w:szCs w:val="21"/>
              </w:rPr>
            </w:pPr>
            <w:r>
              <w:rPr>
                <w:rFonts w:hint="eastAsia"/>
                <w:bCs/>
                <w:spacing w:val="-3"/>
                <w:sz w:val="21"/>
                <w:szCs w:val="21"/>
              </w:rPr>
              <w:t>3</w:t>
            </w:r>
          </w:p>
        </w:tc>
        <w:tc>
          <w:tcPr>
            <w:tcW w:w="3400" w:type="dxa"/>
            <w:gridSpan w:val="2"/>
            <w:shd w:val="clear" w:color="auto" w:fill="auto"/>
            <w:vAlign w:val="center"/>
          </w:tcPr>
          <w:p>
            <w:pPr>
              <w:overflowPunct w:val="0"/>
              <w:snapToGrid w:val="0"/>
              <w:ind w:right="210"/>
              <w:jc w:val="center"/>
              <w:rPr>
                <w:spacing w:val="-3"/>
                <w:sz w:val="21"/>
                <w:szCs w:val="21"/>
              </w:rPr>
            </w:pPr>
            <w:r>
              <w:rPr>
                <w:rFonts w:hint="eastAsia"/>
                <w:spacing w:val="-3"/>
                <w:sz w:val="21"/>
                <w:szCs w:val="21"/>
              </w:rPr>
              <w:t>各类资质管理</w:t>
            </w:r>
          </w:p>
        </w:tc>
        <w:tc>
          <w:tcPr>
            <w:tcW w:w="5625" w:type="dxa"/>
            <w:shd w:val="clear" w:color="auto" w:fill="auto"/>
            <w:vAlign w:val="center"/>
          </w:tcPr>
          <w:p>
            <w:pPr>
              <w:overflowPunct w:val="0"/>
              <w:snapToGrid w:val="0"/>
              <w:ind w:right="210"/>
              <w:rPr>
                <w:sz w:val="21"/>
                <w:szCs w:val="21"/>
              </w:rPr>
            </w:pPr>
            <w:r>
              <w:rPr>
                <w:rFonts w:hint="eastAsia"/>
                <w:sz w:val="21"/>
                <w:szCs w:val="21"/>
              </w:rPr>
              <w:t>对施工单位、特种作业人员的专业资质证书进行管理，满足信息录入、查询、证件到期提前预警等功能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shd w:val="clear" w:color="auto" w:fill="auto"/>
            <w:vAlign w:val="center"/>
          </w:tcPr>
          <w:p>
            <w:pPr>
              <w:overflowPunct w:val="0"/>
              <w:ind w:right="34"/>
              <w:jc w:val="center"/>
              <w:rPr>
                <w:bCs/>
                <w:spacing w:val="-3"/>
                <w:sz w:val="21"/>
                <w:szCs w:val="21"/>
              </w:rPr>
            </w:pPr>
            <w:r>
              <w:rPr>
                <w:rFonts w:hint="eastAsia"/>
                <w:bCs/>
                <w:spacing w:val="-3"/>
                <w:sz w:val="21"/>
                <w:szCs w:val="21"/>
              </w:rPr>
              <w:t>4</w:t>
            </w:r>
          </w:p>
        </w:tc>
        <w:tc>
          <w:tcPr>
            <w:tcW w:w="3400" w:type="dxa"/>
            <w:gridSpan w:val="2"/>
            <w:shd w:val="clear" w:color="auto" w:fill="auto"/>
            <w:vAlign w:val="center"/>
          </w:tcPr>
          <w:p>
            <w:pPr>
              <w:overflowPunct w:val="0"/>
              <w:snapToGrid w:val="0"/>
              <w:ind w:right="210"/>
              <w:jc w:val="center"/>
              <w:rPr>
                <w:spacing w:val="-3"/>
                <w:sz w:val="21"/>
                <w:szCs w:val="21"/>
              </w:rPr>
            </w:pPr>
            <w:r>
              <w:rPr>
                <w:rFonts w:hint="eastAsia"/>
                <w:color w:val="000000" w:themeColor="text1"/>
                <w14:textFill>
                  <w14:solidFill>
                    <w14:schemeClr w14:val="tx1"/>
                  </w14:solidFill>
                </w14:textFill>
              </w:rPr>
              <w:t>工程机械及工器具管理、物料</w:t>
            </w:r>
          </w:p>
        </w:tc>
        <w:tc>
          <w:tcPr>
            <w:tcW w:w="5625" w:type="dxa"/>
            <w:shd w:val="clear" w:color="auto" w:fill="auto"/>
            <w:vAlign w:val="center"/>
          </w:tcPr>
          <w:p>
            <w:pPr>
              <w:overflowPunct w:val="0"/>
              <w:ind w:right="34"/>
              <w:rPr>
                <w:sz w:val="21"/>
                <w:szCs w:val="21"/>
              </w:rPr>
            </w:pPr>
            <w:r>
              <w:rPr>
                <w:rFonts w:hint="eastAsia"/>
                <w:sz w:val="21"/>
                <w:szCs w:val="21"/>
              </w:rPr>
              <w:t>对大型机械及工器具进行管理，满足大型机械及工器具的进场、使用、维护、验收、调拨记录的登记、查询，以及合规性证件管理。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Merge w:val="restart"/>
            <w:shd w:val="clear" w:color="auto" w:fill="auto"/>
            <w:vAlign w:val="center"/>
          </w:tcPr>
          <w:p>
            <w:pPr>
              <w:overflowPunct w:val="0"/>
              <w:snapToGrid w:val="0"/>
              <w:ind w:right="34"/>
              <w:jc w:val="center"/>
              <w:rPr>
                <w:bCs/>
                <w:spacing w:val="-3"/>
                <w:sz w:val="21"/>
                <w:szCs w:val="21"/>
              </w:rPr>
            </w:pPr>
            <w:r>
              <w:rPr>
                <w:rFonts w:hint="eastAsia"/>
                <w:bCs/>
                <w:spacing w:val="-3"/>
                <w:sz w:val="21"/>
                <w:szCs w:val="21"/>
              </w:rPr>
              <w:t>5</w:t>
            </w:r>
          </w:p>
        </w:tc>
        <w:tc>
          <w:tcPr>
            <w:tcW w:w="1295" w:type="dxa"/>
            <w:vMerge w:val="restart"/>
            <w:shd w:val="clear" w:color="auto" w:fill="auto"/>
            <w:vAlign w:val="center"/>
          </w:tcPr>
          <w:p>
            <w:pPr>
              <w:overflowPunct w:val="0"/>
              <w:snapToGrid w:val="0"/>
              <w:ind w:right="210"/>
              <w:jc w:val="center"/>
              <w:rPr>
                <w:spacing w:val="-3"/>
                <w:sz w:val="21"/>
                <w:szCs w:val="21"/>
              </w:rPr>
            </w:pPr>
            <w:r>
              <w:rPr>
                <w:rFonts w:hint="eastAsia"/>
                <w:spacing w:val="-3"/>
                <w:sz w:val="21"/>
                <w:szCs w:val="21"/>
              </w:rPr>
              <w:t>塔机监测</w:t>
            </w:r>
          </w:p>
        </w:tc>
        <w:tc>
          <w:tcPr>
            <w:tcW w:w="2105" w:type="dxa"/>
            <w:shd w:val="clear" w:color="auto" w:fill="auto"/>
            <w:vAlign w:val="center"/>
          </w:tcPr>
          <w:p>
            <w:pPr>
              <w:overflowPunct w:val="0"/>
              <w:snapToGrid w:val="0"/>
              <w:ind w:right="210"/>
              <w:jc w:val="center"/>
              <w:rPr>
                <w:spacing w:val="-3"/>
                <w:sz w:val="21"/>
                <w:szCs w:val="21"/>
              </w:rPr>
            </w:pPr>
            <w:r>
              <w:rPr>
                <w:rFonts w:hint="eastAsia"/>
                <w:spacing w:val="-3"/>
                <w:sz w:val="21"/>
                <w:szCs w:val="21"/>
              </w:rPr>
              <w:t>限位监测</w:t>
            </w:r>
          </w:p>
        </w:tc>
        <w:tc>
          <w:tcPr>
            <w:tcW w:w="5625" w:type="dxa"/>
            <w:shd w:val="clear" w:color="auto" w:fill="auto"/>
            <w:vAlign w:val="center"/>
          </w:tcPr>
          <w:p>
            <w:pPr>
              <w:overflowPunct w:val="0"/>
              <w:snapToGrid w:val="0"/>
              <w:ind w:right="210"/>
              <w:rPr>
                <w:sz w:val="21"/>
                <w:szCs w:val="21"/>
              </w:rPr>
            </w:pPr>
            <w:r>
              <w:rPr>
                <w:rFonts w:hint="eastAsia"/>
                <w:sz w:val="21"/>
                <w:szCs w:val="21"/>
              </w:rPr>
              <w:t>通过塔机监测传感器实时监测并显示起吊高度、重量、幅度、回转、力矩等数据。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Merge w:val="continue"/>
            <w:shd w:val="clear" w:color="auto" w:fill="auto"/>
            <w:vAlign w:val="center"/>
          </w:tcPr>
          <w:p>
            <w:pPr>
              <w:overflowPunct w:val="0"/>
              <w:snapToGrid w:val="0"/>
              <w:ind w:right="34"/>
              <w:jc w:val="center"/>
              <w:rPr>
                <w:bCs/>
                <w:spacing w:val="-3"/>
                <w:sz w:val="21"/>
                <w:szCs w:val="21"/>
              </w:rPr>
            </w:pPr>
          </w:p>
        </w:tc>
        <w:tc>
          <w:tcPr>
            <w:tcW w:w="1295" w:type="dxa"/>
            <w:vMerge w:val="continue"/>
            <w:shd w:val="clear" w:color="auto" w:fill="auto"/>
            <w:vAlign w:val="center"/>
          </w:tcPr>
          <w:p>
            <w:pPr>
              <w:overflowPunct w:val="0"/>
              <w:snapToGrid w:val="0"/>
              <w:ind w:right="210"/>
              <w:jc w:val="center"/>
              <w:rPr>
                <w:spacing w:val="-3"/>
                <w:sz w:val="21"/>
                <w:szCs w:val="21"/>
              </w:rPr>
            </w:pPr>
          </w:p>
        </w:tc>
        <w:tc>
          <w:tcPr>
            <w:tcW w:w="2105" w:type="dxa"/>
            <w:shd w:val="clear" w:color="auto" w:fill="auto"/>
            <w:vAlign w:val="center"/>
          </w:tcPr>
          <w:p>
            <w:pPr>
              <w:overflowPunct w:val="0"/>
              <w:snapToGrid w:val="0"/>
              <w:ind w:right="210"/>
              <w:jc w:val="center"/>
              <w:rPr>
                <w:spacing w:val="-3"/>
                <w:sz w:val="21"/>
                <w:szCs w:val="21"/>
              </w:rPr>
            </w:pPr>
            <w:r>
              <w:rPr>
                <w:rFonts w:hint="eastAsia"/>
                <w:spacing w:val="-3"/>
                <w:sz w:val="21"/>
                <w:szCs w:val="21"/>
              </w:rPr>
              <w:t>群塔防碰撞</w:t>
            </w:r>
          </w:p>
        </w:tc>
        <w:tc>
          <w:tcPr>
            <w:tcW w:w="5625" w:type="dxa"/>
            <w:shd w:val="clear" w:color="auto" w:fill="auto"/>
            <w:vAlign w:val="center"/>
          </w:tcPr>
          <w:p>
            <w:pPr>
              <w:overflowPunct w:val="0"/>
              <w:snapToGrid w:val="0"/>
              <w:ind w:right="210"/>
              <w:rPr>
                <w:sz w:val="21"/>
                <w:szCs w:val="21"/>
              </w:rPr>
            </w:pPr>
            <w:r>
              <w:rPr>
                <w:rFonts w:hint="eastAsia"/>
                <w:sz w:val="21"/>
                <w:szCs w:val="21"/>
              </w:rPr>
              <w:t>具有防止群塔作业发生碰撞的功能，应能接收干涉运转装置发出的报警、避让指令，并给司机相应的提示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Merge w:val="continue"/>
            <w:shd w:val="clear" w:color="auto" w:fill="auto"/>
            <w:vAlign w:val="center"/>
          </w:tcPr>
          <w:p>
            <w:pPr>
              <w:overflowPunct w:val="0"/>
              <w:snapToGrid w:val="0"/>
              <w:ind w:right="34"/>
              <w:jc w:val="center"/>
              <w:rPr>
                <w:bCs/>
                <w:spacing w:val="-3"/>
                <w:sz w:val="21"/>
                <w:szCs w:val="21"/>
              </w:rPr>
            </w:pPr>
          </w:p>
        </w:tc>
        <w:tc>
          <w:tcPr>
            <w:tcW w:w="1295" w:type="dxa"/>
            <w:vMerge w:val="continue"/>
            <w:shd w:val="clear" w:color="auto" w:fill="auto"/>
            <w:vAlign w:val="center"/>
          </w:tcPr>
          <w:p>
            <w:pPr>
              <w:overflowPunct w:val="0"/>
              <w:snapToGrid w:val="0"/>
              <w:ind w:right="210"/>
              <w:jc w:val="center"/>
              <w:rPr>
                <w:spacing w:val="-3"/>
                <w:sz w:val="21"/>
                <w:szCs w:val="21"/>
              </w:rPr>
            </w:pPr>
          </w:p>
        </w:tc>
        <w:tc>
          <w:tcPr>
            <w:tcW w:w="2105" w:type="dxa"/>
            <w:shd w:val="clear" w:color="auto" w:fill="auto"/>
            <w:vAlign w:val="center"/>
          </w:tcPr>
          <w:p>
            <w:pPr>
              <w:overflowPunct w:val="0"/>
              <w:snapToGrid w:val="0"/>
              <w:ind w:right="210"/>
              <w:jc w:val="center"/>
              <w:rPr>
                <w:spacing w:val="-3"/>
                <w:sz w:val="21"/>
                <w:szCs w:val="21"/>
              </w:rPr>
            </w:pPr>
            <w:r>
              <w:rPr>
                <w:rFonts w:hint="eastAsia"/>
                <w:spacing w:val="-3"/>
                <w:sz w:val="21"/>
                <w:szCs w:val="21"/>
              </w:rPr>
              <w:t>区域保护</w:t>
            </w:r>
          </w:p>
        </w:tc>
        <w:tc>
          <w:tcPr>
            <w:tcW w:w="5625" w:type="dxa"/>
            <w:shd w:val="clear" w:color="auto" w:fill="auto"/>
            <w:vAlign w:val="center"/>
          </w:tcPr>
          <w:p>
            <w:pPr>
              <w:overflowPunct w:val="0"/>
              <w:snapToGrid w:val="0"/>
              <w:ind w:right="210"/>
              <w:rPr>
                <w:sz w:val="21"/>
                <w:szCs w:val="21"/>
              </w:rPr>
            </w:pPr>
            <w:r>
              <w:rPr>
                <w:rFonts w:hint="eastAsia"/>
                <w:sz w:val="21"/>
                <w:szCs w:val="21"/>
              </w:rPr>
              <w:t>通过塔机监测传感器限制塔臂进入某些特定区域，防止塔臂与障碍物发生碰撞的功能。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Merge w:val="continue"/>
            <w:shd w:val="clear" w:color="auto" w:fill="auto"/>
            <w:vAlign w:val="center"/>
          </w:tcPr>
          <w:p>
            <w:pPr>
              <w:overflowPunct w:val="0"/>
              <w:snapToGrid w:val="0"/>
              <w:ind w:right="34"/>
              <w:jc w:val="center"/>
              <w:rPr>
                <w:bCs/>
                <w:spacing w:val="-3"/>
                <w:sz w:val="21"/>
                <w:szCs w:val="21"/>
              </w:rPr>
            </w:pPr>
          </w:p>
        </w:tc>
        <w:tc>
          <w:tcPr>
            <w:tcW w:w="1295" w:type="dxa"/>
            <w:vMerge w:val="continue"/>
            <w:shd w:val="clear" w:color="auto" w:fill="auto"/>
            <w:vAlign w:val="center"/>
          </w:tcPr>
          <w:p>
            <w:pPr>
              <w:overflowPunct w:val="0"/>
              <w:snapToGrid w:val="0"/>
              <w:ind w:right="210"/>
              <w:jc w:val="center"/>
              <w:rPr>
                <w:spacing w:val="-3"/>
                <w:sz w:val="21"/>
                <w:szCs w:val="21"/>
              </w:rPr>
            </w:pPr>
          </w:p>
        </w:tc>
        <w:tc>
          <w:tcPr>
            <w:tcW w:w="2105" w:type="dxa"/>
            <w:shd w:val="clear" w:color="auto" w:fill="auto"/>
            <w:vAlign w:val="center"/>
          </w:tcPr>
          <w:p>
            <w:pPr>
              <w:overflowPunct w:val="0"/>
              <w:snapToGrid w:val="0"/>
              <w:ind w:right="210"/>
              <w:jc w:val="center"/>
              <w:rPr>
                <w:spacing w:val="-3"/>
                <w:sz w:val="21"/>
                <w:szCs w:val="21"/>
              </w:rPr>
            </w:pPr>
            <w:r>
              <w:rPr>
                <w:rFonts w:hint="eastAsia"/>
                <w:spacing w:val="-3"/>
                <w:sz w:val="21"/>
                <w:szCs w:val="21"/>
              </w:rPr>
              <w:t>远程监管</w:t>
            </w:r>
          </w:p>
        </w:tc>
        <w:tc>
          <w:tcPr>
            <w:tcW w:w="5625" w:type="dxa"/>
            <w:shd w:val="clear" w:color="auto" w:fill="auto"/>
            <w:vAlign w:val="center"/>
          </w:tcPr>
          <w:p>
            <w:pPr>
              <w:overflowPunct w:val="0"/>
              <w:snapToGrid w:val="0"/>
              <w:ind w:right="210"/>
              <w:rPr>
                <w:sz w:val="21"/>
                <w:szCs w:val="21"/>
              </w:rPr>
            </w:pPr>
            <w:r>
              <w:rPr>
                <w:rFonts w:hint="eastAsia"/>
                <w:sz w:val="21"/>
                <w:szCs w:val="21"/>
              </w:rPr>
              <w:t>塔机监测传感器可将数据传回智慧工地，通过手机移动客户端、计算机客户端远程查看设备实时数据，报警记录，工效分析等内容。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Merge w:val="continue"/>
            <w:shd w:val="clear" w:color="auto" w:fill="auto"/>
            <w:vAlign w:val="center"/>
          </w:tcPr>
          <w:p>
            <w:pPr>
              <w:overflowPunct w:val="0"/>
              <w:snapToGrid w:val="0"/>
              <w:ind w:right="34"/>
              <w:jc w:val="center"/>
              <w:rPr>
                <w:bCs/>
                <w:spacing w:val="-3"/>
                <w:sz w:val="21"/>
                <w:szCs w:val="21"/>
              </w:rPr>
            </w:pPr>
          </w:p>
        </w:tc>
        <w:tc>
          <w:tcPr>
            <w:tcW w:w="1295" w:type="dxa"/>
            <w:vMerge w:val="continue"/>
            <w:shd w:val="clear" w:color="auto" w:fill="auto"/>
            <w:vAlign w:val="center"/>
          </w:tcPr>
          <w:p>
            <w:pPr>
              <w:overflowPunct w:val="0"/>
              <w:snapToGrid w:val="0"/>
              <w:ind w:right="210"/>
              <w:jc w:val="center"/>
              <w:rPr>
                <w:spacing w:val="-3"/>
                <w:sz w:val="21"/>
                <w:szCs w:val="21"/>
              </w:rPr>
            </w:pPr>
          </w:p>
        </w:tc>
        <w:tc>
          <w:tcPr>
            <w:tcW w:w="2105" w:type="dxa"/>
            <w:shd w:val="clear" w:color="auto" w:fill="auto"/>
            <w:vAlign w:val="center"/>
          </w:tcPr>
          <w:p>
            <w:pPr>
              <w:overflowPunct w:val="0"/>
              <w:snapToGrid w:val="0"/>
              <w:ind w:right="210"/>
              <w:jc w:val="center"/>
              <w:rPr>
                <w:spacing w:val="-3"/>
                <w:sz w:val="21"/>
                <w:szCs w:val="21"/>
              </w:rPr>
            </w:pPr>
            <w:r>
              <w:rPr>
                <w:rFonts w:hint="eastAsia"/>
                <w:spacing w:val="-3"/>
                <w:sz w:val="21"/>
                <w:szCs w:val="21"/>
              </w:rPr>
              <w:t>工效分析</w:t>
            </w:r>
          </w:p>
        </w:tc>
        <w:tc>
          <w:tcPr>
            <w:tcW w:w="5625" w:type="dxa"/>
            <w:shd w:val="clear" w:color="auto" w:fill="auto"/>
            <w:vAlign w:val="center"/>
          </w:tcPr>
          <w:p>
            <w:pPr>
              <w:overflowPunct w:val="0"/>
              <w:snapToGrid w:val="0"/>
              <w:ind w:right="210"/>
              <w:rPr>
                <w:sz w:val="21"/>
                <w:szCs w:val="21"/>
              </w:rPr>
            </w:pPr>
            <w:r>
              <w:rPr>
                <w:rFonts w:hint="eastAsia"/>
                <w:sz w:val="21"/>
                <w:szCs w:val="21"/>
              </w:rPr>
              <w:t>综合掌握塔机的循环次数、载重、报警信息等，提供多角度分析。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864" w:type="dxa"/>
            <w:vMerge w:val="restart"/>
            <w:shd w:val="clear" w:color="auto" w:fill="auto"/>
            <w:vAlign w:val="center"/>
          </w:tcPr>
          <w:p>
            <w:pPr>
              <w:overflowPunct w:val="0"/>
              <w:ind w:right="34"/>
              <w:jc w:val="center"/>
              <w:rPr>
                <w:bCs/>
                <w:spacing w:val="-3"/>
                <w:sz w:val="21"/>
                <w:szCs w:val="21"/>
              </w:rPr>
            </w:pPr>
            <w:r>
              <w:rPr>
                <w:rFonts w:hint="eastAsia"/>
                <w:bCs/>
                <w:spacing w:val="-3"/>
                <w:sz w:val="21"/>
                <w:szCs w:val="21"/>
              </w:rPr>
              <w:t>6</w:t>
            </w:r>
          </w:p>
        </w:tc>
        <w:tc>
          <w:tcPr>
            <w:tcW w:w="1295" w:type="dxa"/>
            <w:vMerge w:val="restart"/>
            <w:shd w:val="clear" w:color="auto" w:fill="auto"/>
            <w:vAlign w:val="center"/>
          </w:tcPr>
          <w:p>
            <w:pPr>
              <w:overflowPunct w:val="0"/>
              <w:snapToGrid w:val="0"/>
              <w:jc w:val="center"/>
              <w:rPr>
                <w:spacing w:val="-3"/>
                <w:sz w:val="21"/>
                <w:szCs w:val="21"/>
              </w:rPr>
            </w:pPr>
            <w:r>
              <w:rPr>
                <w:rFonts w:hint="eastAsia"/>
                <w:spacing w:val="-3"/>
                <w:sz w:val="21"/>
                <w:szCs w:val="21"/>
              </w:rPr>
              <w:t>地基与基础</w:t>
            </w:r>
          </w:p>
        </w:tc>
        <w:tc>
          <w:tcPr>
            <w:tcW w:w="2105" w:type="dxa"/>
            <w:vMerge w:val="restart"/>
            <w:shd w:val="clear" w:color="auto" w:fill="auto"/>
            <w:vAlign w:val="center"/>
          </w:tcPr>
          <w:p>
            <w:pPr>
              <w:overflowPunct w:val="0"/>
              <w:snapToGrid w:val="0"/>
              <w:ind w:right="210"/>
              <w:jc w:val="center"/>
              <w:rPr>
                <w:spacing w:val="-3"/>
                <w:sz w:val="21"/>
                <w:szCs w:val="21"/>
              </w:rPr>
            </w:pPr>
            <w:r>
              <w:rPr>
                <w:rFonts w:hint="eastAsia"/>
                <w:spacing w:val="-3"/>
                <w:sz w:val="21"/>
                <w:szCs w:val="21"/>
              </w:rPr>
              <w:t>基坑数字化施工监测</w:t>
            </w:r>
          </w:p>
        </w:tc>
        <w:tc>
          <w:tcPr>
            <w:tcW w:w="5625" w:type="dxa"/>
            <w:shd w:val="clear" w:color="auto" w:fill="auto"/>
            <w:vAlign w:val="center"/>
          </w:tcPr>
          <w:p>
            <w:pPr>
              <w:overflowPunct w:val="0"/>
              <w:snapToGrid w:val="0"/>
              <w:ind w:right="210"/>
              <w:rPr>
                <w:sz w:val="21"/>
                <w:szCs w:val="21"/>
              </w:rPr>
            </w:pPr>
            <w:r>
              <w:rPr>
                <w:rFonts w:hint="eastAsia"/>
                <w:sz w:val="21"/>
                <w:szCs w:val="21"/>
              </w:rPr>
              <w:t>通过应力传感器对支护结构应力进行监测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864" w:type="dxa"/>
            <w:vMerge w:val="continue"/>
            <w:shd w:val="clear" w:color="auto" w:fill="auto"/>
            <w:vAlign w:val="center"/>
          </w:tcPr>
          <w:p>
            <w:pPr>
              <w:overflowPunct w:val="0"/>
              <w:ind w:right="34"/>
              <w:jc w:val="center"/>
              <w:rPr>
                <w:bCs/>
                <w:spacing w:val="-3"/>
                <w:sz w:val="21"/>
                <w:szCs w:val="21"/>
              </w:rPr>
            </w:pPr>
          </w:p>
        </w:tc>
        <w:tc>
          <w:tcPr>
            <w:tcW w:w="1295" w:type="dxa"/>
            <w:vMerge w:val="continue"/>
            <w:shd w:val="clear" w:color="auto" w:fill="auto"/>
            <w:vAlign w:val="center"/>
          </w:tcPr>
          <w:p>
            <w:pPr>
              <w:overflowPunct w:val="0"/>
              <w:snapToGrid w:val="0"/>
              <w:ind w:right="210"/>
              <w:jc w:val="center"/>
              <w:rPr>
                <w:spacing w:val="-3"/>
                <w:sz w:val="21"/>
                <w:szCs w:val="21"/>
              </w:rPr>
            </w:pPr>
          </w:p>
        </w:tc>
        <w:tc>
          <w:tcPr>
            <w:tcW w:w="2105" w:type="dxa"/>
            <w:vMerge w:val="continue"/>
            <w:shd w:val="clear" w:color="auto" w:fill="auto"/>
            <w:vAlign w:val="center"/>
          </w:tcPr>
          <w:p>
            <w:pPr>
              <w:overflowPunct w:val="0"/>
              <w:snapToGrid w:val="0"/>
              <w:ind w:right="210"/>
              <w:jc w:val="center"/>
              <w:rPr>
                <w:spacing w:val="-3"/>
                <w:sz w:val="21"/>
                <w:szCs w:val="21"/>
              </w:rPr>
            </w:pPr>
          </w:p>
        </w:tc>
        <w:tc>
          <w:tcPr>
            <w:tcW w:w="5625" w:type="dxa"/>
            <w:shd w:val="clear" w:color="auto" w:fill="auto"/>
            <w:vAlign w:val="center"/>
          </w:tcPr>
          <w:p>
            <w:pPr>
              <w:overflowPunct w:val="0"/>
              <w:snapToGrid w:val="0"/>
              <w:ind w:right="210"/>
              <w:rPr>
                <w:sz w:val="21"/>
                <w:szCs w:val="21"/>
              </w:rPr>
            </w:pPr>
            <w:r>
              <w:rPr>
                <w:rFonts w:hint="eastAsia"/>
                <w:sz w:val="21"/>
                <w:szCs w:val="21"/>
              </w:rPr>
              <w:t>通过测斜传感器对周围建筑物倾斜进行监测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864" w:type="dxa"/>
            <w:vMerge w:val="continue"/>
            <w:shd w:val="clear" w:color="auto" w:fill="auto"/>
            <w:vAlign w:val="center"/>
          </w:tcPr>
          <w:p>
            <w:pPr>
              <w:overflowPunct w:val="0"/>
              <w:ind w:right="34"/>
              <w:jc w:val="center"/>
              <w:rPr>
                <w:bCs/>
                <w:spacing w:val="-3"/>
                <w:sz w:val="21"/>
                <w:szCs w:val="21"/>
              </w:rPr>
            </w:pPr>
          </w:p>
        </w:tc>
        <w:tc>
          <w:tcPr>
            <w:tcW w:w="1295" w:type="dxa"/>
            <w:vMerge w:val="continue"/>
            <w:shd w:val="clear" w:color="auto" w:fill="auto"/>
            <w:vAlign w:val="center"/>
          </w:tcPr>
          <w:p>
            <w:pPr>
              <w:overflowPunct w:val="0"/>
              <w:snapToGrid w:val="0"/>
              <w:ind w:right="210"/>
              <w:jc w:val="center"/>
              <w:rPr>
                <w:spacing w:val="-3"/>
                <w:sz w:val="21"/>
                <w:szCs w:val="21"/>
              </w:rPr>
            </w:pPr>
          </w:p>
        </w:tc>
        <w:tc>
          <w:tcPr>
            <w:tcW w:w="2105" w:type="dxa"/>
            <w:vMerge w:val="continue"/>
            <w:shd w:val="clear" w:color="auto" w:fill="auto"/>
            <w:vAlign w:val="center"/>
          </w:tcPr>
          <w:p>
            <w:pPr>
              <w:overflowPunct w:val="0"/>
              <w:snapToGrid w:val="0"/>
              <w:ind w:right="210"/>
              <w:jc w:val="center"/>
              <w:rPr>
                <w:spacing w:val="-3"/>
                <w:sz w:val="21"/>
                <w:szCs w:val="21"/>
              </w:rPr>
            </w:pPr>
          </w:p>
        </w:tc>
        <w:tc>
          <w:tcPr>
            <w:tcW w:w="5625" w:type="dxa"/>
            <w:shd w:val="clear" w:color="auto" w:fill="auto"/>
            <w:vAlign w:val="center"/>
          </w:tcPr>
          <w:p>
            <w:pPr>
              <w:overflowPunct w:val="0"/>
              <w:snapToGrid w:val="0"/>
              <w:ind w:right="210"/>
              <w:rPr>
                <w:sz w:val="21"/>
                <w:szCs w:val="21"/>
              </w:rPr>
            </w:pPr>
            <w:r>
              <w:rPr>
                <w:rFonts w:hint="eastAsia"/>
                <w:sz w:val="21"/>
                <w:szCs w:val="21"/>
              </w:rPr>
              <w:t>通过位移传感器对基坑顶层位移进行监测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864" w:type="dxa"/>
            <w:vMerge w:val="continue"/>
            <w:shd w:val="clear" w:color="auto" w:fill="auto"/>
            <w:vAlign w:val="center"/>
          </w:tcPr>
          <w:p>
            <w:pPr>
              <w:overflowPunct w:val="0"/>
              <w:ind w:right="34"/>
              <w:jc w:val="center"/>
              <w:rPr>
                <w:bCs/>
                <w:spacing w:val="-3"/>
                <w:sz w:val="21"/>
                <w:szCs w:val="21"/>
              </w:rPr>
            </w:pPr>
          </w:p>
        </w:tc>
        <w:tc>
          <w:tcPr>
            <w:tcW w:w="1295" w:type="dxa"/>
            <w:vMerge w:val="continue"/>
            <w:shd w:val="clear" w:color="auto" w:fill="auto"/>
            <w:vAlign w:val="center"/>
          </w:tcPr>
          <w:p>
            <w:pPr>
              <w:overflowPunct w:val="0"/>
              <w:snapToGrid w:val="0"/>
              <w:ind w:right="210"/>
              <w:jc w:val="center"/>
              <w:rPr>
                <w:spacing w:val="-3"/>
                <w:sz w:val="21"/>
                <w:szCs w:val="21"/>
              </w:rPr>
            </w:pPr>
          </w:p>
        </w:tc>
        <w:tc>
          <w:tcPr>
            <w:tcW w:w="2105" w:type="dxa"/>
            <w:vMerge w:val="continue"/>
            <w:shd w:val="clear" w:color="auto" w:fill="auto"/>
            <w:vAlign w:val="center"/>
          </w:tcPr>
          <w:p>
            <w:pPr>
              <w:overflowPunct w:val="0"/>
              <w:snapToGrid w:val="0"/>
              <w:ind w:right="210"/>
              <w:jc w:val="center"/>
              <w:rPr>
                <w:spacing w:val="-3"/>
                <w:sz w:val="21"/>
                <w:szCs w:val="21"/>
              </w:rPr>
            </w:pPr>
          </w:p>
        </w:tc>
        <w:tc>
          <w:tcPr>
            <w:tcW w:w="5625" w:type="dxa"/>
            <w:shd w:val="clear" w:color="auto" w:fill="auto"/>
            <w:vAlign w:val="center"/>
          </w:tcPr>
          <w:p>
            <w:pPr>
              <w:overflowPunct w:val="0"/>
              <w:snapToGrid w:val="0"/>
              <w:ind w:right="210"/>
              <w:rPr>
                <w:sz w:val="21"/>
                <w:szCs w:val="21"/>
              </w:rPr>
            </w:pPr>
            <w:r>
              <w:rPr>
                <w:rFonts w:hint="eastAsia"/>
                <w:sz w:val="21"/>
                <w:szCs w:val="21"/>
              </w:rPr>
              <w:t>通过自动化水位传感器对地下水位进行监测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864" w:type="dxa"/>
            <w:vMerge w:val="continue"/>
            <w:shd w:val="clear" w:color="auto" w:fill="auto"/>
            <w:vAlign w:val="center"/>
          </w:tcPr>
          <w:p>
            <w:pPr>
              <w:overflowPunct w:val="0"/>
              <w:ind w:right="34"/>
              <w:jc w:val="center"/>
              <w:rPr>
                <w:bCs/>
                <w:spacing w:val="-3"/>
                <w:sz w:val="21"/>
                <w:szCs w:val="21"/>
              </w:rPr>
            </w:pPr>
          </w:p>
        </w:tc>
        <w:tc>
          <w:tcPr>
            <w:tcW w:w="1295" w:type="dxa"/>
            <w:vMerge w:val="continue"/>
            <w:shd w:val="clear" w:color="auto" w:fill="auto"/>
            <w:vAlign w:val="center"/>
          </w:tcPr>
          <w:p>
            <w:pPr>
              <w:overflowPunct w:val="0"/>
              <w:snapToGrid w:val="0"/>
              <w:ind w:right="210"/>
              <w:jc w:val="center"/>
              <w:rPr>
                <w:spacing w:val="-3"/>
                <w:sz w:val="21"/>
                <w:szCs w:val="21"/>
              </w:rPr>
            </w:pPr>
          </w:p>
        </w:tc>
        <w:tc>
          <w:tcPr>
            <w:tcW w:w="2105" w:type="dxa"/>
            <w:vMerge w:val="continue"/>
            <w:shd w:val="clear" w:color="auto" w:fill="auto"/>
            <w:vAlign w:val="center"/>
          </w:tcPr>
          <w:p>
            <w:pPr>
              <w:overflowPunct w:val="0"/>
              <w:snapToGrid w:val="0"/>
              <w:ind w:right="210"/>
              <w:jc w:val="center"/>
              <w:rPr>
                <w:spacing w:val="-3"/>
                <w:sz w:val="21"/>
                <w:szCs w:val="21"/>
              </w:rPr>
            </w:pPr>
          </w:p>
        </w:tc>
        <w:tc>
          <w:tcPr>
            <w:tcW w:w="5625" w:type="dxa"/>
            <w:shd w:val="clear" w:color="auto" w:fill="auto"/>
            <w:vAlign w:val="center"/>
          </w:tcPr>
          <w:p>
            <w:pPr>
              <w:overflowPunct w:val="0"/>
              <w:snapToGrid w:val="0"/>
              <w:ind w:right="210"/>
              <w:rPr>
                <w:sz w:val="21"/>
                <w:szCs w:val="21"/>
              </w:rPr>
            </w:pPr>
            <w:r>
              <w:rPr>
                <w:rFonts w:hint="eastAsia"/>
                <w:sz w:val="21"/>
                <w:szCs w:val="21"/>
              </w:rPr>
              <w:t>进行即时报警、数据分析、指导施工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Merge w:val="continue"/>
            <w:shd w:val="clear" w:color="auto" w:fill="auto"/>
            <w:vAlign w:val="center"/>
          </w:tcPr>
          <w:p>
            <w:pPr>
              <w:overflowPunct w:val="0"/>
              <w:ind w:right="34"/>
              <w:jc w:val="center"/>
              <w:rPr>
                <w:bCs/>
                <w:spacing w:val="-3"/>
                <w:sz w:val="21"/>
                <w:szCs w:val="21"/>
              </w:rPr>
            </w:pPr>
          </w:p>
        </w:tc>
        <w:tc>
          <w:tcPr>
            <w:tcW w:w="1295" w:type="dxa"/>
            <w:vMerge w:val="continue"/>
            <w:shd w:val="clear" w:color="auto" w:fill="auto"/>
            <w:vAlign w:val="center"/>
          </w:tcPr>
          <w:p>
            <w:pPr>
              <w:overflowPunct w:val="0"/>
              <w:snapToGrid w:val="0"/>
              <w:ind w:right="210"/>
              <w:jc w:val="center"/>
              <w:rPr>
                <w:spacing w:val="-3"/>
                <w:sz w:val="21"/>
                <w:szCs w:val="21"/>
              </w:rPr>
            </w:pPr>
          </w:p>
        </w:tc>
        <w:tc>
          <w:tcPr>
            <w:tcW w:w="2105" w:type="dxa"/>
            <w:vMerge w:val="restart"/>
            <w:shd w:val="clear" w:color="auto" w:fill="auto"/>
            <w:vAlign w:val="center"/>
          </w:tcPr>
          <w:p>
            <w:pPr>
              <w:overflowPunct w:val="0"/>
              <w:snapToGrid w:val="0"/>
              <w:ind w:right="210"/>
              <w:jc w:val="center"/>
              <w:rPr>
                <w:spacing w:val="-3"/>
                <w:sz w:val="21"/>
                <w:szCs w:val="21"/>
              </w:rPr>
            </w:pPr>
            <w:r>
              <w:rPr>
                <w:rFonts w:hint="eastAsia"/>
                <w:spacing w:val="-3"/>
                <w:sz w:val="21"/>
                <w:szCs w:val="21"/>
              </w:rPr>
              <w:t>大体积混凝土测温</w:t>
            </w:r>
          </w:p>
        </w:tc>
        <w:tc>
          <w:tcPr>
            <w:tcW w:w="5625" w:type="dxa"/>
            <w:shd w:val="clear" w:color="auto" w:fill="auto"/>
            <w:vAlign w:val="center"/>
          </w:tcPr>
          <w:p>
            <w:pPr>
              <w:overflowPunct w:val="0"/>
              <w:snapToGrid w:val="0"/>
              <w:ind w:right="210"/>
              <w:rPr>
                <w:sz w:val="21"/>
                <w:szCs w:val="21"/>
              </w:rPr>
            </w:pPr>
            <w:r>
              <w:rPr>
                <w:rFonts w:hint="eastAsia"/>
                <w:sz w:val="21"/>
                <w:szCs w:val="21"/>
              </w:rPr>
              <w:t>通过温度传感器对混凝土表层、中心、底层温度进行监测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Merge w:val="continue"/>
            <w:shd w:val="clear" w:color="auto" w:fill="auto"/>
            <w:vAlign w:val="center"/>
          </w:tcPr>
          <w:p>
            <w:pPr>
              <w:overflowPunct w:val="0"/>
              <w:ind w:right="34"/>
              <w:jc w:val="center"/>
              <w:rPr>
                <w:bCs/>
                <w:spacing w:val="-3"/>
                <w:sz w:val="21"/>
                <w:szCs w:val="21"/>
              </w:rPr>
            </w:pPr>
          </w:p>
        </w:tc>
        <w:tc>
          <w:tcPr>
            <w:tcW w:w="1295" w:type="dxa"/>
            <w:vMerge w:val="continue"/>
            <w:shd w:val="clear" w:color="auto" w:fill="auto"/>
            <w:vAlign w:val="center"/>
          </w:tcPr>
          <w:p>
            <w:pPr>
              <w:overflowPunct w:val="0"/>
              <w:snapToGrid w:val="0"/>
              <w:ind w:right="210"/>
              <w:jc w:val="center"/>
              <w:rPr>
                <w:spacing w:val="-3"/>
                <w:sz w:val="21"/>
                <w:szCs w:val="21"/>
              </w:rPr>
            </w:pPr>
          </w:p>
        </w:tc>
        <w:tc>
          <w:tcPr>
            <w:tcW w:w="2105" w:type="dxa"/>
            <w:vMerge w:val="continue"/>
            <w:shd w:val="clear" w:color="auto" w:fill="auto"/>
            <w:vAlign w:val="center"/>
          </w:tcPr>
          <w:p>
            <w:pPr>
              <w:overflowPunct w:val="0"/>
              <w:snapToGrid w:val="0"/>
              <w:ind w:right="210"/>
              <w:jc w:val="center"/>
              <w:rPr>
                <w:spacing w:val="-3"/>
                <w:sz w:val="21"/>
                <w:szCs w:val="21"/>
              </w:rPr>
            </w:pPr>
          </w:p>
        </w:tc>
        <w:tc>
          <w:tcPr>
            <w:tcW w:w="5625" w:type="dxa"/>
            <w:shd w:val="clear" w:color="auto" w:fill="auto"/>
            <w:vAlign w:val="center"/>
          </w:tcPr>
          <w:p>
            <w:pPr>
              <w:overflowPunct w:val="0"/>
              <w:snapToGrid w:val="0"/>
              <w:ind w:right="210"/>
              <w:rPr>
                <w:sz w:val="21"/>
                <w:szCs w:val="21"/>
              </w:rPr>
            </w:pPr>
            <w:r>
              <w:rPr>
                <w:rFonts w:hint="eastAsia"/>
                <w:sz w:val="21"/>
                <w:szCs w:val="21"/>
              </w:rPr>
              <w:t>查看温度点测温曲线，变化趋势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Merge w:val="continue"/>
            <w:shd w:val="clear" w:color="auto" w:fill="auto"/>
            <w:vAlign w:val="center"/>
          </w:tcPr>
          <w:p>
            <w:pPr>
              <w:overflowPunct w:val="0"/>
              <w:ind w:right="34"/>
              <w:jc w:val="center"/>
              <w:rPr>
                <w:bCs/>
                <w:spacing w:val="-3"/>
                <w:sz w:val="21"/>
                <w:szCs w:val="21"/>
              </w:rPr>
            </w:pPr>
          </w:p>
        </w:tc>
        <w:tc>
          <w:tcPr>
            <w:tcW w:w="1295" w:type="dxa"/>
            <w:vMerge w:val="continue"/>
            <w:shd w:val="clear" w:color="auto" w:fill="auto"/>
            <w:vAlign w:val="center"/>
          </w:tcPr>
          <w:p>
            <w:pPr>
              <w:overflowPunct w:val="0"/>
              <w:snapToGrid w:val="0"/>
              <w:ind w:right="210"/>
              <w:jc w:val="center"/>
              <w:rPr>
                <w:spacing w:val="-3"/>
                <w:sz w:val="21"/>
                <w:szCs w:val="21"/>
              </w:rPr>
            </w:pPr>
          </w:p>
        </w:tc>
        <w:tc>
          <w:tcPr>
            <w:tcW w:w="2105" w:type="dxa"/>
            <w:vMerge w:val="restart"/>
            <w:shd w:val="clear" w:color="auto" w:fill="auto"/>
            <w:vAlign w:val="center"/>
          </w:tcPr>
          <w:p>
            <w:pPr>
              <w:overflowPunct w:val="0"/>
              <w:snapToGrid w:val="0"/>
              <w:ind w:right="210"/>
              <w:jc w:val="center"/>
              <w:rPr>
                <w:spacing w:val="-3"/>
                <w:sz w:val="21"/>
                <w:szCs w:val="21"/>
              </w:rPr>
            </w:pPr>
            <w:r>
              <w:rPr>
                <w:rFonts w:hint="eastAsia"/>
                <w:spacing w:val="-3"/>
                <w:sz w:val="21"/>
                <w:szCs w:val="21"/>
              </w:rPr>
              <w:t>桩基数字化施工</w:t>
            </w:r>
          </w:p>
        </w:tc>
        <w:tc>
          <w:tcPr>
            <w:tcW w:w="5625" w:type="dxa"/>
            <w:shd w:val="clear" w:color="auto" w:fill="auto"/>
            <w:vAlign w:val="center"/>
          </w:tcPr>
          <w:p>
            <w:pPr>
              <w:overflowPunct w:val="0"/>
              <w:snapToGrid w:val="0"/>
              <w:ind w:right="210"/>
              <w:rPr>
                <w:sz w:val="21"/>
                <w:szCs w:val="21"/>
              </w:rPr>
            </w:pPr>
            <w:r>
              <w:rPr>
                <w:rFonts w:hint="eastAsia"/>
                <w:sz w:val="21"/>
                <w:szCs w:val="21"/>
              </w:rPr>
              <w:t>通过桩基数字化监测传感器对桩机钻入深度、提钻速度、垂直度偏差、灌浆量等数据进行监测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Merge w:val="continue"/>
            <w:shd w:val="clear" w:color="auto" w:fill="auto"/>
            <w:vAlign w:val="center"/>
          </w:tcPr>
          <w:p>
            <w:pPr>
              <w:overflowPunct w:val="0"/>
              <w:ind w:right="34"/>
              <w:jc w:val="center"/>
              <w:rPr>
                <w:bCs/>
                <w:spacing w:val="-3"/>
                <w:sz w:val="21"/>
                <w:szCs w:val="21"/>
              </w:rPr>
            </w:pPr>
          </w:p>
        </w:tc>
        <w:tc>
          <w:tcPr>
            <w:tcW w:w="1295" w:type="dxa"/>
            <w:vMerge w:val="continue"/>
            <w:shd w:val="clear" w:color="auto" w:fill="auto"/>
            <w:vAlign w:val="center"/>
          </w:tcPr>
          <w:p>
            <w:pPr>
              <w:overflowPunct w:val="0"/>
              <w:snapToGrid w:val="0"/>
              <w:ind w:right="210"/>
              <w:jc w:val="center"/>
              <w:rPr>
                <w:spacing w:val="-3"/>
                <w:sz w:val="21"/>
                <w:szCs w:val="21"/>
              </w:rPr>
            </w:pPr>
          </w:p>
        </w:tc>
        <w:tc>
          <w:tcPr>
            <w:tcW w:w="2105" w:type="dxa"/>
            <w:vMerge w:val="continue"/>
            <w:shd w:val="clear" w:color="auto" w:fill="auto"/>
            <w:vAlign w:val="center"/>
          </w:tcPr>
          <w:p>
            <w:pPr>
              <w:overflowPunct w:val="0"/>
              <w:snapToGrid w:val="0"/>
              <w:ind w:right="210"/>
              <w:jc w:val="center"/>
              <w:rPr>
                <w:spacing w:val="-3"/>
                <w:sz w:val="21"/>
                <w:szCs w:val="21"/>
              </w:rPr>
            </w:pPr>
          </w:p>
        </w:tc>
        <w:tc>
          <w:tcPr>
            <w:tcW w:w="5625" w:type="dxa"/>
            <w:shd w:val="clear" w:color="auto" w:fill="auto"/>
            <w:vAlign w:val="center"/>
          </w:tcPr>
          <w:p>
            <w:pPr>
              <w:overflowPunct w:val="0"/>
              <w:snapToGrid w:val="0"/>
              <w:ind w:right="210"/>
              <w:rPr>
                <w:sz w:val="21"/>
                <w:szCs w:val="21"/>
              </w:rPr>
            </w:pPr>
            <w:r>
              <w:rPr>
                <w:rFonts w:hint="eastAsia"/>
                <w:sz w:val="21"/>
                <w:szCs w:val="21"/>
              </w:rPr>
              <w:t>进行桩位监测、数据管理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Merge w:val="continue"/>
            <w:shd w:val="clear" w:color="auto" w:fill="auto"/>
            <w:vAlign w:val="center"/>
          </w:tcPr>
          <w:p>
            <w:pPr>
              <w:overflowPunct w:val="0"/>
              <w:ind w:right="34"/>
              <w:jc w:val="center"/>
              <w:rPr>
                <w:bCs/>
                <w:spacing w:val="-3"/>
                <w:sz w:val="21"/>
                <w:szCs w:val="21"/>
              </w:rPr>
            </w:pPr>
          </w:p>
        </w:tc>
        <w:tc>
          <w:tcPr>
            <w:tcW w:w="1295" w:type="dxa"/>
            <w:vMerge w:val="continue"/>
            <w:shd w:val="clear" w:color="auto" w:fill="auto"/>
            <w:vAlign w:val="center"/>
          </w:tcPr>
          <w:p>
            <w:pPr>
              <w:overflowPunct w:val="0"/>
              <w:snapToGrid w:val="0"/>
              <w:ind w:right="210"/>
              <w:jc w:val="center"/>
              <w:rPr>
                <w:spacing w:val="-3"/>
                <w:sz w:val="21"/>
                <w:szCs w:val="21"/>
              </w:rPr>
            </w:pPr>
          </w:p>
        </w:tc>
        <w:tc>
          <w:tcPr>
            <w:tcW w:w="2105" w:type="dxa"/>
            <w:shd w:val="clear" w:color="auto" w:fill="auto"/>
            <w:vAlign w:val="center"/>
          </w:tcPr>
          <w:p>
            <w:pPr>
              <w:overflowPunct w:val="0"/>
              <w:snapToGrid w:val="0"/>
              <w:ind w:right="210"/>
              <w:jc w:val="center"/>
              <w:rPr>
                <w:spacing w:val="-3"/>
                <w:sz w:val="21"/>
                <w:szCs w:val="21"/>
              </w:rPr>
            </w:pPr>
            <w:r>
              <w:rPr>
                <w:rFonts w:hint="eastAsia"/>
                <w:spacing w:val="-3"/>
                <w:sz w:val="21"/>
                <w:szCs w:val="21"/>
              </w:rPr>
              <w:t>强夯数字化施工</w:t>
            </w:r>
          </w:p>
        </w:tc>
        <w:tc>
          <w:tcPr>
            <w:tcW w:w="5625" w:type="dxa"/>
            <w:shd w:val="clear" w:color="auto" w:fill="auto"/>
            <w:vAlign w:val="center"/>
          </w:tcPr>
          <w:p>
            <w:pPr>
              <w:overflowPunct w:val="0"/>
              <w:snapToGrid w:val="0"/>
              <w:ind w:right="210"/>
              <w:rPr>
                <w:sz w:val="21"/>
                <w:szCs w:val="21"/>
              </w:rPr>
            </w:pPr>
            <w:r>
              <w:rPr>
                <w:rFonts w:hint="eastAsia"/>
                <w:sz w:val="21"/>
                <w:szCs w:val="21"/>
              </w:rPr>
              <w:t>通过强夯数字化监测传感器进行强夯过程监测、辅助夯锤定位、数据管理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Merge w:val="restart"/>
            <w:shd w:val="clear" w:color="auto" w:fill="auto"/>
            <w:vAlign w:val="center"/>
          </w:tcPr>
          <w:p>
            <w:pPr>
              <w:overflowPunct w:val="0"/>
              <w:ind w:right="34"/>
              <w:jc w:val="center"/>
              <w:rPr>
                <w:bCs/>
                <w:spacing w:val="-3"/>
                <w:sz w:val="21"/>
                <w:szCs w:val="21"/>
              </w:rPr>
            </w:pPr>
            <w:r>
              <w:rPr>
                <w:rFonts w:hint="eastAsia"/>
                <w:bCs/>
                <w:spacing w:val="-3"/>
                <w:sz w:val="21"/>
                <w:szCs w:val="21"/>
              </w:rPr>
              <w:t>7</w:t>
            </w:r>
          </w:p>
        </w:tc>
        <w:tc>
          <w:tcPr>
            <w:tcW w:w="3400" w:type="dxa"/>
            <w:gridSpan w:val="2"/>
            <w:vMerge w:val="restart"/>
            <w:shd w:val="clear" w:color="auto" w:fill="auto"/>
            <w:vAlign w:val="center"/>
          </w:tcPr>
          <w:p>
            <w:pPr>
              <w:overflowPunct w:val="0"/>
              <w:snapToGrid w:val="0"/>
              <w:ind w:right="210"/>
              <w:jc w:val="center"/>
              <w:rPr>
                <w:spacing w:val="-3"/>
                <w:sz w:val="21"/>
                <w:szCs w:val="21"/>
              </w:rPr>
            </w:pPr>
            <w:r>
              <w:rPr>
                <w:rFonts w:hint="eastAsia"/>
                <w:spacing w:val="-3"/>
                <w:sz w:val="21"/>
                <w:szCs w:val="21"/>
              </w:rPr>
              <w:t>高支模监测</w:t>
            </w:r>
          </w:p>
        </w:tc>
        <w:tc>
          <w:tcPr>
            <w:tcW w:w="5625" w:type="dxa"/>
            <w:shd w:val="clear" w:color="auto" w:fill="auto"/>
            <w:vAlign w:val="center"/>
          </w:tcPr>
          <w:p>
            <w:pPr>
              <w:overflowPunct w:val="0"/>
              <w:snapToGrid w:val="0"/>
              <w:ind w:right="210"/>
              <w:rPr>
                <w:sz w:val="21"/>
                <w:szCs w:val="21"/>
              </w:rPr>
            </w:pPr>
            <w:r>
              <w:rPr>
                <w:rFonts w:hint="eastAsia"/>
                <w:sz w:val="21"/>
                <w:szCs w:val="21"/>
              </w:rPr>
              <w:t>通过测斜传感器对模架倾斜进行监测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Merge w:val="continue"/>
            <w:shd w:val="clear" w:color="auto" w:fill="auto"/>
            <w:vAlign w:val="center"/>
          </w:tcPr>
          <w:p>
            <w:pPr>
              <w:overflowPunct w:val="0"/>
              <w:ind w:right="34"/>
              <w:jc w:val="center"/>
              <w:rPr>
                <w:bCs/>
                <w:spacing w:val="-3"/>
                <w:sz w:val="21"/>
                <w:szCs w:val="21"/>
              </w:rPr>
            </w:pPr>
          </w:p>
        </w:tc>
        <w:tc>
          <w:tcPr>
            <w:tcW w:w="3400" w:type="dxa"/>
            <w:gridSpan w:val="2"/>
            <w:vMerge w:val="continue"/>
            <w:shd w:val="clear" w:color="auto" w:fill="auto"/>
            <w:vAlign w:val="center"/>
          </w:tcPr>
          <w:p>
            <w:pPr>
              <w:overflowPunct w:val="0"/>
              <w:snapToGrid w:val="0"/>
              <w:ind w:right="210"/>
              <w:jc w:val="center"/>
              <w:rPr>
                <w:spacing w:val="-3"/>
                <w:sz w:val="21"/>
                <w:szCs w:val="21"/>
              </w:rPr>
            </w:pPr>
          </w:p>
        </w:tc>
        <w:tc>
          <w:tcPr>
            <w:tcW w:w="5625" w:type="dxa"/>
            <w:shd w:val="clear" w:color="auto" w:fill="auto"/>
            <w:vAlign w:val="center"/>
          </w:tcPr>
          <w:p>
            <w:pPr>
              <w:overflowPunct w:val="0"/>
              <w:snapToGrid w:val="0"/>
              <w:ind w:right="210"/>
              <w:rPr>
                <w:sz w:val="21"/>
                <w:szCs w:val="21"/>
              </w:rPr>
            </w:pPr>
            <w:r>
              <w:rPr>
                <w:rFonts w:hint="eastAsia"/>
                <w:sz w:val="21"/>
                <w:szCs w:val="21"/>
              </w:rPr>
              <w:t>通过位移传感器对模架位移、变形进行监测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Merge w:val="continue"/>
            <w:shd w:val="clear" w:color="auto" w:fill="auto"/>
            <w:vAlign w:val="center"/>
          </w:tcPr>
          <w:p>
            <w:pPr>
              <w:overflowPunct w:val="0"/>
              <w:ind w:right="34"/>
              <w:jc w:val="center"/>
              <w:rPr>
                <w:bCs/>
                <w:spacing w:val="-3"/>
                <w:sz w:val="21"/>
                <w:szCs w:val="21"/>
              </w:rPr>
            </w:pPr>
          </w:p>
        </w:tc>
        <w:tc>
          <w:tcPr>
            <w:tcW w:w="3400" w:type="dxa"/>
            <w:gridSpan w:val="2"/>
            <w:vMerge w:val="continue"/>
            <w:shd w:val="clear" w:color="auto" w:fill="auto"/>
            <w:vAlign w:val="center"/>
          </w:tcPr>
          <w:p>
            <w:pPr>
              <w:overflowPunct w:val="0"/>
              <w:snapToGrid w:val="0"/>
              <w:ind w:right="210"/>
              <w:jc w:val="center"/>
              <w:rPr>
                <w:spacing w:val="-3"/>
                <w:sz w:val="21"/>
                <w:szCs w:val="21"/>
              </w:rPr>
            </w:pPr>
          </w:p>
        </w:tc>
        <w:tc>
          <w:tcPr>
            <w:tcW w:w="5625" w:type="dxa"/>
            <w:shd w:val="clear" w:color="auto" w:fill="auto"/>
            <w:vAlign w:val="center"/>
          </w:tcPr>
          <w:p>
            <w:pPr>
              <w:overflowPunct w:val="0"/>
              <w:snapToGrid w:val="0"/>
              <w:ind w:right="210"/>
              <w:rPr>
                <w:sz w:val="21"/>
                <w:szCs w:val="21"/>
              </w:rPr>
            </w:pPr>
            <w:r>
              <w:rPr>
                <w:rFonts w:hint="eastAsia"/>
                <w:sz w:val="21"/>
                <w:szCs w:val="21"/>
              </w:rPr>
              <w:t>通过立杆轴力传感器对模架轴压进行监测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Merge w:val="continue"/>
            <w:shd w:val="clear" w:color="auto" w:fill="auto"/>
            <w:vAlign w:val="center"/>
          </w:tcPr>
          <w:p>
            <w:pPr>
              <w:overflowPunct w:val="0"/>
              <w:ind w:right="34"/>
              <w:jc w:val="center"/>
              <w:rPr>
                <w:bCs/>
                <w:spacing w:val="-3"/>
                <w:sz w:val="21"/>
                <w:szCs w:val="21"/>
              </w:rPr>
            </w:pPr>
          </w:p>
        </w:tc>
        <w:tc>
          <w:tcPr>
            <w:tcW w:w="3400" w:type="dxa"/>
            <w:gridSpan w:val="2"/>
            <w:vMerge w:val="continue"/>
            <w:shd w:val="clear" w:color="auto" w:fill="auto"/>
            <w:vAlign w:val="center"/>
          </w:tcPr>
          <w:p>
            <w:pPr>
              <w:overflowPunct w:val="0"/>
              <w:snapToGrid w:val="0"/>
              <w:ind w:right="210"/>
              <w:jc w:val="center"/>
              <w:rPr>
                <w:spacing w:val="-3"/>
                <w:sz w:val="21"/>
                <w:szCs w:val="21"/>
              </w:rPr>
            </w:pPr>
          </w:p>
        </w:tc>
        <w:tc>
          <w:tcPr>
            <w:tcW w:w="5625" w:type="dxa"/>
            <w:shd w:val="clear" w:color="auto" w:fill="auto"/>
            <w:vAlign w:val="center"/>
          </w:tcPr>
          <w:p>
            <w:pPr>
              <w:overflowPunct w:val="0"/>
              <w:snapToGrid w:val="0"/>
              <w:ind w:right="210"/>
              <w:rPr>
                <w:sz w:val="21"/>
                <w:szCs w:val="21"/>
              </w:rPr>
            </w:pPr>
            <w:r>
              <w:rPr>
                <w:rFonts w:hint="eastAsia"/>
                <w:sz w:val="21"/>
                <w:szCs w:val="21"/>
              </w:rPr>
              <w:t>即时报警、数据分析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Merge w:val="restart"/>
            <w:shd w:val="clear" w:color="auto" w:fill="auto"/>
            <w:vAlign w:val="center"/>
          </w:tcPr>
          <w:p>
            <w:pPr>
              <w:overflowPunct w:val="0"/>
              <w:ind w:right="34"/>
              <w:jc w:val="center"/>
              <w:rPr>
                <w:bCs/>
                <w:spacing w:val="-3"/>
                <w:sz w:val="21"/>
                <w:szCs w:val="21"/>
              </w:rPr>
            </w:pPr>
            <w:r>
              <w:rPr>
                <w:rFonts w:hint="eastAsia"/>
                <w:bCs/>
                <w:spacing w:val="-3"/>
                <w:sz w:val="21"/>
                <w:szCs w:val="21"/>
              </w:rPr>
              <w:t>8</w:t>
            </w:r>
          </w:p>
        </w:tc>
        <w:tc>
          <w:tcPr>
            <w:tcW w:w="3400" w:type="dxa"/>
            <w:gridSpan w:val="2"/>
            <w:vMerge w:val="restart"/>
            <w:shd w:val="clear" w:color="auto" w:fill="auto"/>
            <w:vAlign w:val="center"/>
          </w:tcPr>
          <w:p>
            <w:pPr>
              <w:overflowPunct w:val="0"/>
              <w:snapToGrid w:val="0"/>
              <w:ind w:right="210"/>
              <w:jc w:val="center"/>
              <w:rPr>
                <w:spacing w:val="-3"/>
                <w:sz w:val="21"/>
                <w:szCs w:val="21"/>
              </w:rPr>
            </w:pPr>
            <w:r>
              <w:rPr>
                <w:rFonts w:hint="eastAsia"/>
                <w:spacing w:val="-3"/>
                <w:sz w:val="21"/>
                <w:szCs w:val="21"/>
              </w:rPr>
              <w:t>高边坡监测</w:t>
            </w:r>
          </w:p>
        </w:tc>
        <w:tc>
          <w:tcPr>
            <w:tcW w:w="5625" w:type="dxa"/>
            <w:shd w:val="clear" w:color="auto" w:fill="auto"/>
            <w:vAlign w:val="center"/>
          </w:tcPr>
          <w:p>
            <w:pPr>
              <w:overflowPunct w:val="0"/>
              <w:snapToGrid w:val="0"/>
              <w:ind w:right="210"/>
              <w:rPr>
                <w:sz w:val="21"/>
                <w:szCs w:val="21"/>
              </w:rPr>
            </w:pPr>
            <w:r>
              <w:rPr>
                <w:rFonts w:hint="eastAsia"/>
                <w:sz w:val="21"/>
                <w:szCs w:val="21"/>
              </w:rPr>
              <w:t>通过位移传感器对边坡表面位移进行监测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Merge w:val="continue"/>
            <w:shd w:val="clear" w:color="auto" w:fill="auto"/>
            <w:vAlign w:val="center"/>
          </w:tcPr>
          <w:p>
            <w:pPr>
              <w:overflowPunct w:val="0"/>
              <w:ind w:right="34"/>
              <w:jc w:val="center"/>
              <w:rPr>
                <w:bCs/>
                <w:spacing w:val="-3"/>
                <w:sz w:val="21"/>
                <w:szCs w:val="21"/>
              </w:rPr>
            </w:pPr>
          </w:p>
        </w:tc>
        <w:tc>
          <w:tcPr>
            <w:tcW w:w="3400" w:type="dxa"/>
            <w:gridSpan w:val="2"/>
            <w:vMerge w:val="continue"/>
            <w:shd w:val="clear" w:color="auto" w:fill="auto"/>
            <w:vAlign w:val="center"/>
          </w:tcPr>
          <w:p>
            <w:pPr>
              <w:overflowPunct w:val="0"/>
              <w:snapToGrid w:val="0"/>
              <w:ind w:right="210"/>
              <w:jc w:val="center"/>
              <w:rPr>
                <w:spacing w:val="-3"/>
                <w:sz w:val="21"/>
                <w:szCs w:val="21"/>
              </w:rPr>
            </w:pPr>
          </w:p>
        </w:tc>
        <w:tc>
          <w:tcPr>
            <w:tcW w:w="5625" w:type="dxa"/>
            <w:shd w:val="clear" w:color="auto" w:fill="auto"/>
            <w:vAlign w:val="center"/>
          </w:tcPr>
          <w:p>
            <w:pPr>
              <w:overflowPunct w:val="0"/>
              <w:snapToGrid w:val="0"/>
              <w:ind w:right="210"/>
              <w:rPr>
                <w:sz w:val="21"/>
                <w:szCs w:val="21"/>
              </w:rPr>
            </w:pPr>
            <w:r>
              <w:rPr>
                <w:rFonts w:hint="eastAsia"/>
                <w:sz w:val="21"/>
                <w:szCs w:val="21"/>
              </w:rPr>
              <w:t>通过位移传感器对边坡深层位移进行监测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Merge w:val="continue"/>
            <w:shd w:val="clear" w:color="auto" w:fill="auto"/>
            <w:vAlign w:val="center"/>
          </w:tcPr>
          <w:p>
            <w:pPr>
              <w:overflowPunct w:val="0"/>
              <w:ind w:right="34"/>
              <w:jc w:val="center"/>
              <w:rPr>
                <w:bCs/>
                <w:spacing w:val="-3"/>
                <w:sz w:val="21"/>
                <w:szCs w:val="21"/>
              </w:rPr>
            </w:pPr>
          </w:p>
        </w:tc>
        <w:tc>
          <w:tcPr>
            <w:tcW w:w="3400" w:type="dxa"/>
            <w:gridSpan w:val="2"/>
            <w:vMerge w:val="continue"/>
            <w:shd w:val="clear" w:color="auto" w:fill="auto"/>
            <w:vAlign w:val="center"/>
          </w:tcPr>
          <w:p>
            <w:pPr>
              <w:overflowPunct w:val="0"/>
              <w:snapToGrid w:val="0"/>
              <w:ind w:right="210"/>
              <w:jc w:val="center"/>
              <w:rPr>
                <w:spacing w:val="-3"/>
                <w:sz w:val="21"/>
                <w:szCs w:val="21"/>
              </w:rPr>
            </w:pPr>
          </w:p>
        </w:tc>
        <w:tc>
          <w:tcPr>
            <w:tcW w:w="5625" w:type="dxa"/>
            <w:shd w:val="clear" w:color="auto" w:fill="auto"/>
            <w:vAlign w:val="center"/>
          </w:tcPr>
          <w:p>
            <w:pPr>
              <w:overflowPunct w:val="0"/>
              <w:snapToGrid w:val="0"/>
              <w:ind w:right="210"/>
              <w:rPr>
                <w:sz w:val="21"/>
                <w:szCs w:val="21"/>
              </w:rPr>
            </w:pPr>
            <w:r>
              <w:rPr>
                <w:rFonts w:hint="eastAsia"/>
                <w:sz w:val="21"/>
                <w:szCs w:val="21"/>
              </w:rPr>
              <w:t>通过自动化水位传感器对降雨量进行监测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Merge w:val="continue"/>
            <w:shd w:val="clear" w:color="auto" w:fill="auto"/>
            <w:vAlign w:val="center"/>
          </w:tcPr>
          <w:p>
            <w:pPr>
              <w:overflowPunct w:val="0"/>
              <w:ind w:right="34"/>
              <w:jc w:val="center"/>
              <w:rPr>
                <w:bCs/>
                <w:spacing w:val="-3"/>
                <w:sz w:val="21"/>
                <w:szCs w:val="21"/>
              </w:rPr>
            </w:pPr>
          </w:p>
        </w:tc>
        <w:tc>
          <w:tcPr>
            <w:tcW w:w="3400" w:type="dxa"/>
            <w:gridSpan w:val="2"/>
            <w:vMerge w:val="continue"/>
            <w:shd w:val="clear" w:color="auto" w:fill="auto"/>
            <w:vAlign w:val="center"/>
          </w:tcPr>
          <w:p>
            <w:pPr>
              <w:overflowPunct w:val="0"/>
              <w:snapToGrid w:val="0"/>
              <w:ind w:right="210"/>
              <w:jc w:val="center"/>
              <w:rPr>
                <w:spacing w:val="-3"/>
                <w:sz w:val="21"/>
                <w:szCs w:val="21"/>
              </w:rPr>
            </w:pPr>
          </w:p>
        </w:tc>
        <w:tc>
          <w:tcPr>
            <w:tcW w:w="5625" w:type="dxa"/>
            <w:shd w:val="clear" w:color="auto" w:fill="auto"/>
            <w:vAlign w:val="center"/>
          </w:tcPr>
          <w:p>
            <w:pPr>
              <w:overflowPunct w:val="0"/>
              <w:snapToGrid w:val="0"/>
              <w:ind w:right="210"/>
              <w:rPr>
                <w:sz w:val="21"/>
                <w:szCs w:val="21"/>
              </w:rPr>
            </w:pPr>
            <w:r>
              <w:rPr>
                <w:rFonts w:hint="eastAsia"/>
                <w:sz w:val="21"/>
                <w:szCs w:val="21"/>
              </w:rPr>
              <w:t>通过应力传感器对支护应力进行监测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Merge w:val="restart"/>
            <w:shd w:val="clear" w:color="auto" w:fill="auto"/>
            <w:vAlign w:val="center"/>
          </w:tcPr>
          <w:p>
            <w:pPr>
              <w:overflowPunct w:val="0"/>
              <w:ind w:right="34"/>
              <w:jc w:val="center"/>
              <w:rPr>
                <w:bCs/>
                <w:spacing w:val="-3"/>
                <w:sz w:val="21"/>
                <w:szCs w:val="21"/>
              </w:rPr>
            </w:pPr>
            <w:r>
              <w:rPr>
                <w:rFonts w:hint="eastAsia"/>
                <w:bCs/>
                <w:spacing w:val="-3"/>
                <w:sz w:val="21"/>
                <w:szCs w:val="21"/>
              </w:rPr>
              <w:t>9</w:t>
            </w:r>
          </w:p>
        </w:tc>
        <w:tc>
          <w:tcPr>
            <w:tcW w:w="3400" w:type="dxa"/>
            <w:gridSpan w:val="2"/>
            <w:vMerge w:val="restart"/>
            <w:shd w:val="clear" w:color="auto" w:fill="auto"/>
            <w:vAlign w:val="center"/>
          </w:tcPr>
          <w:p>
            <w:pPr>
              <w:overflowPunct w:val="0"/>
              <w:snapToGrid w:val="0"/>
              <w:ind w:right="210"/>
              <w:jc w:val="center"/>
              <w:rPr>
                <w:spacing w:val="-3"/>
                <w:sz w:val="21"/>
                <w:szCs w:val="21"/>
              </w:rPr>
            </w:pPr>
            <w:r>
              <w:rPr>
                <w:rFonts w:hint="eastAsia"/>
                <w:spacing w:val="-3"/>
                <w:sz w:val="21"/>
                <w:szCs w:val="21"/>
              </w:rPr>
              <w:t>外墙脚手架监测</w:t>
            </w:r>
          </w:p>
        </w:tc>
        <w:tc>
          <w:tcPr>
            <w:tcW w:w="5625" w:type="dxa"/>
            <w:shd w:val="clear" w:color="auto" w:fill="auto"/>
            <w:vAlign w:val="center"/>
          </w:tcPr>
          <w:p>
            <w:pPr>
              <w:overflowPunct w:val="0"/>
              <w:snapToGrid w:val="0"/>
              <w:ind w:right="210"/>
              <w:rPr>
                <w:sz w:val="21"/>
                <w:szCs w:val="21"/>
              </w:rPr>
            </w:pPr>
            <w:r>
              <w:rPr>
                <w:rFonts w:hint="eastAsia"/>
                <w:sz w:val="21"/>
                <w:szCs w:val="21"/>
              </w:rPr>
              <w:t>通过测斜传感器监测脚手架倾斜程度，具备数据传输功能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Merge w:val="continue"/>
            <w:shd w:val="clear" w:color="auto" w:fill="auto"/>
            <w:vAlign w:val="center"/>
          </w:tcPr>
          <w:p>
            <w:pPr>
              <w:overflowPunct w:val="0"/>
              <w:ind w:right="34"/>
              <w:jc w:val="center"/>
              <w:rPr>
                <w:bCs/>
                <w:spacing w:val="-3"/>
                <w:sz w:val="21"/>
                <w:szCs w:val="21"/>
              </w:rPr>
            </w:pPr>
          </w:p>
        </w:tc>
        <w:tc>
          <w:tcPr>
            <w:tcW w:w="3400" w:type="dxa"/>
            <w:gridSpan w:val="2"/>
            <w:vMerge w:val="continue"/>
            <w:shd w:val="clear" w:color="auto" w:fill="auto"/>
            <w:vAlign w:val="center"/>
          </w:tcPr>
          <w:p>
            <w:pPr>
              <w:overflowPunct w:val="0"/>
              <w:snapToGrid w:val="0"/>
              <w:ind w:right="210"/>
              <w:jc w:val="center"/>
              <w:rPr>
                <w:spacing w:val="-3"/>
                <w:sz w:val="21"/>
                <w:szCs w:val="21"/>
              </w:rPr>
            </w:pPr>
          </w:p>
        </w:tc>
        <w:tc>
          <w:tcPr>
            <w:tcW w:w="5625" w:type="dxa"/>
            <w:shd w:val="clear" w:color="auto" w:fill="auto"/>
            <w:vAlign w:val="center"/>
          </w:tcPr>
          <w:p>
            <w:pPr>
              <w:overflowPunct w:val="0"/>
              <w:snapToGrid w:val="0"/>
              <w:ind w:right="210"/>
              <w:rPr>
                <w:sz w:val="21"/>
                <w:szCs w:val="21"/>
              </w:rPr>
            </w:pPr>
            <w:r>
              <w:rPr>
                <w:rFonts w:hint="eastAsia"/>
                <w:sz w:val="21"/>
                <w:szCs w:val="21"/>
              </w:rPr>
              <w:t>通过位移传感器监测脚手架位移，测量模架变形情况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Merge w:val="continue"/>
            <w:shd w:val="clear" w:color="auto" w:fill="auto"/>
            <w:vAlign w:val="center"/>
          </w:tcPr>
          <w:p>
            <w:pPr>
              <w:overflowPunct w:val="0"/>
              <w:ind w:right="34"/>
              <w:jc w:val="center"/>
              <w:rPr>
                <w:bCs/>
                <w:spacing w:val="-3"/>
                <w:sz w:val="21"/>
                <w:szCs w:val="21"/>
              </w:rPr>
            </w:pPr>
          </w:p>
        </w:tc>
        <w:tc>
          <w:tcPr>
            <w:tcW w:w="3400" w:type="dxa"/>
            <w:gridSpan w:val="2"/>
            <w:vMerge w:val="continue"/>
            <w:shd w:val="clear" w:color="auto" w:fill="auto"/>
            <w:vAlign w:val="center"/>
          </w:tcPr>
          <w:p>
            <w:pPr>
              <w:overflowPunct w:val="0"/>
              <w:snapToGrid w:val="0"/>
              <w:ind w:right="210"/>
              <w:jc w:val="center"/>
              <w:rPr>
                <w:spacing w:val="-3"/>
                <w:sz w:val="21"/>
                <w:szCs w:val="21"/>
              </w:rPr>
            </w:pPr>
          </w:p>
        </w:tc>
        <w:tc>
          <w:tcPr>
            <w:tcW w:w="5625" w:type="dxa"/>
            <w:shd w:val="clear" w:color="auto" w:fill="auto"/>
            <w:vAlign w:val="center"/>
          </w:tcPr>
          <w:p>
            <w:pPr>
              <w:overflowPunct w:val="0"/>
              <w:snapToGrid w:val="0"/>
              <w:ind w:right="210"/>
              <w:rPr>
                <w:sz w:val="21"/>
                <w:szCs w:val="21"/>
              </w:rPr>
            </w:pPr>
            <w:r>
              <w:rPr>
                <w:rFonts w:hint="eastAsia"/>
                <w:sz w:val="21"/>
                <w:szCs w:val="21"/>
              </w:rPr>
              <w:t>即时报警、数据分析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shd w:val="clear" w:color="auto" w:fill="auto"/>
            <w:vAlign w:val="center"/>
          </w:tcPr>
          <w:p>
            <w:pPr>
              <w:overflowPunct w:val="0"/>
              <w:ind w:right="34"/>
              <w:jc w:val="center"/>
              <w:rPr>
                <w:bCs/>
                <w:spacing w:val="-3"/>
                <w:sz w:val="21"/>
                <w:szCs w:val="21"/>
              </w:rPr>
            </w:pPr>
            <w:r>
              <w:rPr>
                <w:rFonts w:hint="eastAsia"/>
                <w:bCs/>
                <w:spacing w:val="-3"/>
                <w:sz w:val="21"/>
                <w:szCs w:val="21"/>
              </w:rPr>
              <w:t>10</w:t>
            </w:r>
          </w:p>
        </w:tc>
        <w:tc>
          <w:tcPr>
            <w:tcW w:w="3400" w:type="dxa"/>
            <w:gridSpan w:val="2"/>
            <w:shd w:val="clear" w:color="auto" w:fill="auto"/>
            <w:vAlign w:val="center"/>
          </w:tcPr>
          <w:p>
            <w:pPr>
              <w:overflowPunct w:val="0"/>
              <w:snapToGrid w:val="0"/>
              <w:ind w:right="210"/>
              <w:jc w:val="center"/>
              <w:rPr>
                <w:spacing w:val="-3"/>
                <w:sz w:val="21"/>
                <w:szCs w:val="21"/>
              </w:rPr>
            </w:pPr>
            <w:r>
              <w:rPr>
                <w:rFonts w:hint="eastAsia"/>
                <w:spacing w:val="-3"/>
                <w:sz w:val="21"/>
                <w:szCs w:val="21"/>
              </w:rPr>
              <w:t>智能张拉监测系统</w:t>
            </w:r>
          </w:p>
        </w:tc>
        <w:tc>
          <w:tcPr>
            <w:tcW w:w="5625" w:type="dxa"/>
            <w:shd w:val="clear" w:color="auto" w:fill="auto"/>
            <w:vAlign w:val="center"/>
          </w:tcPr>
          <w:p>
            <w:pPr>
              <w:overflowPunct w:val="0"/>
              <w:snapToGrid w:val="0"/>
              <w:ind w:right="210"/>
              <w:rPr>
                <w:sz w:val="21"/>
                <w:szCs w:val="21"/>
              </w:rPr>
            </w:pPr>
            <w:r>
              <w:rPr>
                <w:rFonts w:hint="eastAsia"/>
                <w:sz w:val="21"/>
                <w:szCs w:val="21"/>
              </w:rPr>
              <w:t>对预应力张拉过程进行监测、实时报警、误差查询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shd w:val="clear" w:color="auto" w:fill="auto"/>
            <w:vAlign w:val="center"/>
          </w:tcPr>
          <w:p>
            <w:pPr>
              <w:overflowPunct w:val="0"/>
              <w:ind w:right="34"/>
              <w:jc w:val="center"/>
              <w:rPr>
                <w:bCs/>
                <w:spacing w:val="-3"/>
                <w:sz w:val="21"/>
                <w:szCs w:val="21"/>
              </w:rPr>
            </w:pPr>
            <w:r>
              <w:rPr>
                <w:rFonts w:hint="eastAsia"/>
                <w:bCs/>
                <w:spacing w:val="-3"/>
                <w:sz w:val="21"/>
                <w:szCs w:val="21"/>
              </w:rPr>
              <w:t>11</w:t>
            </w:r>
          </w:p>
        </w:tc>
        <w:tc>
          <w:tcPr>
            <w:tcW w:w="3400" w:type="dxa"/>
            <w:gridSpan w:val="2"/>
            <w:shd w:val="clear" w:color="auto" w:fill="auto"/>
            <w:vAlign w:val="center"/>
          </w:tcPr>
          <w:p>
            <w:pPr>
              <w:overflowPunct w:val="0"/>
              <w:snapToGrid w:val="0"/>
              <w:ind w:right="210"/>
              <w:jc w:val="center"/>
              <w:rPr>
                <w:spacing w:val="-3"/>
                <w:sz w:val="21"/>
                <w:szCs w:val="21"/>
              </w:rPr>
            </w:pPr>
            <w:r>
              <w:rPr>
                <w:rFonts w:hint="eastAsia"/>
                <w:spacing w:val="-3"/>
                <w:sz w:val="21"/>
                <w:szCs w:val="21"/>
              </w:rPr>
              <w:t>施工升降电梯监测</w:t>
            </w:r>
          </w:p>
        </w:tc>
        <w:tc>
          <w:tcPr>
            <w:tcW w:w="5625" w:type="dxa"/>
            <w:shd w:val="clear" w:color="auto" w:fill="auto"/>
            <w:vAlign w:val="center"/>
          </w:tcPr>
          <w:p>
            <w:pPr>
              <w:overflowPunct w:val="0"/>
              <w:snapToGrid w:val="0"/>
              <w:ind w:right="210"/>
              <w:rPr>
                <w:sz w:val="21"/>
                <w:szCs w:val="21"/>
              </w:rPr>
            </w:pPr>
            <w:r>
              <w:rPr>
                <w:rFonts w:hint="eastAsia"/>
                <w:sz w:val="21"/>
                <w:szCs w:val="21"/>
              </w:rPr>
              <w:t>实时监测升降电梯载重、轿厢倾斜度、起升高度、运行速度等参数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4" w:type="dxa"/>
            <w:vMerge w:val="restart"/>
            <w:shd w:val="clear" w:color="auto" w:fill="auto"/>
            <w:vAlign w:val="center"/>
          </w:tcPr>
          <w:p>
            <w:pPr>
              <w:overflowPunct w:val="0"/>
              <w:ind w:right="34"/>
              <w:jc w:val="center"/>
              <w:rPr>
                <w:bCs/>
                <w:spacing w:val="-3"/>
                <w:sz w:val="21"/>
                <w:szCs w:val="21"/>
              </w:rPr>
            </w:pPr>
            <w:r>
              <w:rPr>
                <w:rFonts w:hint="eastAsia"/>
                <w:bCs/>
                <w:spacing w:val="-3"/>
                <w:sz w:val="21"/>
                <w:szCs w:val="21"/>
              </w:rPr>
              <w:t>12</w:t>
            </w:r>
          </w:p>
        </w:tc>
        <w:tc>
          <w:tcPr>
            <w:tcW w:w="1295" w:type="dxa"/>
            <w:vMerge w:val="restart"/>
            <w:shd w:val="clear" w:color="auto" w:fill="auto"/>
            <w:vAlign w:val="center"/>
          </w:tcPr>
          <w:p>
            <w:pPr>
              <w:overflowPunct w:val="0"/>
              <w:snapToGrid w:val="0"/>
              <w:ind w:right="210"/>
              <w:jc w:val="center"/>
            </w:pPr>
            <w:r>
              <w:rPr>
                <w:rFonts w:hint="eastAsia"/>
              </w:rPr>
              <w:t>冷却塔施工</w:t>
            </w:r>
          </w:p>
        </w:tc>
        <w:tc>
          <w:tcPr>
            <w:tcW w:w="2105" w:type="dxa"/>
            <w:shd w:val="clear" w:color="auto" w:fill="auto"/>
            <w:vAlign w:val="center"/>
          </w:tcPr>
          <w:p>
            <w:pPr>
              <w:overflowPunct w:val="0"/>
              <w:snapToGrid w:val="0"/>
              <w:ind w:right="210"/>
              <w:jc w:val="center"/>
            </w:pPr>
            <w:r>
              <w:rPr>
                <w:rFonts w:hint="eastAsia"/>
              </w:rPr>
              <w:t>基础施工</w:t>
            </w:r>
          </w:p>
        </w:tc>
        <w:tc>
          <w:tcPr>
            <w:tcW w:w="5625" w:type="dxa"/>
            <w:shd w:val="clear" w:color="auto" w:fill="auto"/>
            <w:vAlign w:val="center"/>
          </w:tcPr>
          <w:p>
            <w:pPr>
              <w:overflowPunct w:val="0"/>
              <w:snapToGrid w:val="0"/>
              <w:ind w:right="210"/>
              <w:rPr>
                <w:sz w:val="21"/>
                <w:szCs w:val="21"/>
              </w:rPr>
            </w:pPr>
            <w:r>
              <w:rPr>
                <w:rFonts w:hint="eastAsia"/>
                <w:sz w:val="21"/>
                <w:szCs w:val="21"/>
              </w:rPr>
              <w:t>监控模板安装及支架、钢筋绑扎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4" w:type="dxa"/>
            <w:vMerge w:val="continue"/>
            <w:shd w:val="clear" w:color="auto" w:fill="auto"/>
            <w:vAlign w:val="center"/>
          </w:tcPr>
          <w:p>
            <w:pPr>
              <w:overflowPunct w:val="0"/>
              <w:ind w:right="34"/>
              <w:jc w:val="center"/>
              <w:rPr>
                <w:bCs/>
                <w:spacing w:val="-3"/>
                <w:sz w:val="21"/>
                <w:szCs w:val="21"/>
              </w:rPr>
            </w:pPr>
          </w:p>
        </w:tc>
        <w:tc>
          <w:tcPr>
            <w:tcW w:w="1295" w:type="dxa"/>
            <w:vMerge w:val="continue"/>
            <w:shd w:val="clear" w:color="auto" w:fill="auto"/>
            <w:vAlign w:val="center"/>
          </w:tcPr>
          <w:p>
            <w:pPr>
              <w:overflowPunct w:val="0"/>
              <w:snapToGrid w:val="0"/>
              <w:ind w:right="210"/>
              <w:jc w:val="center"/>
            </w:pPr>
          </w:p>
        </w:tc>
        <w:tc>
          <w:tcPr>
            <w:tcW w:w="2105" w:type="dxa"/>
            <w:shd w:val="clear" w:color="auto" w:fill="auto"/>
            <w:vAlign w:val="center"/>
          </w:tcPr>
          <w:p>
            <w:pPr>
              <w:overflowPunct w:val="0"/>
              <w:snapToGrid w:val="0"/>
              <w:ind w:right="210"/>
              <w:jc w:val="center"/>
            </w:pPr>
            <w:r>
              <w:rPr>
                <w:rFonts w:hint="eastAsia"/>
              </w:rPr>
              <w:t>混凝土结构外观</w:t>
            </w:r>
          </w:p>
        </w:tc>
        <w:tc>
          <w:tcPr>
            <w:tcW w:w="5625" w:type="dxa"/>
            <w:shd w:val="clear" w:color="auto" w:fill="auto"/>
            <w:vAlign w:val="center"/>
          </w:tcPr>
          <w:p>
            <w:pPr>
              <w:overflowPunct w:val="0"/>
              <w:snapToGrid w:val="0"/>
              <w:ind w:right="210"/>
              <w:rPr>
                <w:sz w:val="21"/>
                <w:szCs w:val="21"/>
              </w:rPr>
            </w:pPr>
            <w:r>
              <w:rPr>
                <w:rFonts w:hint="eastAsia"/>
                <w:sz w:val="21"/>
                <w:szCs w:val="21"/>
              </w:rPr>
              <w:t>监测混凝土外观质量、尺寸偏差、大体积混凝土温控措施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4" w:type="dxa"/>
            <w:vMerge w:val="continue"/>
            <w:shd w:val="clear" w:color="auto" w:fill="auto"/>
            <w:vAlign w:val="center"/>
          </w:tcPr>
          <w:p>
            <w:pPr>
              <w:overflowPunct w:val="0"/>
              <w:ind w:right="34"/>
              <w:jc w:val="center"/>
              <w:rPr>
                <w:bCs/>
                <w:spacing w:val="-3"/>
                <w:sz w:val="21"/>
                <w:szCs w:val="21"/>
              </w:rPr>
            </w:pPr>
          </w:p>
        </w:tc>
        <w:tc>
          <w:tcPr>
            <w:tcW w:w="1295" w:type="dxa"/>
            <w:vMerge w:val="continue"/>
            <w:shd w:val="clear" w:color="auto" w:fill="auto"/>
            <w:vAlign w:val="center"/>
          </w:tcPr>
          <w:p>
            <w:pPr>
              <w:overflowPunct w:val="0"/>
              <w:snapToGrid w:val="0"/>
              <w:ind w:right="210"/>
              <w:jc w:val="center"/>
            </w:pPr>
          </w:p>
        </w:tc>
        <w:tc>
          <w:tcPr>
            <w:tcW w:w="2105" w:type="dxa"/>
            <w:shd w:val="clear" w:color="auto" w:fill="auto"/>
            <w:vAlign w:val="center"/>
          </w:tcPr>
          <w:p>
            <w:pPr>
              <w:overflowPunct w:val="0"/>
              <w:snapToGrid w:val="0"/>
              <w:ind w:right="210"/>
              <w:jc w:val="center"/>
            </w:pPr>
            <w:r>
              <w:rPr>
                <w:rFonts w:hint="eastAsia"/>
              </w:rPr>
              <w:t>模板安装</w:t>
            </w:r>
          </w:p>
        </w:tc>
        <w:tc>
          <w:tcPr>
            <w:tcW w:w="5625" w:type="dxa"/>
            <w:shd w:val="clear" w:color="auto" w:fill="auto"/>
            <w:vAlign w:val="center"/>
          </w:tcPr>
          <w:p>
            <w:pPr>
              <w:overflowPunct w:val="0"/>
              <w:snapToGrid w:val="0"/>
              <w:ind w:right="210"/>
              <w:rPr>
                <w:sz w:val="21"/>
                <w:szCs w:val="21"/>
              </w:rPr>
            </w:pPr>
            <w:r>
              <w:rPr>
                <w:rFonts w:hint="eastAsia"/>
                <w:sz w:val="21"/>
                <w:szCs w:val="21"/>
              </w:rPr>
              <w:t>监控模板安装及支架、侧向弯曲度、表面平整度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4" w:type="dxa"/>
            <w:vMerge w:val="continue"/>
            <w:shd w:val="clear" w:color="auto" w:fill="auto"/>
            <w:vAlign w:val="center"/>
          </w:tcPr>
          <w:p>
            <w:pPr>
              <w:overflowPunct w:val="0"/>
              <w:ind w:right="34"/>
              <w:jc w:val="center"/>
              <w:rPr>
                <w:bCs/>
                <w:spacing w:val="-3"/>
                <w:sz w:val="21"/>
                <w:szCs w:val="21"/>
              </w:rPr>
            </w:pPr>
          </w:p>
        </w:tc>
        <w:tc>
          <w:tcPr>
            <w:tcW w:w="1295" w:type="dxa"/>
            <w:vMerge w:val="continue"/>
            <w:shd w:val="clear" w:color="auto" w:fill="auto"/>
            <w:vAlign w:val="center"/>
          </w:tcPr>
          <w:p>
            <w:pPr>
              <w:overflowPunct w:val="0"/>
              <w:snapToGrid w:val="0"/>
              <w:ind w:right="210"/>
              <w:jc w:val="center"/>
            </w:pPr>
          </w:p>
        </w:tc>
        <w:tc>
          <w:tcPr>
            <w:tcW w:w="2105" w:type="dxa"/>
            <w:shd w:val="clear" w:color="auto" w:fill="auto"/>
            <w:vAlign w:val="center"/>
          </w:tcPr>
          <w:p>
            <w:pPr>
              <w:overflowPunct w:val="0"/>
              <w:snapToGrid w:val="0"/>
              <w:ind w:right="210"/>
              <w:jc w:val="center"/>
            </w:pPr>
            <w:r>
              <w:rPr>
                <w:rFonts w:hint="eastAsia"/>
              </w:rPr>
              <w:t>淋水装置及塔外挡风板</w:t>
            </w:r>
          </w:p>
        </w:tc>
        <w:tc>
          <w:tcPr>
            <w:tcW w:w="5625" w:type="dxa"/>
            <w:shd w:val="clear" w:color="auto" w:fill="auto"/>
            <w:vAlign w:val="center"/>
          </w:tcPr>
          <w:p>
            <w:pPr>
              <w:overflowPunct w:val="0"/>
              <w:snapToGrid w:val="0"/>
              <w:ind w:right="210"/>
              <w:rPr>
                <w:sz w:val="21"/>
                <w:szCs w:val="21"/>
              </w:rPr>
            </w:pPr>
            <w:r>
              <w:rPr>
                <w:rFonts w:hint="eastAsia"/>
                <w:sz w:val="21"/>
                <w:szCs w:val="21"/>
              </w:rPr>
              <w:t>监控淋水装置托架及挡风板强度、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Merge w:val="restart"/>
            <w:shd w:val="clear" w:color="auto" w:fill="auto"/>
            <w:vAlign w:val="center"/>
          </w:tcPr>
          <w:p>
            <w:pPr>
              <w:overflowPunct w:val="0"/>
              <w:ind w:right="34"/>
              <w:jc w:val="center"/>
              <w:rPr>
                <w:bCs/>
                <w:spacing w:val="-3"/>
                <w:sz w:val="21"/>
                <w:szCs w:val="21"/>
              </w:rPr>
            </w:pPr>
            <w:r>
              <w:rPr>
                <w:rFonts w:hint="eastAsia"/>
                <w:bCs/>
                <w:spacing w:val="-3"/>
                <w:sz w:val="21"/>
                <w:szCs w:val="21"/>
              </w:rPr>
              <w:t>13</w:t>
            </w:r>
          </w:p>
        </w:tc>
        <w:tc>
          <w:tcPr>
            <w:tcW w:w="1295" w:type="dxa"/>
            <w:vMerge w:val="restart"/>
            <w:shd w:val="clear" w:color="auto" w:fill="auto"/>
            <w:vAlign w:val="center"/>
          </w:tcPr>
          <w:p>
            <w:pPr>
              <w:overflowPunct w:val="0"/>
              <w:snapToGrid w:val="0"/>
              <w:ind w:right="210"/>
              <w:jc w:val="center"/>
            </w:pPr>
            <w:r>
              <w:rPr>
                <w:rFonts w:hint="eastAsia"/>
              </w:rPr>
              <w:t>烟囱施工</w:t>
            </w:r>
          </w:p>
        </w:tc>
        <w:tc>
          <w:tcPr>
            <w:tcW w:w="2105" w:type="dxa"/>
            <w:shd w:val="clear" w:color="auto" w:fill="auto"/>
            <w:vAlign w:val="center"/>
          </w:tcPr>
          <w:p>
            <w:pPr>
              <w:overflowPunct w:val="0"/>
              <w:snapToGrid w:val="0"/>
              <w:ind w:right="210"/>
              <w:jc w:val="center"/>
            </w:pPr>
            <w:r>
              <w:rPr>
                <w:rFonts w:hint="eastAsia"/>
              </w:rPr>
              <w:t>基础施工</w:t>
            </w:r>
          </w:p>
        </w:tc>
        <w:tc>
          <w:tcPr>
            <w:tcW w:w="5625" w:type="dxa"/>
            <w:shd w:val="clear" w:color="auto" w:fill="auto"/>
            <w:vAlign w:val="center"/>
          </w:tcPr>
          <w:p>
            <w:pPr>
              <w:overflowPunct w:val="0"/>
              <w:snapToGrid w:val="0"/>
              <w:ind w:right="210"/>
              <w:rPr>
                <w:sz w:val="21"/>
                <w:szCs w:val="21"/>
              </w:rPr>
            </w:pPr>
            <w:r>
              <w:rPr>
                <w:rFonts w:hint="eastAsia"/>
                <w:sz w:val="21"/>
                <w:szCs w:val="21"/>
              </w:rPr>
              <w:t>监控模板安装及支架、钢筋绑扎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Merge w:val="continue"/>
            <w:shd w:val="clear" w:color="auto" w:fill="auto"/>
            <w:vAlign w:val="center"/>
          </w:tcPr>
          <w:p>
            <w:pPr>
              <w:overflowPunct w:val="0"/>
              <w:ind w:right="34"/>
              <w:jc w:val="center"/>
              <w:rPr>
                <w:bCs/>
                <w:spacing w:val="-3"/>
                <w:sz w:val="21"/>
                <w:szCs w:val="21"/>
              </w:rPr>
            </w:pPr>
          </w:p>
        </w:tc>
        <w:tc>
          <w:tcPr>
            <w:tcW w:w="1295" w:type="dxa"/>
            <w:vMerge w:val="continue"/>
            <w:shd w:val="clear" w:color="auto" w:fill="auto"/>
            <w:vAlign w:val="center"/>
          </w:tcPr>
          <w:p>
            <w:pPr>
              <w:overflowPunct w:val="0"/>
              <w:snapToGrid w:val="0"/>
              <w:ind w:right="210"/>
              <w:jc w:val="center"/>
            </w:pPr>
          </w:p>
        </w:tc>
        <w:tc>
          <w:tcPr>
            <w:tcW w:w="2105" w:type="dxa"/>
            <w:shd w:val="clear" w:color="auto" w:fill="auto"/>
            <w:vAlign w:val="center"/>
          </w:tcPr>
          <w:p>
            <w:pPr>
              <w:overflowPunct w:val="0"/>
              <w:snapToGrid w:val="0"/>
              <w:ind w:right="210"/>
              <w:jc w:val="center"/>
            </w:pPr>
            <w:r>
              <w:rPr>
                <w:rFonts w:hint="eastAsia"/>
              </w:rPr>
              <w:t>混凝土结构外观</w:t>
            </w:r>
          </w:p>
        </w:tc>
        <w:tc>
          <w:tcPr>
            <w:tcW w:w="5625" w:type="dxa"/>
            <w:shd w:val="clear" w:color="auto" w:fill="auto"/>
            <w:vAlign w:val="center"/>
          </w:tcPr>
          <w:p>
            <w:pPr>
              <w:overflowPunct w:val="0"/>
              <w:snapToGrid w:val="0"/>
              <w:ind w:right="210"/>
              <w:rPr>
                <w:sz w:val="21"/>
                <w:szCs w:val="21"/>
              </w:rPr>
            </w:pPr>
            <w:r>
              <w:rPr>
                <w:rFonts w:hint="eastAsia"/>
                <w:sz w:val="21"/>
                <w:szCs w:val="21"/>
              </w:rPr>
              <w:t>监测混凝土外观质量、尺寸偏差、大体积混凝土温控措施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Merge w:val="continue"/>
            <w:shd w:val="clear" w:color="auto" w:fill="auto"/>
            <w:vAlign w:val="center"/>
          </w:tcPr>
          <w:p>
            <w:pPr>
              <w:overflowPunct w:val="0"/>
              <w:ind w:right="34"/>
              <w:jc w:val="center"/>
              <w:rPr>
                <w:bCs/>
                <w:spacing w:val="-3"/>
                <w:sz w:val="21"/>
                <w:szCs w:val="21"/>
              </w:rPr>
            </w:pPr>
          </w:p>
        </w:tc>
        <w:tc>
          <w:tcPr>
            <w:tcW w:w="1295" w:type="dxa"/>
            <w:vMerge w:val="continue"/>
            <w:shd w:val="clear" w:color="auto" w:fill="auto"/>
            <w:vAlign w:val="center"/>
          </w:tcPr>
          <w:p>
            <w:pPr>
              <w:overflowPunct w:val="0"/>
              <w:snapToGrid w:val="0"/>
              <w:ind w:right="210"/>
              <w:jc w:val="center"/>
            </w:pPr>
          </w:p>
        </w:tc>
        <w:tc>
          <w:tcPr>
            <w:tcW w:w="2105" w:type="dxa"/>
            <w:shd w:val="clear" w:color="auto" w:fill="auto"/>
            <w:vAlign w:val="center"/>
          </w:tcPr>
          <w:p>
            <w:pPr>
              <w:overflowPunct w:val="0"/>
              <w:snapToGrid w:val="0"/>
              <w:ind w:right="210"/>
              <w:jc w:val="center"/>
            </w:pPr>
            <w:r>
              <w:rPr>
                <w:rFonts w:hint="eastAsia"/>
              </w:rPr>
              <w:t>滑（升）模装置模板安装</w:t>
            </w:r>
          </w:p>
        </w:tc>
        <w:tc>
          <w:tcPr>
            <w:tcW w:w="5625" w:type="dxa"/>
            <w:shd w:val="clear" w:color="auto" w:fill="auto"/>
            <w:vAlign w:val="center"/>
          </w:tcPr>
          <w:p>
            <w:pPr>
              <w:overflowPunct w:val="0"/>
              <w:snapToGrid w:val="0"/>
              <w:ind w:right="210"/>
              <w:rPr>
                <w:sz w:val="21"/>
                <w:szCs w:val="21"/>
              </w:rPr>
            </w:pPr>
            <w:r>
              <w:rPr>
                <w:rFonts w:hint="eastAsia"/>
                <w:sz w:val="21"/>
                <w:szCs w:val="21"/>
              </w:rPr>
              <w:t>监控模板及支撑系统、外观质量、烟囱中心点与基准点的偏差、截面半径偏差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vMerge w:val="continue"/>
            <w:shd w:val="clear" w:color="auto" w:fill="auto"/>
            <w:vAlign w:val="center"/>
          </w:tcPr>
          <w:p>
            <w:pPr>
              <w:overflowPunct w:val="0"/>
              <w:ind w:right="34"/>
              <w:jc w:val="center"/>
              <w:rPr>
                <w:bCs/>
                <w:spacing w:val="-3"/>
                <w:sz w:val="21"/>
                <w:szCs w:val="21"/>
              </w:rPr>
            </w:pPr>
          </w:p>
        </w:tc>
        <w:tc>
          <w:tcPr>
            <w:tcW w:w="1295" w:type="dxa"/>
            <w:vMerge w:val="continue"/>
            <w:shd w:val="clear" w:color="auto" w:fill="auto"/>
            <w:vAlign w:val="center"/>
          </w:tcPr>
          <w:p>
            <w:pPr>
              <w:overflowPunct w:val="0"/>
              <w:snapToGrid w:val="0"/>
              <w:ind w:right="210"/>
              <w:jc w:val="center"/>
            </w:pPr>
          </w:p>
        </w:tc>
        <w:tc>
          <w:tcPr>
            <w:tcW w:w="2105" w:type="dxa"/>
            <w:shd w:val="clear" w:color="auto" w:fill="auto"/>
            <w:vAlign w:val="center"/>
          </w:tcPr>
          <w:p>
            <w:pPr>
              <w:overflowPunct w:val="0"/>
              <w:snapToGrid w:val="0"/>
              <w:ind w:right="210"/>
              <w:jc w:val="center"/>
            </w:pPr>
            <w:r>
              <w:rPr>
                <w:rFonts w:hint="eastAsia"/>
              </w:rPr>
              <w:t>烟囱钢内筒制作焊接</w:t>
            </w:r>
          </w:p>
        </w:tc>
        <w:tc>
          <w:tcPr>
            <w:tcW w:w="5625" w:type="dxa"/>
            <w:shd w:val="clear" w:color="auto" w:fill="auto"/>
            <w:vAlign w:val="center"/>
          </w:tcPr>
          <w:p>
            <w:pPr>
              <w:overflowPunct w:val="0"/>
              <w:snapToGrid w:val="0"/>
              <w:ind w:right="210"/>
              <w:rPr>
                <w:sz w:val="21"/>
                <w:szCs w:val="21"/>
              </w:rPr>
            </w:pPr>
            <w:r>
              <w:rPr>
                <w:rFonts w:hint="eastAsia"/>
                <w:sz w:val="21"/>
                <w:szCs w:val="21"/>
              </w:rPr>
              <w:t>超声波探伤进行内部焊缝的检验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shd w:val="clear" w:color="auto" w:fill="auto"/>
            <w:vAlign w:val="center"/>
          </w:tcPr>
          <w:p>
            <w:pPr>
              <w:overflowPunct w:val="0"/>
              <w:ind w:right="34"/>
              <w:jc w:val="center"/>
              <w:rPr>
                <w:bCs/>
                <w:spacing w:val="-3"/>
                <w:sz w:val="21"/>
                <w:szCs w:val="21"/>
              </w:rPr>
            </w:pPr>
            <w:r>
              <w:rPr>
                <w:rFonts w:hint="eastAsia"/>
                <w:bCs/>
                <w:spacing w:val="-3"/>
                <w:sz w:val="21"/>
                <w:szCs w:val="21"/>
              </w:rPr>
              <w:t>14</w:t>
            </w:r>
          </w:p>
        </w:tc>
        <w:tc>
          <w:tcPr>
            <w:tcW w:w="3400" w:type="dxa"/>
            <w:gridSpan w:val="2"/>
            <w:shd w:val="clear" w:color="auto" w:fill="auto"/>
            <w:vAlign w:val="center"/>
          </w:tcPr>
          <w:p>
            <w:pPr>
              <w:overflowPunct w:val="0"/>
              <w:snapToGrid w:val="0"/>
              <w:ind w:right="210"/>
              <w:jc w:val="center"/>
              <w:rPr>
                <w:rFonts w:hint="eastAsia"/>
              </w:rPr>
            </w:pPr>
            <w:r>
              <w:rPr>
                <w:rFonts w:hint="eastAsia"/>
              </w:rPr>
              <w:t>输煤系统栈桥钢管混泥土结构</w:t>
            </w:r>
          </w:p>
        </w:tc>
        <w:tc>
          <w:tcPr>
            <w:tcW w:w="5625" w:type="dxa"/>
            <w:shd w:val="clear" w:color="auto" w:fill="auto"/>
            <w:vAlign w:val="center"/>
          </w:tcPr>
          <w:p>
            <w:pPr>
              <w:overflowPunct w:val="0"/>
              <w:snapToGrid w:val="0"/>
              <w:ind w:right="210"/>
              <w:rPr>
                <w:rFonts w:hint="eastAsia"/>
                <w:sz w:val="21"/>
                <w:szCs w:val="21"/>
              </w:rPr>
            </w:pPr>
            <w:r>
              <w:rPr>
                <w:rFonts w:hint="eastAsia"/>
                <w:sz w:val="21"/>
                <w:szCs w:val="21"/>
              </w:rPr>
              <w:t>监控钢材和钢管柱的焊接质量、监测混凝土浇筑方法、外观质量、尺寸偏差、大体积混凝土温控、垂直度监测、栈桥坡度监测、构筑物沉降监测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4" w:type="dxa"/>
            <w:shd w:val="clear" w:color="auto" w:fill="auto"/>
            <w:vAlign w:val="center"/>
          </w:tcPr>
          <w:p>
            <w:pPr>
              <w:overflowPunct w:val="0"/>
              <w:ind w:right="34"/>
              <w:jc w:val="center"/>
              <w:rPr>
                <w:bCs/>
                <w:spacing w:val="-3"/>
                <w:sz w:val="21"/>
                <w:szCs w:val="21"/>
              </w:rPr>
            </w:pPr>
            <w:r>
              <w:rPr>
                <w:rFonts w:hint="eastAsia"/>
                <w:bCs/>
                <w:spacing w:val="-3"/>
                <w:sz w:val="21"/>
                <w:szCs w:val="21"/>
              </w:rPr>
              <w:t>15</w:t>
            </w:r>
          </w:p>
        </w:tc>
        <w:tc>
          <w:tcPr>
            <w:tcW w:w="3400" w:type="dxa"/>
            <w:gridSpan w:val="2"/>
            <w:shd w:val="clear" w:color="auto" w:fill="auto"/>
            <w:vAlign w:val="center"/>
          </w:tcPr>
          <w:p>
            <w:pPr>
              <w:overflowPunct w:val="0"/>
              <w:snapToGrid w:val="0"/>
              <w:ind w:right="210"/>
              <w:jc w:val="center"/>
              <w:rPr>
                <w:rFonts w:hint="eastAsia"/>
              </w:rPr>
            </w:pPr>
            <w:r>
              <w:t>干煤棚钢桁架</w:t>
            </w:r>
          </w:p>
        </w:tc>
        <w:tc>
          <w:tcPr>
            <w:tcW w:w="5625" w:type="dxa"/>
            <w:shd w:val="clear" w:color="auto" w:fill="auto"/>
            <w:vAlign w:val="center"/>
          </w:tcPr>
          <w:p>
            <w:pPr>
              <w:overflowPunct w:val="0"/>
              <w:snapToGrid w:val="0"/>
              <w:ind w:right="210"/>
              <w:rPr>
                <w:rFonts w:hint="eastAsia"/>
                <w:sz w:val="21"/>
                <w:szCs w:val="21"/>
              </w:rPr>
            </w:pPr>
            <w:r>
              <w:rPr>
                <w:rFonts w:hint="eastAsia"/>
                <w:sz w:val="21"/>
                <w:szCs w:val="21"/>
              </w:rPr>
              <w:t>监控焊缝表面质量、高强螺栓连接的外观质量、摩擦面抗滑移系数实验和检验</w:t>
            </w:r>
          </w:p>
        </w:tc>
      </w:tr>
    </w:tbl>
    <w:p>
      <w:pPr>
        <w:tabs>
          <w:tab w:val="left" w:pos="859"/>
        </w:tabs>
        <w:overflowPunct w:val="0"/>
        <w:spacing w:before="120" w:beforeLines="50" w:line="278" w:lineRule="auto"/>
        <w:ind w:left="141" w:leftChars="64" w:right="215"/>
        <w:rPr>
          <w:sz w:val="21"/>
          <w:szCs w:val="21"/>
        </w:rPr>
      </w:pPr>
    </w:p>
    <w:p>
      <w:pPr>
        <w:tabs>
          <w:tab w:val="left" w:pos="859"/>
        </w:tabs>
        <w:overflowPunct w:val="0"/>
        <w:spacing w:before="120" w:beforeLines="50" w:line="278" w:lineRule="auto"/>
        <w:ind w:left="141" w:leftChars="64" w:right="215"/>
        <w:rPr>
          <w:sz w:val="21"/>
          <w:szCs w:val="21"/>
        </w:rPr>
      </w:pPr>
      <w:r>
        <w:rPr>
          <w:rFonts w:hint="eastAsia"/>
          <w:sz w:val="21"/>
          <w:szCs w:val="21"/>
        </w:rPr>
        <w:t>7</w:t>
      </w:r>
      <w:r>
        <w:rPr>
          <w:sz w:val="21"/>
          <w:szCs w:val="21"/>
        </w:rPr>
        <w:t>.</w:t>
      </w:r>
      <w:r>
        <w:rPr>
          <w:rFonts w:hint="eastAsia"/>
          <w:sz w:val="21"/>
          <w:szCs w:val="21"/>
        </w:rPr>
        <w:t>2 安装阶段施工管理应包括：施工组织设计、施工方案，安装阶段技术文件，</w:t>
      </w:r>
      <w:r>
        <w:rPr>
          <w:rFonts w:hint="eastAsia"/>
          <w:spacing w:val="-3"/>
          <w:sz w:val="21"/>
          <w:szCs w:val="21"/>
        </w:rPr>
        <w:t>各类资质管理，</w:t>
      </w:r>
      <w:r>
        <w:rPr>
          <w:rFonts w:hint="eastAsia"/>
        </w:rPr>
        <w:t>工程机械及工器具管理、</w:t>
      </w:r>
      <w:r>
        <w:rPr>
          <w:rFonts w:hint="eastAsia"/>
          <w:color w:val="000000" w:themeColor="text1"/>
          <w14:textFill>
            <w14:solidFill>
              <w14:schemeClr w14:val="tx1"/>
            </w14:solidFill>
          </w14:textFill>
        </w:rPr>
        <w:t>物料，</w:t>
      </w:r>
      <w:r>
        <w:rPr>
          <w:rFonts w:hint="eastAsia"/>
          <w:color w:val="000000" w:themeColor="text1"/>
          <w:sz w:val="21"/>
          <w:szCs w:val="21"/>
          <w14:textFill>
            <w14:solidFill>
              <w14:schemeClr w14:val="tx1"/>
            </w14:solidFill>
          </w14:textFill>
        </w:rPr>
        <w:t>塔</w:t>
      </w:r>
      <w:r>
        <w:rPr>
          <w:rFonts w:hint="eastAsia"/>
          <w:sz w:val="21"/>
          <w:szCs w:val="21"/>
        </w:rPr>
        <w:t>吊监测，履带吊安全监控，钢结构安全监测，汽轮机台板就位，精密仪器设备保护、各类资质管理、工程机械及工器具管理、大板梁吊装、锅炉焊口、天然气调压站。具体功能要求见表2：</w:t>
      </w:r>
    </w:p>
    <w:p>
      <w:pPr>
        <w:tabs>
          <w:tab w:val="left" w:pos="859"/>
        </w:tabs>
        <w:overflowPunct w:val="0"/>
        <w:spacing w:before="120" w:beforeLines="50" w:line="278" w:lineRule="auto"/>
        <w:ind w:right="215"/>
        <w:jc w:val="center"/>
      </w:pPr>
      <w:r>
        <w:rPr>
          <w:rFonts w:hint="eastAsia"/>
          <w:b/>
          <w:bCs/>
          <w:sz w:val="21"/>
          <w:szCs w:val="21"/>
        </w:rPr>
        <w:t>表7.2 安装阶段施工管理内容及功能要求</w:t>
      </w:r>
    </w:p>
    <w:tbl>
      <w:tblPr>
        <w:tblStyle w:val="21"/>
        <w:tblW w:w="98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268"/>
        <w:gridCol w:w="300"/>
        <w:gridCol w:w="1568"/>
        <w:gridCol w:w="5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0" w:type="dxa"/>
            <w:shd w:val="clear" w:color="auto" w:fill="auto"/>
            <w:vAlign w:val="center"/>
          </w:tcPr>
          <w:p>
            <w:pPr>
              <w:overflowPunct w:val="0"/>
              <w:ind w:right="-8"/>
              <w:jc w:val="center"/>
              <w:rPr>
                <w:b/>
                <w:bCs/>
                <w:spacing w:val="-3"/>
                <w:sz w:val="21"/>
                <w:szCs w:val="21"/>
              </w:rPr>
            </w:pPr>
            <w:r>
              <w:rPr>
                <w:rFonts w:hint="eastAsia"/>
                <w:b/>
                <w:bCs/>
                <w:spacing w:val="-3"/>
                <w:sz w:val="21"/>
                <w:szCs w:val="21"/>
              </w:rPr>
              <w:t>序号</w:t>
            </w:r>
          </w:p>
        </w:tc>
        <w:tc>
          <w:tcPr>
            <w:tcW w:w="3136" w:type="dxa"/>
            <w:gridSpan w:val="3"/>
            <w:shd w:val="clear" w:color="auto" w:fill="auto"/>
            <w:vAlign w:val="center"/>
          </w:tcPr>
          <w:p>
            <w:pPr>
              <w:overflowPunct w:val="0"/>
              <w:ind w:right="210"/>
              <w:jc w:val="center"/>
              <w:rPr>
                <w:b/>
                <w:bCs/>
                <w:spacing w:val="-3"/>
                <w:sz w:val="21"/>
                <w:szCs w:val="21"/>
              </w:rPr>
            </w:pPr>
            <w:r>
              <w:rPr>
                <w:rFonts w:hint="eastAsia"/>
                <w:b/>
                <w:bCs/>
                <w:spacing w:val="-3"/>
                <w:sz w:val="21"/>
                <w:szCs w:val="21"/>
              </w:rPr>
              <w:t>管理内容</w:t>
            </w:r>
          </w:p>
        </w:tc>
        <w:tc>
          <w:tcPr>
            <w:tcW w:w="5790" w:type="dxa"/>
            <w:shd w:val="clear" w:color="auto" w:fill="auto"/>
            <w:vAlign w:val="center"/>
          </w:tcPr>
          <w:p>
            <w:pPr>
              <w:overflowPunct w:val="0"/>
              <w:ind w:right="210"/>
              <w:jc w:val="center"/>
              <w:rPr>
                <w:b/>
                <w:bCs/>
                <w:spacing w:val="-3"/>
                <w:sz w:val="21"/>
                <w:szCs w:val="21"/>
              </w:rPr>
            </w:pPr>
            <w:r>
              <w:rPr>
                <w:rFonts w:hint="eastAsia"/>
                <w:b/>
                <w:bCs/>
                <w:spacing w:val="-3"/>
                <w:sz w:val="21"/>
                <w:szCs w:val="21"/>
              </w:rPr>
              <w:t>功能要求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shd w:val="clear" w:color="auto" w:fill="auto"/>
            <w:vAlign w:val="center"/>
          </w:tcPr>
          <w:p>
            <w:pPr>
              <w:overflowPunct w:val="0"/>
              <w:snapToGrid w:val="0"/>
              <w:jc w:val="center"/>
              <w:rPr>
                <w:spacing w:val="-3"/>
                <w:sz w:val="21"/>
                <w:szCs w:val="21"/>
              </w:rPr>
            </w:pPr>
            <w:r>
              <w:rPr>
                <w:rFonts w:hint="eastAsia"/>
                <w:spacing w:val="-3"/>
                <w:sz w:val="21"/>
                <w:szCs w:val="21"/>
              </w:rPr>
              <w:t>1</w:t>
            </w:r>
          </w:p>
        </w:tc>
        <w:tc>
          <w:tcPr>
            <w:tcW w:w="3136" w:type="dxa"/>
            <w:gridSpan w:val="3"/>
            <w:shd w:val="clear" w:color="auto" w:fill="auto"/>
            <w:vAlign w:val="center"/>
          </w:tcPr>
          <w:p>
            <w:pPr>
              <w:overflowPunct w:val="0"/>
              <w:ind w:right="211"/>
              <w:jc w:val="center"/>
              <w:rPr>
                <w:spacing w:val="-3"/>
                <w:sz w:val="21"/>
                <w:szCs w:val="21"/>
              </w:rPr>
            </w:pPr>
            <w:r>
              <w:rPr>
                <w:rFonts w:hint="eastAsia"/>
                <w:spacing w:val="-3"/>
                <w:sz w:val="21"/>
                <w:szCs w:val="21"/>
              </w:rPr>
              <w:t>施工组织设计、施工方案</w:t>
            </w:r>
          </w:p>
        </w:tc>
        <w:tc>
          <w:tcPr>
            <w:tcW w:w="5790" w:type="dxa"/>
            <w:shd w:val="clear" w:color="auto" w:fill="auto"/>
            <w:vAlign w:val="center"/>
          </w:tcPr>
          <w:p>
            <w:pPr>
              <w:overflowPunct w:val="0"/>
              <w:snapToGrid w:val="0"/>
              <w:ind w:right="210"/>
              <w:rPr>
                <w:sz w:val="21"/>
                <w:szCs w:val="21"/>
              </w:rPr>
            </w:pPr>
            <w:r>
              <w:rPr>
                <w:rFonts w:hint="eastAsia"/>
                <w:sz w:val="21"/>
                <w:szCs w:val="21"/>
              </w:rPr>
              <w:t>提供在线查询、下载、传输功能；</w:t>
            </w:r>
          </w:p>
          <w:p>
            <w:pPr>
              <w:overflowPunct w:val="0"/>
              <w:snapToGrid w:val="0"/>
              <w:ind w:right="210"/>
              <w:rPr>
                <w:sz w:val="21"/>
                <w:szCs w:val="21"/>
              </w:rPr>
            </w:pPr>
            <w:r>
              <w:rPr>
                <w:rFonts w:hint="eastAsia"/>
                <w:sz w:val="21"/>
                <w:szCs w:val="21"/>
              </w:rPr>
              <w:t>提供进行三维可视化展示并用于方案交底的功能；</w:t>
            </w:r>
          </w:p>
          <w:p>
            <w:pPr>
              <w:overflowPunct w:val="0"/>
              <w:snapToGrid w:val="0"/>
              <w:ind w:right="210"/>
              <w:rPr>
                <w:sz w:val="21"/>
                <w:szCs w:val="21"/>
              </w:rPr>
            </w:pPr>
            <w:r>
              <w:rPr>
                <w:rFonts w:hint="eastAsia"/>
                <w:sz w:val="21"/>
                <w:szCs w:val="21"/>
              </w:rPr>
              <w:t>提供开具作业票，并根据交底结果与视频监控、智能巡查系统进行联动的功能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80" w:type="dxa"/>
            <w:shd w:val="clear" w:color="auto" w:fill="auto"/>
            <w:vAlign w:val="center"/>
          </w:tcPr>
          <w:p>
            <w:pPr>
              <w:overflowPunct w:val="0"/>
              <w:snapToGrid w:val="0"/>
              <w:jc w:val="center"/>
              <w:rPr>
                <w:spacing w:val="-3"/>
                <w:sz w:val="21"/>
                <w:szCs w:val="21"/>
              </w:rPr>
            </w:pPr>
            <w:r>
              <w:rPr>
                <w:rFonts w:hint="eastAsia"/>
                <w:spacing w:val="-3"/>
                <w:sz w:val="21"/>
                <w:szCs w:val="21"/>
              </w:rPr>
              <w:t>2</w:t>
            </w:r>
          </w:p>
        </w:tc>
        <w:tc>
          <w:tcPr>
            <w:tcW w:w="3136" w:type="dxa"/>
            <w:gridSpan w:val="3"/>
            <w:shd w:val="clear" w:color="auto" w:fill="auto"/>
            <w:vAlign w:val="center"/>
          </w:tcPr>
          <w:p>
            <w:pPr>
              <w:overflowPunct w:val="0"/>
              <w:ind w:right="211"/>
              <w:jc w:val="center"/>
              <w:rPr>
                <w:spacing w:val="-3"/>
                <w:sz w:val="21"/>
                <w:szCs w:val="21"/>
              </w:rPr>
            </w:pPr>
            <w:r>
              <w:rPr>
                <w:rFonts w:hint="eastAsia"/>
                <w:spacing w:val="-3"/>
                <w:sz w:val="21"/>
                <w:szCs w:val="21"/>
              </w:rPr>
              <w:t>安装阶段技术文件</w:t>
            </w:r>
          </w:p>
        </w:tc>
        <w:tc>
          <w:tcPr>
            <w:tcW w:w="5790" w:type="dxa"/>
            <w:shd w:val="clear" w:color="auto" w:fill="auto"/>
            <w:vAlign w:val="center"/>
          </w:tcPr>
          <w:p>
            <w:pPr>
              <w:overflowPunct w:val="0"/>
              <w:snapToGrid w:val="0"/>
              <w:ind w:right="210"/>
              <w:rPr>
                <w:sz w:val="21"/>
                <w:szCs w:val="21"/>
              </w:rPr>
            </w:pPr>
            <w:r>
              <w:rPr>
                <w:rFonts w:hint="eastAsia"/>
                <w:sz w:val="21"/>
                <w:szCs w:val="21"/>
              </w:rPr>
              <w:t>提供技术文件在线提交、审査、台帐管理功能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shd w:val="clear" w:color="auto" w:fill="auto"/>
            <w:vAlign w:val="center"/>
          </w:tcPr>
          <w:p>
            <w:pPr>
              <w:overflowPunct w:val="0"/>
              <w:snapToGrid w:val="0"/>
              <w:jc w:val="center"/>
              <w:rPr>
                <w:spacing w:val="-3"/>
                <w:sz w:val="21"/>
                <w:szCs w:val="21"/>
              </w:rPr>
            </w:pPr>
            <w:r>
              <w:rPr>
                <w:rFonts w:hint="eastAsia"/>
                <w:spacing w:val="-3"/>
                <w:sz w:val="21"/>
                <w:szCs w:val="21"/>
              </w:rPr>
              <w:t>3</w:t>
            </w:r>
          </w:p>
        </w:tc>
        <w:tc>
          <w:tcPr>
            <w:tcW w:w="3136" w:type="dxa"/>
            <w:gridSpan w:val="3"/>
            <w:shd w:val="clear" w:color="auto" w:fill="auto"/>
            <w:vAlign w:val="center"/>
          </w:tcPr>
          <w:p>
            <w:pPr>
              <w:overflowPunct w:val="0"/>
              <w:ind w:right="211"/>
              <w:jc w:val="center"/>
              <w:rPr>
                <w:spacing w:val="-3"/>
                <w:sz w:val="21"/>
                <w:szCs w:val="21"/>
              </w:rPr>
            </w:pPr>
            <w:r>
              <w:rPr>
                <w:rFonts w:hint="eastAsia"/>
                <w:spacing w:val="-3"/>
                <w:sz w:val="21"/>
                <w:szCs w:val="21"/>
              </w:rPr>
              <w:t>各类资质管理</w:t>
            </w:r>
          </w:p>
        </w:tc>
        <w:tc>
          <w:tcPr>
            <w:tcW w:w="5790" w:type="dxa"/>
            <w:shd w:val="clear" w:color="auto" w:fill="auto"/>
            <w:vAlign w:val="center"/>
          </w:tcPr>
          <w:p>
            <w:pPr>
              <w:overflowPunct w:val="0"/>
              <w:snapToGrid w:val="0"/>
              <w:ind w:right="210"/>
              <w:rPr>
                <w:sz w:val="21"/>
                <w:szCs w:val="21"/>
              </w:rPr>
            </w:pPr>
            <w:r>
              <w:rPr>
                <w:rFonts w:hint="eastAsia"/>
                <w:sz w:val="21"/>
                <w:szCs w:val="21"/>
              </w:rPr>
              <w:t>对施工单位、特种作业人员的专业资质证书进行管理，满足信息录入、查询、证件到期提前预警等功能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shd w:val="clear" w:color="auto" w:fill="auto"/>
            <w:vAlign w:val="center"/>
          </w:tcPr>
          <w:p>
            <w:pPr>
              <w:overflowPunct w:val="0"/>
              <w:snapToGrid w:val="0"/>
              <w:jc w:val="center"/>
              <w:rPr>
                <w:spacing w:val="-3"/>
                <w:sz w:val="21"/>
                <w:szCs w:val="21"/>
              </w:rPr>
            </w:pPr>
            <w:r>
              <w:rPr>
                <w:rFonts w:hint="eastAsia"/>
                <w:spacing w:val="-3"/>
                <w:sz w:val="21"/>
                <w:szCs w:val="21"/>
              </w:rPr>
              <w:t>4</w:t>
            </w:r>
          </w:p>
        </w:tc>
        <w:tc>
          <w:tcPr>
            <w:tcW w:w="3136" w:type="dxa"/>
            <w:gridSpan w:val="3"/>
            <w:shd w:val="clear" w:color="auto" w:fill="auto"/>
            <w:vAlign w:val="center"/>
          </w:tcPr>
          <w:p>
            <w:pPr>
              <w:overflowPunct w:val="0"/>
              <w:snapToGrid w:val="0"/>
              <w:ind w:right="210"/>
              <w:jc w:val="center"/>
              <w:rPr>
                <w:spacing w:val="-3"/>
                <w:sz w:val="21"/>
                <w:szCs w:val="21"/>
              </w:rPr>
            </w:pPr>
            <w:r>
              <w:rPr>
                <w:rFonts w:hint="eastAsia"/>
              </w:rPr>
              <w:t>工程机械及工器具管</w:t>
            </w:r>
            <w:r>
              <w:rPr>
                <w:rFonts w:hint="eastAsia"/>
                <w:color w:val="000000" w:themeColor="text1"/>
                <w14:textFill>
                  <w14:solidFill>
                    <w14:schemeClr w14:val="tx1"/>
                  </w14:solidFill>
                </w14:textFill>
              </w:rPr>
              <w:t>理、物料</w:t>
            </w:r>
          </w:p>
        </w:tc>
        <w:tc>
          <w:tcPr>
            <w:tcW w:w="5790" w:type="dxa"/>
            <w:shd w:val="clear" w:color="auto" w:fill="auto"/>
            <w:vAlign w:val="center"/>
          </w:tcPr>
          <w:p>
            <w:pPr>
              <w:overflowPunct w:val="0"/>
              <w:snapToGrid w:val="0"/>
              <w:rPr>
                <w:sz w:val="21"/>
                <w:szCs w:val="21"/>
              </w:rPr>
            </w:pPr>
            <w:r>
              <w:rPr>
                <w:rFonts w:hint="eastAsia"/>
                <w:sz w:val="21"/>
                <w:szCs w:val="21"/>
              </w:rPr>
              <w:t>对大型机械及工器具进行管理，满足</w:t>
            </w:r>
            <w:r>
              <w:rPr>
                <w:rFonts w:hint="eastAsia"/>
              </w:rPr>
              <w:t>大型机械及工器具的进场、使用、维护、验收、调拨记录的登记、查询，以及合规性证件管理。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80" w:type="dxa"/>
            <w:vMerge w:val="restart"/>
            <w:shd w:val="clear" w:color="auto" w:fill="auto"/>
            <w:vAlign w:val="center"/>
          </w:tcPr>
          <w:p>
            <w:pPr>
              <w:overflowPunct w:val="0"/>
              <w:snapToGrid w:val="0"/>
              <w:jc w:val="center"/>
              <w:rPr>
                <w:spacing w:val="-3"/>
                <w:sz w:val="21"/>
                <w:szCs w:val="21"/>
              </w:rPr>
            </w:pPr>
            <w:r>
              <w:rPr>
                <w:rFonts w:hint="eastAsia"/>
                <w:spacing w:val="-3"/>
                <w:sz w:val="21"/>
                <w:szCs w:val="21"/>
              </w:rPr>
              <w:t>5</w:t>
            </w:r>
          </w:p>
        </w:tc>
        <w:tc>
          <w:tcPr>
            <w:tcW w:w="1268" w:type="dxa"/>
            <w:vMerge w:val="restart"/>
            <w:shd w:val="clear" w:color="auto" w:fill="auto"/>
            <w:vAlign w:val="center"/>
          </w:tcPr>
          <w:p>
            <w:pPr>
              <w:overflowPunct w:val="0"/>
              <w:ind w:right="211"/>
              <w:jc w:val="both"/>
              <w:rPr>
                <w:spacing w:val="-3"/>
                <w:sz w:val="21"/>
                <w:szCs w:val="21"/>
              </w:rPr>
            </w:pPr>
            <w:r>
              <w:rPr>
                <w:rFonts w:hint="eastAsia"/>
                <w:spacing w:val="-3"/>
                <w:sz w:val="21"/>
                <w:szCs w:val="21"/>
              </w:rPr>
              <w:t>塔机监测</w:t>
            </w:r>
          </w:p>
        </w:tc>
        <w:tc>
          <w:tcPr>
            <w:tcW w:w="1868" w:type="dxa"/>
            <w:gridSpan w:val="2"/>
            <w:shd w:val="clear" w:color="auto" w:fill="auto"/>
            <w:vAlign w:val="center"/>
          </w:tcPr>
          <w:p>
            <w:pPr>
              <w:overflowPunct w:val="0"/>
              <w:snapToGrid w:val="0"/>
              <w:ind w:right="210"/>
              <w:jc w:val="center"/>
              <w:rPr>
                <w:spacing w:val="-3"/>
                <w:sz w:val="21"/>
                <w:szCs w:val="21"/>
              </w:rPr>
            </w:pPr>
            <w:r>
              <w:rPr>
                <w:rFonts w:hint="eastAsia"/>
                <w:spacing w:val="-3"/>
                <w:sz w:val="21"/>
                <w:szCs w:val="21"/>
              </w:rPr>
              <w:t>限位监测</w:t>
            </w:r>
          </w:p>
        </w:tc>
        <w:tc>
          <w:tcPr>
            <w:tcW w:w="5790" w:type="dxa"/>
            <w:shd w:val="clear" w:color="auto" w:fill="auto"/>
            <w:vAlign w:val="center"/>
          </w:tcPr>
          <w:p>
            <w:pPr>
              <w:overflowPunct w:val="0"/>
              <w:snapToGrid w:val="0"/>
              <w:ind w:right="210"/>
              <w:rPr>
                <w:sz w:val="21"/>
                <w:szCs w:val="21"/>
              </w:rPr>
            </w:pPr>
            <w:r>
              <w:rPr>
                <w:rFonts w:hint="eastAsia"/>
                <w:sz w:val="21"/>
                <w:szCs w:val="21"/>
              </w:rPr>
              <w:t>通过塔机监测传感器实时监测并显示起吊高度、重量、幅度、回转、力矩等数据。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80" w:type="dxa"/>
            <w:vMerge w:val="continue"/>
            <w:shd w:val="clear" w:color="auto" w:fill="auto"/>
            <w:vAlign w:val="center"/>
          </w:tcPr>
          <w:p>
            <w:pPr>
              <w:overflowPunct w:val="0"/>
              <w:snapToGrid w:val="0"/>
              <w:jc w:val="center"/>
              <w:rPr>
                <w:spacing w:val="-3"/>
                <w:sz w:val="21"/>
                <w:szCs w:val="21"/>
              </w:rPr>
            </w:pPr>
          </w:p>
        </w:tc>
        <w:tc>
          <w:tcPr>
            <w:tcW w:w="1268" w:type="dxa"/>
            <w:vMerge w:val="continue"/>
            <w:shd w:val="clear" w:color="auto" w:fill="auto"/>
            <w:vAlign w:val="center"/>
          </w:tcPr>
          <w:p>
            <w:pPr>
              <w:overflowPunct w:val="0"/>
              <w:ind w:right="211"/>
              <w:jc w:val="center"/>
              <w:rPr>
                <w:spacing w:val="-3"/>
                <w:sz w:val="21"/>
                <w:szCs w:val="21"/>
              </w:rPr>
            </w:pPr>
          </w:p>
        </w:tc>
        <w:tc>
          <w:tcPr>
            <w:tcW w:w="1868" w:type="dxa"/>
            <w:gridSpan w:val="2"/>
            <w:shd w:val="clear" w:color="auto" w:fill="auto"/>
            <w:vAlign w:val="center"/>
          </w:tcPr>
          <w:p>
            <w:pPr>
              <w:overflowPunct w:val="0"/>
              <w:snapToGrid w:val="0"/>
              <w:ind w:right="210"/>
              <w:jc w:val="center"/>
              <w:rPr>
                <w:spacing w:val="-3"/>
                <w:sz w:val="21"/>
                <w:szCs w:val="21"/>
              </w:rPr>
            </w:pPr>
            <w:r>
              <w:rPr>
                <w:rFonts w:hint="eastAsia"/>
                <w:spacing w:val="-3"/>
                <w:sz w:val="21"/>
                <w:szCs w:val="21"/>
              </w:rPr>
              <w:t>群塔防碰撞</w:t>
            </w:r>
          </w:p>
        </w:tc>
        <w:tc>
          <w:tcPr>
            <w:tcW w:w="5790" w:type="dxa"/>
            <w:shd w:val="clear" w:color="auto" w:fill="auto"/>
            <w:vAlign w:val="center"/>
          </w:tcPr>
          <w:p>
            <w:pPr>
              <w:overflowPunct w:val="0"/>
              <w:snapToGrid w:val="0"/>
              <w:ind w:right="210"/>
              <w:rPr>
                <w:sz w:val="21"/>
                <w:szCs w:val="21"/>
              </w:rPr>
            </w:pPr>
            <w:r>
              <w:rPr>
                <w:rFonts w:hint="eastAsia"/>
                <w:sz w:val="21"/>
                <w:szCs w:val="21"/>
              </w:rPr>
              <w:t>通过塔机监测传感器实现防止群塔作业发生碰撞的功能，应能接收干涉运转装置发出的报警、避让指令，并给司机相应的提示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80" w:type="dxa"/>
            <w:vMerge w:val="continue"/>
            <w:shd w:val="clear" w:color="auto" w:fill="auto"/>
            <w:vAlign w:val="center"/>
          </w:tcPr>
          <w:p>
            <w:pPr>
              <w:overflowPunct w:val="0"/>
              <w:snapToGrid w:val="0"/>
              <w:jc w:val="center"/>
              <w:rPr>
                <w:spacing w:val="-3"/>
                <w:sz w:val="21"/>
                <w:szCs w:val="21"/>
              </w:rPr>
            </w:pPr>
          </w:p>
        </w:tc>
        <w:tc>
          <w:tcPr>
            <w:tcW w:w="1268" w:type="dxa"/>
            <w:vMerge w:val="continue"/>
            <w:shd w:val="clear" w:color="auto" w:fill="auto"/>
            <w:vAlign w:val="center"/>
          </w:tcPr>
          <w:p>
            <w:pPr>
              <w:overflowPunct w:val="0"/>
              <w:ind w:right="211"/>
              <w:jc w:val="center"/>
              <w:rPr>
                <w:spacing w:val="-3"/>
                <w:sz w:val="21"/>
                <w:szCs w:val="21"/>
              </w:rPr>
            </w:pPr>
          </w:p>
        </w:tc>
        <w:tc>
          <w:tcPr>
            <w:tcW w:w="1868" w:type="dxa"/>
            <w:gridSpan w:val="2"/>
            <w:shd w:val="clear" w:color="auto" w:fill="auto"/>
            <w:vAlign w:val="center"/>
          </w:tcPr>
          <w:p>
            <w:pPr>
              <w:overflowPunct w:val="0"/>
              <w:snapToGrid w:val="0"/>
              <w:ind w:right="210"/>
              <w:jc w:val="center"/>
              <w:rPr>
                <w:spacing w:val="-3"/>
                <w:sz w:val="21"/>
                <w:szCs w:val="21"/>
              </w:rPr>
            </w:pPr>
            <w:r>
              <w:rPr>
                <w:rFonts w:hint="eastAsia"/>
                <w:spacing w:val="-3"/>
                <w:sz w:val="21"/>
                <w:szCs w:val="21"/>
              </w:rPr>
              <w:t>区域保护</w:t>
            </w:r>
          </w:p>
        </w:tc>
        <w:tc>
          <w:tcPr>
            <w:tcW w:w="5790" w:type="dxa"/>
            <w:shd w:val="clear" w:color="auto" w:fill="auto"/>
            <w:vAlign w:val="center"/>
          </w:tcPr>
          <w:p>
            <w:pPr>
              <w:overflowPunct w:val="0"/>
              <w:snapToGrid w:val="0"/>
              <w:ind w:right="210"/>
              <w:rPr>
                <w:sz w:val="21"/>
                <w:szCs w:val="21"/>
              </w:rPr>
            </w:pPr>
            <w:r>
              <w:rPr>
                <w:rFonts w:hint="eastAsia"/>
                <w:sz w:val="21"/>
                <w:szCs w:val="21"/>
              </w:rPr>
              <w:t>通过塔机监测传感器限制塔臂进入某些特定区域，防止塔臂与障碍物发生碰撞的功能。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jc w:val="center"/>
        </w:trPr>
        <w:tc>
          <w:tcPr>
            <w:tcW w:w="880" w:type="dxa"/>
            <w:vMerge w:val="continue"/>
            <w:shd w:val="clear" w:color="auto" w:fill="auto"/>
            <w:vAlign w:val="center"/>
          </w:tcPr>
          <w:p>
            <w:pPr>
              <w:overflowPunct w:val="0"/>
              <w:snapToGrid w:val="0"/>
              <w:jc w:val="center"/>
              <w:rPr>
                <w:spacing w:val="-3"/>
                <w:sz w:val="21"/>
                <w:szCs w:val="21"/>
              </w:rPr>
            </w:pPr>
          </w:p>
        </w:tc>
        <w:tc>
          <w:tcPr>
            <w:tcW w:w="1268" w:type="dxa"/>
            <w:vMerge w:val="continue"/>
            <w:shd w:val="clear" w:color="auto" w:fill="auto"/>
            <w:vAlign w:val="center"/>
          </w:tcPr>
          <w:p>
            <w:pPr>
              <w:overflowPunct w:val="0"/>
              <w:ind w:right="211"/>
              <w:jc w:val="center"/>
              <w:rPr>
                <w:spacing w:val="-3"/>
                <w:sz w:val="21"/>
                <w:szCs w:val="21"/>
              </w:rPr>
            </w:pPr>
          </w:p>
        </w:tc>
        <w:tc>
          <w:tcPr>
            <w:tcW w:w="1868" w:type="dxa"/>
            <w:gridSpan w:val="2"/>
            <w:shd w:val="clear" w:color="auto" w:fill="auto"/>
            <w:vAlign w:val="center"/>
          </w:tcPr>
          <w:p>
            <w:pPr>
              <w:overflowPunct w:val="0"/>
              <w:snapToGrid w:val="0"/>
              <w:ind w:right="210"/>
              <w:jc w:val="center"/>
              <w:rPr>
                <w:spacing w:val="-3"/>
                <w:sz w:val="21"/>
                <w:szCs w:val="21"/>
              </w:rPr>
            </w:pPr>
            <w:r>
              <w:rPr>
                <w:rFonts w:hint="eastAsia"/>
                <w:spacing w:val="-3"/>
                <w:sz w:val="21"/>
                <w:szCs w:val="21"/>
              </w:rPr>
              <w:t>远程监管</w:t>
            </w:r>
          </w:p>
        </w:tc>
        <w:tc>
          <w:tcPr>
            <w:tcW w:w="5790" w:type="dxa"/>
            <w:shd w:val="clear" w:color="auto" w:fill="auto"/>
            <w:vAlign w:val="center"/>
          </w:tcPr>
          <w:p>
            <w:pPr>
              <w:overflowPunct w:val="0"/>
              <w:snapToGrid w:val="0"/>
              <w:ind w:right="210"/>
              <w:rPr>
                <w:sz w:val="21"/>
                <w:szCs w:val="21"/>
              </w:rPr>
            </w:pPr>
            <w:r>
              <w:rPr>
                <w:rFonts w:hint="eastAsia"/>
                <w:sz w:val="21"/>
                <w:szCs w:val="21"/>
              </w:rPr>
              <w:t>塔机监测传感器可将数据传回智慧工地，通过手机移动客户端、计算机客户端远程查看设备实时数据，报警记录，工效分析等内容。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880" w:type="dxa"/>
            <w:vMerge w:val="continue"/>
            <w:shd w:val="clear" w:color="auto" w:fill="auto"/>
            <w:vAlign w:val="center"/>
          </w:tcPr>
          <w:p>
            <w:pPr>
              <w:overflowPunct w:val="0"/>
              <w:snapToGrid w:val="0"/>
              <w:jc w:val="center"/>
              <w:rPr>
                <w:spacing w:val="-3"/>
                <w:sz w:val="21"/>
                <w:szCs w:val="21"/>
              </w:rPr>
            </w:pPr>
          </w:p>
        </w:tc>
        <w:tc>
          <w:tcPr>
            <w:tcW w:w="1268" w:type="dxa"/>
            <w:vMerge w:val="continue"/>
            <w:shd w:val="clear" w:color="auto" w:fill="auto"/>
            <w:vAlign w:val="center"/>
          </w:tcPr>
          <w:p>
            <w:pPr>
              <w:overflowPunct w:val="0"/>
              <w:ind w:right="211"/>
              <w:jc w:val="center"/>
              <w:rPr>
                <w:spacing w:val="-3"/>
                <w:sz w:val="21"/>
                <w:szCs w:val="21"/>
              </w:rPr>
            </w:pPr>
          </w:p>
        </w:tc>
        <w:tc>
          <w:tcPr>
            <w:tcW w:w="1868" w:type="dxa"/>
            <w:gridSpan w:val="2"/>
            <w:shd w:val="clear" w:color="auto" w:fill="auto"/>
            <w:vAlign w:val="center"/>
          </w:tcPr>
          <w:p>
            <w:pPr>
              <w:overflowPunct w:val="0"/>
              <w:snapToGrid w:val="0"/>
              <w:ind w:right="210"/>
              <w:jc w:val="center"/>
              <w:rPr>
                <w:spacing w:val="-3"/>
                <w:sz w:val="21"/>
                <w:szCs w:val="21"/>
              </w:rPr>
            </w:pPr>
            <w:r>
              <w:rPr>
                <w:rFonts w:hint="eastAsia"/>
                <w:spacing w:val="-3"/>
                <w:sz w:val="21"/>
                <w:szCs w:val="21"/>
              </w:rPr>
              <w:t>工效分析</w:t>
            </w:r>
          </w:p>
        </w:tc>
        <w:tc>
          <w:tcPr>
            <w:tcW w:w="5790" w:type="dxa"/>
            <w:shd w:val="clear" w:color="auto" w:fill="auto"/>
            <w:vAlign w:val="center"/>
          </w:tcPr>
          <w:p>
            <w:pPr>
              <w:overflowPunct w:val="0"/>
              <w:snapToGrid w:val="0"/>
              <w:ind w:right="210"/>
              <w:rPr>
                <w:sz w:val="21"/>
                <w:szCs w:val="21"/>
              </w:rPr>
            </w:pPr>
            <w:r>
              <w:rPr>
                <w:rFonts w:hint="eastAsia"/>
                <w:sz w:val="21"/>
                <w:szCs w:val="21"/>
              </w:rPr>
              <w:t>综合掌握塔机的循环次数、载重、报警信息等，提供多角度分析。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Merge w:val="restart"/>
            <w:shd w:val="clear" w:color="auto" w:fill="auto"/>
            <w:vAlign w:val="center"/>
          </w:tcPr>
          <w:p>
            <w:pPr>
              <w:overflowPunct w:val="0"/>
              <w:snapToGrid w:val="0"/>
              <w:jc w:val="center"/>
              <w:rPr>
                <w:spacing w:val="-3"/>
                <w:sz w:val="21"/>
                <w:szCs w:val="21"/>
              </w:rPr>
            </w:pPr>
            <w:r>
              <w:rPr>
                <w:rFonts w:hint="eastAsia"/>
                <w:spacing w:val="-3"/>
                <w:sz w:val="21"/>
                <w:szCs w:val="21"/>
              </w:rPr>
              <w:t>6</w:t>
            </w:r>
          </w:p>
        </w:tc>
        <w:tc>
          <w:tcPr>
            <w:tcW w:w="1268" w:type="dxa"/>
            <w:vMerge w:val="restart"/>
            <w:shd w:val="clear" w:color="auto" w:fill="auto"/>
            <w:vAlign w:val="center"/>
          </w:tcPr>
          <w:p>
            <w:pPr>
              <w:overflowPunct w:val="0"/>
              <w:ind w:left="-66" w:leftChars="-30"/>
              <w:jc w:val="center"/>
              <w:rPr>
                <w:spacing w:val="-3"/>
                <w:sz w:val="21"/>
                <w:szCs w:val="21"/>
              </w:rPr>
            </w:pPr>
            <w:r>
              <w:rPr>
                <w:rFonts w:hint="eastAsia"/>
                <w:spacing w:val="-3"/>
                <w:sz w:val="21"/>
                <w:szCs w:val="21"/>
              </w:rPr>
              <w:t>履带吊</w:t>
            </w:r>
          </w:p>
          <w:p>
            <w:pPr>
              <w:overflowPunct w:val="0"/>
              <w:ind w:left="-66" w:leftChars="-30"/>
              <w:jc w:val="center"/>
              <w:rPr>
                <w:spacing w:val="-3"/>
                <w:sz w:val="21"/>
                <w:szCs w:val="21"/>
              </w:rPr>
            </w:pPr>
            <w:r>
              <w:rPr>
                <w:rFonts w:hint="eastAsia"/>
                <w:spacing w:val="-3"/>
                <w:sz w:val="21"/>
                <w:szCs w:val="21"/>
              </w:rPr>
              <w:t>安全监控</w:t>
            </w:r>
          </w:p>
        </w:tc>
        <w:tc>
          <w:tcPr>
            <w:tcW w:w="1868" w:type="dxa"/>
            <w:gridSpan w:val="2"/>
            <w:shd w:val="clear" w:color="auto" w:fill="auto"/>
            <w:vAlign w:val="center"/>
          </w:tcPr>
          <w:p>
            <w:pPr>
              <w:overflowPunct w:val="0"/>
              <w:ind w:right="211"/>
              <w:jc w:val="center"/>
              <w:rPr>
                <w:spacing w:val="-3"/>
                <w:sz w:val="21"/>
                <w:szCs w:val="21"/>
              </w:rPr>
            </w:pPr>
            <w:r>
              <w:rPr>
                <w:rFonts w:hint="eastAsia"/>
                <w:spacing w:val="-3"/>
                <w:sz w:val="21"/>
                <w:szCs w:val="21"/>
              </w:rPr>
              <w:t>运行状态监测</w:t>
            </w:r>
          </w:p>
        </w:tc>
        <w:tc>
          <w:tcPr>
            <w:tcW w:w="5790" w:type="dxa"/>
            <w:shd w:val="clear" w:color="auto" w:fill="auto"/>
            <w:vAlign w:val="center"/>
          </w:tcPr>
          <w:p>
            <w:pPr>
              <w:overflowPunct w:val="0"/>
              <w:ind w:right="211"/>
              <w:rPr>
                <w:sz w:val="21"/>
                <w:szCs w:val="21"/>
              </w:rPr>
            </w:pPr>
            <w:r>
              <w:rPr>
                <w:rFonts w:hint="eastAsia"/>
                <w:sz w:val="21"/>
                <w:szCs w:val="21"/>
              </w:rPr>
              <w:t>通过履带吊安全监控系统实时监测起升重量、高度、力矩、幅度、回转角度、风速、操作指令等数据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Merge w:val="continue"/>
            <w:shd w:val="clear" w:color="auto" w:fill="auto"/>
            <w:vAlign w:val="center"/>
          </w:tcPr>
          <w:p>
            <w:pPr>
              <w:overflowPunct w:val="0"/>
              <w:snapToGrid w:val="0"/>
              <w:jc w:val="center"/>
              <w:rPr>
                <w:spacing w:val="-3"/>
                <w:sz w:val="21"/>
                <w:szCs w:val="21"/>
              </w:rPr>
            </w:pPr>
          </w:p>
        </w:tc>
        <w:tc>
          <w:tcPr>
            <w:tcW w:w="1268" w:type="dxa"/>
            <w:vMerge w:val="continue"/>
            <w:shd w:val="clear" w:color="auto" w:fill="auto"/>
            <w:vAlign w:val="center"/>
          </w:tcPr>
          <w:p>
            <w:pPr>
              <w:overflowPunct w:val="0"/>
              <w:ind w:right="211"/>
              <w:jc w:val="center"/>
              <w:rPr>
                <w:spacing w:val="-3"/>
                <w:sz w:val="21"/>
                <w:szCs w:val="21"/>
              </w:rPr>
            </w:pPr>
          </w:p>
        </w:tc>
        <w:tc>
          <w:tcPr>
            <w:tcW w:w="1868" w:type="dxa"/>
            <w:gridSpan w:val="2"/>
            <w:shd w:val="clear" w:color="auto" w:fill="auto"/>
            <w:vAlign w:val="center"/>
          </w:tcPr>
          <w:p>
            <w:pPr>
              <w:overflowPunct w:val="0"/>
              <w:ind w:right="211"/>
              <w:jc w:val="center"/>
              <w:rPr>
                <w:spacing w:val="-3"/>
                <w:sz w:val="21"/>
                <w:szCs w:val="21"/>
              </w:rPr>
            </w:pPr>
            <w:r>
              <w:rPr>
                <w:rFonts w:hint="eastAsia"/>
                <w:spacing w:val="-3"/>
                <w:sz w:val="21"/>
                <w:szCs w:val="21"/>
              </w:rPr>
              <w:t>报警提醒</w:t>
            </w:r>
          </w:p>
        </w:tc>
        <w:tc>
          <w:tcPr>
            <w:tcW w:w="5790" w:type="dxa"/>
            <w:shd w:val="clear" w:color="auto" w:fill="auto"/>
            <w:vAlign w:val="center"/>
          </w:tcPr>
          <w:p>
            <w:pPr>
              <w:overflowPunct w:val="0"/>
              <w:ind w:right="211"/>
              <w:rPr>
                <w:sz w:val="21"/>
                <w:szCs w:val="21"/>
              </w:rPr>
            </w:pPr>
            <w:r>
              <w:rPr>
                <w:rFonts w:hint="eastAsia"/>
                <w:sz w:val="21"/>
                <w:szCs w:val="21"/>
              </w:rPr>
              <w:t>具有超载超限声光报警功能，对危险操作进行报警提醒。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Merge w:val="continue"/>
            <w:shd w:val="clear" w:color="auto" w:fill="auto"/>
            <w:vAlign w:val="center"/>
          </w:tcPr>
          <w:p>
            <w:pPr>
              <w:overflowPunct w:val="0"/>
              <w:snapToGrid w:val="0"/>
              <w:jc w:val="center"/>
              <w:rPr>
                <w:spacing w:val="-3"/>
                <w:sz w:val="21"/>
                <w:szCs w:val="21"/>
              </w:rPr>
            </w:pPr>
          </w:p>
        </w:tc>
        <w:tc>
          <w:tcPr>
            <w:tcW w:w="1268" w:type="dxa"/>
            <w:vMerge w:val="continue"/>
            <w:shd w:val="clear" w:color="auto" w:fill="auto"/>
            <w:vAlign w:val="center"/>
          </w:tcPr>
          <w:p>
            <w:pPr>
              <w:overflowPunct w:val="0"/>
              <w:ind w:right="211"/>
              <w:jc w:val="center"/>
              <w:rPr>
                <w:spacing w:val="-3"/>
                <w:sz w:val="21"/>
                <w:szCs w:val="21"/>
              </w:rPr>
            </w:pPr>
          </w:p>
        </w:tc>
        <w:tc>
          <w:tcPr>
            <w:tcW w:w="1868" w:type="dxa"/>
            <w:gridSpan w:val="2"/>
            <w:shd w:val="clear" w:color="auto" w:fill="auto"/>
            <w:vAlign w:val="center"/>
          </w:tcPr>
          <w:p>
            <w:pPr>
              <w:overflowPunct w:val="0"/>
              <w:ind w:right="211"/>
              <w:jc w:val="center"/>
              <w:rPr>
                <w:spacing w:val="-3"/>
                <w:sz w:val="21"/>
                <w:szCs w:val="21"/>
              </w:rPr>
            </w:pPr>
            <w:r>
              <w:rPr>
                <w:rFonts w:hint="eastAsia"/>
                <w:spacing w:val="-3"/>
                <w:sz w:val="21"/>
                <w:szCs w:val="21"/>
              </w:rPr>
              <w:t>能效统计</w:t>
            </w:r>
          </w:p>
        </w:tc>
        <w:tc>
          <w:tcPr>
            <w:tcW w:w="5790" w:type="dxa"/>
            <w:shd w:val="clear" w:color="auto" w:fill="auto"/>
            <w:vAlign w:val="center"/>
          </w:tcPr>
          <w:p>
            <w:pPr>
              <w:overflowPunct w:val="0"/>
              <w:ind w:right="211"/>
              <w:rPr>
                <w:sz w:val="21"/>
                <w:szCs w:val="21"/>
              </w:rPr>
            </w:pPr>
            <w:r>
              <w:rPr>
                <w:rFonts w:hint="eastAsia"/>
                <w:sz w:val="21"/>
                <w:szCs w:val="21"/>
              </w:rPr>
              <w:t>统计设备的能效比、人员工效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Merge w:val="continue"/>
            <w:shd w:val="clear" w:color="auto" w:fill="auto"/>
            <w:vAlign w:val="center"/>
          </w:tcPr>
          <w:p>
            <w:pPr>
              <w:overflowPunct w:val="0"/>
              <w:snapToGrid w:val="0"/>
              <w:jc w:val="center"/>
              <w:rPr>
                <w:spacing w:val="-3"/>
                <w:sz w:val="21"/>
                <w:szCs w:val="21"/>
              </w:rPr>
            </w:pPr>
          </w:p>
        </w:tc>
        <w:tc>
          <w:tcPr>
            <w:tcW w:w="1268" w:type="dxa"/>
            <w:vMerge w:val="continue"/>
            <w:shd w:val="clear" w:color="auto" w:fill="auto"/>
            <w:vAlign w:val="center"/>
          </w:tcPr>
          <w:p>
            <w:pPr>
              <w:overflowPunct w:val="0"/>
              <w:ind w:right="211"/>
              <w:jc w:val="center"/>
              <w:rPr>
                <w:spacing w:val="-3"/>
                <w:sz w:val="21"/>
                <w:szCs w:val="21"/>
              </w:rPr>
            </w:pPr>
          </w:p>
        </w:tc>
        <w:tc>
          <w:tcPr>
            <w:tcW w:w="1868" w:type="dxa"/>
            <w:gridSpan w:val="2"/>
            <w:shd w:val="clear" w:color="auto" w:fill="auto"/>
            <w:vAlign w:val="center"/>
          </w:tcPr>
          <w:p>
            <w:pPr>
              <w:overflowPunct w:val="0"/>
              <w:ind w:right="211"/>
              <w:jc w:val="center"/>
              <w:rPr>
                <w:spacing w:val="-3"/>
                <w:sz w:val="21"/>
                <w:szCs w:val="21"/>
              </w:rPr>
            </w:pPr>
            <w:r>
              <w:rPr>
                <w:rFonts w:hint="eastAsia"/>
                <w:spacing w:val="-3"/>
                <w:sz w:val="21"/>
                <w:szCs w:val="21"/>
              </w:rPr>
              <w:t>其它功能</w:t>
            </w:r>
          </w:p>
        </w:tc>
        <w:tc>
          <w:tcPr>
            <w:tcW w:w="5790" w:type="dxa"/>
            <w:shd w:val="clear" w:color="auto" w:fill="auto"/>
            <w:vAlign w:val="center"/>
          </w:tcPr>
          <w:p>
            <w:pPr>
              <w:overflowPunct w:val="0"/>
              <w:ind w:right="211"/>
              <w:rPr>
                <w:sz w:val="21"/>
                <w:szCs w:val="21"/>
              </w:rPr>
            </w:pPr>
            <w:r>
              <w:rPr>
                <w:rFonts w:hint="eastAsia"/>
                <w:sz w:val="21"/>
                <w:szCs w:val="21"/>
              </w:rPr>
              <w:t>具有防倾覆功能、钢丝绳断丝识别、吊装区域人员识别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Merge w:val="restart"/>
            <w:shd w:val="clear" w:color="auto" w:fill="auto"/>
            <w:vAlign w:val="center"/>
          </w:tcPr>
          <w:p>
            <w:pPr>
              <w:overflowPunct w:val="0"/>
              <w:snapToGrid w:val="0"/>
              <w:jc w:val="center"/>
              <w:rPr>
                <w:spacing w:val="-3"/>
                <w:sz w:val="21"/>
                <w:szCs w:val="21"/>
              </w:rPr>
            </w:pPr>
            <w:r>
              <w:rPr>
                <w:rFonts w:hint="eastAsia"/>
                <w:spacing w:val="-3"/>
                <w:sz w:val="21"/>
                <w:szCs w:val="21"/>
              </w:rPr>
              <w:t>7</w:t>
            </w:r>
          </w:p>
        </w:tc>
        <w:tc>
          <w:tcPr>
            <w:tcW w:w="1268" w:type="dxa"/>
            <w:vMerge w:val="restart"/>
            <w:shd w:val="clear" w:color="auto" w:fill="auto"/>
            <w:vAlign w:val="center"/>
          </w:tcPr>
          <w:p>
            <w:pPr>
              <w:overflowPunct w:val="0"/>
              <w:ind w:left="-66" w:leftChars="-30" w:right="-16"/>
              <w:jc w:val="center"/>
              <w:rPr>
                <w:spacing w:val="-3"/>
                <w:sz w:val="21"/>
                <w:szCs w:val="21"/>
              </w:rPr>
            </w:pPr>
            <w:r>
              <w:rPr>
                <w:rFonts w:hint="eastAsia"/>
                <w:spacing w:val="-3"/>
                <w:sz w:val="21"/>
                <w:szCs w:val="21"/>
              </w:rPr>
              <w:t>钢结构安全监测</w:t>
            </w:r>
          </w:p>
        </w:tc>
        <w:tc>
          <w:tcPr>
            <w:tcW w:w="1868" w:type="dxa"/>
            <w:gridSpan w:val="2"/>
            <w:shd w:val="clear" w:color="auto" w:fill="auto"/>
            <w:vAlign w:val="center"/>
          </w:tcPr>
          <w:p>
            <w:pPr>
              <w:overflowPunct w:val="0"/>
              <w:ind w:right="211"/>
              <w:jc w:val="center"/>
              <w:rPr>
                <w:spacing w:val="-3"/>
                <w:sz w:val="21"/>
                <w:szCs w:val="21"/>
              </w:rPr>
            </w:pPr>
            <w:r>
              <w:rPr>
                <w:rFonts w:hint="eastAsia"/>
                <w:spacing w:val="-3"/>
                <w:sz w:val="21"/>
                <w:szCs w:val="21"/>
              </w:rPr>
              <w:t>应力应变监测</w:t>
            </w:r>
          </w:p>
        </w:tc>
        <w:tc>
          <w:tcPr>
            <w:tcW w:w="5790" w:type="dxa"/>
            <w:shd w:val="clear" w:color="auto" w:fill="auto"/>
            <w:vAlign w:val="center"/>
          </w:tcPr>
          <w:p>
            <w:pPr>
              <w:overflowPunct w:val="0"/>
              <w:ind w:right="211"/>
              <w:rPr>
                <w:sz w:val="21"/>
                <w:szCs w:val="21"/>
              </w:rPr>
            </w:pPr>
            <w:r>
              <w:rPr>
                <w:rFonts w:hint="eastAsia"/>
                <w:sz w:val="21"/>
                <w:szCs w:val="21"/>
              </w:rPr>
              <w:t>通过应力传感器监测钢结构内部的应力变量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Merge w:val="continue"/>
            <w:shd w:val="clear" w:color="auto" w:fill="auto"/>
            <w:vAlign w:val="center"/>
          </w:tcPr>
          <w:p>
            <w:pPr>
              <w:overflowPunct w:val="0"/>
              <w:snapToGrid w:val="0"/>
              <w:jc w:val="center"/>
              <w:rPr>
                <w:spacing w:val="-3"/>
                <w:sz w:val="21"/>
                <w:szCs w:val="21"/>
              </w:rPr>
            </w:pPr>
          </w:p>
        </w:tc>
        <w:tc>
          <w:tcPr>
            <w:tcW w:w="1268" w:type="dxa"/>
            <w:vMerge w:val="continue"/>
            <w:shd w:val="clear" w:color="auto" w:fill="auto"/>
            <w:vAlign w:val="center"/>
          </w:tcPr>
          <w:p>
            <w:pPr>
              <w:overflowPunct w:val="0"/>
              <w:ind w:right="211"/>
              <w:jc w:val="center"/>
              <w:rPr>
                <w:spacing w:val="-3"/>
                <w:sz w:val="21"/>
                <w:szCs w:val="21"/>
              </w:rPr>
            </w:pPr>
          </w:p>
        </w:tc>
        <w:tc>
          <w:tcPr>
            <w:tcW w:w="1868" w:type="dxa"/>
            <w:gridSpan w:val="2"/>
            <w:shd w:val="clear" w:color="auto" w:fill="auto"/>
            <w:vAlign w:val="center"/>
          </w:tcPr>
          <w:p>
            <w:pPr>
              <w:overflowPunct w:val="0"/>
              <w:ind w:right="211"/>
              <w:jc w:val="center"/>
              <w:rPr>
                <w:spacing w:val="-3"/>
                <w:sz w:val="21"/>
                <w:szCs w:val="21"/>
              </w:rPr>
            </w:pPr>
            <w:r>
              <w:rPr>
                <w:rFonts w:hint="eastAsia"/>
                <w:spacing w:val="-3"/>
                <w:sz w:val="21"/>
                <w:szCs w:val="21"/>
              </w:rPr>
              <w:t>位移监测</w:t>
            </w:r>
          </w:p>
        </w:tc>
        <w:tc>
          <w:tcPr>
            <w:tcW w:w="5790" w:type="dxa"/>
            <w:shd w:val="clear" w:color="auto" w:fill="auto"/>
            <w:vAlign w:val="center"/>
          </w:tcPr>
          <w:p>
            <w:pPr>
              <w:overflowPunct w:val="0"/>
              <w:ind w:right="211"/>
              <w:rPr>
                <w:sz w:val="21"/>
                <w:szCs w:val="21"/>
              </w:rPr>
            </w:pPr>
            <w:r>
              <w:rPr>
                <w:rFonts w:hint="eastAsia"/>
                <w:sz w:val="21"/>
                <w:szCs w:val="21"/>
              </w:rPr>
              <w:t>通过位移传感器监测钢结构变形及支座位移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Merge w:val="continue"/>
            <w:shd w:val="clear" w:color="auto" w:fill="auto"/>
            <w:vAlign w:val="center"/>
          </w:tcPr>
          <w:p>
            <w:pPr>
              <w:overflowPunct w:val="0"/>
              <w:snapToGrid w:val="0"/>
              <w:jc w:val="center"/>
              <w:rPr>
                <w:spacing w:val="-3"/>
                <w:sz w:val="21"/>
                <w:szCs w:val="21"/>
              </w:rPr>
            </w:pPr>
          </w:p>
        </w:tc>
        <w:tc>
          <w:tcPr>
            <w:tcW w:w="1268" w:type="dxa"/>
            <w:vMerge w:val="continue"/>
            <w:shd w:val="clear" w:color="auto" w:fill="auto"/>
            <w:vAlign w:val="center"/>
          </w:tcPr>
          <w:p>
            <w:pPr>
              <w:overflowPunct w:val="0"/>
              <w:ind w:right="211"/>
              <w:jc w:val="center"/>
              <w:rPr>
                <w:spacing w:val="-3"/>
                <w:sz w:val="21"/>
                <w:szCs w:val="21"/>
              </w:rPr>
            </w:pPr>
          </w:p>
        </w:tc>
        <w:tc>
          <w:tcPr>
            <w:tcW w:w="1868" w:type="dxa"/>
            <w:gridSpan w:val="2"/>
            <w:shd w:val="clear" w:color="auto" w:fill="auto"/>
            <w:vAlign w:val="center"/>
          </w:tcPr>
          <w:p>
            <w:pPr>
              <w:overflowPunct w:val="0"/>
              <w:ind w:right="211"/>
              <w:jc w:val="center"/>
              <w:rPr>
                <w:spacing w:val="-3"/>
                <w:sz w:val="21"/>
                <w:szCs w:val="21"/>
              </w:rPr>
            </w:pPr>
            <w:r>
              <w:rPr>
                <w:rFonts w:hint="eastAsia"/>
                <w:spacing w:val="-3"/>
                <w:sz w:val="21"/>
                <w:szCs w:val="21"/>
              </w:rPr>
              <w:t>数据分析</w:t>
            </w:r>
          </w:p>
        </w:tc>
        <w:tc>
          <w:tcPr>
            <w:tcW w:w="5790" w:type="dxa"/>
            <w:shd w:val="clear" w:color="auto" w:fill="auto"/>
            <w:vAlign w:val="center"/>
          </w:tcPr>
          <w:p>
            <w:pPr>
              <w:overflowPunct w:val="0"/>
              <w:ind w:right="211"/>
              <w:rPr>
                <w:sz w:val="21"/>
                <w:szCs w:val="21"/>
              </w:rPr>
            </w:pPr>
            <w:r>
              <w:rPr>
                <w:rFonts w:hint="eastAsia"/>
                <w:sz w:val="21"/>
                <w:szCs w:val="21"/>
              </w:rPr>
              <w:t>生成各种报表、趋势曲线、图片资料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shd w:val="clear" w:color="auto" w:fill="auto"/>
            <w:vAlign w:val="center"/>
          </w:tcPr>
          <w:p>
            <w:pPr>
              <w:overflowPunct w:val="0"/>
              <w:snapToGrid w:val="0"/>
              <w:jc w:val="center"/>
              <w:rPr>
                <w:spacing w:val="-3"/>
                <w:sz w:val="21"/>
                <w:szCs w:val="21"/>
              </w:rPr>
            </w:pPr>
            <w:r>
              <w:rPr>
                <w:rFonts w:hint="eastAsia"/>
                <w:spacing w:val="-3"/>
                <w:sz w:val="21"/>
                <w:szCs w:val="21"/>
              </w:rPr>
              <w:t>8</w:t>
            </w:r>
          </w:p>
        </w:tc>
        <w:tc>
          <w:tcPr>
            <w:tcW w:w="3136" w:type="dxa"/>
            <w:gridSpan w:val="3"/>
            <w:shd w:val="clear" w:color="auto" w:fill="auto"/>
            <w:vAlign w:val="center"/>
          </w:tcPr>
          <w:p>
            <w:pPr>
              <w:overflowPunct w:val="0"/>
              <w:ind w:right="211"/>
              <w:jc w:val="center"/>
              <w:rPr>
                <w:spacing w:val="-3"/>
                <w:sz w:val="21"/>
                <w:szCs w:val="21"/>
              </w:rPr>
            </w:pPr>
            <w:r>
              <w:rPr>
                <w:rFonts w:hint="eastAsia"/>
                <w:spacing w:val="-3"/>
                <w:sz w:val="21"/>
                <w:szCs w:val="21"/>
              </w:rPr>
              <w:t>汽轮机台板就位</w:t>
            </w:r>
          </w:p>
        </w:tc>
        <w:tc>
          <w:tcPr>
            <w:tcW w:w="5790" w:type="dxa"/>
            <w:shd w:val="clear" w:color="auto" w:fill="auto"/>
            <w:vAlign w:val="center"/>
          </w:tcPr>
          <w:p>
            <w:pPr>
              <w:overflowPunct w:val="0"/>
              <w:ind w:right="211"/>
              <w:rPr>
                <w:sz w:val="21"/>
                <w:szCs w:val="21"/>
              </w:rPr>
            </w:pPr>
            <w:r>
              <w:rPr>
                <w:rFonts w:hint="eastAsia"/>
                <w:sz w:val="21"/>
                <w:szCs w:val="21"/>
              </w:rPr>
              <w:t>监测台板标高和中心位置；上传汽轮机扣缸轴系中心找正、通流间隙调整等施工记录；监测发电机定子转子汽密性、转子和定子同心度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shd w:val="clear" w:color="auto" w:fill="auto"/>
            <w:vAlign w:val="center"/>
          </w:tcPr>
          <w:p>
            <w:pPr>
              <w:overflowPunct w:val="0"/>
              <w:snapToGrid w:val="0"/>
              <w:jc w:val="center"/>
              <w:rPr>
                <w:spacing w:val="-3"/>
                <w:sz w:val="21"/>
                <w:szCs w:val="21"/>
              </w:rPr>
            </w:pPr>
            <w:r>
              <w:rPr>
                <w:rFonts w:hint="eastAsia"/>
                <w:spacing w:val="-3"/>
                <w:sz w:val="21"/>
                <w:szCs w:val="21"/>
              </w:rPr>
              <w:t>9</w:t>
            </w:r>
          </w:p>
        </w:tc>
        <w:tc>
          <w:tcPr>
            <w:tcW w:w="3136" w:type="dxa"/>
            <w:gridSpan w:val="3"/>
            <w:shd w:val="clear" w:color="auto" w:fill="auto"/>
            <w:vAlign w:val="center"/>
          </w:tcPr>
          <w:p>
            <w:pPr>
              <w:overflowPunct w:val="0"/>
              <w:ind w:right="211"/>
              <w:jc w:val="center"/>
              <w:rPr>
                <w:spacing w:val="-3"/>
                <w:sz w:val="21"/>
                <w:szCs w:val="21"/>
              </w:rPr>
            </w:pPr>
            <w:r>
              <w:rPr>
                <w:rFonts w:hint="eastAsia"/>
                <w:spacing w:val="-3"/>
                <w:sz w:val="21"/>
                <w:szCs w:val="21"/>
              </w:rPr>
              <w:t>精密仪器设备保护</w:t>
            </w:r>
          </w:p>
        </w:tc>
        <w:tc>
          <w:tcPr>
            <w:tcW w:w="5790" w:type="dxa"/>
            <w:shd w:val="clear" w:color="auto" w:fill="auto"/>
            <w:vAlign w:val="center"/>
          </w:tcPr>
          <w:p>
            <w:pPr>
              <w:tabs>
                <w:tab w:val="left" w:pos="649"/>
              </w:tabs>
              <w:overflowPunct w:val="0"/>
              <w:ind w:right="220" w:rightChars="100"/>
              <w:rPr>
                <w:sz w:val="21"/>
                <w:szCs w:val="21"/>
              </w:rPr>
            </w:pPr>
            <w:r>
              <w:rPr>
                <w:rFonts w:hint="eastAsia"/>
                <w:sz w:val="21"/>
                <w:szCs w:val="21"/>
              </w:rPr>
              <w:t>在精密设备仪表存放设备区域设置电子围栏、监控摄像头等设备，进行区域的全方位监控。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shd w:val="clear" w:color="auto" w:fill="auto"/>
            <w:vAlign w:val="center"/>
          </w:tcPr>
          <w:p>
            <w:pPr>
              <w:overflowPunct w:val="0"/>
              <w:snapToGrid w:val="0"/>
              <w:jc w:val="center"/>
              <w:rPr>
                <w:spacing w:val="-3"/>
                <w:sz w:val="21"/>
                <w:szCs w:val="21"/>
              </w:rPr>
            </w:pPr>
            <w:r>
              <w:rPr>
                <w:rFonts w:hint="eastAsia"/>
                <w:spacing w:val="-3"/>
                <w:sz w:val="21"/>
                <w:szCs w:val="21"/>
              </w:rPr>
              <w:t>10</w:t>
            </w:r>
          </w:p>
        </w:tc>
        <w:tc>
          <w:tcPr>
            <w:tcW w:w="3136" w:type="dxa"/>
            <w:gridSpan w:val="3"/>
            <w:shd w:val="clear" w:color="auto" w:fill="auto"/>
            <w:vAlign w:val="center"/>
          </w:tcPr>
          <w:p>
            <w:pPr>
              <w:overflowPunct w:val="0"/>
              <w:ind w:right="211"/>
              <w:jc w:val="center"/>
              <w:rPr>
                <w:spacing w:val="-3"/>
                <w:sz w:val="21"/>
                <w:szCs w:val="21"/>
              </w:rPr>
            </w:pPr>
            <w:r>
              <w:rPr>
                <w:rFonts w:hint="eastAsia"/>
              </w:rPr>
              <w:t>大板梁吊装</w:t>
            </w:r>
          </w:p>
        </w:tc>
        <w:tc>
          <w:tcPr>
            <w:tcW w:w="5790" w:type="dxa"/>
            <w:shd w:val="clear" w:color="auto" w:fill="auto"/>
            <w:vAlign w:val="center"/>
          </w:tcPr>
          <w:p>
            <w:pPr>
              <w:tabs>
                <w:tab w:val="left" w:pos="649"/>
              </w:tabs>
              <w:overflowPunct w:val="0"/>
              <w:ind w:right="220" w:rightChars="100"/>
              <w:rPr>
                <w:sz w:val="21"/>
                <w:szCs w:val="21"/>
              </w:rPr>
            </w:pPr>
            <w:r>
              <w:rPr>
                <w:rFonts w:hint="eastAsia"/>
                <w:sz w:val="21"/>
                <w:szCs w:val="21"/>
              </w:rPr>
              <w:t>对主梁支座与柱顶平面支座中心线偏差、梁标高偏差、水平度偏差、梁间距偏差、梁间对角线差、板梁挠度、高强度螺栓摩擦面抗滑移系数等重要数据进行监测。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shd w:val="clear" w:color="auto" w:fill="auto"/>
            <w:vAlign w:val="center"/>
          </w:tcPr>
          <w:p>
            <w:pPr>
              <w:overflowPunct w:val="0"/>
              <w:snapToGrid w:val="0"/>
              <w:jc w:val="center"/>
              <w:rPr>
                <w:spacing w:val="-3"/>
                <w:sz w:val="21"/>
                <w:szCs w:val="21"/>
              </w:rPr>
            </w:pPr>
            <w:r>
              <w:rPr>
                <w:rFonts w:hint="eastAsia"/>
                <w:spacing w:val="-3"/>
                <w:sz w:val="21"/>
                <w:szCs w:val="21"/>
              </w:rPr>
              <w:t>11</w:t>
            </w:r>
          </w:p>
        </w:tc>
        <w:tc>
          <w:tcPr>
            <w:tcW w:w="3136" w:type="dxa"/>
            <w:gridSpan w:val="3"/>
            <w:shd w:val="clear" w:color="auto" w:fill="auto"/>
            <w:vAlign w:val="center"/>
          </w:tcPr>
          <w:p>
            <w:pPr>
              <w:overflowPunct w:val="0"/>
              <w:ind w:right="211"/>
              <w:jc w:val="center"/>
              <w:rPr>
                <w:spacing w:val="-3"/>
                <w:sz w:val="21"/>
                <w:szCs w:val="21"/>
              </w:rPr>
            </w:pPr>
            <w:r>
              <w:rPr>
                <w:rFonts w:hint="eastAsia"/>
              </w:rPr>
              <w:t>锅炉焊口</w:t>
            </w:r>
          </w:p>
        </w:tc>
        <w:tc>
          <w:tcPr>
            <w:tcW w:w="5790" w:type="dxa"/>
            <w:shd w:val="clear" w:color="auto" w:fill="auto"/>
            <w:vAlign w:val="center"/>
          </w:tcPr>
          <w:p>
            <w:pPr>
              <w:tabs>
                <w:tab w:val="left" w:pos="649"/>
              </w:tabs>
              <w:overflowPunct w:val="0"/>
              <w:ind w:right="220" w:rightChars="100"/>
              <w:rPr>
                <w:sz w:val="21"/>
                <w:szCs w:val="21"/>
              </w:rPr>
            </w:pPr>
            <w:r>
              <w:rPr>
                <w:rFonts w:hint="eastAsia"/>
                <w:sz w:val="21"/>
                <w:szCs w:val="21"/>
              </w:rPr>
              <w:t>锅炉焊口进行监视，确保焊接形式符合技术文件要求，焊接无夹渣、咬边、气孔、未焊透等缺陷，焊缝成型良好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shd w:val="clear" w:color="auto" w:fill="auto"/>
            <w:vAlign w:val="center"/>
          </w:tcPr>
          <w:p>
            <w:pPr>
              <w:overflowPunct w:val="0"/>
              <w:snapToGrid w:val="0"/>
              <w:jc w:val="center"/>
              <w:rPr>
                <w:spacing w:val="-3"/>
                <w:sz w:val="21"/>
                <w:szCs w:val="21"/>
              </w:rPr>
            </w:pPr>
            <w:r>
              <w:rPr>
                <w:rFonts w:hint="eastAsia"/>
                <w:spacing w:val="-3"/>
                <w:sz w:val="21"/>
                <w:szCs w:val="21"/>
              </w:rPr>
              <w:t>12</w:t>
            </w:r>
          </w:p>
        </w:tc>
        <w:tc>
          <w:tcPr>
            <w:tcW w:w="3136" w:type="dxa"/>
            <w:gridSpan w:val="3"/>
            <w:shd w:val="clear" w:color="auto" w:fill="auto"/>
            <w:vAlign w:val="center"/>
          </w:tcPr>
          <w:p>
            <w:pPr>
              <w:overflowPunct w:val="0"/>
              <w:ind w:right="211"/>
              <w:jc w:val="center"/>
            </w:pPr>
            <w:r>
              <w:rPr>
                <w:rFonts w:hint="eastAsia"/>
              </w:rPr>
              <w:t>天然气调压站</w:t>
            </w:r>
          </w:p>
          <w:p>
            <w:pPr>
              <w:overflowPunct w:val="0"/>
              <w:ind w:right="211"/>
              <w:jc w:val="center"/>
            </w:pPr>
            <w:r>
              <w:rPr>
                <w:rFonts w:hint="eastAsia"/>
              </w:rPr>
              <w:t>（燃气电厂）</w:t>
            </w:r>
          </w:p>
        </w:tc>
        <w:tc>
          <w:tcPr>
            <w:tcW w:w="5790" w:type="dxa"/>
            <w:shd w:val="clear" w:color="auto" w:fill="auto"/>
            <w:vAlign w:val="center"/>
          </w:tcPr>
          <w:p>
            <w:pPr>
              <w:tabs>
                <w:tab w:val="left" w:pos="649"/>
              </w:tabs>
              <w:overflowPunct w:val="0"/>
              <w:ind w:right="220" w:rightChars="100"/>
              <w:rPr>
                <w:sz w:val="21"/>
                <w:szCs w:val="21"/>
              </w:rPr>
            </w:pPr>
            <w:r>
              <w:rPr>
                <w:rFonts w:hint="eastAsia"/>
              </w:rPr>
              <w:t>通过可视成像检测技术进行密封性检测。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shd w:val="clear" w:color="auto" w:fill="auto"/>
            <w:vAlign w:val="center"/>
          </w:tcPr>
          <w:p>
            <w:pPr>
              <w:overflowPunct w:val="0"/>
              <w:snapToGrid w:val="0"/>
              <w:jc w:val="center"/>
              <w:rPr>
                <w:spacing w:val="-3"/>
                <w:sz w:val="21"/>
                <w:szCs w:val="21"/>
              </w:rPr>
            </w:pPr>
            <w:r>
              <w:rPr>
                <w:rFonts w:hint="eastAsia"/>
                <w:spacing w:val="-3"/>
                <w:sz w:val="21"/>
                <w:szCs w:val="21"/>
              </w:rPr>
              <w:t>13</w:t>
            </w:r>
          </w:p>
        </w:tc>
        <w:tc>
          <w:tcPr>
            <w:tcW w:w="3136" w:type="dxa"/>
            <w:gridSpan w:val="3"/>
            <w:shd w:val="clear" w:color="auto" w:fill="auto"/>
            <w:vAlign w:val="center"/>
          </w:tcPr>
          <w:p>
            <w:pPr>
              <w:overflowPunct w:val="0"/>
              <w:ind w:right="211"/>
              <w:jc w:val="center"/>
            </w:pPr>
            <w:r>
              <w:rPr>
                <w:rFonts w:hint="eastAsia"/>
              </w:rPr>
              <w:t>燃气轮机</w:t>
            </w:r>
          </w:p>
        </w:tc>
        <w:tc>
          <w:tcPr>
            <w:tcW w:w="5790" w:type="dxa"/>
            <w:shd w:val="clear" w:color="auto" w:fill="auto"/>
            <w:vAlign w:val="center"/>
          </w:tcPr>
          <w:p>
            <w:pPr>
              <w:tabs>
                <w:tab w:val="left" w:pos="649"/>
              </w:tabs>
              <w:overflowPunct w:val="0"/>
              <w:ind w:right="220" w:rightChars="100"/>
              <w:rPr>
                <w:sz w:val="21"/>
                <w:szCs w:val="21"/>
              </w:rPr>
            </w:pPr>
            <w:r>
              <w:rPr>
                <w:rFonts w:hint="eastAsia"/>
              </w:rPr>
              <w:t>监测基础具有清晰准确的中心线，标高基准点，并有可靠的标识；监测燃气轮机找平、找正完毕后紧固地脚螺栓，并检查各组垫铁要承重均匀。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Merge w:val="restart"/>
            <w:shd w:val="clear" w:color="auto" w:fill="auto"/>
            <w:vAlign w:val="center"/>
          </w:tcPr>
          <w:p>
            <w:pPr>
              <w:overflowPunct w:val="0"/>
              <w:snapToGrid w:val="0"/>
              <w:jc w:val="center"/>
              <w:rPr>
                <w:rFonts w:hint="eastAsia"/>
                <w:spacing w:val="-3"/>
                <w:sz w:val="21"/>
                <w:szCs w:val="21"/>
              </w:rPr>
            </w:pPr>
            <w:r>
              <w:rPr>
                <w:rFonts w:hint="eastAsia"/>
                <w:spacing w:val="-3"/>
                <w:sz w:val="21"/>
                <w:szCs w:val="21"/>
              </w:rPr>
              <w:t>1</w:t>
            </w:r>
            <w:r>
              <w:rPr>
                <w:spacing w:val="-3"/>
                <w:sz w:val="21"/>
                <w:szCs w:val="21"/>
              </w:rPr>
              <w:t>4</w:t>
            </w:r>
          </w:p>
        </w:tc>
        <w:tc>
          <w:tcPr>
            <w:tcW w:w="1568" w:type="dxa"/>
            <w:gridSpan w:val="2"/>
            <w:vMerge w:val="restart"/>
            <w:shd w:val="clear" w:color="auto" w:fill="auto"/>
            <w:vAlign w:val="center"/>
          </w:tcPr>
          <w:p>
            <w:pPr>
              <w:overflowPunct w:val="0"/>
              <w:ind w:right="211"/>
              <w:jc w:val="center"/>
              <w:rPr>
                <w:rFonts w:hint="eastAsia"/>
              </w:rPr>
            </w:pPr>
            <w:r>
              <w:rPr>
                <w:rFonts w:hint="eastAsia"/>
              </w:rPr>
              <w:t>储煤场设备安装</w:t>
            </w:r>
          </w:p>
        </w:tc>
        <w:tc>
          <w:tcPr>
            <w:tcW w:w="1568" w:type="dxa"/>
            <w:shd w:val="clear" w:color="auto" w:fill="auto"/>
            <w:vAlign w:val="center"/>
          </w:tcPr>
          <w:p>
            <w:pPr>
              <w:overflowPunct w:val="0"/>
              <w:ind w:right="211"/>
              <w:jc w:val="center"/>
              <w:rPr>
                <w:rFonts w:hint="eastAsia"/>
                <w:spacing w:val="-3"/>
                <w:sz w:val="21"/>
                <w:szCs w:val="21"/>
              </w:rPr>
            </w:pPr>
            <w:r>
              <w:rPr>
                <w:rFonts w:hint="eastAsia"/>
                <w:spacing w:val="-3"/>
                <w:sz w:val="21"/>
                <w:szCs w:val="21"/>
              </w:rPr>
              <w:t>叶轮拨煤机</w:t>
            </w:r>
          </w:p>
        </w:tc>
        <w:tc>
          <w:tcPr>
            <w:tcW w:w="5790" w:type="dxa"/>
            <w:shd w:val="clear" w:color="auto" w:fill="auto"/>
            <w:vAlign w:val="center"/>
          </w:tcPr>
          <w:p>
            <w:pPr>
              <w:tabs>
                <w:tab w:val="left" w:pos="649"/>
              </w:tabs>
              <w:overflowPunct w:val="0"/>
              <w:ind w:right="220" w:rightChars="100"/>
              <w:rPr>
                <w:rFonts w:hint="eastAsia"/>
              </w:rPr>
            </w:pPr>
            <w:r>
              <w:rPr>
                <w:rFonts w:hint="eastAsia"/>
                <w:sz w:val="21"/>
                <w:szCs w:val="21"/>
              </w:rPr>
              <w:t>监测轨道标高、轨道间距、轨道平直度；拨煤机链轮位置和平行度，行走轮和轨道面的接触程度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Merge w:val="continue"/>
            <w:shd w:val="clear" w:color="auto" w:fill="auto"/>
            <w:vAlign w:val="center"/>
          </w:tcPr>
          <w:p>
            <w:pPr>
              <w:overflowPunct w:val="0"/>
              <w:snapToGrid w:val="0"/>
              <w:jc w:val="center"/>
              <w:rPr>
                <w:rFonts w:hint="eastAsia"/>
                <w:spacing w:val="-3"/>
                <w:sz w:val="21"/>
                <w:szCs w:val="21"/>
              </w:rPr>
            </w:pPr>
          </w:p>
        </w:tc>
        <w:tc>
          <w:tcPr>
            <w:tcW w:w="1568" w:type="dxa"/>
            <w:gridSpan w:val="2"/>
            <w:vMerge w:val="continue"/>
            <w:shd w:val="clear" w:color="auto" w:fill="auto"/>
            <w:vAlign w:val="center"/>
          </w:tcPr>
          <w:p>
            <w:pPr>
              <w:overflowPunct w:val="0"/>
              <w:ind w:right="211"/>
              <w:jc w:val="center"/>
              <w:rPr>
                <w:rFonts w:hint="eastAsia"/>
              </w:rPr>
            </w:pPr>
          </w:p>
        </w:tc>
        <w:tc>
          <w:tcPr>
            <w:tcW w:w="1568" w:type="dxa"/>
            <w:shd w:val="clear" w:color="auto" w:fill="auto"/>
            <w:vAlign w:val="center"/>
          </w:tcPr>
          <w:p>
            <w:pPr>
              <w:overflowPunct w:val="0"/>
              <w:ind w:right="211"/>
              <w:jc w:val="center"/>
              <w:rPr>
                <w:rFonts w:hint="eastAsia"/>
                <w:spacing w:val="-3"/>
                <w:sz w:val="21"/>
                <w:szCs w:val="21"/>
              </w:rPr>
            </w:pPr>
            <w:r>
              <w:rPr>
                <w:rFonts w:hint="eastAsia"/>
                <w:spacing w:val="-3"/>
                <w:sz w:val="21"/>
                <w:szCs w:val="21"/>
              </w:rPr>
              <w:t>犁煤车</w:t>
            </w:r>
          </w:p>
        </w:tc>
        <w:tc>
          <w:tcPr>
            <w:tcW w:w="5790" w:type="dxa"/>
            <w:shd w:val="clear" w:color="auto" w:fill="auto"/>
            <w:vAlign w:val="center"/>
          </w:tcPr>
          <w:p>
            <w:pPr>
              <w:tabs>
                <w:tab w:val="left" w:pos="649"/>
              </w:tabs>
              <w:overflowPunct w:val="0"/>
              <w:ind w:right="220" w:rightChars="100"/>
              <w:rPr>
                <w:rFonts w:hint="eastAsia"/>
              </w:rPr>
            </w:pPr>
            <w:r>
              <w:rPr>
                <w:rFonts w:hint="eastAsia"/>
                <w:sz w:val="21"/>
                <w:szCs w:val="21"/>
              </w:rPr>
              <w:t>监测轨道圆度、平整度；</w:t>
            </w:r>
            <w:r>
              <w:rPr>
                <w:rFonts w:hint="eastAsia"/>
              </w:rPr>
              <w:t>犁煤器和落煤管的固定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Merge w:val="continue"/>
            <w:shd w:val="clear" w:color="auto" w:fill="auto"/>
            <w:vAlign w:val="center"/>
          </w:tcPr>
          <w:p>
            <w:pPr>
              <w:overflowPunct w:val="0"/>
              <w:snapToGrid w:val="0"/>
              <w:jc w:val="center"/>
              <w:rPr>
                <w:rFonts w:hint="eastAsia"/>
                <w:spacing w:val="-3"/>
                <w:sz w:val="21"/>
                <w:szCs w:val="21"/>
              </w:rPr>
            </w:pPr>
          </w:p>
        </w:tc>
        <w:tc>
          <w:tcPr>
            <w:tcW w:w="1568" w:type="dxa"/>
            <w:gridSpan w:val="2"/>
            <w:vMerge w:val="continue"/>
            <w:shd w:val="clear" w:color="auto" w:fill="auto"/>
            <w:vAlign w:val="center"/>
          </w:tcPr>
          <w:p>
            <w:pPr>
              <w:overflowPunct w:val="0"/>
              <w:ind w:right="211"/>
              <w:jc w:val="center"/>
              <w:rPr>
                <w:rFonts w:hint="eastAsia"/>
              </w:rPr>
            </w:pPr>
          </w:p>
        </w:tc>
        <w:tc>
          <w:tcPr>
            <w:tcW w:w="1568" w:type="dxa"/>
            <w:shd w:val="clear" w:color="auto" w:fill="auto"/>
            <w:vAlign w:val="center"/>
          </w:tcPr>
          <w:p>
            <w:pPr>
              <w:overflowPunct w:val="0"/>
              <w:ind w:right="211"/>
              <w:jc w:val="center"/>
              <w:rPr>
                <w:rFonts w:hint="eastAsia"/>
                <w:spacing w:val="-3"/>
                <w:sz w:val="21"/>
                <w:szCs w:val="21"/>
              </w:rPr>
            </w:pPr>
            <w:r>
              <w:rPr>
                <w:rFonts w:hint="eastAsia"/>
                <w:spacing w:val="-3"/>
                <w:sz w:val="21"/>
                <w:szCs w:val="21"/>
              </w:rPr>
              <w:t>卸煤机</w:t>
            </w:r>
          </w:p>
        </w:tc>
        <w:tc>
          <w:tcPr>
            <w:tcW w:w="5790" w:type="dxa"/>
            <w:shd w:val="clear" w:color="auto" w:fill="auto"/>
            <w:vAlign w:val="center"/>
          </w:tcPr>
          <w:p>
            <w:pPr>
              <w:tabs>
                <w:tab w:val="left" w:pos="649"/>
              </w:tabs>
              <w:overflowPunct w:val="0"/>
              <w:ind w:right="220" w:rightChars="100"/>
              <w:rPr>
                <w:rFonts w:hint="eastAsia"/>
              </w:rPr>
            </w:pPr>
            <w:r>
              <w:rPr>
                <w:rFonts w:hint="eastAsia"/>
                <w:sz w:val="21"/>
                <w:szCs w:val="21"/>
              </w:rPr>
              <w:t>监测轨道标高、轨道间距、轨道平直度；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Merge w:val="restart"/>
            <w:shd w:val="clear" w:color="auto" w:fill="auto"/>
            <w:vAlign w:val="center"/>
          </w:tcPr>
          <w:p>
            <w:pPr>
              <w:overflowPunct w:val="0"/>
              <w:snapToGrid w:val="0"/>
              <w:jc w:val="center"/>
              <w:rPr>
                <w:rFonts w:hint="eastAsia"/>
                <w:spacing w:val="-3"/>
                <w:sz w:val="21"/>
                <w:szCs w:val="21"/>
              </w:rPr>
            </w:pPr>
            <w:r>
              <w:rPr>
                <w:rFonts w:hint="eastAsia"/>
                <w:spacing w:val="-3"/>
                <w:sz w:val="21"/>
                <w:szCs w:val="21"/>
              </w:rPr>
              <w:t>1</w:t>
            </w:r>
            <w:r>
              <w:rPr>
                <w:spacing w:val="-3"/>
                <w:sz w:val="21"/>
                <w:szCs w:val="21"/>
              </w:rPr>
              <w:t>5</w:t>
            </w:r>
          </w:p>
        </w:tc>
        <w:tc>
          <w:tcPr>
            <w:tcW w:w="1568" w:type="dxa"/>
            <w:gridSpan w:val="2"/>
            <w:vMerge w:val="restart"/>
            <w:shd w:val="clear" w:color="auto" w:fill="auto"/>
            <w:vAlign w:val="center"/>
          </w:tcPr>
          <w:p>
            <w:pPr>
              <w:overflowPunct w:val="0"/>
              <w:ind w:right="211"/>
              <w:jc w:val="center"/>
              <w:rPr>
                <w:rFonts w:hint="eastAsia"/>
              </w:rPr>
            </w:pPr>
            <w:r>
              <w:rPr>
                <w:rFonts w:hint="eastAsia"/>
              </w:rPr>
              <w:t>输煤系统设备安装</w:t>
            </w:r>
          </w:p>
        </w:tc>
        <w:tc>
          <w:tcPr>
            <w:tcW w:w="1568" w:type="dxa"/>
            <w:shd w:val="clear" w:color="auto" w:fill="auto"/>
            <w:vAlign w:val="center"/>
          </w:tcPr>
          <w:p>
            <w:pPr>
              <w:overflowPunct w:val="0"/>
              <w:ind w:right="211"/>
              <w:jc w:val="center"/>
              <w:rPr>
                <w:rFonts w:hint="eastAsia"/>
                <w:spacing w:val="-3"/>
                <w:sz w:val="21"/>
                <w:szCs w:val="21"/>
              </w:rPr>
            </w:pPr>
            <w:r>
              <w:rPr>
                <w:rFonts w:hint="eastAsia"/>
                <w:spacing w:val="-3"/>
                <w:sz w:val="21"/>
                <w:szCs w:val="21"/>
              </w:rPr>
              <w:t>皮带输煤机</w:t>
            </w:r>
          </w:p>
        </w:tc>
        <w:tc>
          <w:tcPr>
            <w:tcW w:w="5790" w:type="dxa"/>
            <w:shd w:val="clear" w:color="auto" w:fill="auto"/>
            <w:vAlign w:val="center"/>
          </w:tcPr>
          <w:p>
            <w:pPr>
              <w:tabs>
                <w:tab w:val="left" w:pos="649"/>
              </w:tabs>
              <w:overflowPunct w:val="0"/>
              <w:ind w:right="220" w:rightChars="100"/>
              <w:rPr>
                <w:rFonts w:hint="eastAsia"/>
              </w:rPr>
            </w:pPr>
            <w:r>
              <w:rPr>
                <w:rFonts w:hint="eastAsia"/>
                <w:sz w:val="21"/>
                <w:szCs w:val="21"/>
              </w:rPr>
              <w:t>监测设备构件中心线、标高、水平度；托辊水平度偏差、落煤斗、导煤管尺寸位置偏差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0" w:type="dxa"/>
            <w:vMerge w:val="continue"/>
            <w:shd w:val="clear" w:color="auto" w:fill="auto"/>
            <w:vAlign w:val="center"/>
          </w:tcPr>
          <w:p>
            <w:pPr>
              <w:overflowPunct w:val="0"/>
              <w:snapToGrid w:val="0"/>
              <w:jc w:val="center"/>
              <w:rPr>
                <w:rFonts w:hint="eastAsia"/>
                <w:spacing w:val="-3"/>
                <w:sz w:val="21"/>
                <w:szCs w:val="21"/>
              </w:rPr>
            </w:pPr>
          </w:p>
        </w:tc>
        <w:tc>
          <w:tcPr>
            <w:tcW w:w="1568" w:type="dxa"/>
            <w:gridSpan w:val="2"/>
            <w:vMerge w:val="continue"/>
            <w:shd w:val="clear" w:color="auto" w:fill="auto"/>
            <w:vAlign w:val="center"/>
          </w:tcPr>
          <w:p>
            <w:pPr>
              <w:overflowPunct w:val="0"/>
              <w:ind w:right="211"/>
              <w:jc w:val="center"/>
              <w:rPr>
                <w:rFonts w:hint="eastAsia"/>
              </w:rPr>
            </w:pPr>
          </w:p>
        </w:tc>
        <w:tc>
          <w:tcPr>
            <w:tcW w:w="1568" w:type="dxa"/>
            <w:shd w:val="clear" w:color="auto" w:fill="auto"/>
            <w:vAlign w:val="center"/>
          </w:tcPr>
          <w:p>
            <w:pPr>
              <w:overflowPunct w:val="0"/>
              <w:ind w:right="211"/>
              <w:jc w:val="center"/>
              <w:rPr>
                <w:rFonts w:hint="eastAsia"/>
                <w:spacing w:val="-3"/>
                <w:sz w:val="21"/>
                <w:szCs w:val="21"/>
              </w:rPr>
            </w:pPr>
            <w:r>
              <w:rPr>
                <w:rFonts w:hint="eastAsia"/>
                <w:spacing w:val="-3"/>
                <w:sz w:val="21"/>
                <w:szCs w:val="21"/>
              </w:rPr>
              <w:t>电子皮带称</w:t>
            </w:r>
          </w:p>
        </w:tc>
        <w:tc>
          <w:tcPr>
            <w:tcW w:w="5790" w:type="dxa"/>
            <w:shd w:val="clear" w:color="auto" w:fill="auto"/>
            <w:vAlign w:val="center"/>
          </w:tcPr>
          <w:p>
            <w:pPr>
              <w:tabs>
                <w:tab w:val="left" w:pos="649"/>
              </w:tabs>
              <w:overflowPunct w:val="0"/>
              <w:ind w:right="220" w:rightChars="100"/>
              <w:rPr>
                <w:rFonts w:hint="eastAsia"/>
              </w:rPr>
            </w:pPr>
            <w:r>
              <w:rPr>
                <w:rFonts w:hint="eastAsia"/>
                <w:sz w:val="21"/>
                <w:szCs w:val="21"/>
              </w:rPr>
              <w:t>监测皮带秤中心位置偏差、皮带机托辊水平偏差</w:t>
            </w:r>
          </w:p>
        </w:tc>
      </w:tr>
    </w:tbl>
    <w:p>
      <w:pPr>
        <w:tabs>
          <w:tab w:val="left" w:pos="859"/>
        </w:tabs>
        <w:overflowPunct w:val="0"/>
        <w:spacing w:before="120" w:beforeLines="50" w:line="278" w:lineRule="auto"/>
        <w:ind w:left="141" w:leftChars="64" w:right="215"/>
        <w:rPr>
          <w:sz w:val="21"/>
          <w:szCs w:val="21"/>
        </w:rPr>
      </w:pPr>
    </w:p>
    <w:p>
      <w:pPr>
        <w:tabs>
          <w:tab w:val="left" w:pos="859"/>
        </w:tabs>
        <w:overflowPunct w:val="0"/>
        <w:spacing w:before="120" w:beforeLines="50" w:line="278" w:lineRule="auto"/>
        <w:ind w:left="141" w:leftChars="64" w:right="215"/>
        <w:rPr>
          <w:sz w:val="21"/>
          <w:szCs w:val="21"/>
        </w:rPr>
      </w:pPr>
    </w:p>
    <w:p>
      <w:pPr>
        <w:tabs>
          <w:tab w:val="left" w:pos="859"/>
        </w:tabs>
        <w:overflowPunct w:val="0"/>
        <w:spacing w:before="120" w:beforeLines="50" w:line="278" w:lineRule="auto"/>
        <w:ind w:left="141" w:leftChars="64" w:right="215"/>
        <w:rPr>
          <w:sz w:val="21"/>
          <w:szCs w:val="21"/>
        </w:rPr>
      </w:pPr>
      <w:r>
        <w:rPr>
          <w:rFonts w:hint="eastAsia"/>
          <w:sz w:val="21"/>
          <w:szCs w:val="21"/>
        </w:rPr>
        <w:t>7</w:t>
      </w:r>
      <w:r>
        <w:rPr>
          <w:sz w:val="21"/>
          <w:szCs w:val="21"/>
        </w:rPr>
        <w:t>.</w:t>
      </w:r>
      <w:r>
        <w:rPr>
          <w:rFonts w:hint="eastAsia"/>
          <w:sz w:val="21"/>
          <w:szCs w:val="21"/>
        </w:rPr>
        <w:t>3调试阶段施工管理应包括：调试文件管理、调试仪器仪表管理、调试过程管理、经验反馈及事件追踪、调试缺陷及遗留项等。具体功能要求见表3：</w:t>
      </w:r>
    </w:p>
    <w:p>
      <w:pPr>
        <w:tabs>
          <w:tab w:val="left" w:pos="859"/>
        </w:tabs>
        <w:overflowPunct w:val="0"/>
        <w:spacing w:before="120" w:beforeLines="50" w:line="278" w:lineRule="auto"/>
        <w:ind w:right="215"/>
        <w:jc w:val="center"/>
      </w:pPr>
      <w:r>
        <w:rPr>
          <w:rFonts w:hint="eastAsia"/>
          <w:b/>
          <w:bCs/>
          <w:sz w:val="21"/>
          <w:szCs w:val="21"/>
        </w:rPr>
        <w:t>表7.3 调试阶段施工管理内容及功能要求</w:t>
      </w:r>
    </w:p>
    <w:tbl>
      <w:tblPr>
        <w:tblStyle w:val="21"/>
        <w:tblW w:w="98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3136"/>
        <w:gridCol w:w="5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0" w:type="dxa"/>
            <w:shd w:val="clear" w:color="auto" w:fill="auto"/>
            <w:vAlign w:val="center"/>
          </w:tcPr>
          <w:p>
            <w:pPr>
              <w:overflowPunct w:val="0"/>
              <w:ind w:right="-8"/>
              <w:jc w:val="center"/>
              <w:rPr>
                <w:b/>
                <w:bCs/>
                <w:spacing w:val="-3"/>
                <w:sz w:val="21"/>
                <w:szCs w:val="21"/>
              </w:rPr>
            </w:pPr>
            <w:r>
              <w:rPr>
                <w:rFonts w:hint="eastAsia"/>
                <w:b/>
                <w:bCs/>
                <w:spacing w:val="-3"/>
                <w:sz w:val="21"/>
                <w:szCs w:val="21"/>
              </w:rPr>
              <w:t>序号</w:t>
            </w:r>
          </w:p>
        </w:tc>
        <w:tc>
          <w:tcPr>
            <w:tcW w:w="3136" w:type="dxa"/>
            <w:shd w:val="clear" w:color="auto" w:fill="auto"/>
            <w:vAlign w:val="center"/>
          </w:tcPr>
          <w:p>
            <w:pPr>
              <w:overflowPunct w:val="0"/>
              <w:ind w:right="210"/>
              <w:jc w:val="center"/>
              <w:rPr>
                <w:b/>
                <w:bCs/>
                <w:spacing w:val="-3"/>
                <w:sz w:val="21"/>
                <w:szCs w:val="21"/>
              </w:rPr>
            </w:pPr>
            <w:r>
              <w:rPr>
                <w:rFonts w:hint="eastAsia"/>
                <w:b/>
                <w:bCs/>
                <w:spacing w:val="-3"/>
                <w:sz w:val="21"/>
                <w:szCs w:val="21"/>
              </w:rPr>
              <w:t>管理内容</w:t>
            </w:r>
          </w:p>
        </w:tc>
        <w:tc>
          <w:tcPr>
            <w:tcW w:w="5790" w:type="dxa"/>
            <w:shd w:val="clear" w:color="auto" w:fill="auto"/>
            <w:vAlign w:val="center"/>
          </w:tcPr>
          <w:p>
            <w:pPr>
              <w:overflowPunct w:val="0"/>
              <w:ind w:right="210"/>
              <w:jc w:val="center"/>
              <w:rPr>
                <w:b/>
                <w:bCs/>
                <w:spacing w:val="-3"/>
                <w:sz w:val="21"/>
                <w:szCs w:val="21"/>
              </w:rPr>
            </w:pPr>
            <w:r>
              <w:rPr>
                <w:rFonts w:hint="eastAsia"/>
                <w:b/>
                <w:bCs/>
                <w:spacing w:val="-3"/>
                <w:sz w:val="21"/>
                <w:szCs w:val="21"/>
              </w:rPr>
              <w:t>功能要求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0" w:type="dxa"/>
            <w:vMerge w:val="restart"/>
            <w:shd w:val="clear" w:color="auto" w:fill="auto"/>
            <w:vAlign w:val="center"/>
          </w:tcPr>
          <w:p>
            <w:pPr>
              <w:overflowPunct w:val="0"/>
              <w:ind w:right="-8"/>
              <w:jc w:val="center"/>
              <w:rPr>
                <w:bCs/>
                <w:spacing w:val="-3"/>
                <w:sz w:val="21"/>
                <w:szCs w:val="21"/>
              </w:rPr>
            </w:pPr>
            <w:r>
              <w:rPr>
                <w:rFonts w:hint="eastAsia"/>
                <w:bCs/>
                <w:spacing w:val="-3"/>
                <w:sz w:val="21"/>
                <w:szCs w:val="21"/>
              </w:rPr>
              <w:t>1</w:t>
            </w:r>
          </w:p>
        </w:tc>
        <w:tc>
          <w:tcPr>
            <w:tcW w:w="3136" w:type="dxa"/>
            <w:vMerge w:val="restart"/>
            <w:shd w:val="clear" w:color="auto" w:fill="auto"/>
            <w:vAlign w:val="center"/>
          </w:tcPr>
          <w:p>
            <w:pPr>
              <w:overflowPunct w:val="0"/>
              <w:ind w:right="210"/>
              <w:jc w:val="center"/>
              <w:rPr>
                <w:b/>
                <w:bCs/>
                <w:spacing w:val="-3"/>
                <w:sz w:val="21"/>
                <w:szCs w:val="21"/>
              </w:rPr>
            </w:pPr>
            <w:r>
              <w:rPr>
                <w:rFonts w:hint="eastAsia"/>
                <w:sz w:val="21"/>
                <w:szCs w:val="21"/>
              </w:rPr>
              <w:t>调试文件管理</w:t>
            </w:r>
          </w:p>
        </w:tc>
        <w:tc>
          <w:tcPr>
            <w:tcW w:w="5790" w:type="dxa"/>
            <w:shd w:val="clear" w:color="auto" w:fill="auto"/>
            <w:vAlign w:val="center"/>
          </w:tcPr>
          <w:p>
            <w:pPr>
              <w:overflowPunct w:val="0"/>
              <w:ind w:right="210"/>
              <w:rPr>
                <w:b/>
                <w:bCs/>
                <w:spacing w:val="-3"/>
                <w:sz w:val="21"/>
                <w:szCs w:val="21"/>
              </w:rPr>
            </w:pPr>
            <w:r>
              <w:rPr>
                <w:rFonts w:hint="eastAsia"/>
                <w:sz w:val="21"/>
                <w:szCs w:val="21"/>
              </w:rPr>
              <w:t>具备调试准备阶段文件查询功能，包括对设计文件、图纸、清册、设备等资料的汇总、查阅功能，应与设计管理、施工管理资料库等同步更新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0" w:type="dxa"/>
            <w:vMerge w:val="continue"/>
            <w:shd w:val="clear" w:color="auto" w:fill="auto"/>
            <w:vAlign w:val="center"/>
          </w:tcPr>
          <w:p>
            <w:pPr>
              <w:overflowPunct w:val="0"/>
              <w:ind w:right="-8"/>
              <w:jc w:val="center"/>
              <w:rPr>
                <w:bCs/>
                <w:spacing w:val="-3"/>
                <w:sz w:val="21"/>
                <w:szCs w:val="21"/>
              </w:rPr>
            </w:pPr>
          </w:p>
        </w:tc>
        <w:tc>
          <w:tcPr>
            <w:tcW w:w="3136" w:type="dxa"/>
            <w:vMerge w:val="continue"/>
            <w:shd w:val="clear" w:color="auto" w:fill="auto"/>
            <w:vAlign w:val="center"/>
          </w:tcPr>
          <w:p>
            <w:pPr>
              <w:overflowPunct w:val="0"/>
              <w:ind w:right="210"/>
              <w:jc w:val="center"/>
              <w:rPr>
                <w:b/>
                <w:bCs/>
                <w:spacing w:val="-3"/>
                <w:sz w:val="21"/>
                <w:szCs w:val="21"/>
              </w:rPr>
            </w:pPr>
          </w:p>
        </w:tc>
        <w:tc>
          <w:tcPr>
            <w:tcW w:w="5790" w:type="dxa"/>
            <w:shd w:val="clear" w:color="auto" w:fill="auto"/>
            <w:vAlign w:val="center"/>
          </w:tcPr>
          <w:p>
            <w:pPr>
              <w:overflowPunct w:val="0"/>
              <w:ind w:right="210"/>
              <w:rPr>
                <w:b/>
                <w:bCs/>
                <w:spacing w:val="-3"/>
                <w:sz w:val="21"/>
                <w:szCs w:val="21"/>
              </w:rPr>
            </w:pPr>
            <w:r>
              <w:rPr>
                <w:rFonts w:hint="eastAsia"/>
                <w:sz w:val="21"/>
                <w:szCs w:val="21"/>
              </w:rPr>
              <w:t>具备调试过程文件采集管理功能，实现调试过程文件汇总、管理功能。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0" w:type="dxa"/>
            <w:vMerge w:val="continue"/>
            <w:shd w:val="clear" w:color="auto" w:fill="auto"/>
            <w:vAlign w:val="center"/>
          </w:tcPr>
          <w:p>
            <w:pPr>
              <w:overflowPunct w:val="0"/>
              <w:ind w:right="-8"/>
              <w:jc w:val="center"/>
              <w:rPr>
                <w:bCs/>
                <w:spacing w:val="-3"/>
                <w:sz w:val="21"/>
                <w:szCs w:val="21"/>
              </w:rPr>
            </w:pPr>
          </w:p>
        </w:tc>
        <w:tc>
          <w:tcPr>
            <w:tcW w:w="3136" w:type="dxa"/>
            <w:vMerge w:val="continue"/>
            <w:shd w:val="clear" w:color="auto" w:fill="auto"/>
            <w:vAlign w:val="center"/>
          </w:tcPr>
          <w:p>
            <w:pPr>
              <w:overflowPunct w:val="0"/>
              <w:ind w:right="210"/>
              <w:jc w:val="center"/>
              <w:rPr>
                <w:b/>
                <w:bCs/>
                <w:spacing w:val="-3"/>
                <w:sz w:val="21"/>
                <w:szCs w:val="21"/>
              </w:rPr>
            </w:pPr>
          </w:p>
        </w:tc>
        <w:tc>
          <w:tcPr>
            <w:tcW w:w="5790" w:type="dxa"/>
            <w:shd w:val="clear" w:color="auto" w:fill="auto"/>
            <w:vAlign w:val="center"/>
          </w:tcPr>
          <w:p>
            <w:pPr>
              <w:overflowPunct w:val="0"/>
              <w:ind w:right="210"/>
              <w:rPr>
                <w:sz w:val="21"/>
                <w:szCs w:val="21"/>
              </w:rPr>
            </w:pPr>
            <w:r>
              <w:rPr>
                <w:rFonts w:hint="eastAsia"/>
                <w:sz w:val="21"/>
                <w:szCs w:val="21"/>
              </w:rPr>
              <w:t>建立本现场适用的规程规定、标准、细则等标准库。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0" w:type="dxa"/>
            <w:shd w:val="clear" w:color="auto" w:fill="auto"/>
            <w:vAlign w:val="center"/>
          </w:tcPr>
          <w:p>
            <w:pPr>
              <w:overflowPunct w:val="0"/>
              <w:ind w:right="-8"/>
              <w:jc w:val="center"/>
              <w:rPr>
                <w:bCs/>
                <w:spacing w:val="-3"/>
                <w:sz w:val="21"/>
                <w:szCs w:val="21"/>
              </w:rPr>
            </w:pPr>
            <w:r>
              <w:rPr>
                <w:rFonts w:hint="eastAsia"/>
                <w:bCs/>
                <w:spacing w:val="-3"/>
                <w:sz w:val="21"/>
                <w:szCs w:val="21"/>
              </w:rPr>
              <w:t>2</w:t>
            </w:r>
          </w:p>
        </w:tc>
        <w:tc>
          <w:tcPr>
            <w:tcW w:w="3136" w:type="dxa"/>
            <w:shd w:val="clear" w:color="auto" w:fill="auto"/>
            <w:vAlign w:val="center"/>
          </w:tcPr>
          <w:p>
            <w:pPr>
              <w:overflowPunct w:val="0"/>
              <w:ind w:right="210"/>
              <w:jc w:val="center"/>
              <w:rPr>
                <w:b/>
                <w:bCs/>
                <w:spacing w:val="-3"/>
                <w:sz w:val="21"/>
                <w:szCs w:val="21"/>
              </w:rPr>
            </w:pPr>
            <w:r>
              <w:rPr>
                <w:rFonts w:hint="eastAsia"/>
                <w:sz w:val="21"/>
                <w:szCs w:val="21"/>
              </w:rPr>
              <w:t>调试仪器仪表管理</w:t>
            </w:r>
          </w:p>
        </w:tc>
        <w:tc>
          <w:tcPr>
            <w:tcW w:w="5790" w:type="dxa"/>
            <w:shd w:val="clear" w:color="auto" w:fill="auto"/>
            <w:vAlign w:val="center"/>
          </w:tcPr>
          <w:p>
            <w:pPr>
              <w:overflowPunct w:val="0"/>
              <w:ind w:right="210"/>
              <w:rPr>
                <w:b/>
                <w:bCs/>
                <w:spacing w:val="-3"/>
                <w:sz w:val="21"/>
                <w:szCs w:val="21"/>
              </w:rPr>
            </w:pPr>
            <w:r>
              <w:rPr>
                <w:rFonts w:hint="eastAsia"/>
                <w:sz w:val="21"/>
                <w:szCs w:val="21"/>
              </w:rPr>
              <w:t>建立调试用仪器仪表数据库及报审管理，并对逾期仪器仪表自动预警提示。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0" w:type="dxa"/>
            <w:vMerge w:val="restart"/>
            <w:shd w:val="clear" w:color="auto" w:fill="auto"/>
            <w:vAlign w:val="center"/>
          </w:tcPr>
          <w:p>
            <w:pPr>
              <w:overflowPunct w:val="0"/>
              <w:ind w:right="-8"/>
              <w:jc w:val="center"/>
              <w:rPr>
                <w:bCs/>
                <w:spacing w:val="-3"/>
                <w:sz w:val="21"/>
                <w:szCs w:val="21"/>
              </w:rPr>
            </w:pPr>
            <w:r>
              <w:rPr>
                <w:rFonts w:hint="eastAsia"/>
                <w:bCs/>
                <w:spacing w:val="-3"/>
                <w:sz w:val="21"/>
                <w:szCs w:val="21"/>
              </w:rPr>
              <w:t>3</w:t>
            </w:r>
          </w:p>
        </w:tc>
        <w:tc>
          <w:tcPr>
            <w:tcW w:w="3136" w:type="dxa"/>
            <w:vMerge w:val="restart"/>
            <w:shd w:val="clear" w:color="auto" w:fill="auto"/>
            <w:vAlign w:val="center"/>
          </w:tcPr>
          <w:p>
            <w:pPr>
              <w:overflowPunct w:val="0"/>
              <w:ind w:right="210"/>
              <w:jc w:val="center"/>
              <w:rPr>
                <w:bCs/>
                <w:color w:val="000000" w:themeColor="text1"/>
                <w:spacing w:val="-3"/>
                <w:sz w:val="21"/>
                <w:szCs w:val="21"/>
                <w14:textFill>
                  <w14:solidFill>
                    <w14:schemeClr w14:val="tx1"/>
                  </w14:solidFill>
                </w14:textFill>
              </w:rPr>
            </w:pPr>
            <w:r>
              <w:rPr>
                <w:rFonts w:hint="eastAsia"/>
                <w:color w:val="000000" w:themeColor="text1"/>
                <w:sz w:val="21"/>
                <w:szCs w:val="21"/>
                <w14:textFill>
                  <w14:solidFill>
                    <w14:schemeClr w14:val="tx1"/>
                  </w14:solidFill>
                </w14:textFill>
              </w:rPr>
              <w:t>调试过程管理</w:t>
            </w:r>
          </w:p>
        </w:tc>
        <w:tc>
          <w:tcPr>
            <w:tcW w:w="5790" w:type="dxa"/>
            <w:shd w:val="clear" w:color="auto" w:fill="auto"/>
            <w:vAlign w:val="center"/>
          </w:tcPr>
          <w:p>
            <w:pPr>
              <w:overflowPunct w:val="0"/>
              <w:ind w:right="210"/>
              <w:rPr>
                <w:bCs/>
                <w:color w:val="000000" w:themeColor="text1"/>
                <w:spacing w:val="-3"/>
                <w:sz w:val="21"/>
                <w:szCs w:val="21"/>
                <w14:textFill>
                  <w14:solidFill>
                    <w14:schemeClr w14:val="tx1"/>
                  </w14:solidFill>
                </w14:textFill>
              </w:rPr>
            </w:pPr>
            <w:r>
              <w:rPr>
                <w:rFonts w:hint="eastAsia"/>
                <w:color w:val="000000" w:themeColor="text1"/>
                <w:sz w:val="21"/>
                <w:szCs w:val="21"/>
                <w14:textFill>
                  <w14:solidFill>
                    <w14:schemeClr w14:val="tx1"/>
                  </w14:solidFill>
                </w14:textFill>
              </w:rPr>
              <w:t>具备调试过程中各设备及系统动态运行参数的实时采集、分析功能，物料储备及实时消耗信息的采集、统计、预警功能。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0" w:type="dxa"/>
            <w:vMerge w:val="continue"/>
            <w:shd w:val="clear" w:color="auto" w:fill="auto"/>
            <w:vAlign w:val="center"/>
          </w:tcPr>
          <w:p>
            <w:pPr>
              <w:overflowPunct w:val="0"/>
              <w:ind w:right="-8"/>
              <w:jc w:val="center"/>
              <w:rPr>
                <w:bCs/>
                <w:spacing w:val="-3"/>
                <w:sz w:val="21"/>
                <w:szCs w:val="21"/>
              </w:rPr>
            </w:pPr>
          </w:p>
        </w:tc>
        <w:tc>
          <w:tcPr>
            <w:tcW w:w="3136" w:type="dxa"/>
            <w:vMerge w:val="continue"/>
            <w:shd w:val="clear" w:color="auto" w:fill="auto"/>
            <w:vAlign w:val="center"/>
          </w:tcPr>
          <w:p>
            <w:pPr>
              <w:overflowPunct w:val="0"/>
              <w:ind w:right="210"/>
              <w:jc w:val="center"/>
              <w:rPr>
                <w:color w:val="000000" w:themeColor="text1"/>
                <w:sz w:val="21"/>
                <w:szCs w:val="21"/>
                <w14:textFill>
                  <w14:solidFill>
                    <w14:schemeClr w14:val="tx1"/>
                  </w14:solidFill>
                </w14:textFill>
              </w:rPr>
            </w:pPr>
          </w:p>
        </w:tc>
        <w:tc>
          <w:tcPr>
            <w:tcW w:w="5790" w:type="dxa"/>
            <w:shd w:val="clear" w:color="auto" w:fill="auto"/>
            <w:vAlign w:val="center"/>
          </w:tcPr>
          <w:p>
            <w:pPr>
              <w:overflowPunct w:val="0"/>
              <w:ind w:right="21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具备与采购管理、进度管理、质量管理、环境管理功能联动，及时协调处理调试过程中发现的问题，形成管理数据，为项目进度控制及后续生产运行提供数据支撑。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0" w:type="dxa"/>
            <w:vMerge w:val="continue"/>
            <w:shd w:val="clear" w:color="auto" w:fill="auto"/>
            <w:vAlign w:val="center"/>
          </w:tcPr>
          <w:p>
            <w:pPr>
              <w:overflowPunct w:val="0"/>
              <w:ind w:right="-8"/>
              <w:jc w:val="center"/>
              <w:rPr>
                <w:bCs/>
                <w:spacing w:val="-3"/>
                <w:sz w:val="21"/>
                <w:szCs w:val="21"/>
              </w:rPr>
            </w:pPr>
          </w:p>
        </w:tc>
        <w:tc>
          <w:tcPr>
            <w:tcW w:w="3136" w:type="dxa"/>
            <w:vMerge w:val="continue"/>
            <w:shd w:val="clear" w:color="auto" w:fill="auto"/>
            <w:vAlign w:val="center"/>
          </w:tcPr>
          <w:p>
            <w:pPr>
              <w:overflowPunct w:val="0"/>
              <w:ind w:right="210"/>
              <w:jc w:val="center"/>
              <w:rPr>
                <w:bCs/>
                <w:color w:val="000000" w:themeColor="text1"/>
                <w:spacing w:val="-3"/>
                <w:sz w:val="21"/>
                <w:szCs w:val="21"/>
                <w14:textFill>
                  <w14:solidFill>
                    <w14:schemeClr w14:val="tx1"/>
                  </w14:solidFill>
                </w14:textFill>
              </w:rPr>
            </w:pPr>
          </w:p>
        </w:tc>
        <w:tc>
          <w:tcPr>
            <w:tcW w:w="5790" w:type="dxa"/>
            <w:shd w:val="clear" w:color="auto" w:fill="auto"/>
            <w:vAlign w:val="center"/>
          </w:tcPr>
          <w:p>
            <w:pPr>
              <w:overflowPunct w:val="0"/>
              <w:ind w:right="210"/>
              <w:rPr>
                <w:bCs/>
                <w:color w:val="000000" w:themeColor="text1"/>
                <w:spacing w:val="-3"/>
                <w:sz w:val="21"/>
                <w:szCs w:val="21"/>
                <w14:textFill>
                  <w14:solidFill>
                    <w14:schemeClr w14:val="tx1"/>
                  </w14:solidFill>
                </w14:textFill>
              </w:rPr>
            </w:pPr>
            <w:r>
              <w:rPr>
                <w:rFonts w:hint="eastAsia"/>
                <w:color w:val="000000" w:themeColor="text1"/>
                <w:sz w:val="21"/>
                <w:szCs w:val="21"/>
                <w14:textFill>
                  <w14:solidFill>
                    <w14:schemeClr w14:val="tx1"/>
                  </w14:solidFill>
                </w14:textFill>
              </w:rPr>
              <w:t>具备调试过程质量信息采集功能，实现对调试过程质量控制点执行、监督情况的采集。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0" w:type="dxa"/>
            <w:vMerge w:val="continue"/>
            <w:shd w:val="clear" w:color="auto" w:fill="auto"/>
            <w:vAlign w:val="center"/>
          </w:tcPr>
          <w:p>
            <w:pPr>
              <w:overflowPunct w:val="0"/>
              <w:ind w:right="-8"/>
              <w:jc w:val="center"/>
              <w:rPr>
                <w:bCs/>
                <w:spacing w:val="-3"/>
                <w:sz w:val="21"/>
                <w:szCs w:val="21"/>
              </w:rPr>
            </w:pPr>
          </w:p>
        </w:tc>
        <w:tc>
          <w:tcPr>
            <w:tcW w:w="3136" w:type="dxa"/>
            <w:vMerge w:val="continue"/>
            <w:shd w:val="clear" w:color="auto" w:fill="auto"/>
            <w:vAlign w:val="center"/>
          </w:tcPr>
          <w:p>
            <w:pPr>
              <w:overflowPunct w:val="0"/>
              <w:ind w:right="210"/>
              <w:jc w:val="center"/>
              <w:rPr>
                <w:bCs/>
                <w:color w:val="000000" w:themeColor="text1"/>
                <w:spacing w:val="-3"/>
                <w:sz w:val="21"/>
                <w:szCs w:val="21"/>
                <w14:textFill>
                  <w14:solidFill>
                    <w14:schemeClr w14:val="tx1"/>
                  </w14:solidFill>
                </w14:textFill>
              </w:rPr>
            </w:pPr>
          </w:p>
        </w:tc>
        <w:tc>
          <w:tcPr>
            <w:tcW w:w="5790" w:type="dxa"/>
            <w:shd w:val="clear" w:color="auto" w:fill="auto"/>
            <w:vAlign w:val="center"/>
          </w:tcPr>
          <w:p>
            <w:pPr>
              <w:overflowPunct w:val="0"/>
              <w:ind w:right="210"/>
              <w:rPr>
                <w:bCs/>
                <w:color w:val="000000" w:themeColor="text1"/>
                <w:spacing w:val="-3"/>
                <w:sz w:val="21"/>
                <w:szCs w:val="21"/>
                <w14:textFill>
                  <w14:solidFill>
                    <w14:schemeClr w14:val="tx1"/>
                  </w14:solidFill>
                </w14:textFill>
              </w:rPr>
            </w:pPr>
            <w:r>
              <w:rPr>
                <w:rFonts w:hint="eastAsia"/>
                <w:color w:val="000000" w:themeColor="text1"/>
                <w:sz w:val="21"/>
                <w:szCs w:val="21"/>
                <w14:textFill>
                  <w14:solidFill>
                    <w14:schemeClr w14:val="tx1"/>
                  </w14:solidFill>
                </w14:textFill>
              </w:rPr>
              <w:t>具备调试单位、调试人员资质报审及工作安全管理功能，能够对调试的安全及技术交底、反事故措施、强制性条文实施等进行汇总、执行情况查阅。应能对资质过期、工作范围偏差等情况进行自动提示和限制。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0" w:type="dxa"/>
            <w:shd w:val="clear" w:color="auto" w:fill="auto"/>
            <w:vAlign w:val="center"/>
          </w:tcPr>
          <w:p>
            <w:pPr>
              <w:overflowPunct w:val="0"/>
              <w:ind w:right="-8"/>
              <w:jc w:val="center"/>
              <w:rPr>
                <w:bCs/>
                <w:spacing w:val="-3"/>
                <w:sz w:val="21"/>
                <w:szCs w:val="21"/>
              </w:rPr>
            </w:pPr>
            <w:r>
              <w:rPr>
                <w:rFonts w:hint="eastAsia"/>
                <w:bCs/>
                <w:spacing w:val="-3"/>
                <w:sz w:val="21"/>
                <w:szCs w:val="21"/>
              </w:rPr>
              <w:t>4</w:t>
            </w:r>
          </w:p>
        </w:tc>
        <w:tc>
          <w:tcPr>
            <w:tcW w:w="3136" w:type="dxa"/>
            <w:shd w:val="clear" w:color="auto" w:fill="auto"/>
            <w:vAlign w:val="center"/>
          </w:tcPr>
          <w:p>
            <w:pPr>
              <w:overflowPunct w:val="0"/>
              <w:ind w:right="210"/>
              <w:jc w:val="center"/>
              <w:rPr>
                <w:color w:val="000000" w:themeColor="text1"/>
                <w:sz w:val="21"/>
                <w:szCs w:val="21"/>
                <w14:textFill>
                  <w14:solidFill>
                    <w14:schemeClr w14:val="tx1"/>
                  </w14:solidFill>
                </w14:textFill>
              </w:rPr>
            </w:pPr>
            <w:r>
              <w:rPr>
                <w:rFonts w:hint="eastAsia"/>
                <w:color w:val="000000" w:themeColor="text1"/>
                <w:spacing w:val="-3"/>
                <w:sz w:val="21"/>
                <w:szCs w:val="21"/>
                <w14:textFill>
                  <w14:solidFill>
                    <w14:schemeClr w14:val="tx1"/>
                  </w14:solidFill>
                </w14:textFill>
              </w:rPr>
              <w:t>重要调试节点监控</w:t>
            </w:r>
          </w:p>
        </w:tc>
        <w:tc>
          <w:tcPr>
            <w:tcW w:w="5790" w:type="dxa"/>
            <w:shd w:val="clear" w:color="auto" w:fill="auto"/>
            <w:vAlign w:val="center"/>
          </w:tcPr>
          <w:p>
            <w:pPr>
              <w:overflowPunct w:val="0"/>
              <w:ind w:right="210"/>
              <w:rPr>
                <w:color w:val="000000" w:themeColor="text1"/>
                <w:sz w:val="21"/>
                <w:szCs w:val="21"/>
                <w14:textFill>
                  <w14:solidFill>
                    <w14:schemeClr w14:val="tx1"/>
                  </w14:solidFill>
                </w14:textFill>
              </w:rPr>
            </w:pPr>
            <w:r>
              <w:rPr>
                <w:rFonts w:hint="eastAsia"/>
                <w:bCs/>
                <w:color w:val="000000" w:themeColor="text1"/>
                <w:sz w:val="21"/>
                <w:szCs w:val="21"/>
                <w14:textFill>
                  <w14:solidFill>
                    <w14:schemeClr w14:val="tx1"/>
                  </w14:solidFill>
                </w14:textFill>
              </w:rPr>
              <w:t>具备对升压站及厂用电受电、化学清洗、蒸汽管道吹管、锅炉整套启动、汽轮机或联合循环机组整套启动、电气整套启动、甩负荷试验等重要调试节点工作的过程监控功能，包括重要方案编审批、进度跟踪及偏差告警与分析、过程数据记录、质量管理指标及调整验收指标的在线评价功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0" w:type="dxa"/>
            <w:shd w:val="clear" w:color="auto" w:fill="auto"/>
            <w:vAlign w:val="center"/>
          </w:tcPr>
          <w:p>
            <w:pPr>
              <w:overflowPunct w:val="0"/>
              <w:ind w:right="-8"/>
              <w:jc w:val="center"/>
              <w:rPr>
                <w:bCs/>
                <w:spacing w:val="-3"/>
                <w:sz w:val="21"/>
                <w:szCs w:val="21"/>
              </w:rPr>
            </w:pPr>
            <w:r>
              <w:rPr>
                <w:rFonts w:hint="eastAsia"/>
                <w:bCs/>
                <w:spacing w:val="-3"/>
                <w:sz w:val="21"/>
                <w:szCs w:val="21"/>
              </w:rPr>
              <w:t>5</w:t>
            </w:r>
          </w:p>
        </w:tc>
        <w:tc>
          <w:tcPr>
            <w:tcW w:w="3136" w:type="dxa"/>
            <w:shd w:val="clear" w:color="auto" w:fill="auto"/>
            <w:vAlign w:val="center"/>
          </w:tcPr>
          <w:p>
            <w:pPr>
              <w:overflowPunct w:val="0"/>
              <w:ind w:right="210"/>
              <w:jc w:val="center"/>
              <w:rPr>
                <w:b/>
                <w:bCs/>
                <w:spacing w:val="-3"/>
                <w:sz w:val="21"/>
                <w:szCs w:val="21"/>
              </w:rPr>
            </w:pPr>
            <w:r>
              <w:rPr>
                <w:rFonts w:hint="eastAsia"/>
                <w:sz w:val="21"/>
                <w:szCs w:val="21"/>
              </w:rPr>
              <w:t>经验反馈及事件追踪</w:t>
            </w:r>
          </w:p>
        </w:tc>
        <w:tc>
          <w:tcPr>
            <w:tcW w:w="5790" w:type="dxa"/>
            <w:shd w:val="clear" w:color="auto" w:fill="auto"/>
            <w:vAlign w:val="center"/>
          </w:tcPr>
          <w:p>
            <w:pPr>
              <w:overflowPunct w:val="0"/>
              <w:ind w:right="210"/>
              <w:rPr>
                <w:sz w:val="21"/>
                <w:szCs w:val="21"/>
              </w:rPr>
            </w:pPr>
            <w:r>
              <w:rPr>
                <w:rFonts w:hint="eastAsia"/>
                <w:sz w:val="21"/>
                <w:szCs w:val="21"/>
              </w:rPr>
              <w:t>具备经验反馈及事件追踪信息采集功能，且可实现对项目实施过程中发生的良好实践和内、外部事件进行采集、学习功能。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80" w:type="dxa"/>
            <w:shd w:val="clear" w:color="auto" w:fill="auto"/>
            <w:vAlign w:val="center"/>
          </w:tcPr>
          <w:p>
            <w:pPr>
              <w:overflowPunct w:val="0"/>
              <w:ind w:right="-8"/>
              <w:jc w:val="center"/>
              <w:rPr>
                <w:bCs/>
                <w:spacing w:val="-3"/>
                <w:sz w:val="21"/>
                <w:szCs w:val="21"/>
              </w:rPr>
            </w:pPr>
            <w:r>
              <w:rPr>
                <w:bCs/>
                <w:spacing w:val="-3"/>
                <w:sz w:val="21"/>
                <w:szCs w:val="21"/>
              </w:rPr>
              <w:t>6</w:t>
            </w:r>
          </w:p>
        </w:tc>
        <w:tc>
          <w:tcPr>
            <w:tcW w:w="3136" w:type="dxa"/>
            <w:shd w:val="clear" w:color="auto" w:fill="auto"/>
            <w:vAlign w:val="center"/>
          </w:tcPr>
          <w:p>
            <w:pPr>
              <w:overflowPunct w:val="0"/>
              <w:ind w:right="210"/>
              <w:jc w:val="center"/>
              <w:rPr>
                <w:b/>
                <w:bCs/>
                <w:spacing w:val="-3"/>
                <w:sz w:val="21"/>
                <w:szCs w:val="21"/>
              </w:rPr>
            </w:pPr>
            <w:r>
              <w:rPr>
                <w:rFonts w:hint="eastAsia"/>
                <w:sz w:val="21"/>
                <w:szCs w:val="21"/>
              </w:rPr>
              <w:t>调试缺陷及遗留项</w:t>
            </w:r>
          </w:p>
        </w:tc>
        <w:tc>
          <w:tcPr>
            <w:tcW w:w="5790" w:type="dxa"/>
            <w:shd w:val="clear" w:color="auto" w:fill="auto"/>
            <w:vAlign w:val="center"/>
          </w:tcPr>
          <w:p>
            <w:pPr>
              <w:overflowPunct w:val="0"/>
              <w:ind w:right="210"/>
              <w:rPr>
                <w:sz w:val="21"/>
                <w:szCs w:val="21"/>
              </w:rPr>
            </w:pPr>
            <w:r>
              <w:rPr>
                <w:rFonts w:hint="eastAsia"/>
                <w:sz w:val="21"/>
                <w:szCs w:val="21"/>
              </w:rPr>
              <w:t>具备调试缺陷及遗留项信息采集功能，且可实现对调试缺陷及遗留项的闭环管理功能。</w:t>
            </w:r>
          </w:p>
        </w:tc>
      </w:tr>
    </w:tbl>
    <w:p/>
    <w:p>
      <w:pPr>
        <w:pStyle w:val="4"/>
        <w:jc w:val="left"/>
        <w:rPr>
          <w:color w:val="000000" w:themeColor="text1"/>
          <w:sz w:val="21"/>
          <w:szCs w:val="21"/>
          <w14:textFill>
            <w14:solidFill>
              <w14:schemeClr w14:val="tx1"/>
            </w14:solidFill>
          </w14:textFill>
        </w:rPr>
      </w:pPr>
      <w:bookmarkStart w:id="12" w:name="_Toc141106882"/>
      <w:r>
        <w:rPr>
          <w:rFonts w:hint="eastAsia"/>
          <w:color w:val="000000" w:themeColor="text1"/>
          <w:sz w:val="21"/>
          <w:szCs w:val="21"/>
          <w14:textFill>
            <w14:solidFill>
              <w14:schemeClr w14:val="tx1"/>
            </w14:solidFill>
          </w14:textFill>
        </w:rPr>
        <w:t>8</w:t>
      </w:r>
      <w:r>
        <w:rPr>
          <w:color w:val="000000" w:themeColor="text1"/>
          <w:sz w:val="21"/>
          <w:szCs w:val="21"/>
          <w14:textFill>
            <w14:solidFill>
              <w14:schemeClr w14:val="tx1"/>
            </w14:solidFill>
          </w14:textFill>
        </w:rPr>
        <w:t xml:space="preserve"> </w:t>
      </w:r>
      <w:r>
        <w:rPr>
          <w:rFonts w:hint="eastAsia"/>
          <w:color w:val="000000" w:themeColor="text1"/>
          <w:sz w:val="21"/>
          <w:szCs w:val="21"/>
          <w14:textFill>
            <w14:solidFill>
              <w14:schemeClr w14:val="tx1"/>
            </w14:solidFill>
          </w14:textFill>
        </w:rPr>
        <w:t>进度管理</w:t>
      </w:r>
      <w:bookmarkEnd w:id="12"/>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8.1 进度管理应具备设计进度计划、设备采购计划、设备到货计划、中间验收及交付安装计划、大件物资运输计划、施工进度计划、投产试运行计划的上传等基本应用功能，且留有扩展接口。</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8.2 进度管理应具备作业项目清单、计划变更、节点填报、施工记录资料上传等基本应用功能，且留有扩展接口。</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8.3 进度管理宜实现完成工作量、投入劳动力、投入材料工程量、机械设备使用情况、现场进度影像等资源配置计划的协同联动。</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8.4 进度管理宜采集施工期间大风、暴雨、结冰等天气预报信息，并进行工程进度影响分析、预警信息推送。</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8.5 进度管理应通过监控、统计、对比、分析、预测等方法和措施，显示工作进度，进行偏差分析、预警信息推送。宜通过无人机航拍、实景建模、三维激光扫描等技术，反映现场进度情况。</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8.6 进度计划宜加载费用、资源配置，进行关键路径分析，找出制约项目进度的关键偏差点，形成管理策略，并实施控制。</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8.7 进度计划应与三维可视化模型进行关联，实现工程计划进度与实际进度的对比分析。</w:t>
      </w:r>
    </w:p>
    <w:p>
      <w:pPr>
        <w:rPr>
          <w:color w:val="FF0000"/>
          <w:sz w:val="21"/>
          <w:szCs w:val="21"/>
        </w:rPr>
      </w:pPr>
    </w:p>
    <w:p>
      <w:pPr>
        <w:pStyle w:val="4"/>
        <w:jc w:val="left"/>
        <w:rPr>
          <w:color w:val="000000" w:themeColor="text1"/>
          <w:sz w:val="21"/>
          <w:szCs w:val="21"/>
          <w14:textFill>
            <w14:solidFill>
              <w14:schemeClr w14:val="tx1"/>
            </w14:solidFill>
          </w14:textFill>
        </w:rPr>
      </w:pPr>
      <w:bookmarkStart w:id="13" w:name="_Toc141106883"/>
      <w:r>
        <w:rPr>
          <w:rFonts w:hint="eastAsia"/>
          <w:color w:val="000000" w:themeColor="text1"/>
          <w:sz w:val="21"/>
          <w:szCs w:val="21"/>
          <w14:textFill>
            <w14:solidFill>
              <w14:schemeClr w14:val="tx1"/>
            </w14:solidFill>
          </w14:textFill>
        </w:rPr>
        <w:t>9</w:t>
      </w:r>
      <w:r>
        <w:rPr>
          <w:color w:val="000000" w:themeColor="text1"/>
          <w:sz w:val="21"/>
          <w:szCs w:val="21"/>
          <w14:textFill>
            <w14:solidFill>
              <w14:schemeClr w14:val="tx1"/>
            </w14:solidFill>
          </w14:textFill>
        </w:rPr>
        <w:t xml:space="preserve"> </w:t>
      </w:r>
      <w:r>
        <w:rPr>
          <w:rFonts w:hint="eastAsia"/>
          <w:color w:val="000000" w:themeColor="text1"/>
          <w:sz w:val="21"/>
          <w:szCs w:val="21"/>
          <w14:textFill>
            <w14:solidFill>
              <w14:schemeClr w14:val="tx1"/>
            </w14:solidFill>
          </w14:textFill>
        </w:rPr>
        <w:t>质量管理</w:t>
      </w:r>
      <w:bookmarkEnd w:id="13"/>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9</w:t>
      </w:r>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 xml:space="preserve"> 质量管理包括进场材料与设备质量管理、检验检测管理、质量风险、质量监控、WHS点动态监管、质量验收管理等。</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9.2 进场材料与设备质量管理应实现对原材报告、出厂合格证、见证取样、检测报告进行录入、预警、查询、统计、分析、归档。</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9.3 检验检测管理应实现检验检测工作相关信息的录入、预警、查询、统计、分析、归档。</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9.4 质量风险应对可能出现的施工质量风险进行提前预警的功能。</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9.5</w:t>
      </w:r>
      <w:r>
        <w:rPr>
          <w:color w:val="000000" w:themeColor="text1"/>
          <w:sz w:val="21"/>
          <w:szCs w:val="21"/>
          <w14:textFill>
            <w14:solidFill>
              <w14:schemeClr w14:val="tx1"/>
            </w14:solidFill>
          </w14:textFill>
        </w:rPr>
        <w:t xml:space="preserve"> </w:t>
      </w:r>
      <w:r>
        <w:rPr>
          <w:rFonts w:hint="eastAsia"/>
          <w:color w:val="000000" w:themeColor="text1"/>
          <w:sz w:val="21"/>
          <w:szCs w:val="21"/>
          <w14:textFill>
            <w14:solidFill>
              <w14:schemeClr w14:val="tx1"/>
            </w14:solidFill>
          </w14:textFill>
        </w:rPr>
        <w:t>质量管理应设置质量监测点，重点包括主厂房、烟囱、锅炉混凝土施工质量与汽机、燃机、锅炉、电气热控设备的安装质量，保存检验、监测记录。应与环境管理、施工管理功能联动，通过实时采集到的气象数据以及传感系统监测位移、变形、偏差角等数据，加强对冷却塔、烟囱等重点部位的质量监控。</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9.6 WHS点动态监管应支持使用移动设备、视频监控、无人机等对WHS点进行实时监控，并对监控内容进行位置标记和信息录入的功能。应具备对监控信息及相关检验检测信息进行关联、统计、分析和查询，对发现的问题能进行及时预警的功能。</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9</w:t>
      </w:r>
      <w:r>
        <w:rPr>
          <w:color w:val="000000" w:themeColor="text1"/>
          <w:sz w:val="21"/>
          <w:szCs w:val="21"/>
          <w14:textFill>
            <w14:solidFill>
              <w14:schemeClr w14:val="tx1"/>
            </w14:solidFill>
          </w14:textFill>
        </w:rPr>
        <w:t>.</w:t>
      </w:r>
      <w:r>
        <w:rPr>
          <w:rFonts w:hint="eastAsia"/>
          <w:color w:val="000000" w:themeColor="text1"/>
          <w:sz w:val="21"/>
          <w:szCs w:val="21"/>
          <w14:textFill>
            <w14:solidFill>
              <w14:schemeClr w14:val="tx1"/>
            </w14:solidFill>
          </w14:textFill>
        </w:rPr>
        <w:t>7 质量验收管理应支持对检验批、分项、分部、单位工程验收过程中的行为信息和质量信息进行采集、分类、统计、查询、分析并存档。宜使用智能AI技术对施工质量进行判定。</w:t>
      </w:r>
    </w:p>
    <w:p>
      <w:pPr>
        <w:pStyle w:val="4"/>
        <w:jc w:val="left"/>
        <w:rPr>
          <w:sz w:val="21"/>
          <w:szCs w:val="21"/>
        </w:rPr>
      </w:pPr>
      <w:bookmarkStart w:id="14" w:name="_Toc141106884"/>
      <w:r>
        <w:rPr>
          <w:rFonts w:hint="eastAsia"/>
          <w:sz w:val="21"/>
          <w:szCs w:val="21"/>
        </w:rPr>
        <w:t>10</w:t>
      </w:r>
      <w:r>
        <w:rPr>
          <w:sz w:val="21"/>
          <w:szCs w:val="21"/>
        </w:rPr>
        <w:t xml:space="preserve"> </w:t>
      </w:r>
      <w:r>
        <w:rPr>
          <w:rFonts w:hint="eastAsia"/>
          <w:sz w:val="21"/>
          <w:szCs w:val="21"/>
        </w:rPr>
        <w:t>费用管理</w:t>
      </w:r>
      <w:bookmarkEnd w:id="14"/>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10.1 费用管理应实现对合同的全面管理，实现合同分类、合同台账、合同变更、合同收支等功能。</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10.2 费用管理应通过监控、统计、对比、分析、预测等方法和措施，并与进度管理功能联动，反映合同金额、费用目标与实际成本费用的偏差，掌握项目费用执行情况及资金的使用、需求计划。</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10.3 费用管理应实现业财一体化融合，实现收、付款业务流程的在线审批管理。</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10.4 费用管理应通过全场人员实名制管理系统信息数据采集实现对新产业工人工资发放情况进行监管。</w:t>
      </w:r>
    </w:p>
    <w:p>
      <w:pPr>
        <w:tabs>
          <w:tab w:val="left" w:pos="859"/>
        </w:tabs>
        <w:overflowPunct w:val="0"/>
        <w:spacing w:before="120" w:beforeLines="50" w:line="278" w:lineRule="auto"/>
        <w:ind w:left="141" w:leftChars="64" w:right="215"/>
        <w:rPr>
          <w:color w:val="FF0000"/>
          <w:sz w:val="21"/>
          <w:szCs w:val="21"/>
        </w:rPr>
      </w:pPr>
      <w:r>
        <w:rPr>
          <w:sz w:val="21"/>
          <w:szCs w:val="21"/>
        </w:rPr>
        <w:t xml:space="preserve">10.5 </w:t>
      </w:r>
      <w:r>
        <w:rPr>
          <w:rFonts w:hint="eastAsia"/>
          <w:sz w:val="21"/>
          <w:szCs w:val="21"/>
        </w:rPr>
        <w:t>费用管理应实现安全措施费的审批、统计、对比、分析、预测功能。</w:t>
      </w:r>
    </w:p>
    <w:p>
      <w:pPr>
        <w:rPr>
          <w:sz w:val="21"/>
          <w:szCs w:val="21"/>
        </w:rPr>
      </w:pPr>
    </w:p>
    <w:p>
      <w:pPr>
        <w:pStyle w:val="4"/>
        <w:jc w:val="left"/>
        <w:rPr>
          <w:color w:val="000000" w:themeColor="text1"/>
          <w:sz w:val="21"/>
          <w:szCs w:val="21"/>
          <w14:textFill>
            <w14:solidFill>
              <w14:schemeClr w14:val="tx1"/>
            </w14:solidFill>
          </w14:textFill>
        </w:rPr>
      </w:pPr>
      <w:bookmarkStart w:id="15" w:name="_Toc141106885"/>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1</w:t>
      </w:r>
      <w:r>
        <w:rPr>
          <w:color w:val="000000" w:themeColor="text1"/>
          <w:sz w:val="21"/>
          <w:szCs w:val="21"/>
          <w14:textFill>
            <w14:solidFill>
              <w14:schemeClr w14:val="tx1"/>
            </w14:solidFill>
          </w14:textFill>
        </w:rPr>
        <w:t xml:space="preserve"> </w:t>
      </w:r>
      <w:r>
        <w:rPr>
          <w:rFonts w:hint="eastAsia"/>
          <w:color w:val="000000" w:themeColor="text1"/>
          <w:sz w:val="21"/>
          <w:szCs w:val="21"/>
          <w14:textFill>
            <w14:solidFill>
              <w14:schemeClr w14:val="tx1"/>
            </w14:solidFill>
          </w14:textFill>
        </w:rPr>
        <w:t>安全管理</w:t>
      </w:r>
      <w:bookmarkEnd w:id="15"/>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1.1 安全管理应包含安全生产责任制网格化管理、安全管理计划、安全风险管理、隐患排查治理、安全教育培训、智能安全监控、危大工程管理等内容。</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1.</w:t>
      </w:r>
      <w:r>
        <w:rPr>
          <w:color w:val="000000" w:themeColor="text1"/>
          <w:sz w:val="21"/>
          <w:szCs w:val="21"/>
          <w14:textFill>
            <w14:solidFill>
              <w14:schemeClr w14:val="tx1"/>
            </w14:solidFill>
          </w14:textFill>
        </w:rPr>
        <w:t>2</w:t>
      </w:r>
      <w:r>
        <w:rPr>
          <w:rFonts w:hint="eastAsia"/>
          <w:color w:val="000000" w:themeColor="text1"/>
          <w:sz w:val="21"/>
          <w:szCs w:val="21"/>
          <w14:textFill>
            <w14:solidFill>
              <w14:schemeClr w14:val="tx1"/>
            </w14:solidFill>
          </w14:textFill>
        </w:rPr>
        <w:t xml:space="preserve"> 安全生产责任制网格化管理应按照火力发电工程项目作业分区，主要包括主厂房、锅炉、烟囱与冷却塔、附属厂房、储煤输煤建筑等，实现对安全生产责任制网格化管理责任人员的分布进行展示，应支持网格化管理责任人员通过电脑、手机录入每日工作记录。</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1.3 安全风险管理应根据现场作业风险等级设置，与三维可视化模型联动，展示风险作业区域，重点包括高处作业、动火作业、起重作业、交叉作业等。</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11.4 安全风险管理应通过人员定位系统、区域电子围栏、现场广播系统对进入危险区域作业人员进行提示、预警。</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1.5 隐患排查治理应支持隐患排查人员在线进行问题录入、位置标记、生成和推送整改通知单、整改问题跟踪和闭环、隐患统计分析。</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1.6 安全教育培训信息应与人员入场信息、职业健康信息联动，实现入场人员三级教育培训管控。</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1.7 智能安全监控应对现场人员和车辆准入、危险性较大的分部分项工程作业人员到岗到位管理情况、现场作业人员个人防护用具使用、塔吊防碰撞、脚手架模架变形、高边坡位移、消防安全、受限空间作业等进行监测和管理，实现安全风险预判和控制。</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1.8 危险性作业项目应与进度管理功能联动，根据进度计划进行动态更新。</w:t>
      </w:r>
    </w:p>
    <w:p>
      <w:pPr>
        <w:rPr>
          <w:sz w:val="21"/>
          <w:szCs w:val="21"/>
        </w:rPr>
      </w:pPr>
    </w:p>
    <w:p>
      <w:pPr>
        <w:pStyle w:val="4"/>
        <w:jc w:val="left"/>
        <w:rPr>
          <w:sz w:val="21"/>
          <w:szCs w:val="21"/>
        </w:rPr>
      </w:pPr>
      <w:bookmarkStart w:id="16" w:name="_Toc141106886"/>
      <w:r>
        <w:rPr>
          <w:sz w:val="21"/>
          <w:szCs w:val="21"/>
        </w:rPr>
        <w:t>1</w:t>
      </w:r>
      <w:r>
        <w:rPr>
          <w:rFonts w:hint="eastAsia"/>
          <w:sz w:val="21"/>
          <w:szCs w:val="21"/>
        </w:rPr>
        <w:t>2</w:t>
      </w:r>
      <w:r>
        <w:rPr>
          <w:sz w:val="21"/>
          <w:szCs w:val="21"/>
        </w:rPr>
        <w:t xml:space="preserve"> </w:t>
      </w:r>
      <w:r>
        <w:rPr>
          <w:rFonts w:hint="eastAsia"/>
          <w:sz w:val="21"/>
          <w:szCs w:val="21"/>
        </w:rPr>
        <w:t>环境管理</w:t>
      </w:r>
      <w:bookmarkEnd w:id="16"/>
    </w:p>
    <w:p>
      <w:pPr>
        <w:tabs>
          <w:tab w:val="left" w:pos="859"/>
        </w:tabs>
        <w:overflowPunct w:val="0"/>
        <w:spacing w:before="120" w:beforeLines="50" w:line="278" w:lineRule="auto"/>
        <w:ind w:left="141" w:leftChars="64" w:right="215"/>
        <w:rPr>
          <w:sz w:val="21"/>
          <w:szCs w:val="21"/>
        </w:rPr>
      </w:pPr>
      <w:r>
        <w:rPr>
          <w:rFonts w:hint="eastAsia"/>
          <w:sz w:val="21"/>
          <w:szCs w:val="21"/>
        </w:rPr>
        <w:t>12.1 环境管理应利用施工现场布置的环境采集设备实时采集现场环境数据，并通过后台环境管理系统进行数据分析，针对超预警值的环境数据进行预警提示或启动相应处理设备，功能应包括现场扬尘监测、噪声监测、现场小气候监测、废气排放监测等内容。</w:t>
      </w:r>
    </w:p>
    <w:p>
      <w:pPr>
        <w:tabs>
          <w:tab w:val="left" w:pos="859"/>
        </w:tabs>
        <w:overflowPunct w:val="0"/>
        <w:spacing w:before="120" w:beforeLines="50" w:line="278" w:lineRule="auto"/>
        <w:ind w:left="141" w:leftChars="64" w:right="215"/>
        <w:rPr>
          <w:sz w:val="21"/>
          <w:szCs w:val="21"/>
        </w:rPr>
      </w:pPr>
      <w:r>
        <w:rPr>
          <w:rFonts w:hint="eastAsia"/>
          <w:sz w:val="21"/>
          <w:szCs w:val="21"/>
        </w:rPr>
        <w:t>12.2 环境监测设备应满足国家相应标准，且满足施工现场具体监测要求。</w:t>
      </w:r>
    </w:p>
    <w:p>
      <w:pPr>
        <w:tabs>
          <w:tab w:val="left" w:pos="859"/>
        </w:tabs>
        <w:overflowPunct w:val="0"/>
        <w:spacing w:before="120" w:beforeLines="50" w:line="278" w:lineRule="auto"/>
        <w:ind w:left="141" w:leftChars="64" w:right="215"/>
        <w:rPr>
          <w:sz w:val="21"/>
          <w:szCs w:val="21"/>
        </w:rPr>
      </w:pPr>
      <w:r>
        <w:rPr>
          <w:rFonts w:hint="eastAsia"/>
          <w:sz w:val="21"/>
          <w:szCs w:val="21"/>
        </w:rPr>
        <w:t>12.3 环境监测设备应满足室外监测要求，应连续自动监测施工现场的扬尘、噪声、气象等环境数据。</w:t>
      </w:r>
    </w:p>
    <w:p>
      <w:pPr>
        <w:tabs>
          <w:tab w:val="left" w:pos="859"/>
        </w:tabs>
        <w:overflowPunct w:val="0"/>
        <w:spacing w:before="120" w:beforeLines="50" w:line="278" w:lineRule="auto"/>
        <w:ind w:left="141" w:leftChars="64" w:right="215"/>
        <w:rPr>
          <w:sz w:val="21"/>
          <w:szCs w:val="21"/>
        </w:rPr>
      </w:pPr>
      <w:r>
        <w:rPr>
          <w:rFonts w:hint="eastAsia"/>
          <w:sz w:val="21"/>
          <w:szCs w:val="21"/>
        </w:rPr>
        <w:t>12.4 环境监测系统应具备提示预警功能，能够根据监测数据和设定的标准值进行预警提示，监测数据应具有实时显示功能。</w:t>
      </w:r>
    </w:p>
    <w:p>
      <w:pPr>
        <w:tabs>
          <w:tab w:val="left" w:pos="859"/>
        </w:tabs>
        <w:overflowPunct w:val="0"/>
        <w:spacing w:before="120" w:beforeLines="50" w:line="278" w:lineRule="auto"/>
        <w:ind w:left="141" w:leftChars="64" w:right="215"/>
        <w:rPr>
          <w:sz w:val="21"/>
          <w:szCs w:val="21"/>
        </w:rPr>
      </w:pPr>
      <w:r>
        <w:rPr>
          <w:rFonts w:hint="eastAsia"/>
          <w:sz w:val="21"/>
          <w:szCs w:val="21"/>
        </w:rPr>
        <w:t>12.5 环境监测系统应预留数据上传或上报功能，根据当地政府、建设单位要求确定是否将监测数据接入当地管理部门的综合管理平台。</w:t>
      </w:r>
    </w:p>
    <w:p>
      <w:pPr>
        <w:tabs>
          <w:tab w:val="left" w:pos="859"/>
        </w:tabs>
        <w:overflowPunct w:val="0"/>
        <w:spacing w:before="120" w:beforeLines="50" w:line="278" w:lineRule="auto"/>
        <w:ind w:left="141" w:leftChars="64" w:right="215"/>
        <w:rPr>
          <w:sz w:val="21"/>
          <w:szCs w:val="21"/>
        </w:rPr>
      </w:pPr>
      <w:r>
        <w:rPr>
          <w:rFonts w:hint="eastAsia"/>
          <w:sz w:val="21"/>
          <w:szCs w:val="21"/>
        </w:rPr>
        <w:t>12.6 施工现场应配备与气体监测系统关联的降尘、净化设备，当气体监测数据达到设定的预警值时自动报警并启动降尘、净化设备。</w:t>
      </w:r>
    </w:p>
    <w:p>
      <w:pPr>
        <w:tabs>
          <w:tab w:val="left" w:pos="859"/>
        </w:tabs>
        <w:overflowPunct w:val="0"/>
        <w:spacing w:before="120" w:beforeLines="50" w:line="278" w:lineRule="auto"/>
        <w:ind w:left="141" w:leftChars="64" w:right="215"/>
        <w:rPr>
          <w:sz w:val="21"/>
          <w:szCs w:val="21"/>
        </w:rPr>
      </w:pPr>
      <w:r>
        <w:rPr>
          <w:rFonts w:hint="eastAsia"/>
          <w:sz w:val="21"/>
          <w:szCs w:val="21"/>
        </w:rPr>
        <w:t>12.7 施工现场应部署的噪声监测设备应满足室外监测要求，应实时、准确的在线监测，当监测数据接近设定的预警值后应发出警报并将信息推送至相应管理人员，下达控制指令。</w:t>
      </w:r>
    </w:p>
    <w:p>
      <w:pPr>
        <w:tabs>
          <w:tab w:val="left" w:pos="859"/>
        </w:tabs>
        <w:overflowPunct w:val="0"/>
        <w:spacing w:before="120" w:beforeLines="50" w:line="278" w:lineRule="auto"/>
        <w:ind w:left="141" w:leftChars="64" w:right="215"/>
        <w:rPr>
          <w:sz w:val="21"/>
          <w:szCs w:val="21"/>
        </w:rPr>
      </w:pPr>
      <w:r>
        <w:rPr>
          <w:rFonts w:hint="eastAsia"/>
          <w:sz w:val="21"/>
          <w:szCs w:val="21"/>
        </w:rPr>
        <w:t>12.8施工现场应部署废气排放监测设备，对施工或试运行阶段产生的脱硫脱硝气体进行监测，确保废气排放满足《火电厂大气污染物排放标准》(</w:t>
      </w:r>
      <w:r>
        <w:rPr>
          <w:sz w:val="21"/>
          <w:szCs w:val="21"/>
        </w:rPr>
        <w:t>GB 13223-2011</w:t>
      </w:r>
      <w:r>
        <w:rPr>
          <w:rFonts w:hint="eastAsia"/>
          <w:sz w:val="21"/>
          <w:szCs w:val="21"/>
        </w:rPr>
        <w:t>)规定的排放标准。</w:t>
      </w:r>
    </w:p>
    <w:p>
      <w:pPr>
        <w:tabs>
          <w:tab w:val="left" w:pos="859"/>
        </w:tabs>
        <w:overflowPunct w:val="0"/>
        <w:spacing w:before="120" w:beforeLines="50" w:line="278" w:lineRule="auto"/>
        <w:ind w:left="141" w:leftChars="64" w:right="215"/>
        <w:rPr>
          <w:sz w:val="21"/>
          <w:szCs w:val="21"/>
        </w:rPr>
      </w:pPr>
      <w:r>
        <w:rPr>
          <w:rFonts w:hint="eastAsia"/>
          <w:sz w:val="21"/>
          <w:szCs w:val="21"/>
        </w:rPr>
        <w:t>12.9环境监测系统应对接收或监测到的气象信息进行分析、判断，并与安全、应急管理系统联动，当气象监测到异常气象信息时，自动推送至项目管理人员，实现提示预警，发现严重环境事件应启动应急响应。</w:t>
      </w:r>
    </w:p>
    <w:p>
      <w:pPr>
        <w:tabs>
          <w:tab w:val="left" w:pos="859"/>
        </w:tabs>
        <w:overflowPunct w:val="0"/>
        <w:spacing w:before="120" w:beforeLines="50" w:line="278" w:lineRule="auto"/>
        <w:ind w:left="141" w:leftChars="64" w:right="215"/>
        <w:rPr>
          <w:sz w:val="21"/>
          <w:szCs w:val="21"/>
        </w:rPr>
      </w:pPr>
      <w:r>
        <w:rPr>
          <w:rFonts w:hint="eastAsia"/>
          <w:sz w:val="21"/>
          <w:szCs w:val="21"/>
        </w:rPr>
        <w:t>12.10施工现场贮存可燃物、有毒气体等危险物品的场所应设置</w:t>
      </w:r>
      <w:r>
        <w:fldChar w:fldCharType="begin"/>
      </w:r>
      <w:r>
        <w:instrText xml:space="preserve"> HYPERLINK "https://www.zhihu.com/search?q=%E6%8E%A2%E6%B5%8B%E5%99%A8&amp;search_source=Entity&amp;hybrid_search_source=Entity&amp;hybrid_search_extra=%7b" \t "https://www.zhihu.com/question/_blank" </w:instrText>
      </w:r>
      <w:r>
        <w:fldChar w:fldCharType="separate"/>
      </w:r>
      <w:r>
        <w:rPr>
          <w:rFonts w:hint="eastAsia"/>
          <w:sz w:val="21"/>
          <w:szCs w:val="21"/>
        </w:rPr>
        <w:t>探测</w:t>
      </w:r>
      <w:r>
        <w:rPr>
          <w:rFonts w:hint="eastAsia"/>
          <w:sz w:val="21"/>
          <w:szCs w:val="21"/>
        </w:rPr>
        <w:fldChar w:fldCharType="end"/>
      </w:r>
      <w:r>
        <w:rPr>
          <w:rFonts w:hint="eastAsia"/>
          <w:sz w:val="21"/>
          <w:szCs w:val="21"/>
        </w:rPr>
        <w:t>或监控设备，确保对危险源的实时监测，当监测到异常情况时应发送警报并自动推送至相应管理人员，实现提示预警。</w:t>
      </w:r>
    </w:p>
    <w:p/>
    <w:p>
      <w:pPr>
        <w:pStyle w:val="4"/>
        <w:jc w:val="left"/>
        <w:rPr>
          <w:rFonts w:ascii="Times New Roman" w:cs="Times New Roman" w:eastAsiaTheme="minorEastAsia"/>
          <w:b/>
          <w:bCs/>
          <w:color w:val="000000" w:themeColor="text1"/>
          <w14:textFill>
            <w14:solidFill>
              <w14:schemeClr w14:val="tx1"/>
            </w14:solidFill>
          </w14:textFill>
        </w:rPr>
      </w:pPr>
      <w:bookmarkStart w:id="17" w:name="_Toc141106887"/>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3</w:t>
      </w:r>
      <w:r>
        <w:rPr>
          <w:color w:val="000000" w:themeColor="text1"/>
          <w:sz w:val="21"/>
          <w:szCs w:val="21"/>
          <w14:textFill>
            <w14:solidFill>
              <w14:schemeClr w14:val="tx1"/>
            </w14:solidFill>
          </w14:textFill>
        </w:rPr>
        <w:t xml:space="preserve"> </w:t>
      </w:r>
      <w:r>
        <w:rPr>
          <w:rFonts w:hint="eastAsia"/>
          <w:color w:val="000000" w:themeColor="text1"/>
          <w:sz w:val="21"/>
          <w:szCs w:val="21"/>
          <w14:textFill>
            <w14:solidFill>
              <w14:schemeClr w14:val="tx1"/>
            </w14:solidFill>
          </w14:textFill>
        </w:rPr>
        <w:t>应急管理</w:t>
      </w:r>
      <w:bookmarkEnd w:id="17"/>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3.1 应急管理应包括突发事件的预防与应急准备、监测与预警、应急处置与救援等。</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3.2 应急准备应设定应急物资数量，实现预警提示。</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3.3 应急准备应利用数字化模型，制作应急演练教育视频。应制作交互式场景，进行沉浸式应急体验。</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3.4 监测与预警应具备推送各类预警、应急预警次数统计、应急预警声光显示的功能。</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3.5 应急处置与救援应在突发事件发生时，执行应急处置程序指令，满足移动视频监控要求。</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13.</w:t>
      </w:r>
      <w:r>
        <w:rPr>
          <w:rFonts w:hint="eastAsia"/>
          <w:color w:val="000000" w:themeColor="text1"/>
          <w:sz w:val="21"/>
          <w:szCs w:val="21"/>
          <w14:textFill>
            <w14:solidFill>
              <w14:schemeClr w14:val="tx1"/>
            </w14:solidFill>
          </w14:textFill>
        </w:rPr>
        <w:t>6</w:t>
      </w:r>
      <w:r>
        <w:rPr>
          <w:color w:val="000000" w:themeColor="text1"/>
          <w:sz w:val="21"/>
          <w:szCs w:val="21"/>
          <w14:textFill>
            <w14:solidFill>
              <w14:schemeClr w14:val="tx1"/>
            </w14:solidFill>
          </w14:textFill>
        </w:rPr>
        <w:t xml:space="preserve"> </w:t>
      </w:r>
      <w:r>
        <w:rPr>
          <w:rFonts w:hint="eastAsia"/>
          <w:color w:val="000000" w:themeColor="text1"/>
          <w:sz w:val="21"/>
          <w:szCs w:val="21"/>
          <w14:textFill>
            <w14:solidFill>
              <w14:schemeClr w14:val="tx1"/>
            </w14:solidFill>
          </w14:textFill>
        </w:rPr>
        <w:t>应急管理应具备与相关方应急信息联动接口。</w:t>
      </w:r>
    </w:p>
    <w:p>
      <w:pPr>
        <w:rPr>
          <w:color w:val="000000" w:themeColor="text1"/>
          <w:sz w:val="21"/>
          <w:szCs w:val="21"/>
          <w14:textFill>
            <w14:solidFill>
              <w14:schemeClr w14:val="tx1"/>
            </w14:solidFill>
          </w14:textFill>
        </w:rPr>
      </w:pPr>
    </w:p>
    <w:p>
      <w:pPr>
        <w:pStyle w:val="4"/>
        <w:jc w:val="left"/>
        <w:rPr>
          <w:color w:val="000000" w:themeColor="text1"/>
          <w:sz w:val="21"/>
          <w:szCs w:val="21"/>
          <w14:textFill>
            <w14:solidFill>
              <w14:schemeClr w14:val="tx1"/>
            </w14:solidFill>
          </w14:textFill>
        </w:rPr>
      </w:pPr>
      <w:bookmarkStart w:id="18" w:name="_Toc141106888"/>
      <w:r>
        <w:rPr>
          <w:rFonts w:hint="eastAsia"/>
          <w:color w:val="000000" w:themeColor="text1"/>
          <w:sz w:val="21"/>
          <w:szCs w:val="21"/>
          <w14:textFill>
            <w14:solidFill>
              <w14:schemeClr w14:val="tx1"/>
            </w14:solidFill>
          </w14:textFill>
        </w:rPr>
        <w:t>14</w:t>
      </w:r>
      <w:r>
        <w:rPr>
          <w:color w:val="000000" w:themeColor="text1"/>
          <w:sz w:val="21"/>
          <w:szCs w:val="21"/>
          <w14:textFill>
            <w14:solidFill>
              <w14:schemeClr w14:val="tx1"/>
            </w14:solidFill>
          </w14:textFill>
        </w:rPr>
        <w:t xml:space="preserve"> </w:t>
      </w:r>
      <w:r>
        <w:rPr>
          <w:rFonts w:hint="eastAsia"/>
          <w:color w:val="000000" w:themeColor="text1"/>
          <w:sz w:val="21"/>
          <w:szCs w:val="21"/>
          <w14:textFill>
            <w14:solidFill>
              <w14:schemeClr w14:val="tx1"/>
            </w14:solidFill>
          </w14:textFill>
        </w:rPr>
        <w:t>信息管理</w:t>
      </w:r>
      <w:bookmarkEnd w:id="18"/>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4.1 信息管理应包含文件管理、信息数据管理、数字化移交等。应通过对各系统模块信息的融合与统一管理，实现信息收集、信息传输、信息加工、信息储存功能，挖掘数据价值，形成综合的数据生态。</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14.</w:t>
      </w:r>
      <w:r>
        <w:rPr>
          <w:color w:val="000000" w:themeColor="text1"/>
          <w:sz w:val="21"/>
          <w:szCs w:val="21"/>
          <w14:textFill>
            <w14:solidFill>
              <w14:schemeClr w14:val="tx1"/>
            </w14:solidFill>
          </w14:textFill>
        </w:rPr>
        <w:t xml:space="preserve">2 </w:t>
      </w:r>
      <w:r>
        <w:rPr>
          <w:rFonts w:hint="eastAsia"/>
          <w:color w:val="000000" w:themeColor="text1"/>
          <w:sz w:val="21"/>
          <w:szCs w:val="21"/>
          <w14:textFill>
            <w14:solidFill>
              <w14:schemeClr w14:val="tx1"/>
            </w14:solidFill>
          </w14:textFill>
        </w:rPr>
        <w:t>文件应同步电子化，支持信息共享、在线查看。</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14.3 信息数据应支持文件、三维可视化模型、设施对象关联查看。</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4</w:t>
      </w:r>
      <w:r>
        <w:rPr>
          <w:color w:val="000000" w:themeColor="text1"/>
          <w:sz w:val="21"/>
          <w:szCs w:val="21"/>
          <w14:textFill>
            <w14:solidFill>
              <w14:schemeClr w14:val="tx1"/>
            </w14:solidFill>
          </w14:textFill>
        </w:rPr>
        <w:t>.</w:t>
      </w:r>
      <w:r>
        <w:rPr>
          <w:rFonts w:hint="eastAsia"/>
          <w:color w:val="000000" w:themeColor="text1"/>
          <w:sz w:val="21"/>
          <w:szCs w:val="21"/>
          <w14:textFill>
            <w14:solidFill>
              <w14:schemeClr w14:val="tx1"/>
            </w14:solidFill>
          </w14:textFill>
        </w:rPr>
        <w:t>4 信息数据应同步备份，保持一致性，可进行恢复。</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14.5 信息数据应具备身份认证、防止恶意攻击、信息权限设置、病毒防护、数据灾难备份等措施。</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14.6 监控视频数据存储天数不少于90天，其他数据存储时间应覆盖工程项目建设全周期。</w:t>
      </w:r>
    </w:p>
    <w:p>
      <w:pPr>
        <w:tabs>
          <w:tab w:val="left" w:pos="859"/>
        </w:tabs>
        <w:overflowPunct w:val="0"/>
        <w:spacing w:before="120" w:beforeLines="50" w:line="278" w:lineRule="auto"/>
        <w:ind w:left="141" w:leftChars="64" w:right="215"/>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1</w:t>
      </w:r>
      <w:r>
        <w:rPr>
          <w:rFonts w:hint="eastAsia"/>
          <w:color w:val="000000" w:themeColor="text1"/>
          <w:sz w:val="21"/>
          <w:szCs w:val="21"/>
          <w14:textFill>
            <w14:solidFill>
              <w14:schemeClr w14:val="tx1"/>
            </w14:solidFill>
          </w14:textFill>
        </w:rPr>
        <w:t>4</w:t>
      </w:r>
      <w:r>
        <w:rPr>
          <w:color w:val="000000" w:themeColor="text1"/>
          <w:sz w:val="21"/>
          <w:szCs w:val="21"/>
          <w14:textFill>
            <w14:solidFill>
              <w14:schemeClr w14:val="tx1"/>
            </w14:solidFill>
          </w14:textFill>
        </w:rPr>
        <w:t>.</w:t>
      </w:r>
      <w:r>
        <w:rPr>
          <w:rFonts w:hint="eastAsia"/>
          <w:color w:val="000000" w:themeColor="text1"/>
          <w:sz w:val="21"/>
          <w:szCs w:val="21"/>
          <w14:textFill>
            <w14:solidFill>
              <w14:schemeClr w14:val="tx1"/>
            </w14:solidFill>
          </w14:textFill>
        </w:rPr>
        <w:t>7 数据移交内容、流程及数据级别的划分应符合《发电工程数据移交》GB/T 32575和《发电工程数字化移交内容规定》DL/T 5615的规定。</w:t>
      </w:r>
    </w:p>
    <w:p>
      <w:pPr>
        <w:widowControl/>
        <w:autoSpaceDE/>
        <w:autoSpaceDN/>
        <w:adjustRightInd/>
        <w:rPr>
          <w:sz w:val="21"/>
          <w:szCs w:val="21"/>
        </w:rPr>
      </w:pPr>
      <w:r>
        <w:rPr>
          <w:sz w:val="21"/>
          <w:szCs w:val="21"/>
        </w:rPr>
        <w:br w:type="page"/>
      </w:r>
    </w:p>
    <w:p>
      <w:pPr>
        <w:tabs>
          <w:tab w:val="left" w:pos="859"/>
        </w:tabs>
        <w:overflowPunct w:val="0"/>
        <w:spacing w:before="120" w:beforeLines="50" w:line="278" w:lineRule="auto"/>
        <w:ind w:left="141" w:leftChars="64" w:right="215"/>
        <w:rPr>
          <w:sz w:val="21"/>
          <w:szCs w:val="21"/>
        </w:rPr>
      </w:pPr>
    </w:p>
    <w:p>
      <w:pPr>
        <w:pStyle w:val="48"/>
      </w:pPr>
      <w:bookmarkStart w:id="19" w:name="_Toc112366097"/>
      <w:bookmarkStart w:id="20" w:name="_Toc141106889"/>
      <w:r>
        <w:rPr>
          <w:rFonts w:hint="eastAsia"/>
        </w:rPr>
        <w:t>附  录  A</w:t>
      </w:r>
      <w:r>
        <w:br w:type="textWrapping"/>
      </w:r>
      <w:r>
        <w:rPr>
          <w:rFonts w:hint="eastAsia"/>
        </w:rPr>
        <w:t>（资料性附录）</w:t>
      </w:r>
      <w:r>
        <w:br w:type="textWrapping"/>
      </w:r>
      <w:bookmarkEnd w:id="19"/>
      <w:r>
        <w:rPr>
          <w:rFonts w:hint="eastAsia"/>
          <w:szCs w:val="21"/>
        </w:rPr>
        <w:t>典型应用与功能架构</w:t>
      </w:r>
      <w:bookmarkEnd w:id="20"/>
    </w:p>
    <w:p>
      <w:pPr>
        <w:tabs>
          <w:tab w:val="left" w:pos="859"/>
        </w:tabs>
        <w:overflowPunct w:val="0"/>
        <w:spacing w:before="120" w:beforeLines="50" w:line="278" w:lineRule="auto"/>
        <w:ind w:left="141" w:leftChars="64" w:right="215" w:firstLine="211" w:firstLineChars="100"/>
        <w:rPr>
          <w:b/>
          <w:sz w:val="21"/>
          <w:szCs w:val="21"/>
        </w:rPr>
      </w:pPr>
      <w:r>
        <w:rPr>
          <w:b/>
          <w:sz w:val="21"/>
          <w:szCs w:val="21"/>
        </w:rPr>
        <w:t>A.1</w:t>
      </w:r>
      <w:r>
        <w:rPr>
          <w:rFonts w:hint="eastAsia"/>
          <w:b/>
          <w:sz w:val="21"/>
          <w:szCs w:val="21"/>
        </w:rPr>
        <w:t>全场人员实名制管理及定位系统</w:t>
      </w:r>
    </w:p>
    <w:p>
      <w:pPr>
        <w:tabs>
          <w:tab w:val="left" w:pos="859"/>
        </w:tabs>
        <w:overflowPunct w:val="0"/>
        <w:spacing w:before="120" w:beforeLines="50" w:line="278" w:lineRule="auto"/>
        <w:ind w:left="141" w:leftChars="64" w:right="215" w:firstLine="211" w:firstLineChars="100"/>
        <w:rPr>
          <w:b/>
          <w:sz w:val="21"/>
          <w:szCs w:val="21"/>
        </w:rPr>
      </w:pPr>
      <w:r>
        <w:rPr>
          <w:rFonts w:hint="eastAsia"/>
          <w:b/>
          <w:sz w:val="21"/>
          <w:szCs w:val="21"/>
        </w:rPr>
        <w:t>A</w:t>
      </w:r>
      <w:r>
        <w:rPr>
          <w:b/>
          <w:sz w:val="21"/>
          <w:szCs w:val="21"/>
        </w:rPr>
        <w:t>.1.1</w:t>
      </w:r>
      <w:r>
        <w:rPr>
          <w:rFonts w:hint="eastAsia"/>
          <w:b/>
          <w:sz w:val="21"/>
          <w:szCs w:val="21"/>
        </w:rPr>
        <w:t>全场人员实名制管理系统</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A.1.1.1通过人脸、虹膜等身份识别技术，结合闸机系统进行人员实名制进出场管理和考勤。</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A.1.1.2将闸机系统布置于火力发电工程建设现场出入口处。</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A.1.1.3结合管理需要配置视频监控系统、考勤管理系统、培训管理系统等进行管理联动。</w:t>
      </w:r>
    </w:p>
    <w:p>
      <w:pPr>
        <w:tabs>
          <w:tab w:val="left" w:pos="859"/>
        </w:tabs>
        <w:overflowPunct w:val="0"/>
        <w:spacing w:before="120" w:beforeLines="50" w:line="278" w:lineRule="auto"/>
        <w:ind w:left="141" w:leftChars="64" w:right="215" w:firstLine="211" w:firstLineChars="100"/>
        <w:rPr>
          <w:b/>
          <w:sz w:val="21"/>
          <w:szCs w:val="21"/>
        </w:rPr>
      </w:pPr>
      <w:r>
        <w:rPr>
          <w:rFonts w:hint="eastAsia"/>
          <w:b/>
          <w:sz w:val="21"/>
          <w:szCs w:val="21"/>
        </w:rPr>
        <w:t>A</w:t>
      </w:r>
      <w:r>
        <w:rPr>
          <w:b/>
          <w:sz w:val="21"/>
          <w:szCs w:val="21"/>
        </w:rPr>
        <w:t>.1.2</w:t>
      </w:r>
      <w:r>
        <w:rPr>
          <w:rFonts w:hint="eastAsia"/>
          <w:b/>
          <w:sz w:val="21"/>
          <w:szCs w:val="21"/>
        </w:rPr>
        <w:t>定位系统</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A.1.2.1结合定位系统进行室外定位，结合蓝牙网关、信标等辅助进行室内定位。</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A.1.2.2具备反映人员、设备、车辆等所在位置、进入施工区域时间和停留时间的功能。</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A.1.2.3配置历史轨迹追踪、电子围栏区域绘制、危险区域报警、倒地监测、语音对讲等功能。</w:t>
      </w:r>
    </w:p>
    <w:p>
      <w:pPr>
        <w:tabs>
          <w:tab w:val="left" w:pos="859"/>
        </w:tabs>
        <w:overflowPunct w:val="0"/>
        <w:spacing w:before="120" w:beforeLines="50" w:line="278" w:lineRule="auto"/>
        <w:ind w:left="141" w:leftChars="64" w:right="215" w:firstLine="211" w:firstLineChars="100"/>
        <w:rPr>
          <w:b/>
          <w:sz w:val="21"/>
          <w:szCs w:val="21"/>
        </w:rPr>
      </w:pPr>
      <w:r>
        <w:rPr>
          <w:rFonts w:hint="eastAsia"/>
          <w:b/>
          <w:sz w:val="21"/>
          <w:szCs w:val="21"/>
        </w:rPr>
        <w:t>A</w:t>
      </w:r>
      <w:r>
        <w:rPr>
          <w:b/>
          <w:sz w:val="21"/>
          <w:szCs w:val="21"/>
        </w:rPr>
        <w:t>.</w:t>
      </w:r>
      <w:r>
        <w:rPr>
          <w:rFonts w:hint="eastAsia"/>
          <w:b/>
          <w:sz w:val="21"/>
          <w:szCs w:val="21"/>
        </w:rPr>
        <w:t>2全场视频监控系统</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A</w:t>
      </w:r>
      <w:r>
        <w:rPr>
          <w:sz w:val="21"/>
          <w:szCs w:val="21"/>
        </w:rPr>
        <w:t>.</w:t>
      </w:r>
      <w:r>
        <w:rPr>
          <w:rFonts w:hint="eastAsia"/>
          <w:sz w:val="21"/>
          <w:szCs w:val="21"/>
        </w:rPr>
        <w:t>2</w:t>
      </w:r>
      <w:r>
        <w:rPr>
          <w:sz w:val="21"/>
          <w:szCs w:val="21"/>
        </w:rPr>
        <w:t>.</w:t>
      </w:r>
      <w:r>
        <w:rPr>
          <w:rFonts w:hint="eastAsia"/>
          <w:sz w:val="21"/>
          <w:szCs w:val="21"/>
        </w:rPr>
        <w:t>1施工现场视频监控摄像机的数量和位置布设符合《建筑工程施工现场视频监控技术规范》JGJ/T 292的规定。</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A</w:t>
      </w:r>
      <w:r>
        <w:rPr>
          <w:sz w:val="21"/>
          <w:szCs w:val="21"/>
        </w:rPr>
        <w:t>.</w:t>
      </w:r>
      <w:r>
        <w:rPr>
          <w:rFonts w:hint="eastAsia"/>
          <w:sz w:val="21"/>
          <w:szCs w:val="21"/>
        </w:rPr>
        <w:t>2</w:t>
      </w:r>
      <w:r>
        <w:rPr>
          <w:sz w:val="21"/>
          <w:szCs w:val="21"/>
        </w:rPr>
        <w:t>.</w:t>
      </w:r>
      <w:r>
        <w:rPr>
          <w:rFonts w:hint="eastAsia"/>
          <w:sz w:val="21"/>
          <w:szCs w:val="21"/>
        </w:rPr>
        <w:t>2视频监控摄像机按照外形分为枪式摄像机、球型摄像机、半球摄像机，根据用途及场景选择相应摄像机。如：固定监控区域采用枪式摄像机或球式摄像机，监控大范围场景的区域选用球型摄像机，办公区内部安装半球型摄像机。</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A</w:t>
      </w:r>
      <w:r>
        <w:rPr>
          <w:sz w:val="21"/>
          <w:szCs w:val="21"/>
        </w:rPr>
        <w:t>.</w:t>
      </w:r>
      <w:r>
        <w:rPr>
          <w:rFonts w:hint="eastAsia"/>
          <w:sz w:val="21"/>
          <w:szCs w:val="21"/>
        </w:rPr>
        <w:t>2</w:t>
      </w:r>
      <w:r>
        <w:rPr>
          <w:sz w:val="21"/>
          <w:szCs w:val="21"/>
        </w:rPr>
        <w:t>.</w:t>
      </w:r>
      <w:r>
        <w:rPr>
          <w:rFonts w:hint="eastAsia"/>
          <w:sz w:val="21"/>
          <w:szCs w:val="21"/>
        </w:rPr>
        <w:t>3施工现场重点监控区域选用具有红外功能的摄像机，满足重点区域低照度时的监控质量。</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A</w:t>
      </w:r>
      <w:r>
        <w:rPr>
          <w:sz w:val="21"/>
          <w:szCs w:val="21"/>
        </w:rPr>
        <w:t>.</w:t>
      </w:r>
      <w:r>
        <w:rPr>
          <w:rFonts w:hint="eastAsia"/>
          <w:sz w:val="21"/>
          <w:szCs w:val="21"/>
        </w:rPr>
        <w:t>2</w:t>
      </w:r>
      <w:r>
        <w:rPr>
          <w:sz w:val="21"/>
          <w:szCs w:val="21"/>
        </w:rPr>
        <w:t>.</w:t>
      </w:r>
      <w:r>
        <w:rPr>
          <w:rFonts w:hint="eastAsia"/>
          <w:sz w:val="21"/>
          <w:szCs w:val="21"/>
        </w:rPr>
        <w:t>4显示设备安装在空间较为宽敞的云平台驾驶舱房间或办公大厅，同时做好防雷接地措施。</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A</w:t>
      </w:r>
      <w:r>
        <w:rPr>
          <w:sz w:val="21"/>
          <w:szCs w:val="21"/>
        </w:rPr>
        <w:t>.</w:t>
      </w:r>
      <w:r>
        <w:rPr>
          <w:rFonts w:hint="eastAsia"/>
          <w:sz w:val="21"/>
          <w:szCs w:val="21"/>
        </w:rPr>
        <w:t>2</w:t>
      </w:r>
      <w:r>
        <w:rPr>
          <w:sz w:val="21"/>
          <w:szCs w:val="21"/>
        </w:rPr>
        <w:t>.</w:t>
      </w:r>
      <w:r>
        <w:rPr>
          <w:rFonts w:hint="eastAsia"/>
          <w:sz w:val="21"/>
          <w:szCs w:val="21"/>
        </w:rPr>
        <w:t>5在施工现场的作业区域、料场、设备存放场地、厂区出入口、围墙、塔吊、生活区、办公区等重点区域设置监控摄像机，重点监控区域无监控盲区。</w:t>
      </w:r>
    </w:p>
    <w:p>
      <w:pPr>
        <w:tabs>
          <w:tab w:val="left" w:pos="859"/>
        </w:tabs>
        <w:overflowPunct w:val="0"/>
        <w:spacing w:before="120" w:beforeLines="50" w:line="278" w:lineRule="auto"/>
        <w:ind w:left="571" w:leftChars="164" w:right="215" w:hanging="210" w:hangingChars="100"/>
        <w:rPr>
          <w:sz w:val="21"/>
          <w:szCs w:val="21"/>
        </w:rPr>
      </w:pPr>
      <w:r>
        <w:rPr>
          <w:rFonts w:hint="eastAsia"/>
          <w:sz w:val="21"/>
          <w:szCs w:val="21"/>
        </w:rPr>
        <w:t>A</w:t>
      </w:r>
      <w:r>
        <w:rPr>
          <w:sz w:val="21"/>
          <w:szCs w:val="21"/>
        </w:rPr>
        <w:t>.</w:t>
      </w:r>
      <w:r>
        <w:rPr>
          <w:rFonts w:hint="eastAsia"/>
          <w:sz w:val="21"/>
          <w:szCs w:val="21"/>
        </w:rPr>
        <w:t>2</w:t>
      </w:r>
      <w:r>
        <w:rPr>
          <w:sz w:val="21"/>
          <w:szCs w:val="21"/>
        </w:rPr>
        <w:t>.</w:t>
      </w:r>
      <w:r>
        <w:rPr>
          <w:rFonts w:hint="eastAsia"/>
          <w:sz w:val="21"/>
          <w:szCs w:val="21"/>
        </w:rPr>
        <w:t>6监控管理系统具备远程管理功能，在移动端或电脑端对监控摄像头进行远程控制。</w:t>
      </w:r>
    </w:p>
    <w:p>
      <w:pPr>
        <w:tabs>
          <w:tab w:val="left" w:pos="859"/>
        </w:tabs>
        <w:overflowPunct w:val="0"/>
        <w:spacing w:before="120" w:beforeLines="50" w:line="278" w:lineRule="auto"/>
        <w:ind w:left="571" w:leftChars="164" w:right="215" w:hanging="210" w:hangingChars="100"/>
        <w:rPr>
          <w:sz w:val="21"/>
          <w:szCs w:val="21"/>
        </w:rPr>
      </w:pPr>
      <w:r>
        <w:rPr>
          <w:sz w:val="21"/>
          <w:szCs w:val="21"/>
        </w:rPr>
        <w:t>A.2.</w:t>
      </w:r>
      <w:r>
        <w:rPr>
          <w:rFonts w:hint="eastAsia"/>
          <w:sz w:val="21"/>
          <w:szCs w:val="21"/>
        </w:rPr>
        <w:t>7监控管理系统具备对监控视频的切换、处理、存储、检索和录像回放等功能。</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A.2.8视频监控系统违章行为识别，包含吸烟监测、安全帽监测、安全带监测、人员倒地监测、翻越围栏、危险区域入侵等。</w:t>
      </w:r>
    </w:p>
    <w:p>
      <w:pPr>
        <w:tabs>
          <w:tab w:val="left" w:pos="859"/>
        </w:tabs>
        <w:overflowPunct w:val="0"/>
        <w:spacing w:before="120" w:beforeLines="50" w:line="278" w:lineRule="auto"/>
        <w:ind w:left="141" w:leftChars="64" w:right="215" w:firstLine="211" w:firstLineChars="100"/>
        <w:rPr>
          <w:b/>
          <w:sz w:val="21"/>
          <w:szCs w:val="21"/>
        </w:rPr>
      </w:pPr>
      <w:r>
        <w:rPr>
          <w:rFonts w:hint="eastAsia"/>
          <w:b/>
          <w:sz w:val="21"/>
          <w:szCs w:val="21"/>
        </w:rPr>
        <w:t>A</w:t>
      </w:r>
      <w:r>
        <w:rPr>
          <w:b/>
          <w:sz w:val="21"/>
          <w:szCs w:val="21"/>
        </w:rPr>
        <w:t>.</w:t>
      </w:r>
      <w:r>
        <w:rPr>
          <w:rFonts w:hint="eastAsia"/>
          <w:b/>
          <w:sz w:val="21"/>
          <w:szCs w:val="21"/>
        </w:rPr>
        <w:t>3全场环境监测系统</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A.3.</w:t>
      </w:r>
      <w:r>
        <w:rPr>
          <w:sz w:val="21"/>
          <w:szCs w:val="21"/>
        </w:rPr>
        <w:t>1</w:t>
      </w:r>
      <w:r>
        <w:rPr>
          <w:rFonts w:hint="eastAsia"/>
          <w:sz w:val="21"/>
          <w:szCs w:val="21"/>
        </w:rPr>
        <w:t>全场环境监测系统具备环境信息监测、监测数据分析、监测数据显示、预警提示等功能。</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A.3.2全场环境监测设备的部署方式主要分为可移动监测设备和固定监测设备。固定式环境监测设备采用有线传输方式，可移动监测设备采用无线传输方式。</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A.3.3环境监测系统具备数据处理分析及预警提示功能，当监测到的环境数据超标时及时预警提示。</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A.3.4布置在施工现场的环境监测设备具备监测数据实时显示功能，如：PM2.5浓度、PM10浓度、有毒有害气体浓度、风向、风速、温度、噪声值等。</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A.3.5在电脑端显示实时监测信息及监测数据分析结果。</w:t>
      </w:r>
    </w:p>
    <w:p>
      <w:pPr>
        <w:tabs>
          <w:tab w:val="left" w:pos="859"/>
        </w:tabs>
        <w:overflowPunct w:val="0"/>
        <w:spacing w:before="120" w:beforeLines="50" w:line="278" w:lineRule="auto"/>
        <w:ind w:left="572" w:leftChars="164" w:right="215" w:hanging="211" w:hangingChars="100"/>
        <w:rPr>
          <w:b/>
          <w:sz w:val="21"/>
          <w:szCs w:val="21"/>
        </w:rPr>
      </w:pPr>
      <w:r>
        <w:rPr>
          <w:rFonts w:hint="eastAsia"/>
          <w:b/>
          <w:sz w:val="21"/>
          <w:szCs w:val="21"/>
        </w:rPr>
        <w:t>A</w:t>
      </w:r>
      <w:r>
        <w:rPr>
          <w:b/>
          <w:sz w:val="21"/>
          <w:szCs w:val="21"/>
        </w:rPr>
        <w:t>.</w:t>
      </w:r>
      <w:r>
        <w:rPr>
          <w:rFonts w:hint="eastAsia"/>
          <w:b/>
          <w:sz w:val="21"/>
          <w:szCs w:val="21"/>
        </w:rPr>
        <w:t>4全场智能巡查</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A</w:t>
      </w:r>
      <w:r>
        <w:rPr>
          <w:sz w:val="21"/>
          <w:szCs w:val="21"/>
        </w:rPr>
        <w:t>.</w:t>
      </w:r>
      <w:r>
        <w:rPr>
          <w:rFonts w:hint="eastAsia"/>
          <w:sz w:val="21"/>
          <w:szCs w:val="21"/>
        </w:rPr>
        <w:t>4.1通过信息采集设备收集现场视频、图像、音频、文本、空间位置、巡查轨迹、巡查结果、异常记录等数据，实现全厂智能巡查数据采集。</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A</w:t>
      </w:r>
      <w:r>
        <w:rPr>
          <w:sz w:val="21"/>
          <w:szCs w:val="21"/>
        </w:rPr>
        <w:t>.</w:t>
      </w:r>
      <w:r>
        <w:rPr>
          <w:rFonts w:hint="eastAsia"/>
          <w:sz w:val="21"/>
          <w:szCs w:val="21"/>
        </w:rPr>
        <w:t>4.2通过视频监控设备，采集施工现场视频、图像、音频等数据。</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A</w:t>
      </w:r>
      <w:r>
        <w:rPr>
          <w:sz w:val="21"/>
          <w:szCs w:val="21"/>
        </w:rPr>
        <w:t>.</w:t>
      </w:r>
      <w:r>
        <w:rPr>
          <w:rFonts w:hint="eastAsia"/>
          <w:sz w:val="21"/>
          <w:szCs w:val="21"/>
        </w:rPr>
        <w:t>4.3通过车辆识别设备，采集车辆出入场时间、车牌号等数据。</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A</w:t>
      </w:r>
      <w:r>
        <w:rPr>
          <w:sz w:val="21"/>
          <w:szCs w:val="21"/>
        </w:rPr>
        <w:t>.</w:t>
      </w:r>
      <w:r>
        <w:rPr>
          <w:rFonts w:hint="eastAsia"/>
          <w:sz w:val="21"/>
          <w:szCs w:val="21"/>
        </w:rPr>
        <w:t>4.4通过移动终端设备，采集施工现场视频、图片、音频、文本、异常记录等数据。</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A</w:t>
      </w:r>
      <w:r>
        <w:rPr>
          <w:sz w:val="21"/>
          <w:szCs w:val="21"/>
        </w:rPr>
        <w:t>.</w:t>
      </w:r>
      <w:r>
        <w:rPr>
          <w:rFonts w:hint="eastAsia"/>
          <w:sz w:val="21"/>
          <w:szCs w:val="21"/>
        </w:rPr>
        <w:t>4.5通过航拍设备，定时巡航，采集施工现场进度情况的视频、图像等数据。</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A</w:t>
      </w:r>
      <w:r>
        <w:rPr>
          <w:sz w:val="21"/>
          <w:szCs w:val="21"/>
        </w:rPr>
        <w:t>.</w:t>
      </w:r>
      <w:r>
        <w:rPr>
          <w:rFonts w:hint="eastAsia"/>
          <w:sz w:val="21"/>
          <w:szCs w:val="21"/>
        </w:rPr>
        <w:t>4.6通过定位设备，采集巡查人员的空间位置、巡查轨迹等数据。</w:t>
      </w:r>
    </w:p>
    <w:p>
      <w:pPr>
        <w:tabs>
          <w:tab w:val="left" w:pos="859"/>
        </w:tabs>
        <w:overflowPunct w:val="0"/>
        <w:spacing w:before="120" w:beforeLines="50" w:line="278" w:lineRule="auto"/>
        <w:ind w:left="572" w:leftChars="164" w:right="215" w:hanging="211" w:hangingChars="100"/>
        <w:rPr>
          <w:b/>
          <w:sz w:val="21"/>
          <w:szCs w:val="21"/>
        </w:rPr>
      </w:pPr>
      <w:r>
        <w:rPr>
          <w:rFonts w:hint="eastAsia"/>
          <w:b/>
          <w:sz w:val="21"/>
          <w:szCs w:val="21"/>
        </w:rPr>
        <w:t>A.5传感系统</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A.5.1通过检测元件对深基坑支护结构应力、周围建筑物倾斜、基坑顶层位移、地下水位进行监测。</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A.5.2通过检测元件对大体积混凝土表层、中心、底层温度进行监测。</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A.5.3通过检测元件对桩基础施工的钻入深度、提钻速度、垂直度偏差、灌浆量进行监测。</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A.5.4通过检测元件对高支模过程中模架倾斜、位移、变形、模架轴压进行监测。</w:t>
      </w:r>
    </w:p>
    <w:p>
      <w:pPr>
        <w:overflowPunct w:val="0"/>
        <w:spacing w:before="120" w:beforeLines="50" w:line="278" w:lineRule="auto"/>
        <w:ind w:left="141" w:leftChars="64" w:right="215" w:firstLine="210" w:firstLineChars="100"/>
        <w:rPr>
          <w:sz w:val="21"/>
          <w:szCs w:val="21"/>
        </w:rPr>
      </w:pPr>
      <w:r>
        <w:rPr>
          <w:rFonts w:hint="eastAsia"/>
          <w:sz w:val="21"/>
          <w:szCs w:val="21"/>
        </w:rPr>
        <w:t>A.5.5通过检测元件对外墙脚手架倾斜程度、测脚手架位移、模架变形情况进行监测。</w:t>
      </w:r>
    </w:p>
    <w:p>
      <w:pPr>
        <w:overflowPunct w:val="0"/>
        <w:spacing w:before="120" w:beforeLines="50" w:line="278" w:lineRule="auto"/>
        <w:ind w:left="141" w:leftChars="64" w:right="215" w:firstLine="210" w:firstLineChars="100"/>
        <w:rPr>
          <w:sz w:val="21"/>
          <w:szCs w:val="21"/>
        </w:rPr>
      </w:pPr>
      <w:r>
        <w:rPr>
          <w:rFonts w:hint="eastAsia"/>
          <w:sz w:val="21"/>
          <w:szCs w:val="21"/>
        </w:rPr>
        <w:t>A.5.6通过检测元件实时监测升降电梯的载重、轿厢倾斜度、起升高度、运行速度等参数。</w:t>
      </w:r>
    </w:p>
    <w:p>
      <w:pPr>
        <w:overflowPunct w:val="0"/>
        <w:spacing w:before="120" w:beforeLines="50" w:line="278" w:lineRule="auto"/>
        <w:ind w:left="141" w:leftChars="64" w:right="215" w:firstLine="210" w:firstLineChars="100"/>
        <w:rPr>
          <w:sz w:val="21"/>
          <w:szCs w:val="21"/>
        </w:rPr>
      </w:pPr>
      <w:r>
        <w:rPr>
          <w:rFonts w:hint="eastAsia"/>
          <w:sz w:val="21"/>
          <w:szCs w:val="21"/>
        </w:rPr>
        <w:t>A.5.7通过检测元件对冷却塔基础、主体结构的模板、钢筋、混泥土施工过程进行监控。</w:t>
      </w:r>
    </w:p>
    <w:p>
      <w:pPr>
        <w:overflowPunct w:val="0"/>
        <w:spacing w:before="120" w:beforeLines="50" w:line="278" w:lineRule="auto"/>
        <w:ind w:left="141" w:leftChars="64" w:right="215" w:firstLine="210" w:firstLineChars="100"/>
        <w:rPr>
          <w:sz w:val="21"/>
          <w:szCs w:val="21"/>
        </w:rPr>
      </w:pPr>
      <w:r>
        <w:rPr>
          <w:rFonts w:hint="eastAsia"/>
          <w:sz w:val="21"/>
          <w:szCs w:val="21"/>
        </w:rPr>
        <w:t>A.5.8通过塔机监测设备对塔机进行限位监测、群塔防碰撞监测、区域保护监测、远程监管、工效分析。</w:t>
      </w:r>
    </w:p>
    <w:p>
      <w:pPr>
        <w:overflowPunct w:val="0"/>
        <w:spacing w:before="120" w:beforeLines="50" w:line="278" w:lineRule="auto"/>
        <w:ind w:left="141" w:leftChars="64" w:right="215" w:firstLine="210" w:firstLineChars="100"/>
        <w:rPr>
          <w:sz w:val="21"/>
          <w:szCs w:val="21"/>
        </w:rPr>
      </w:pPr>
      <w:r>
        <w:rPr>
          <w:rFonts w:hint="eastAsia"/>
          <w:sz w:val="21"/>
          <w:szCs w:val="21"/>
        </w:rPr>
        <w:t>A.5.9通过监测设备对钢结构的应力应变、位移进行监测，能够进行数据分析。</w:t>
      </w:r>
    </w:p>
    <w:p>
      <w:pPr>
        <w:overflowPunct w:val="0"/>
        <w:spacing w:before="120" w:beforeLines="50" w:line="278" w:lineRule="auto"/>
        <w:ind w:left="141" w:leftChars="64" w:right="215" w:firstLine="210" w:firstLineChars="100"/>
        <w:rPr>
          <w:sz w:val="21"/>
          <w:szCs w:val="21"/>
        </w:rPr>
      </w:pPr>
      <w:r>
        <w:rPr>
          <w:rFonts w:hint="eastAsia"/>
          <w:sz w:val="21"/>
          <w:szCs w:val="21"/>
        </w:rPr>
        <w:t>A.5.10通过履带吊监测设备对履带吊的运行状态进行监测，具有超载超限声光报警功能，对危险操作进行报警提醒，统计设备的能效比、人员工效。具有防倾覆功能、钢丝绳断丝识别、吊装区域人员识别功能。</w:t>
      </w:r>
    </w:p>
    <w:p>
      <w:pPr>
        <w:overflowPunct w:val="0"/>
        <w:spacing w:before="120" w:beforeLines="50" w:line="278" w:lineRule="auto"/>
        <w:ind w:left="141" w:leftChars="64" w:right="215" w:firstLine="210" w:firstLineChars="100"/>
        <w:rPr>
          <w:sz w:val="21"/>
          <w:szCs w:val="21"/>
        </w:rPr>
      </w:pPr>
      <w:r>
        <w:rPr>
          <w:rFonts w:hint="eastAsia"/>
          <w:sz w:val="21"/>
          <w:szCs w:val="21"/>
        </w:rPr>
        <w:t>A.5.11通过检测元件监测汽轮机台板标高和中心位置；监测发电机定子转子汽密性、转子和定子同心度。</w:t>
      </w:r>
    </w:p>
    <w:p>
      <w:pPr>
        <w:overflowPunct w:val="0"/>
        <w:spacing w:before="120" w:beforeLines="50" w:line="278" w:lineRule="auto"/>
        <w:ind w:left="141" w:leftChars="64" w:right="215" w:firstLine="210" w:firstLineChars="100"/>
        <w:rPr>
          <w:sz w:val="21"/>
          <w:szCs w:val="21"/>
        </w:rPr>
      </w:pPr>
      <w:r>
        <w:rPr>
          <w:rFonts w:hint="eastAsia"/>
          <w:sz w:val="21"/>
          <w:szCs w:val="21"/>
        </w:rPr>
        <w:t>A.5.12通过检测元件对大板梁主梁支座与柱顶平面支座中心线偏差、梁标高偏差、水平度偏差、梁间距偏差、梁间对角线差、板梁挠度、高强度螺栓摩擦面抗滑移系数等重要数据进行监测。</w:t>
      </w:r>
    </w:p>
    <w:p>
      <w:pPr>
        <w:overflowPunct w:val="0"/>
        <w:spacing w:before="120" w:beforeLines="50" w:line="278" w:lineRule="auto"/>
        <w:ind w:left="141" w:leftChars="64" w:right="215" w:firstLine="210" w:firstLineChars="100"/>
        <w:rPr>
          <w:sz w:val="21"/>
          <w:szCs w:val="21"/>
        </w:rPr>
      </w:pPr>
      <w:r>
        <w:rPr>
          <w:rFonts w:hint="eastAsia"/>
          <w:sz w:val="21"/>
          <w:szCs w:val="21"/>
        </w:rPr>
        <w:t>A.5.13通过检测元件对锅炉焊口进行监视。</w:t>
      </w:r>
    </w:p>
    <w:p>
      <w:pPr>
        <w:overflowPunct w:val="0"/>
        <w:spacing w:before="120" w:beforeLines="50" w:line="278" w:lineRule="auto"/>
        <w:ind w:left="141" w:leftChars="64" w:right="215" w:firstLine="210" w:firstLineChars="100"/>
        <w:rPr>
          <w:sz w:val="21"/>
          <w:szCs w:val="21"/>
        </w:rPr>
      </w:pPr>
      <w:r>
        <w:rPr>
          <w:rFonts w:hint="eastAsia"/>
          <w:sz w:val="21"/>
          <w:szCs w:val="21"/>
        </w:rPr>
        <w:t>A.5.14通过红外热成像仪对燃气电厂天然气泄露进行检测。</w:t>
      </w:r>
    </w:p>
    <w:p>
      <w:pPr>
        <w:pStyle w:val="2"/>
      </w:pPr>
    </w:p>
    <w:p>
      <w:pPr>
        <w:pStyle w:val="3"/>
        <w:rPr>
          <w:rFonts w:eastAsiaTheme="minorEastAsia"/>
        </w:rPr>
      </w:pPr>
    </w:p>
    <w:p>
      <w:pPr>
        <w:tabs>
          <w:tab w:val="left" w:pos="859"/>
        </w:tabs>
        <w:overflowPunct w:val="0"/>
        <w:spacing w:before="120" w:beforeLines="50" w:line="278" w:lineRule="auto"/>
        <w:ind w:left="582" w:leftChars="164" w:right="215" w:hanging="221" w:hangingChars="100"/>
        <w:rPr>
          <w:b/>
          <w:sz w:val="21"/>
          <w:szCs w:val="21"/>
        </w:rPr>
      </w:pPr>
      <w:r>
        <w:rPr>
          <w:b/>
          <w:szCs w:val="21"/>
        </w:rPr>
        <w:pict>
          <v:shape id="_x0000_s1026" o:spid="_x0000_s1026" o:spt="75" type="#_x0000_t75" style="position:absolute;left:0pt;margin-left:-1.8pt;margin-top:2.1pt;height:279.4pt;width:435.3pt;z-index:251661312;mso-width-relative:page;mso-height-relative:page;" o:ole="t" filled="f" o:preferrelative="t" stroked="f" coordsize="21600,21600">
            <v:path/>
            <v:fill on="f" focussize="0,0"/>
            <v:stroke on="f" joinstyle="miter"/>
            <v:imagedata r:id="rId12" o:title=""/>
            <o:lock v:ext="edit" aspectratio="t"/>
          </v:shape>
          <o:OLEObject Type="Embed" ProgID="Visio.Drawing.11" ShapeID="_x0000_s1026" DrawAspect="Content" ObjectID="_1468075725" r:id="rId11">
            <o:LockedField>false</o:LockedField>
          </o:OLEObject>
        </w:pict>
      </w:r>
      <w:r>
        <w:rPr>
          <w:rFonts w:hint="eastAsia"/>
          <w:b/>
          <w:sz w:val="21"/>
          <w:szCs w:val="21"/>
        </w:rPr>
        <w:t>A.6功能架构</w:t>
      </w:r>
    </w:p>
    <w:p>
      <w:pPr>
        <w:tabs>
          <w:tab w:val="left" w:pos="859"/>
        </w:tabs>
        <w:overflowPunct w:val="0"/>
        <w:spacing w:before="120" w:beforeLines="50" w:line="278" w:lineRule="auto"/>
        <w:ind w:left="572" w:leftChars="164" w:right="215" w:hanging="211" w:hangingChars="100"/>
        <w:rPr>
          <w:b/>
          <w:sz w:val="21"/>
          <w:szCs w:val="21"/>
        </w:rPr>
      </w:pPr>
    </w:p>
    <w:p>
      <w:pPr>
        <w:tabs>
          <w:tab w:val="left" w:pos="859"/>
        </w:tabs>
        <w:overflowPunct w:val="0"/>
        <w:spacing w:before="120" w:beforeLines="50" w:line="278" w:lineRule="auto"/>
        <w:ind w:left="572" w:leftChars="164" w:right="215" w:hanging="211" w:hangingChars="100"/>
        <w:rPr>
          <w:b/>
          <w:sz w:val="21"/>
          <w:szCs w:val="21"/>
        </w:rPr>
      </w:pPr>
    </w:p>
    <w:p>
      <w:pPr>
        <w:tabs>
          <w:tab w:val="left" w:pos="859"/>
        </w:tabs>
        <w:overflowPunct w:val="0"/>
        <w:spacing w:before="120" w:beforeLines="50" w:line="278" w:lineRule="auto"/>
        <w:ind w:left="572" w:leftChars="164" w:right="215" w:hanging="211" w:hangingChars="100"/>
        <w:rPr>
          <w:b/>
          <w:sz w:val="21"/>
          <w:szCs w:val="21"/>
        </w:rPr>
      </w:pPr>
    </w:p>
    <w:p>
      <w:pPr>
        <w:tabs>
          <w:tab w:val="left" w:pos="859"/>
        </w:tabs>
        <w:overflowPunct w:val="0"/>
        <w:spacing w:before="120" w:beforeLines="50" w:line="278" w:lineRule="auto"/>
        <w:ind w:left="572" w:leftChars="164" w:right="215" w:hanging="211" w:hangingChars="100"/>
        <w:rPr>
          <w:b/>
          <w:sz w:val="21"/>
          <w:szCs w:val="21"/>
        </w:rPr>
      </w:pPr>
    </w:p>
    <w:p>
      <w:pPr>
        <w:tabs>
          <w:tab w:val="left" w:pos="859"/>
        </w:tabs>
        <w:overflowPunct w:val="0"/>
        <w:spacing w:before="120" w:beforeLines="50" w:line="278" w:lineRule="auto"/>
        <w:ind w:left="572" w:leftChars="164" w:right="215" w:hanging="211" w:hangingChars="100"/>
        <w:rPr>
          <w:b/>
          <w:sz w:val="21"/>
          <w:szCs w:val="21"/>
        </w:rPr>
      </w:pPr>
    </w:p>
    <w:p>
      <w:pPr>
        <w:tabs>
          <w:tab w:val="left" w:pos="859"/>
        </w:tabs>
        <w:overflowPunct w:val="0"/>
        <w:spacing w:before="120" w:beforeLines="50" w:line="278" w:lineRule="auto"/>
        <w:ind w:left="572" w:leftChars="164" w:right="215" w:hanging="211" w:hangingChars="100"/>
        <w:rPr>
          <w:b/>
          <w:sz w:val="21"/>
          <w:szCs w:val="21"/>
        </w:rPr>
      </w:pPr>
    </w:p>
    <w:p>
      <w:pPr>
        <w:tabs>
          <w:tab w:val="left" w:pos="859"/>
        </w:tabs>
        <w:overflowPunct w:val="0"/>
        <w:spacing w:before="120" w:beforeLines="50" w:line="278" w:lineRule="auto"/>
        <w:ind w:left="572" w:leftChars="164" w:right="215" w:hanging="211" w:hangingChars="100"/>
        <w:rPr>
          <w:b/>
          <w:sz w:val="21"/>
          <w:szCs w:val="21"/>
        </w:rPr>
      </w:pPr>
    </w:p>
    <w:p>
      <w:pPr>
        <w:tabs>
          <w:tab w:val="left" w:pos="859"/>
        </w:tabs>
        <w:overflowPunct w:val="0"/>
        <w:spacing w:before="120" w:beforeLines="50" w:line="278" w:lineRule="auto"/>
        <w:ind w:left="572" w:leftChars="164" w:right="215" w:hanging="211" w:hangingChars="100"/>
        <w:rPr>
          <w:b/>
          <w:sz w:val="21"/>
          <w:szCs w:val="21"/>
        </w:rPr>
      </w:pPr>
    </w:p>
    <w:p>
      <w:pPr>
        <w:tabs>
          <w:tab w:val="left" w:pos="859"/>
        </w:tabs>
        <w:overflowPunct w:val="0"/>
        <w:spacing w:before="120" w:beforeLines="50" w:line="278" w:lineRule="auto"/>
        <w:ind w:left="572" w:leftChars="164" w:right="215" w:hanging="211" w:hangingChars="100"/>
        <w:rPr>
          <w:b/>
          <w:sz w:val="21"/>
          <w:szCs w:val="21"/>
        </w:rPr>
      </w:pPr>
    </w:p>
    <w:p>
      <w:pPr>
        <w:pStyle w:val="2"/>
      </w:pPr>
    </w:p>
    <w:p>
      <w:pPr>
        <w:pStyle w:val="3"/>
        <w:rPr>
          <w:rFonts w:eastAsiaTheme="minorEastAsia"/>
        </w:rPr>
      </w:pPr>
    </w:p>
    <w:p>
      <w:pPr>
        <w:overflowPunct w:val="0"/>
        <w:spacing w:before="120" w:beforeLines="50" w:line="278" w:lineRule="auto"/>
        <w:ind w:left="141" w:leftChars="64" w:right="215" w:firstLine="210" w:firstLineChars="100"/>
        <w:jc w:val="center"/>
        <w:rPr>
          <w:sz w:val="21"/>
          <w:szCs w:val="21"/>
        </w:rPr>
      </w:pPr>
      <w:r>
        <w:rPr>
          <w:sz w:val="21"/>
          <w:szCs w:val="21"/>
        </w:rPr>
        <w:t>图A</w:t>
      </w:r>
      <w:r>
        <w:rPr>
          <w:rFonts w:hint="eastAsia"/>
          <w:sz w:val="21"/>
          <w:szCs w:val="21"/>
        </w:rPr>
        <w:t>.6 功能架构图</w:t>
      </w:r>
    </w:p>
    <w:p>
      <w:pPr>
        <w:pStyle w:val="3"/>
      </w:pPr>
      <w:r>
        <w:br w:type="page"/>
      </w:r>
    </w:p>
    <w:p>
      <w:pPr>
        <w:pStyle w:val="48"/>
      </w:pPr>
      <w:bookmarkStart w:id="21" w:name="_Toc141106890"/>
      <w:r>
        <w:rPr>
          <w:rFonts w:hint="eastAsia"/>
        </w:rPr>
        <w:t>附  录  B</w:t>
      </w:r>
      <w:r>
        <w:br w:type="textWrapping"/>
      </w:r>
      <w:r>
        <w:rPr>
          <w:rFonts w:hint="eastAsia"/>
        </w:rPr>
        <w:t>（资料性附录）</w:t>
      </w:r>
      <w:r>
        <w:br w:type="textWrapping"/>
      </w:r>
      <w:r>
        <w:rPr>
          <w:rFonts w:hint="eastAsia"/>
          <w:szCs w:val="21"/>
        </w:rPr>
        <w:t>基础设施配置清单</w:t>
      </w:r>
      <w:bookmarkEnd w:id="21"/>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火力发电厂工程智慧工地基础设施应包括信息采集设备、网络基础设施、技术平台、控制机房、信息应用终端。各设备应采用主流配置并适应信息通信技术发展趋势，技术平台能力应具有通用性及兼容性并适应信息应用技术发展要求。</w:t>
      </w:r>
      <w:bookmarkStart w:id="23" w:name="_GoBack"/>
      <w:bookmarkEnd w:id="23"/>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下表提供基本项与可选项，应结合项目实际，在项目实施时予以参考。</w:t>
      </w:r>
    </w:p>
    <w:p>
      <w:pPr>
        <w:pStyle w:val="2"/>
      </w:pPr>
    </w:p>
    <w:p>
      <w:pPr>
        <w:pStyle w:val="2"/>
        <w:ind w:firstLine="3360" w:firstLineChars="1600"/>
      </w:pPr>
      <w:r>
        <w:rPr>
          <w:rFonts w:hint="eastAsia"/>
        </w:rPr>
        <w:t>表B.1  基础设施配置表</w:t>
      </w:r>
    </w:p>
    <w:tbl>
      <w:tblPr>
        <w:tblStyle w:val="47"/>
        <w:tblW w:w="93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
        <w:gridCol w:w="1231"/>
        <w:gridCol w:w="653"/>
        <w:gridCol w:w="4025"/>
        <w:gridCol w:w="1275"/>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862" w:type="dxa"/>
            <w:vAlign w:val="center"/>
          </w:tcPr>
          <w:p>
            <w:pPr>
              <w:autoSpaceDE/>
              <w:autoSpaceDN/>
              <w:snapToGrid w:val="0"/>
              <w:jc w:val="center"/>
              <w:rPr>
                <w:rFonts w:ascii="仿宋" w:hAnsi="仿宋" w:eastAsia="仿宋" w:cs="Times New Roman"/>
                <w:b/>
                <w:color w:val="000000"/>
                <w:kern w:val="2"/>
                <w:sz w:val="21"/>
                <w:szCs w:val="21"/>
              </w:rPr>
            </w:pPr>
            <w:r>
              <w:rPr>
                <w:rFonts w:hint="eastAsia" w:ascii="仿宋" w:hAnsi="仿宋" w:eastAsia="仿宋" w:cs="Times New Roman"/>
                <w:b/>
                <w:color w:val="000000"/>
                <w:kern w:val="2"/>
                <w:sz w:val="21"/>
                <w:szCs w:val="21"/>
              </w:rPr>
              <w:t>序号</w:t>
            </w:r>
          </w:p>
        </w:tc>
        <w:tc>
          <w:tcPr>
            <w:tcW w:w="1231" w:type="dxa"/>
            <w:vAlign w:val="center"/>
          </w:tcPr>
          <w:p>
            <w:pPr>
              <w:autoSpaceDE/>
              <w:autoSpaceDN/>
              <w:snapToGrid w:val="0"/>
              <w:jc w:val="center"/>
              <w:rPr>
                <w:rFonts w:ascii="仿宋" w:hAnsi="仿宋" w:eastAsia="仿宋" w:cs="Times New Roman"/>
                <w:b/>
                <w:color w:val="000000"/>
                <w:kern w:val="2"/>
                <w:sz w:val="21"/>
                <w:szCs w:val="21"/>
              </w:rPr>
            </w:pPr>
            <w:r>
              <w:rPr>
                <w:rFonts w:hint="eastAsia" w:ascii="仿宋" w:hAnsi="仿宋" w:eastAsia="仿宋" w:cs="Times New Roman"/>
                <w:b/>
                <w:color w:val="000000"/>
                <w:kern w:val="2"/>
                <w:sz w:val="21"/>
                <w:szCs w:val="21"/>
              </w:rPr>
              <w:t>项目</w:t>
            </w:r>
          </w:p>
        </w:tc>
        <w:tc>
          <w:tcPr>
            <w:tcW w:w="4678" w:type="dxa"/>
            <w:gridSpan w:val="2"/>
            <w:vAlign w:val="center"/>
          </w:tcPr>
          <w:p>
            <w:pPr>
              <w:autoSpaceDE/>
              <w:autoSpaceDN/>
              <w:snapToGrid w:val="0"/>
              <w:jc w:val="center"/>
              <w:rPr>
                <w:rFonts w:ascii="仿宋" w:hAnsi="仿宋" w:eastAsia="仿宋" w:cs="Times New Roman"/>
                <w:b/>
                <w:color w:val="000000"/>
                <w:kern w:val="2"/>
                <w:sz w:val="21"/>
                <w:szCs w:val="21"/>
              </w:rPr>
            </w:pPr>
            <w:r>
              <w:rPr>
                <w:rFonts w:hint="eastAsia" w:ascii="仿宋" w:hAnsi="仿宋" w:eastAsia="仿宋" w:cs="Times New Roman"/>
                <w:b/>
                <w:color w:val="000000"/>
                <w:kern w:val="2"/>
                <w:sz w:val="21"/>
                <w:szCs w:val="21"/>
              </w:rPr>
              <w:t>要求</w:t>
            </w:r>
          </w:p>
        </w:tc>
        <w:tc>
          <w:tcPr>
            <w:tcW w:w="1275" w:type="dxa"/>
            <w:vAlign w:val="center"/>
          </w:tcPr>
          <w:p>
            <w:pPr>
              <w:autoSpaceDE/>
              <w:autoSpaceDN/>
              <w:snapToGrid w:val="0"/>
              <w:jc w:val="center"/>
              <w:rPr>
                <w:rFonts w:ascii="仿宋" w:hAnsi="仿宋" w:eastAsia="仿宋" w:cs="Times New Roman"/>
                <w:b/>
                <w:color w:val="000000"/>
                <w:kern w:val="2"/>
                <w:sz w:val="21"/>
                <w:szCs w:val="21"/>
              </w:rPr>
            </w:pPr>
            <w:r>
              <w:rPr>
                <w:rFonts w:hint="eastAsia" w:ascii="仿宋" w:hAnsi="仿宋" w:eastAsia="仿宋" w:cs="Times New Roman"/>
                <w:b/>
                <w:color w:val="000000"/>
                <w:kern w:val="2"/>
                <w:sz w:val="21"/>
                <w:szCs w:val="21"/>
              </w:rPr>
              <w:t>基本项</w:t>
            </w:r>
          </w:p>
        </w:tc>
        <w:tc>
          <w:tcPr>
            <w:tcW w:w="1276" w:type="dxa"/>
            <w:vAlign w:val="center"/>
          </w:tcPr>
          <w:p>
            <w:pPr>
              <w:autoSpaceDE/>
              <w:autoSpaceDN/>
              <w:snapToGrid w:val="0"/>
              <w:jc w:val="center"/>
              <w:rPr>
                <w:rFonts w:ascii="仿宋" w:hAnsi="仿宋" w:eastAsia="仿宋" w:cs="Times New Roman"/>
                <w:b/>
                <w:color w:val="000000"/>
                <w:kern w:val="2"/>
                <w:sz w:val="21"/>
                <w:szCs w:val="21"/>
              </w:rPr>
            </w:pPr>
            <w:r>
              <w:rPr>
                <w:rFonts w:hint="eastAsia" w:ascii="仿宋" w:hAnsi="仿宋" w:eastAsia="仿宋" w:cs="Times New Roman"/>
                <w:b/>
                <w:color w:val="000000"/>
                <w:kern w:val="2"/>
                <w:sz w:val="21"/>
                <w:szCs w:val="21"/>
              </w:rPr>
              <w:t>可选项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1</w:t>
            </w:r>
          </w:p>
        </w:tc>
        <w:tc>
          <w:tcPr>
            <w:tcW w:w="1231" w:type="dxa"/>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信息采集设备</w:t>
            </w:r>
          </w:p>
        </w:tc>
        <w:tc>
          <w:tcPr>
            <w:tcW w:w="4678" w:type="dxa"/>
            <w:gridSpan w:val="2"/>
            <w:vAlign w:val="center"/>
          </w:tcPr>
          <w:p>
            <w:pPr>
              <w:autoSpaceDE/>
              <w:autoSpaceDN/>
              <w:snapToGrid w:val="0"/>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符合《建筑工程施工现场监管信息系统技术标准》 JGJ/T 434的规定</w:t>
            </w:r>
          </w:p>
        </w:tc>
        <w:tc>
          <w:tcPr>
            <w:tcW w:w="1275" w:type="dxa"/>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w:t>
            </w:r>
          </w:p>
        </w:tc>
        <w:tc>
          <w:tcPr>
            <w:tcW w:w="1276" w:type="dxa"/>
            <w:vAlign w:val="center"/>
          </w:tcPr>
          <w:p>
            <w:pPr>
              <w:autoSpaceDE/>
              <w:autoSpaceDN/>
              <w:snapToGrid w:val="0"/>
              <w:jc w:val="center"/>
              <w:rPr>
                <w:rFonts w:ascii="仿宋" w:hAnsi="仿宋" w:eastAsia="仿宋" w:cs="Times New Roman"/>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Merge w:val="restart"/>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2</w:t>
            </w:r>
          </w:p>
        </w:tc>
        <w:tc>
          <w:tcPr>
            <w:tcW w:w="1231" w:type="dxa"/>
            <w:vMerge w:val="restart"/>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网络基础设施</w:t>
            </w:r>
          </w:p>
        </w:tc>
        <w:tc>
          <w:tcPr>
            <w:tcW w:w="4678" w:type="dxa"/>
            <w:gridSpan w:val="2"/>
            <w:vAlign w:val="center"/>
          </w:tcPr>
          <w:p>
            <w:pPr>
              <w:autoSpaceDE/>
              <w:autoSpaceDN/>
              <w:snapToGrid w:val="0"/>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具备无线局域网络设施</w:t>
            </w:r>
          </w:p>
        </w:tc>
        <w:tc>
          <w:tcPr>
            <w:tcW w:w="1275" w:type="dxa"/>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w:t>
            </w:r>
          </w:p>
        </w:tc>
        <w:tc>
          <w:tcPr>
            <w:tcW w:w="1276" w:type="dxa"/>
            <w:vAlign w:val="center"/>
          </w:tcPr>
          <w:p>
            <w:pPr>
              <w:autoSpaceDE/>
              <w:autoSpaceDN/>
              <w:snapToGrid w:val="0"/>
              <w:jc w:val="center"/>
              <w:rPr>
                <w:rFonts w:ascii="仿宋" w:hAnsi="仿宋" w:eastAsia="仿宋" w:cs="Times New Roman"/>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1231"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4678" w:type="dxa"/>
            <w:gridSpan w:val="2"/>
            <w:vAlign w:val="center"/>
          </w:tcPr>
          <w:p>
            <w:pPr>
              <w:autoSpaceDE/>
              <w:autoSpaceDN/>
              <w:snapToGrid w:val="0"/>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无线局域网络信号覆盖所有信息采集设备装置点</w:t>
            </w:r>
          </w:p>
        </w:tc>
        <w:tc>
          <w:tcPr>
            <w:tcW w:w="1275" w:type="dxa"/>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w:t>
            </w:r>
          </w:p>
        </w:tc>
        <w:tc>
          <w:tcPr>
            <w:tcW w:w="1276" w:type="dxa"/>
            <w:vAlign w:val="center"/>
          </w:tcPr>
          <w:p>
            <w:pPr>
              <w:autoSpaceDE/>
              <w:autoSpaceDN/>
              <w:snapToGrid w:val="0"/>
              <w:jc w:val="center"/>
              <w:rPr>
                <w:rFonts w:ascii="仿宋" w:hAnsi="仿宋" w:eastAsia="仿宋" w:cs="Times New Roman"/>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1231"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4678" w:type="dxa"/>
            <w:gridSpan w:val="2"/>
            <w:vAlign w:val="center"/>
          </w:tcPr>
          <w:p>
            <w:pPr>
              <w:autoSpaceDE/>
              <w:autoSpaceDN/>
              <w:snapToGrid w:val="0"/>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移动通信网络覆盖主要工地办公区域</w:t>
            </w:r>
          </w:p>
        </w:tc>
        <w:tc>
          <w:tcPr>
            <w:tcW w:w="1275" w:type="dxa"/>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w:t>
            </w:r>
          </w:p>
        </w:tc>
        <w:tc>
          <w:tcPr>
            <w:tcW w:w="1276" w:type="dxa"/>
            <w:vAlign w:val="center"/>
          </w:tcPr>
          <w:p>
            <w:pPr>
              <w:autoSpaceDE/>
              <w:autoSpaceDN/>
              <w:snapToGrid w:val="0"/>
              <w:jc w:val="center"/>
              <w:rPr>
                <w:rFonts w:ascii="仿宋" w:hAnsi="仿宋" w:eastAsia="仿宋" w:cs="Times New Roman"/>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1231"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4678" w:type="dxa"/>
            <w:gridSpan w:val="2"/>
            <w:vAlign w:val="center"/>
          </w:tcPr>
          <w:p>
            <w:pPr>
              <w:autoSpaceDE/>
              <w:autoSpaceDN/>
              <w:snapToGrid w:val="0"/>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移动通信网络覆盖不低于90%办公区域和施工现场生活区域</w:t>
            </w:r>
          </w:p>
        </w:tc>
        <w:tc>
          <w:tcPr>
            <w:tcW w:w="1275" w:type="dxa"/>
            <w:vAlign w:val="center"/>
          </w:tcPr>
          <w:p>
            <w:pPr>
              <w:autoSpaceDE/>
              <w:autoSpaceDN/>
              <w:snapToGrid w:val="0"/>
              <w:jc w:val="center"/>
              <w:rPr>
                <w:rFonts w:ascii="仿宋" w:hAnsi="仿宋" w:eastAsia="仿宋" w:cs="Times New Roman"/>
                <w:color w:val="000000"/>
                <w:kern w:val="2"/>
                <w:sz w:val="21"/>
                <w:szCs w:val="21"/>
              </w:rPr>
            </w:pPr>
          </w:p>
        </w:tc>
        <w:tc>
          <w:tcPr>
            <w:tcW w:w="1276" w:type="dxa"/>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Merge w:val="restart"/>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3</w:t>
            </w:r>
          </w:p>
        </w:tc>
        <w:tc>
          <w:tcPr>
            <w:tcW w:w="1231" w:type="dxa"/>
            <w:vMerge w:val="restart"/>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技术平台</w:t>
            </w:r>
          </w:p>
        </w:tc>
        <w:tc>
          <w:tcPr>
            <w:tcW w:w="653" w:type="dxa"/>
            <w:vMerge w:val="restart"/>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互联</w:t>
            </w:r>
          </w:p>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网协</w:t>
            </w:r>
          </w:p>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作类</w:t>
            </w:r>
          </w:p>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功能</w:t>
            </w:r>
          </w:p>
        </w:tc>
        <w:tc>
          <w:tcPr>
            <w:tcW w:w="4025" w:type="dxa"/>
            <w:vAlign w:val="center"/>
          </w:tcPr>
          <w:p>
            <w:pPr>
              <w:autoSpaceDE/>
              <w:autoSpaceDN/>
              <w:snapToGrid w:val="0"/>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具备施工现场跨组织项目团队建立、职位、角色等管理能力</w:t>
            </w:r>
          </w:p>
        </w:tc>
        <w:tc>
          <w:tcPr>
            <w:tcW w:w="1275" w:type="dxa"/>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w:t>
            </w:r>
          </w:p>
        </w:tc>
        <w:tc>
          <w:tcPr>
            <w:tcW w:w="1276" w:type="dxa"/>
            <w:vAlign w:val="center"/>
          </w:tcPr>
          <w:p>
            <w:pPr>
              <w:autoSpaceDE/>
              <w:autoSpaceDN/>
              <w:snapToGrid w:val="0"/>
              <w:jc w:val="center"/>
              <w:rPr>
                <w:rFonts w:ascii="仿宋" w:hAnsi="仿宋" w:eastAsia="仿宋" w:cs="Times New Roman"/>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1231"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653"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4025" w:type="dxa"/>
            <w:vAlign w:val="center"/>
          </w:tcPr>
          <w:p>
            <w:pPr>
              <w:autoSpaceDE/>
              <w:autoSpaceDN/>
              <w:snapToGrid w:val="0"/>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具备文字、语音、视频等方式的即时沟通能力</w:t>
            </w:r>
          </w:p>
        </w:tc>
        <w:tc>
          <w:tcPr>
            <w:tcW w:w="1275" w:type="dxa"/>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w:t>
            </w:r>
          </w:p>
        </w:tc>
        <w:tc>
          <w:tcPr>
            <w:tcW w:w="1276" w:type="dxa"/>
            <w:vAlign w:val="center"/>
          </w:tcPr>
          <w:p>
            <w:pPr>
              <w:autoSpaceDE/>
              <w:autoSpaceDN/>
              <w:snapToGrid w:val="0"/>
              <w:jc w:val="center"/>
              <w:rPr>
                <w:rFonts w:ascii="仿宋" w:hAnsi="仿宋" w:eastAsia="仿宋" w:cs="Times New Roman"/>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1231"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653"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4025" w:type="dxa"/>
            <w:vAlign w:val="center"/>
          </w:tcPr>
          <w:p>
            <w:pPr>
              <w:autoSpaceDE/>
              <w:autoSpaceDN/>
              <w:snapToGrid w:val="0"/>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具备包含但不限于云盘、云表格、协作任务等基础协作能力</w:t>
            </w:r>
          </w:p>
        </w:tc>
        <w:tc>
          <w:tcPr>
            <w:tcW w:w="1275" w:type="dxa"/>
            <w:vAlign w:val="center"/>
          </w:tcPr>
          <w:p>
            <w:pPr>
              <w:autoSpaceDE/>
              <w:autoSpaceDN/>
              <w:snapToGrid w:val="0"/>
              <w:jc w:val="center"/>
              <w:rPr>
                <w:rFonts w:ascii="仿宋" w:hAnsi="仿宋" w:eastAsia="仿宋" w:cs="Times New Roman"/>
                <w:color w:val="000000"/>
                <w:kern w:val="2"/>
                <w:sz w:val="21"/>
                <w:szCs w:val="21"/>
              </w:rPr>
            </w:pPr>
          </w:p>
        </w:tc>
        <w:tc>
          <w:tcPr>
            <w:tcW w:w="1276" w:type="dxa"/>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1231"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653"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4025" w:type="dxa"/>
            <w:vAlign w:val="center"/>
          </w:tcPr>
          <w:p>
            <w:pPr>
              <w:autoSpaceDE/>
              <w:autoSpaceDN/>
              <w:snapToGrid w:val="0"/>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具备日志留溯能力</w:t>
            </w:r>
          </w:p>
        </w:tc>
        <w:tc>
          <w:tcPr>
            <w:tcW w:w="1275" w:type="dxa"/>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w:t>
            </w:r>
          </w:p>
        </w:tc>
        <w:tc>
          <w:tcPr>
            <w:tcW w:w="1276" w:type="dxa"/>
            <w:vAlign w:val="center"/>
          </w:tcPr>
          <w:p>
            <w:pPr>
              <w:autoSpaceDE/>
              <w:autoSpaceDN/>
              <w:snapToGrid w:val="0"/>
              <w:jc w:val="center"/>
              <w:rPr>
                <w:rFonts w:ascii="仿宋" w:hAnsi="仿宋" w:eastAsia="仿宋" w:cs="Times New Roman"/>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1231"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653" w:type="dxa"/>
            <w:vMerge w:val="restart"/>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管理</w:t>
            </w:r>
          </w:p>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协同</w:t>
            </w:r>
          </w:p>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功能</w:t>
            </w:r>
          </w:p>
        </w:tc>
        <w:tc>
          <w:tcPr>
            <w:tcW w:w="4025" w:type="dxa"/>
            <w:vAlign w:val="center"/>
          </w:tcPr>
          <w:p>
            <w:pPr>
              <w:autoSpaceDE/>
              <w:autoSpaceDN/>
              <w:snapToGrid w:val="0"/>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具备自定义表单、流程的审批功能</w:t>
            </w:r>
          </w:p>
        </w:tc>
        <w:tc>
          <w:tcPr>
            <w:tcW w:w="1275" w:type="dxa"/>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w:t>
            </w:r>
          </w:p>
        </w:tc>
        <w:tc>
          <w:tcPr>
            <w:tcW w:w="1276" w:type="dxa"/>
            <w:vAlign w:val="center"/>
          </w:tcPr>
          <w:p>
            <w:pPr>
              <w:autoSpaceDE/>
              <w:autoSpaceDN/>
              <w:snapToGrid w:val="0"/>
              <w:jc w:val="center"/>
              <w:rPr>
                <w:rFonts w:ascii="仿宋" w:hAnsi="仿宋" w:eastAsia="仿宋" w:cs="Times New Roman"/>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1231"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653"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4025" w:type="dxa"/>
            <w:vAlign w:val="center"/>
          </w:tcPr>
          <w:p>
            <w:pPr>
              <w:autoSpaceDE/>
              <w:autoSpaceDN/>
              <w:snapToGrid w:val="0"/>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具备跨组织即时在线会商功能</w:t>
            </w:r>
          </w:p>
        </w:tc>
        <w:tc>
          <w:tcPr>
            <w:tcW w:w="1275" w:type="dxa"/>
            <w:vAlign w:val="center"/>
          </w:tcPr>
          <w:p>
            <w:pPr>
              <w:autoSpaceDE/>
              <w:autoSpaceDN/>
              <w:snapToGrid w:val="0"/>
              <w:jc w:val="center"/>
              <w:rPr>
                <w:rFonts w:ascii="仿宋" w:hAnsi="仿宋" w:eastAsia="仿宋" w:cs="Times New Roman"/>
                <w:color w:val="000000"/>
                <w:kern w:val="2"/>
                <w:sz w:val="21"/>
                <w:szCs w:val="21"/>
              </w:rPr>
            </w:pPr>
          </w:p>
        </w:tc>
        <w:tc>
          <w:tcPr>
            <w:tcW w:w="1276" w:type="dxa"/>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1231"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653"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4025" w:type="dxa"/>
            <w:vAlign w:val="center"/>
          </w:tcPr>
          <w:p>
            <w:pPr>
              <w:autoSpaceDE/>
              <w:autoSpaceDN/>
              <w:snapToGrid w:val="0"/>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具备企业级（项目部、分公司、公司总部）协同管理、资源共享功能</w:t>
            </w:r>
          </w:p>
        </w:tc>
        <w:tc>
          <w:tcPr>
            <w:tcW w:w="1275" w:type="dxa"/>
            <w:vAlign w:val="center"/>
          </w:tcPr>
          <w:p>
            <w:pPr>
              <w:autoSpaceDE/>
              <w:autoSpaceDN/>
              <w:snapToGrid w:val="0"/>
              <w:jc w:val="center"/>
              <w:rPr>
                <w:rFonts w:ascii="仿宋" w:hAnsi="仿宋" w:eastAsia="仿宋" w:cs="Times New Roman"/>
                <w:color w:val="000000"/>
                <w:kern w:val="2"/>
                <w:sz w:val="21"/>
                <w:szCs w:val="21"/>
              </w:rPr>
            </w:pPr>
          </w:p>
        </w:tc>
        <w:tc>
          <w:tcPr>
            <w:tcW w:w="1276" w:type="dxa"/>
            <w:vAlign w:val="center"/>
          </w:tcPr>
          <w:p>
            <w:pPr>
              <w:autoSpaceDE/>
              <w:autoSpaceDN/>
              <w:adjustRightInd/>
              <w:jc w:val="center"/>
              <w:rPr>
                <w:rFonts w:asciiTheme="minorHAnsi" w:hAnsiTheme="minorHAnsi" w:eastAsiaTheme="minorEastAsia" w:cstheme="minorBidi"/>
                <w:kern w:val="2"/>
                <w:sz w:val="21"/>
                <w:szCs w:val="21"/>
              </w:rPr>
            </w:pPr>
            <w:r>
              <w:rPr>
                <w:rFonts w:hint="eastAsia" w:ascii="仿宋" w:hAnsi="仿宋" w:eastAsia="仿宋" w:cs="Times New Roman"/>
                <w:color w:val="000000"/>
                <w:kern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1231"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653"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4025" w:type="dxa"/>
            <w:vAlign w:val="center"/>
          </w:tcPr>
          <w:p>
            <w:pPr>
              <w:autoSpaceDE/>
              <w:autoSpaceDN/>
              <w:snapToGrid w:val="0"/>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具备工程建设参与方（建设主管部门、参建单位）多协同管理功能</w:t>
            </w:r>
          </w:p>
        </w:tc>
        <w:tc>
          <w:tcPr>
            <w:tcW w:w="1275" w:type="dxa"/>
            <w:vAlign w:val="center"/>
          </w:tcPr>
          <w:p>
            <w:pPr>
              <w:autoSpaceDE/>
              <w:autoSpaceDN/>
              <w:snapToGrid w:val="0"/>
              <w:jc w:val="center"/>
              <w:rPr>
                <w:rFonts w:ascii="仿宋" w:hAnsi="仿宋" w:eastAsia="仿宋" w:cs="Times New Roman"/>
                <w:color w:val="000000"/>
                <w:kern w:val="2"/>
                <w:sz w:val="21"/>
                <w:szCs w:val="21"/>
              </w:rPr>
            </w:pPr>
          </w:p>
        </w:tc>
        <w:tc>
          <w:tcPr>
            <w:tcW w:w="1276" w:type="dxa"/>
            <w:vAlign w:val="center"/>
          </w:tcPr>
          <w:p>
            <w:pPr>
              <w:autoSpaceDE/>
              <w:autoSpaceDN/>
              <w:adjustRightInd/>
              <w:jc w:val="center"/>
              <w:rPr>
                <w:rFonts w:asciiTheme="minorHAnsi" w:hAnsiTheme="minorHAnsi" w:eastAsiaTheme="minorEastAsia" w:cstheme="minorBidi"/>
                <w:kern w:val="2"/>
                <w:sz w:val="21"/>
                <w:szCs w:val="21"/>
              </w:rPr>
            </w:pPr>
            <w:r>
              <w:rPr>
                <w:rFonts w:hint="eastAsia" w:ascii="仿宋" w:hAnsi="仿宋" w:eastAsia="仿宋" w:cs="Times New Roman"/>
                <w:color w:val="000000"/>
                <w:kern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1231"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653" w:type="dxa"/>
            <w:vMerge w:val="restart"/>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移动</w:t>
            </w:r>
          </w:p>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互联</w:t>
            </w:r>
          </w:p>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功能</w:t>
            </w:r>
          </w:p>
        </w:tc>
        <w:tc>
          <w:tcPr>
            <w:tcW w:w="4025" w:type="dxa"/>
            <w:vAlign w:val="center"/>
          </w:tcPr>
          <w:p>
            <w:pPr>
              <w:autoSpaceDE/>
              <w:autoSpaceDN/>
              <w:snapToGrid w:val="0"/>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具备人员信息集成、项目管理各业务模块的功能</w:t>
            </w:r>
          </w:p>
        </w:tc>
        <w:tc>
          <w:tcPr>
            <w:tcW w:w="1275" w:type="dxa"/>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w:t>
            </w:r>
          </w:p>
        </w:tc>
        <w:tc>
          <w:tcPr>
            <w:tcW w:w="1276" w:type="dxa"/>
            <w:vAlign w:val="center"/>
          </w:tcPr>
          <w:p>
            <w:pPr>
              <w:autoSpaceDE/>
              <w:autoSpaceDN/>
              <w:snapToGrid w:val="0"/>
              <w:jc w:val="center"/>
              <w:rPr>
                <w:rFonts w:ascii="仿宋" w:hAnsi="仿宋" w:eastAsia="仿宋" w:cs="Times New Roman"/>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1231"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653"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4025" w:type="dxa"/>
            <w:vAlign w:val="center"/>
          </w:tcPr>
          <w:p>
            <w:pPr>
              <w:autoSpaceDE/>
              <w:autoSpaceDN/>
              <w:snapToGrid w:val="0"/>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具备支持接入其他系统、平台的功能</w:t>
            </w:r>
          </w:p>
        </w:tc>
        <w:tc>
          <w:tcPr>
            <w:tcW w:w="1275" w:type="dxa"/>
            <w:vAlign w:val="center"/>
          </w:tcPr>
          <w:p>
            <w:pPr>
              <w:autoSpaceDE/>
              <w:autoSpaceDN/>
              <w:snapToGrid w:val="0"/>
              <w:jc w:val="center"/>
              <w:rPr>
                <w:rFonts w:ascii="仿宋" w:hAnsi="仿宋" w:eastAsia="仿宋" w:cs="Times New Roman"/>
                <w:color w:val="000000"/>
                <w:kern w:val="2"/>
                <w:sz w:val="21"/>
                <w:szCs w:val="21"/>
              </w:rPr>
            </w:pPr>
          </w:p>
        </w:tc>
        <w:tc>
          <w:tcPr>
            <w:tcW w:w="1276" w:type="dxa"/>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1231"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653" w:type="dxa"/>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物联网接入功能</w:t>
            </w:r>
          </w:p>
        </w:tc>
        <w:tc>
          <w:tcPr>
            <w:tcW w:w="4025" w:type="dxa"/>
            <w:vAlign w:val="center"/>
          </w:tcPr>
          <w:p>
            <w:pPr>
              <w:autoSpaceDE/>
              <w:autoSpaceDN/>
              <w:snapToGrid w:val="0"/>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具备施工现场各类物联网监测设备的接口支撑功能</w:t>
            </w:r>
          </w:p>
        </w:tc>
        <w:tc>
          <w:tcPr>
            <w:tcW w:w="1275" w:type="dxa"/>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w:t>
            </w:r>
          </w:p>
        </w:tc>
        <w:tc>
          <w:tcPr>
            <w:tcW w:w="1276" w:type="dxa"/>
            <w:vAlign w:val="center"/>
          </w:tcPr>
          <w:p>
            <w:pPr>
              <w:autoSpaceDE/>
              <w:autoSpaceDN/>
              <w:adjustRightInd/>
              <w:jc w:val="center"/>
              <w:rPr>
                <w:rFonts w:ascii="仿宋" w:hAnsi="仿宋" w:eastAsia="仿宋" w:cs="Times New Roman"/>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1231"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653" w:type="dxa"/>
            <w:vMerge w:val="restart"/>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地理信息系统</w:t>
            </w:r>
          </w:p>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功能</w:t>
            </w:r>
          </w:p>
        </w:tc>
        <w:tc>
          <w:tcPr>
            <w:tcW w:w="4025" w:type="dxa"/>
            <w:vAlign w:val="center"/>
          </w:tcPr>
          <w:p>
            <w:pPr>
              <w:autoSpaceDE/>
              <w:autoSpaceDN/>
              <w:snapToGrid w:val="0"/>
              <w:jc w:val="both"/>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提供空间数据管理功能，包括但不限于图形管理、属性管理、拓扑管理、状态管理</w:t>
            </w:r>
          </w:p>
        </w:tc>
        <w:tc>
          <w:tcPr>
            <w:tcW w:w="1275" w:type="dxa"/>
            <w:vAlign w:val="center"/>
          </w:tcPr>
          <w:p>
            <w:pPr>
              <w:autoSpaceDE/>
              <w:autoSpaceDN/>
              <w:snapToGrid w:val="0"/>
              <w:jc w:val="center"/>
              <w:rPr>
                <w:rFonts w:ascii="仿宋" w:hAnsi="仿宋" w:eastAsia="仿宋" w:cs="Times New Roman"/>
                <w:color w:val="000000"/>
                <w:kern w:val="2"/>
                <w:sz w:val="21"/>
                <w:szCs w:val="21"/>
              </w:rPr>
            </w:pPr>
          </w:p>
        </w:tc>
        <w:tc>
          <w:tcPr>
            <w:tcW w:w="1276" w:type="dxa"/>
            <w:vAlign w:val="center"/>
          </w:tcPr>
          <w:p>
            <w:pPr>
              <w:autoSpaceDE/>
              <w:autoSpaceDN/>
              <w:adjustRightInd/>
              <w:jc w:val="center"/>
              <w:rPr>
                <w:rFonts w:asciiTheme="minorHAnsi" w:hAnsiTheme="minorHAnsi" w:eastAsiaTheme="minorEastAsia" w:cstheme="minorBidi"/>
                <w:kern w:val="2"/>
                <w:sz w:val="21"/>
                <w:szCs w:val="21"/>
              </w:rPr>
            </w:pPr>
            <w:r>
              <w:rPr>
                <w:rFonts w:hint="eastAsia" w:ascii="仿宋" w:hAnsi="仿宋" w:eastAsia="仿宋" w:cs="Times New Roman"/>
                <w:color w:val="000000"/>
                <w:kern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1231"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653"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4025" w:type="dxa"/>
            <w:vAlign w:val="center"/>
          </w:tcPr>
          <w:p>
            <w:pPr>
              <w:autoSpaceDE/>
              <w:autoSpaceDN/>
              <w:snapToGrid w:val="0"/>
              <w:jc w:val="both"/>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提供数据提取和转换功能，包括但不限于参数提取、坐标变换、格式转换</w:t>
            </w:r>
          </w:p>
        </w:tc>
        <w:tc>
          <w:tcPr>
            <w:tcW w:w="1275" w:type="dxa"/>
            <w:vAlign w:val="center"/>
          </w:tcPr>
          <w:p>
            <w:pPr>
              <w:autoSpaceDE/>
              <w:autoSpaceDN/>
              <w:snapToGrid w:val="0"/>
              <w:jc w:val="center"/>
              <w:rPr>
                <w:rFonts w:ascii="仿宋" w:hAnsi="仿宋" w:eastAsia="仿宋" w:cs="Times New Roman"/>
                <w:color w:val="000000"/>
                <w:kern w:val="2"/>
                <w:sz w:val="21"/>
                <w:szCs w:val="21"/>
              </w:rPr>
            </w:pPr>
          </w:p>
        </w:tc>
        <w:tc>
          <w:tcPr>
            <w:tcW w:w="1276" w:type="dxa"/>
            <w:vAlign w:val="center"/>
          </w:tcPr>
          <w:p>
            <w:pPr>
              <w:autoSpaceDE/>
              <w:autoSpaceDN/>
              <w:adjustRightInd/>
              <w:jc w:val="center"/>
              <w:rPr>
                <w:rFonts w:asciiTheme="minorHAnsi" w:hAnsiTheme="minorHAnsi" w:eastAsiaTheme="minorEastAsia" w:cstheme="minorBidi"/>
                <w:kern w:val="2"/>
                <w:sz w:val="21"/>
                <w:szCs w:val="21"/>
              </w:rPr>
            </w:pPr>
            <w:r>
              <w:rPr>
                <w:rFonts w:hint="eastAsia" w:ascii="仿宋" w:hAnsi="仿宋" w:eastAsia="仿宋" w:cs="Times New Roman"/>
                <w:color w:val="000000"/>
                <w:kern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1231"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653"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4025" w:type="dxa"/>
            <w:vAlign w:val="center"/>
          </w:tcPr>
          <w:p>
            <w:pPr>
              <w:autoSpaceDE/>
              <w:autoSpaceDN/>
              <w:snapToGrid w:val="0"/>
              <w:jc w:val="both"/>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具备三维数据管理、三维数据分析能力</w:t>
            </w:r>
          </w:p>
        </w:tc>
        <w:tc>
          <w:tcPr>
            <w:tcW w:w="1275" w:type="dxa"/>
            <w:vAlign w:val="center"/>
          </w:tcPr>
          <w:p>
            <w:pPr>
              <w:autoSpaceDE/>
              <w:autoSpaceDN/>
              <w:snapToGrid w:val="0"/>
              <w:jc w:val="center"/>
              <w:rPr>
                <w:rFonts w:ascii="仿宋" w:hAnsi="仿宋" w:eastAsia="仿宋" w:cs="Times New Roman"/>
                <w:color w:val="000000"/>
                <w:kern w:val="2"/>
                <w:sz w:val="21"/>
                <w:szCs w:val="21"/>
              </w:rPr>
            </w:pPr>
          </w:p>
        </w:tc>
        <w:tc>
          <w:tcPr>
            <w:tcW w:w="1276" w:type="dxa"/>
            <w:vAlign w:val="center"/>
          </w:tcPr>
          <w:p>
            <w:pPr>
              <w:autoSpaceDE/>
              <w:autoSpaceDN/>
              <w:adjustRightInd/>
              <w:jc w:val="center"/>
              <w:rPr>
                <w:rFonts w:asciiTheme="minorHAnsi" w:hAnsiTheme="minorHAnsi" w:eastAsiaTheme="minorEastAsia" w:cstheme="minorBidi"/>
                <w:kern w:val="2"/>
                <w:sz w:val="21"/>
                <w:szCs w:val="21"/>
              </w:rPr>
            </w:pPr>
            <w:r>
              <w:rPr>
                <w:rFonts w:hint="eastAsia" w:ascii="仿宋" w:hAnsi="仿宋" w:eastAsia="仿宋" w:cs="Times New Roman"/>
                <w:color w:val="000000"/>
                <w:kern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Merge w:val="restart"/>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3</w:t>
            </w:r>
          </w:p>
        </w:tc>
        <w:tc>
          <w:tcPr>
            <w:tcW w:w="1231" w:type="dxa"/>
            <w:vMerge w:val="restart"/>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技术平台</w:t>
            </w:r>
          </w:p>
        </w:tc>
        <w:tc>
          <w:tcPr>
            <w:tcW w:w="653" w:type="dxa"/>
            <w:vMerge w:val="restart"/>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三维</w:t>
            </w:r>
          </w:p>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功能</w:t>
            </w:r>
          </w:p>
        </w:tc>
        <w:tc>
          <w:tcPr>
            <w:tcW w:w="4025" w:type="dxa"/>
            <w:vAlign w:val="center"/>
          </w:tcPr>
          <w:p>
            <w:pPr>
              <w:autoSpaceDE/>
              <w:autoSpaceDN/>
              <w:snapToGrid w:val="0"/>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具备支撑工程信息共享的三维信息交换接口能力，实现三维可视化模型的导入、导出</w:t>
            </w:r>
          </w:p>
        </w:tc>
        <w:tc>
          <w:tcPr>
            <w:tcW w:w="1275" w:type="dxa"/>
            <w:vAlign w:val="center"/>
          </w:tcPr>
          <w:p>
            <w:pPr>
              <w:autoSpaceDE/>
              <w:autoSpaceDN/>
              <w:adjustRightInd/>
              <w:jc w:val="center"/>
              <w:rPr>
                <w:rFonts w:asciiTheme="minorHAnsi" w:hAnsiTheme="minorHAnsi" w:eastAsiaTheme="minorEastAsia" w:cstheme="minorBidi"/>
                <w:kern w:val="2"/>
                <w:sz w:val="21"/>
                <w:szCs w:val="21"/>
              </w:rPr>
            </w:pPr>
            <w:r>
              <w:rPr>
                <w:rFonts w:hint="eastAsia" w:ascii="仿宋" w:hAnsi="仿宋" w:eastAsia="仿宋" w:cs="Times New Roman"/>
                <w:color w:val="000000"/>
                <w:kern w:val="2"/>
                <w:sz w:val="21"/>
                <w:szCs w:val="21"/>
              </w:rPr>
              <w:t>√</w:t>
            </w:r>
          </w:p>
        </w:tc>
        <w:tc>
          <w:tcPr>
            <w:tcW w:w="1276" w:type="dxa"/>
            <w:vAlign w:val="center"/>
          </w:tcPr>
          <w:p>
            <w:pPr>
              <w:autoSpaceDE/>
              <w:autoSpaceDN/>
              <w:adjustRightInd/>
              <w:jc w:val="center"/>
              <w:rPr>
                <w:rFonts w:ascii="仿宋" w:hAnsi="仿宋" w:eastAsia="仿宋" w:cs="Times New Roman"/>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1231"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653"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4025" w:type="dxa"/>
            <w:vAlign w:val="center"/>
          </w:tcPr>
          <w:p>
            <w:pPr>
              <w:autoSpaceDE/>
              <w:autoSpaceDN/>
              <w:snapToGrid w:val="0"/>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具备三维可视化模型浏览展示能力</w:t>
            </w:r>
          </w:p>
        </w:tc>
        <w:tc>
          <w:tcPr>
            <w:tcW w:w="1275" w:type="dxa"/>
            <w:vAlign w:val="center"/>
          </w:tcPr>
          <w:p>
            <w:pPr>
              <w:autoSpaceDE/>
              <w:autoSpaceDN/>
              <w:adjustRightInd/>
              <w:jc w:val="center"/>
              <w:rPr>
                <w:rFonts w:asciiTheme="minorHAnsi" w:hAnsiTheme="minorHAnsi" w:eastAsiaTheme="minorEastAsia" w:cstheme="minorBidi"/>
                <w:kern w:val="2"/>
                <w:sz w:val="21"/>
                <w:szCs w:val="21"/>
              </w:rPr>
            </w:pPr>
            <w:r>
              <w:rPr>
                <w:rFonts w:hint="eastAsia" w:ascii="仿宋" w:hAnsi="仿宋" w:eastAsia="仿宋" w:cs="Times New Roman"/>
                <w:color w:val="000000"/>
                <w:kern w:val="2"/>
                <w:sz w:val="21"/>
                <w:szCs w:val="21"/>
              </w:rPr>
              <w:t>√</w:t>
            </w:r>
          </w:p>
        </w:tc>
        <w:tc>
          <w:tcPr>
            <w:tcW w:w="1276" w:type="dxa"/>
            <w:vAlign w:val="center"/>
          </w:tcPr>
          <w:p>
            <w:pPr>
              <w:autoSpaceDE/>
              <w:autoSpaceDN/>
              <w:adjustRightInd/>
              <w:jc w:val="center"/>
              <w:rPr>
                <w:rFonts w:ascii="仿宋" w:hAnsi="仿宋" w:eastAsia="仿宋" w:cs="Times New Roman"/>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1231"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653"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4025" w:type="dxa"/>
            <w:vAlign w:val="center"/>
          </w:tcPr>
          <w:p>
            <w:pPr>
              <w:autoSpaceDE/>
              <w:autoSpaceDN/>
              <w:snapToGrid w:val="0"/>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具备三维可视化模型与技术资料关联展示能力</w:t>
            </w:r>
          </w:p>
        </w:tc>
        <w:tc>
          <w:tcPr>
            <w:tcW w:w="1275" w:type="dxa"/>
            <w:vAlign w:val="center"/>
          </w:tcPr>
          <w:p>
            <w:pPr>
              <w:autoSpaceDE/>
              <w:autoSpaceDN/>
              <w:adjustRightInd/>
              <w:jc w:val="center"/>
              <w:rPr>
                <w:rFonts w:asciiTheme="minorHAnsi" w:hAnsiTheme="minorHAnsi" w:eastAsiaTheme="minorEastAsia" w:cstheme="minorBidi"/>
                <w:kern w:val="2"/>
                <w:sz w:val="21"/>
                <w:szCs w:val="21"/>
              </w:rPr>
            </w:pPr>
            <w:r>
              <w:rPr>
                <w:rFonts w:hint="eastAsia" w:ascii="仿宋" w:hAnsi="仿宋" w:eastAsia="仿宋" w:cs="Times New Roman"/>
                <w:color w:val="000000"/>
                <w:kern w:val="2"/>
                <w:sz w:val="21"/>
                <w:szCs w:val="21"/>
              </w:rPr>
              <w:t>√</w:t>
            </w:r>
          </w:p>
        </w:tc>
        <w:tc>
          <w:tcPr>
            <w:tcW w:w="1276" w:type="dxa"/>
            <w:vAlign w:val="center"/>
          </w:tcPr>
          <w:p>
            <w:pPr>
              <w:autoSpaceDE/>
              <w:autoSpaceDN/>
              <w:adjustRightInd/>
              <w:jc w:val="center"/>
              <w:rPr>
                <w:rFonts w:ascii="仿宋" w:hAnsi="仿宋" w:eastAsia="仿宋" w:cs="Times New Roman"/>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1231"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653"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4025" w:type="dxa"/>
            <w:vAlign w:val="center"/>
          </w:tcPr>
          <w:p>
            <w:pPr>
              <w:autoSpaceDE/>
              <w:autoSpaceDN/>
              <w:snapToGrid w:val="0"/>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具备三维可视化模型与采集信息关联展示能力</w:t>
            </w:r>
          </w:p>
        </w:tc>
        <w:tc>
          <w:tcPr>
            <w:tcW w:w="1275" w:type="dxa"/>
            <w:vAlign w:val="center"/>
          </w:tcPr>
          <w:p>
            <w:pPr>
              <w:autoSpaceDE/>
              <w:autoSpaceDN/>
              <w:snapToGrid w:val="0"/>
              <w:jc w:val="center"/>
              <w:rPr>
                <w:rFonts w:ascii="仿宋" w:hAnsi="仿宋" w:eastAsia="仿宋" w:cs="Times New Roman"/>
                <w:color w:val="000000"/>
                <w:kern w:val="2"/>
                <w:sz w:val="21"/>
                <w:szCs w:val="21"/>
              </w:rPr>
            </w:pPr>
          </w:p>
        </w:tc>
        <w:tc>
          <w:tcPr>
            <w:tcW w:w="1276" w:type="dxa"/>
            <w:vAlign w:val="center"/>
          </w:tcPr>
          <w:p>
            <w:pPr>
              <w:autoSpaceDE/>
              <w:autoSpaceDN/>
              <w:adjustRightInd/>
              <w:jc w:val="center"/>
              <w:rPr>
                <w:rFonts w:asciiTheme="minorHAnsi" w:hAnsiTheme="minorHAnsi" w:eastAsiaTheme="minorEastAsia" w:cstheme="minorBidi"/>
                <w:kern w:val="2"/>
                <w:sz w:val="21"/>
                <w:szCs w:val="21"/>
              </w:rPr>
            </w:pPr>
            <w:r>
              <w:rPr>
                <w:rFonts w:hint="eastAsia" w:ascii="仿宋" w:hAnsi="仿宋" w:eastAsia="仿宋" w:cs="Times New Roman"/>
                <w:color w:val="000000"/>
                <w:kern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1231"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653"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4025" w:type="dxa"/>
            <w:vAlign w:val="center"/>
          </w:tcPr>
          <w:p>
            <w:pPr>
              <w:autoSpaceDE/>
              <w:autoSpaceDN/>
              <w:snapToGrid w:val="0"/>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具备轻量化模型的多方在线协作能力</w:t>
            </w:r>
          </w:p>
        </w:tc>
        <w:tc>
          <w:tcPr>
            <w:tcW w:w="1275" w:type="dxa"/>
            <w:vAlign w:val="center"/>
          </w:tcPr>
          <w:p>
            <w:pPr>
              <w:autoSpaceDE/>
              <w:autoSpaceDN/>
              <w:snapToGrid w:val="0"/>
              <w:jc w:val="center"/>
              <w:rPr>
                <w:rFonts w:ascii="仿宋" w:hAnsi="仿宋" w:eastAsia="仿宋" w:cs="Times New Roman"/>
                <w:color w:val="000000"/>
                <w:kern w:val="2"/>
                <w:sz w:val="21"/>
                <w:szCs w:val="21"/>
              </w:rPr>
            </w:pPr>
          </w:p>
        </w:tc>
        <w:tc>
          <w:tcPr>
            <w:tcW w:w="1276" w:type="dxa"/>
            <w:vAlign w:val="center"/>
          </w:tcPr>
          <w:p>
            <w:pPr>
              <w:autoSpaceDE/>
              <w:autoSpaceDN/>
              <w:adjustRightInd/>
              <w:jc w:val="center"/>
              <w:rPr>
                <w:rFonts w:asciiTheme="minorHAnsi" w:hAnsiTheme="minorHAnsi" w:eastAsiaTheme="minorEastAsia" w:cstheme="minorBidi"/>
                <w:kern w:val="2"/>
                <w:sz w:val="21"/>
                <w:szCs w:val="21"/>
              </w:rPr>
            </w:pPr>
            <w:r>
              <w:rPr>
                <w:rFonts w:hint="eastAsia" w:ascii="仿宋" w:hAnsi="仿宋" w:eastAsia="仿宋" w:cs="Times New Roman"/>
                <w:color w:val="000000"/>
                <w:kern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1231"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653"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4025" w:type="dxa"/>
            <w:vAlign w:val="center"/>
          </w:tcPr>
          <w:p>
            <w:pPr>
              <w:autoSpaceDE/>
              <w:autoSpaceDN/>
              <w:snapToGrid w:val="0"/>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具备三维可视化模型与图纸联动展示能力</w:t>
            </w:r>
          </w:p>
        </w:tc>
        <w:tc>
          <w:tcPr>
            <w:tcW w:w="1275" w:type="dxa"/>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w:t>
            </w:r>
          </w:p>
        </w:tc>
        <w:tc>
          <w:tcPr>
            <w:tcW w:w="1276" w:type="dxa"/>
            <w:vAlign w:val="center"/>
          </w:tcPr>
          <w:p>
            <w:pPr>
              <w:autoSpaceDE/>
              <w:autoSpaceDN/>
              <w:adjustRightInd/>
              <w:jc w:val="center"/>
              <w:rPr>
                <w:rFonts w:ascii="仿宋" w:hAnsi="仿宋" w:eastAsia="仿宋" w:cs="Times New Roman"/>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4</w:t>
            </w:r>
          </w:p>
        </w:tc>
        <w:tc>
          <w:tcPr>
            <w:tcW w:w="1231" w:type="dxa"/>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控制机房</w:t>
            </w:r>
          </w:p>
        </w:tc>
        <w:tc>
          <w:tcPr>
            <w:tcW w:w="4678" w:type="dxa"/>
            <w:gridSpan w:val="2"/>
            <w:vAlign w:val="center"/>
          </w:tcPr>
          <w:p>
            <w:pPr>
              <w:autoSpaceDE/>
              <w:autoSpaceDN/>
              <w:snapToGrid w:val="0"/>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符合《云计算数据中心基本要求》GB/T 34982-2017第5章的规定</w:t>
            </w:r>
          </w:p>
        </w:tc>
        <w:tc>
          <w:tcPr>
            <w:tcW w:w="1275" w:type="dxa"/>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w:t>
            </w:r>
          </w:p>
        </w:tc>
        <w:tc>
          <w:tcPr>
            <w:tcW w:w="1276" w:type="dxa"/>
            <w:vAlign w:val="center"/>
          </w:tcPr>
          <w:p>
            <w:pPr>
              <w:autoSpaceDE/>
              <w:autoSpaceDN/>
              <w:adjustRightInd/>
              <w:jc w:val="center"/>
              <w:rPr>
                <w:rFonts w:ascii="仿宋" w:hAnsi="仿宋" w:eastAsia="仿宋" w:cs="Times New Roman"/>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Merge w:val="restart"/>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5</w:t>
            </w:r>
          </w:p>
        </w:tc>
        <w:tc>
          <w:tcPr>
            <w:tcW w:w="1231" w:type="dxa"/>
            <w:vMerge w:val="restart"/>
            <w:vAlign w:val="center"/>
          </w:tcPr>
          <w:p>
            <w:pPr>
              <w:autoSpaceDE/>
              <w:autoSpaceDN/>
              <w:snapToGrid w:val="0"/>
              <w:jc w:val="center"/>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信息应用终端</w:t>
            </w:r>
          </w:p>
        </w:tc>
        <w:tc>
          <w:tcPr>
            <w:tcW w:w="4678" w:type="dxa"/>
            <w:gridSpan w:val="2"/>
            <w:vAlign w:val="center"/>
          </w:tcPr>
          <w:p>
            <w:pPr>
              <w:autoSpaceDE/>
              <w:autoSpaceDN/>
              <w:snapToGrid w:val="0"/>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具有固定终端设备，并具有现场综合信息处理功能</w:t>
            </w:r>
          </w:p>
        </w:tc>
        <w:tc>
          <w:tcPr>
            <w:tcW w:w="1275" w:type="dxa"/>
            <w:vAlign w:val="center"/>
          </w:tcPr>
          <w:p>
            <w:pPr>
              <w:autoSpaceDE/>
              <w:autoSpaceDN/>
              <w:adjustRightInd/>
              <w:jc w:val="center"/>
              <w:rPr>
                <w:rFonts w:asciiTheme="minorHAnsi" w:hAnsiTheme="minorHAnsi" w:eastAsiaTheme="minorEastAsia" w:cstheme="minorBidi"/>
                <w:kern w:val="2"/>
                <w:sz w:val="21"/>
                <w:szCs w:val="21"/>
              </w:rPr>
            </w:pPr>
            <w:r>
              <w:rPr>
                <w:rFonts w:hint="eastAsia" w:ascii="仿宋" w:hAnsi="仿宋" w:eastAsia="仿宋" w:cs="Times New Roman"/>
                <w:color w:val="000000"/>
                <w:kern w:val="2"/>
                <w:sz w:val="21"/>
                <w:szCs w:val="21"/>
              </w:rPr>
              <w:t>√</w:t>
            </w:r>
          </w:p>
        </w:tc>
        <w:tc>
          <w:tcPr>
            <w:tcW w:w="1276" w:type="dxa"/>
            <w:vAlign w:val="center"/>
          </w:tcPr>
          <w:p>
            <w:pPr>
              <w:autoSpaceDE/>
              <w:autoSpaceDN/>
              <w:adjustRightInd/>
              <w:jc w:val="center"/>
              <w:rPr>
                <w:rFonts w:ascii="仿宋" w:hAnsi="仿宋" w:eastAsia="仿宋" w:cs="Times New Roman"/>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1231"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4678" w:type="dxa"/>
            <w:gridSpan w:val="2"/>
            <w:vAlign w:val="center"/>
          </w:tcPr>
          <w:p>
            <w:pPr>
              <w:autoSpaceDE/>
              <w:autoSpaceDN/>
              <w:snapToGrid w:val="0"/>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具有移动终端设备，并具有现场识别、监测、管理、控制等信息处理功能</w:t>
            </w:r>
          </w:p>
        </w:tc>
        <w:tc>
          <w:tcPr>
            <w:tcW w:w="1275" w:type="dxa"/>
            <w:vAlign w:val="center"/>
          </w:tcPr>
          <w:p>
            <w:pPr>
              <w:autoSpaceDE/>
              <w:autoSpaceDN/>
              <w:adjustRightInd/>
              <w:jc w:val="center"/>
              <w:rPr>
                <w:rFonts w:asciiTheme="minorHAnsi" w:hAnsiTheme="minorHAnsi" w:eastAsiaTheme="minorEastAsia" w:cstheme="minorBidi"/>
                <w:kern w:val="2"/>
                <w:sz w:val="21"/>
                <w:szCs w:val="21"/>
              </w:rPr>
            </w:pPr>
            <w:r>
              <w:rPr>
                <w:rFonts w:hint="eastAsia" w:ascii="仿宋" w:hAnsi="仿宋" w:eastAsia="仿宋" w:cs="Times New Roman"/>
                <w:color w:val="000000"/>
                <w:kern w:val="2"/>
                <w:sz w:val="21"/>
                <w:szCs w:val="21"/>
              </w:rPr>
              <w:t>√</w:t>
            </w:r>
          </w:p>
        </w:tc>
        <w:tc>
          <w:tcPr>
            <w:tcW w:w="1276" w:type="dxa"/>
            <w:vAlign w:val="center"/>
          </w:tcPr>
          <w:p>
            <w:pPr>
              <w:autoSpaceDE/>
              <w:autoSpaceDN/>
              <w:adjustRightInd/>
              <w:jc w:val="center"/>
              <w:rPr>
                <w:rFonts w:ascii="仿宋" w:hAnsi="仿宋" w:eastAsia="仿宋" w:cs="Times New Roman"/>
                <w:color w:val="000000"/>
                <w:kern w:val="2"/>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1231"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4678" w:type="dxa"/>
            <w:gridSpan w:val="2"/>
            <w:vAlign w:val="center"/>
          </w:tcPr>
          <w:p>
            <w:pPr>
              <w:autoSpaceDE/>
              <w:autoSpaceDN/>
              <w:snapToGrid w:val="0"/>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具有语音广播设备并构建公共广播系统，提供信息广播功能</w:t>
            </w:r>
          </w:p>
        </w:tc>
        <w:tc>
          <w:tcPr>
            <w:tcW w:w="1275" w:type="dxa"/>
            <w:vAlign w:val="center"/>
          </w:tcPr>
          <w:p>
            <w:pPr>
              <w:autoSpaceDE/>
              <w:autoSpaceDN/>
              <w:snapToGrid w:val="0"/>
              <w:jc w:val="center"/>
              <w:rPr>
                <w:rFonts w:ascii="仿宋" w:hAnsi="仿宋" w:eastAsia="仿宋" w:cs="Times New Roman"/>
                <w:color w:val="000000"/>
                <w:kern w:val="2"/>
                <w:sz w:val="21"/>
                <w:szCs w:val="21"/>
              </w:rPr>
            </w:pPr>
          </w:p>
        </w:tc>
        <w:tc>
          <w:tcPr>
            <w:tcW w:w="1276" w:type="dxa"/>
            <w:vAlign w:val="center"/>
          </w:tcPr>
          <w:p>
            <w:pPr>
              <w:autoSpaceDE/>
              <w:autoSpaceDN/>
              <w:adjustRightInd/>
              <w:jc w:val="center"/>
              <w:rPr>
                <w:rFonts w:asciiTheme="minorHAnsi" w:hAnsiTheme="minorHAnsi" w:eastAsiaTheme="minorEastAsia" w:cstheme="minorBidi"/>
                <w:kern w:val="2"/>
                <w:sz w:val="21"/>
                <w:szCs w:val="21"/>
              </w:rPr>
            </w:pPr>
            <w:r>
              <w:rPr>
                <w:rFonts w:hint="eastAsia" w:ascii="仿宋" w:hAnsi="仿宋" w:eastAsia="仿宋" w:cs="Times New Roman"/>
                <w:color w:val="000000"/>
                <w:kern w:val="2"/>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62"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1231" w:type="dxa"/>
            <w:vMerge w:val="continue"/>
            <w:vAlign w:val="center"/>
          </w:tcPr>
          <w:p>
            <w:pPr>
              <w:autoSpaceDE/>
              <w:autoSpaceDN/>
              <w:snapToGrid w:val="0"/>
              <w:jc w:val="center"/>
              <w:rPr>
                <w:rFonts w:ascii="仿宋" w:hAnsi="仿宋" w:eastAsia="仿宋" w:cs="Times New Roman"/>
                <w:color w:val="000000"/>
                <w:kern w:val="2"/>
                <w:sz w:val="21"/>
                <w:szCs w:val="21"/>
              </w:rPr>
            </w:pPr>
          </w:p>
        </w:tc>
        <w:tc>
          <w:tcPr>
            <w:tcW w:w="4678" w:type="dxa"/>
            <w:gridSpan w:val="2"/>
            <w:vAlign w:val="center"/>
          </w:tcPr>
          <w:p>
            <w:pPr>
              <w:autoSpaceDE/>
              <w:autoSpaceDN/>
              <w:snapToGrid w:val="0"/>
              <w:rPr>
                <w:rFonts w:ascii="仿宋" w:hAnsi="仿宋" w:eastAsia="仿宋" w:cs="Times New Roman"/>
                <w:color w:val="000000"/>
                <w:kern w:val="2"/>
                <w:sz w:val="21"/>
                <w:szCs w:val="21"/>
              </w:rPr>
            </w:pPr>
            <w:r>
              <w:rPr>
                <w:rFonts w:hint="eastAsia" w:ascii="仿宋" w:hAnsi="仿宋" w:eastAsia="仿宋" w:cs="Times New Roman"/>
                <w:color w:val="000000"/>
                <w:kern w:val="2"/>
                <w:sz w:val="21"/>
                <w:szCs w:val="21"/>
              </w:rPr>
              <w:t>具有设置固定电子屏并构建信息发布系统， 提供信息检索、信息查询、信息推送等功能</w:t>
            </w:r>
          </w:p>
        </w:tc>
        <w:tc>
          <w:tcPr>
            <w:tcW w:w="1275" w:type="dxa"/>
            <w:vAlign w:val="center"/>
          </w:tcPr>
          <w:p>
            <w:pPr>
              <w:autoSpaceDE/>
              <w:autoSpaceDN/>
              <w:snapToGrid w:val="0"/>
              <w:jc w:val="center"/>
              <w:rPr>
                <w:rFonts w:ascii="仿宋" w:hAnsi="仿宋" w:eastAsia="仿宋" w:cs="Times New Roman"/>
                <w:color w:val="000000"/>
                <w:kern w:val="2"/>
                <w:sz w:val="21"/>
                <w:szCs w:val="21"/>
              </w:rPr>
            </w:pPr>
          </w:p>
        </w:tc>
        <w:tc>
          <w:tcPr>
            <w:tcW w:w="1276" w:type="dxa"/>
            <w:vAlign w:val="center"/>
          </w:tcPr>
          <w:p>
            <w:pPr>
              <w:autoSpaceDE/>
              <w:autoSpaceDN/>
              <w:adjustRightInd/>
              <w:jc w:val="center"/>
              <w:rPr>
                <w:rFonts w:asciiTheme="minorHAnsi" w:hAnsiTheme="minorHAnsi" w:eastAsiaTheme="minorEastAsia" w:cstheme="minorBidi"/>
                <w:kern w:val="2"/>
                <w:sz w:val="21"/>
                <w:szCs w:val="21"/>
              </w:rPr>
            </w:pPr>
            <w:r>
              <w:rPr>
                <w:rFonts w:hint="eastAsia" w:ascii="仿宋" w:hAnsi="仿宋" w:eastAsia="仿宋" w:cs="Times New Roman"/>
                <w:color w:val="000000"/>
                <w:kern w:val="2"/>
                <w:sz w:val="21"/>
                <w:szCs w:val="21"/>
              </w:rPr>
              <w:t>√</w:t>
            </w:r>
          </w:p>
        </w:tc>
      </w:tr>
    </w:tbl>
    <w:p>
      <w:pPr>
        <w:tabs>
          <w:tab w:val="left" w:pos="859"/>
        </w:tabs>
        <w:overflowPunct w:val="0"/>
        <w:spacing w:before="120" w:beforeLines="50" w:after="120" w:afterLines="50" w:line="278" w:lineRule="auto"/>
        <w:ind w:left="571" w:leftChars="164" w:right="215" w:hanging="210" w:hangingChars="100"/>
        <w:rPr>
          <w:sz w:val="21"/>
          <w:szCs w:val="21"/>
        </w:rPr>
      </w:pPr>
    </w:p>
    <w:p>
      <w:pPr>
        <w:widowControl/>
        <w:autoSpaceDE/>
        <w:autoSpaceDN/>
        <w:adjustRightInd/>
        <w:rPr>
          <w:sz w:val="21"/>
          <w:szCs w:val="21"/>
        </w:rPr>
      </w:pPr>
      <w:r>
        <w:rPr>
          <w:sz w:val="21"/>
          <w:szCs w:val="21"/>
        </w:rPr>
        <w:br w:type="page"/>
      </w:r>
    </w:p>
    <w:p>
      <w:pPr>
        <w:pStyle w:val="48"/>
        <w:spacing w:before="0" w:after="0"/>
        <w:rPr>
          <w:szCs w:val="21"/>
        </w:rPr>
      </w:pPr>
      <w:bookmarkStart w:id="22" w:name="_Toc141106891"/>
      <w:r>
        <w:rPr>
          <w:rFonts w:hint="eastAsia"/>
        </w:rPr>
        <w:t>附  录  C</w:t>
      </w:r>
      <w:r>
        <w:br w:type="textWrapping"/>
      </w:r>
      <w:r>
        <w:rPr>
          <w:rFonts w:hint="eastAsia"/>
        </w:rPr>
        <w:t>（资料性附录）</w:t>
      </w:r>
      <w:r>
        <w:br w:type="textWrapping"/>
      </w:r>
      <w:r>
        <w:rPr>
          <w:rFonts w:hint="eastAsia"/>
          <w:szCs w:val="21"/>
        </w:rPr>
        <w:t>系统部署安装与运行维护</w:t>
      </w:r>
      <w:bookmarkEnd w:id="22"/>
    </w:p>
    <w:p>
      <w:pPr>
        <w:jc w:val="center"/>
        <w:rPr>
          <w:b/>
        </w:rPr>
      </w:pPr>
    </w:p>
    <w:p>
      <w:pPr>
        <w:tabs>
          <w:tab w:val="left" w:pos="859"/>
        </w:tabs>
        <w:overflowPunct w:val="0"/>
        <w:spacing w:before="120" w:beforeLines="50" w:line="278" w:lineRule="auto"/>
        <w:ind w:left="141" w:leftChars="64" w:right="215" w:firstLine="211" w:firstLineChars="100"/>
        <w:rPr>
          <w:b/>
          <w:sz w:val="21"/>
          <w:szCs w:val="21"/>
        </w:rPr>
      </w:pPr>
      <w:r>
        <w:rPr>
          <w:rFonts w:hint="eastAsia"/>
          <w:b/>
          <w:sz w:val="21"/>
          <w:szCs w:val="21"/>
        </w:rPr>
        <w:t>C</w:t>
      </w:r>
      <w:r>
        <w:rPr>
          <w:b/>
          <w:sz w:val="21"/>
          <w:szCs w:val="21"/>
        </w:rPr>
        <w:t>.1</w:t>
      </w:r>
      <w:r>
        <w:rPr>
          <w:rFonts w:hint="eastAsia" w:ascii="Times New Roman" w:cs="Times New Roman" w:eastAsiaTheme="minorEastAsia"/>
          <w:b/>
          <w:bCs/>
        </w:rPr>
        <w:t>系统部署要求</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C.1.1智慧工地硬件设备易安装、易施工、易维护，遵循安全、稳定、安装牢固的原则。</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C.1.2智慧工地硬件设备的部署位置在高压带电设备附近时，在安全净距之外。</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C.1.3智慧工地硬件设备的安装、运行、施工、维护等不得影响工地其他设备的运行及维护。</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C.1.4智慧工地监控设备部署做到重点区域监控全覆盖，包括工地主要出入口，主干道路，现场周界，工人活动室，办公区，制高点，施工危险区域，堆料库房等。</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C.1.5智慧工地监控设备选择视野无遮挡的位置安装，尽可能避免摄像机逆光安装。</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C.1.6智慧工地身份识别设备部署在工地主要出入口位置或其他人员权限管控区域。</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C.1.7智慧工地车辆识别设备部署在施工工地车辆主要出入口位置或重点道路，识别和判断工地现场行驶车辆的车牌和速度。</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C.1.8智慧工地环境监测设备部署在环境影响变化显著的区域，应避开高大建筑物、树木或其他障碍物的遮挡，应避免强电磁干扰。</w:t>
      </w:r>
    </w:p>
    <w:p>
      <w:pPr>
        <w:tabs>
          <w:tab w:val="left" w:pos="859"/>
        </w:tabs>
        <w:overflowPunct w:val="0"/>
        <w:spacing w:before="120" w:beforeLines="50" w:line="278" w:lineRule="auto"/>
        <w:ind w:left="141" w:leftChars="64" w:right="215" w:firstLine="211" w:firstLineChars="100"/>
        <w:rPr>
          <w:b/>
          <w:sz w:val="21"/>
          <w:szCs w:val="21"/>
        </w:rPr>
      </w:pPr>
      <w:r>
        <w:rPr>
          <w:rFonts w:hint="eastAsia"/>
          <w:b/>
          <w:sz w:val="21"/>
          <w:szCs w:val="21"/>
        </w:rPr>
        <w:t>C.2安装要求</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C.2.1智慧工地通信设备安装符合现场安装的规范性和安全性，采用壁挂式或机柜式安装方式。</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C.2.2智慧工地监控设备根据现场的覆盖范围，做固定安装；当监控设备无合适安装点时，立杆安装。</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C.2.3室外安装的智慧工地监控设备具备防雷保护措施。监控设备与立杆绝缘，严禁接地。</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C.2.4智慧工地硬件设备安装位置稳固、不晃动，安装位置及高度不易受外界干扰和破坏，且不应阻碍现场设备运行和人员、车辆通行。</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C.2.5室外安装的智慧工地设备设置防水、防抖、防攀爬和防腐措施。</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C.2.</w:t>
      </w:r>
      <w:r>
        <w:rPr>
          <w:sz w:val="21"/>
          <w:szCs w:val="21"/>
        </w:rPr>
        <w:t>6智慧工地</w:t>
      </w:r>
      <w:r>
        <w:rPr>
          <w:rFonts w:hint="eastAsia"/>
          <w:sz w:val="21"/>
          <w:szCs w:val="21"/>
        </w:rPr>
        <w:t>硬件设备采取防止外部干扰信号侵入的措施。</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C.2.</w:t>
      </w:r>
      <w:r>
        <w:rPr>
          <w:sz w:val="21"/>
          <w:szCs w:val="21"/>
        </w:rPr>
        <w:t>7智慧工地</w:t>
      </w:r>
      <w:r>
        <w:rPr>
          <w:rFonts w:hint="eastAsia"/>
          <w:sz w:val="21"/>
          <w:szCs w:val="21"/>
        </w:rPr>
        <w:t>硬件设备有工作接地和外壳接地，并具有明显标识。</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C.2.</w:t>
      </w:r>
      <w:r>
        <w:rPr>
          <w:sz w:val="21"/>
          <w:szCs w:val="21"/>
        </w:rPr>
        <w:t>8智慧工地设备</w:t>
      </w:r>
      <w:r>
        <w:rPr>
          <w:rFonts w:hint="eastAsia"/>
          <w:sz w:val="21"/>
          <w:szCs w:val="21"/>
        </w:rPr>
        <w:t>现场电缆铺设支架齐全、油漆完整，电缆、电压符合设计要求，电缆绝缘良好。</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C.2.</w:t>
      </w:r>
      <w:r>
        <w:rPr>
          <w:sz w:val="21"/>
          <w:szCs w:val="21"/>
        </w:rPr>
        <w:t>9智慧工地设备</w:t>
      </w:r>
      <w:r>
        <w:rPr>
          <w:rFonts w:hint="eastAsia"/>
          <w:sz w:val="21"/>
          <w:szCs w:val="21"/>
        </w:rPr>
        <w:t>电缆埋线遵循电力电缆与控制电缆分开排列，其两端均接地的要求。</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C.2.1</w:t>
      </w:r>
      <w:r>
        <w:rPr>
          <w:sz w:val="21"/>
          <w:szCs w:val="21"/>
        </w:rPr>
        <w:t>0智慧工地设备</w:t>
      </w:r>
      <w:r>
        <w:rPr>
          <w:rFonts w:hint="eastAsia"/>
          <w:sz w:val="21"/>
          <w:szCs w:val="21"/>
        </w:rPr>
        <w:t>电缆埋线位置设置明显标识。</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C.2.1</w:t>
      </w:r>
      <w:r>
        <w:rPr>
          <w:sz w:val="21"/>
          <w:szCs w:val="21"/>
        </w:rPr>
        <w:t>1智慧工地设备</w:t>
      </w:r>
      <w:r>
        <w:rPr>
          <w:rFonts w:hint="eastAsia"/>
          <w:sz w:val="21"/>
          <w:szCs w:val="21"/>
        </w:rPr>
        <w:t>线缆布线安全、可靠、规范、合理，接线端预留适当余量、不得拉紧。</w:t>
      </w:r>
    </w:p>
    <w:p>
      <w:pPr>
        <w:tabs>
          <w:tab w:val="left" w:pos="859"/>
        </w:tabs>
        <w:overflowPunct w:val="0"/>
        <w:spacing w:before="120" w:beforeLines="50" w:line="278" w:lineRule="auto"/>
        <w:ind w:left="141" w:leftChars="64" w:right="215" w:firstLine="211" w:firstLineChars="100"/>
        <w:rPr>
          <w:b/>
          <w:sz w:val="21"/>
          <w:szCs w:val="21"/>
        </w:rPr>
      </w:pPr>
      <w:r>
        <w:rPr>
          <w:rFonts w:hint="eastAsia"/>
          <w:b/>
          <w:sz w:val="21"/>
          <w:szCs w:val="21"/>
        </w:rPr>
        <w:t>C.3运行维护要求</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C.3.1定期对智慧工地硬件设备的运行状态及近期维修过的设备进行复检，保障设施设备正常运转。</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C.3.2定期对智慧工地网络线路进行检查与测试。</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C.3.3定期对智慧工地设备内外部进行清洁工作。</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C.3.4定期检查智慧工地硬件设备备件数量是否满足相应系统最低运行要求，以满足智慧工地管理平台和政府监管系统的数据采集和共享要求。</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C.3.5配备专业资格技术服务人员，确保设备的运行维护工作。</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C.3.6运维服务配套运维服务管理软件，实时查询运维现场工作内容。</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C.3.7运维服务确保48小时内响应解决现场系统、设备技术问题。</w:t>
      </w:r>
    </w:p>
    <w:p>
      <w:pPr>
        <w:tabs>
          <w:tab w:val="left" w:pos="859"/>
        </w:tabs>
        <w:overflowPunct w:val="0"/>
        <w:spacing w:before="120" w:beforeLines="50" w:line="278" w:lineRule="auto"/>
        <w:ind w:left="141" w:leftChars="64" w:right="215" w:firstLine="210" w:firstLineChars="100"/>
        <w:rPr>
          <w:sz w:val="21"/>
          <w:szCs w:val="21"/>
        </w:rPr>
      </w:pPr>
      <w:r>
        <w:rPr>
          <w:rFonts w:hint="eastAsia"/>
          <w:sz w:val="21"/>
          <w:szCs w:val="21"/>
        </w:rPr>
        <w:t>C.3.8依据工地实际施工进度，制定设备运维工作计划，保证相关设备运行正常。</w:t>
      </w:r>
    </w:p>
    <w:p>
      <w:pPr>
        <w:rPr>
          <w:sz w:val="21"/>
          <w:szCs w:val="21"/>
        </w:rPr>
      </w:pPr>
    </w:p>
    <w:sectPr>
      <w:headerReference r:id="rId8" w:type="even"/>
      <w:footerReference r:id="rId9" w:type="even"/>
      <w:pgSz w:w="11910" w:h="16840"/>
      <w:pgMar w:top="1080" w:right="1580" w:bottom="280" w:left="1680" w:header="567" w:footer="567"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7925691"/>
      <w:docPartObj>
        <w:docPartGallery w:val="autotext"/>
      </w:docPartObj>
    </w:sdtPr>
    <w:sdtContent>
      <w:p>
        <w:pPr>
          <w:pStyle w:val="16"/>
          <w:jc w:val="center"/>
        </w:pPr>
        <w:r>
          <w:fldChar w:fldCharType="begin"/>
        </w:r>
        <w:r>
          <w:instrText xml:space="preserve">PAGE   \* MERGEFORMAT</w:instrText>
        </w:r>
        <w:r>
          <w:fldChar w:fldCharType="separate"/>
        </w:r>
        <w:r>
          <w:rPr>
            <w:lang w:val="zh-CN"/>
          </w:rPr>
          <w:t>11</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5347366"/>
      <w:docPartObj>
        <w:docPartGallery w:val="autotext"/>
      </w:docPartObj>
    </w:sdtPr>
    <w:sdtContent>
      <w:p>
        <w:pPr>
          <w:pStyle w:val="16"/>
          <w:jc w:val="center"/>
        </w:pPr>
        <w:r>
          <w:fldChar w:fldCharType="begin"/>
        </w:r>
        <w:r>
          <w:instrText xml:space="preserve">PAGE   \* MERGEFORMAT</w:instrText>
        </w:r>
        <w:r>
          <w:fldChar w:fldCharType="separate"/>
        </w:r>
        <w:r>
          <w:rPr>
            <w:lang w:val="zh-CN"/>
          </w:rPr>
          <w:t>12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overflowPunct w:val="0"/>
      <w:spacing w:before="72"/>
      <w:ind w:right="213"/>
      <w:jc w:val="right"/>
    </w:pPr>
    <w:r>
      <w:rPr>
        <w:rFonts w:ascii="Times New Roman" w:cs="Times New Roman" w:eastAsiaTheme="minorEastAsia"/>
        <w:spacing w:val="-4"/>
      </w:rPr>
      <w:t>T/CEC</w:t>
    </w:r>
    <w:r>
      <w:rPr>
        <w:rFonts w:ascii="Times New Roman" w:cs="Times New Roman" w:eastAsiaTheme="minorEastAsia"/>
        <w:spacing w:val="-9"/>
      </w:rPr>
      <w:t xml:space="preserve"> </w:t>
    </w:r>
    <w:r>
      <w:rPr>
        <w:rFonts w:ascii="Times New Roman" w:cs="Times New Roman" w:eastAsiaTheme="minorEastAsia"/>
        <w:spacing w:val="-4"/>
      </w:rPr>
      <w:t>×××××</w:t>
    </w:r>
    <w:r>
      <w:rPr>
        <w:rFonts w:ascii="Times New Roman" w:cs="Times New Roman" w:eastAsiaTheme="minorEastAsia"/>
        <w:spacing w:val="21"/>
      </w:rPr>
      <w:t xml:space="preserve"> </w:t>
    </w:r>
    <w:r>
      <w:rPr>
        <w:rFonts w:ascii="Times New Roman" w:cs="Times New Roman" w:eastAsiaTheme="minorEastAsia"/>
        <w:spacing w:val="-3"/>
      </w:rPr>
      <w:t>-202</w:t>
    </w:r>
    <w:r>
      <w:rPr>
        <w:rFonts w:hint="eastAsia" w:ascii="Times New Roman" w:cs="Times New Roman" w:eastAsiaTheme="minorEastAsia"/>
        <w:spacing w:val="-3"/>
      </w:rPr>
      <w:t>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overflowPunct w:val="0"/>
      <w:spacing w:before="72"/>
      <w:ind w:right="213"/>
    </w:pPr>
    <w:r>
      <w:rPr>
        <w:rFonts w:ascii="Times New Roman" w:cs="Times New Roman" w:eastAsiaTheme="minorEastAsia"/>
        <w:spacing w:val="-4"/>
      </w:rPr>
      <w:t>T/CEC</w:t>
    </w:r>
    <w:r>
      <w:rPr>
        <w:rFonts w:ascii="Times New Roman" w:cs="Times New Roman" w:eastAsiaTheme="minorEastAsia"/>
        <w:spacing w:val="-9"/>
      </w:rPr>
      <w:t xml:space="preserve"> </w:t>
    </w:r>
    <w:r>
      <w:rPr>
        <w:rFonts w:ascii="Times New Roman" w:cs="Times New Roman" w:eastAsiaTheme="minorEastAsia"/>
        <w:spacing w:val="-4"/>
      </w:rPr>
      <w:t>×××××</w:t>
    </w:r>
    <w:r>
      <w:rPr>
        <w:rFonts w:ascii="Times New Roman" w:cs="Times New Roman" w:eastAsiaTheme="minorEastAsia"/>
        <w:spacing w:val="21"/>
      </w:rPr>
      <w:t xml:space="preserve"> </w:t>
    </w:r>
    <w:r>
      <w:rPr>
        <w:rFonts w:ascii="Times New Roman" w:cs="Times New Roman" w:eastAsiaTheme="minorEastAsia"/>
        <w:spacing w:val="-3"/>
      </w:rPr>
      <w:t>-202</w:t>
    </w:r>
    <w:r>
      <w:rPr>
        <w:rFonts w:hint="eastAsia" w:ascii="Times New Roman" w:cs="Times New Roman" w:eastAsiaTheme="minorEastAsia"/>
        <w:spacing w:val="-3"/>
      </w:rPr>
      <w:t>X</w:t>
    </w:r>
  </w:p>
  <w:p>
    <w:pPr>
      <w:pStyle w:val="2"/>
      <w:kinsoku w:val="0"/>
      <w:overflowPunct w:val="0"/>
      <w:spacing w:line="14" w:lineRule="auto"/>
      <w:rPr>
        <w:rFonts w:ascii="Times New Roman" w:cs="Times New Roman" w:eastAsiaTheme="minorEastAsia"/>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wMGYwYmNhNjFkYzIzNGFkMmYyZDBjZjM4MWQ1ZTkifQ=="/>
  </w:docVars>
  <w:rsids>
    <w:rsidRoot w:val="004250AD"/>
    <w:rsid w:val="00004084"/>
    <w:rsid w:val="00005097"/>
    <w:rsid w:val="000064BA"/>
    <w:rsid w:val="0000785A"/>
    <w:rsid w:val="0001102A"/>
    <w:rsid w:val="0001106E"/>
    <w:rsid w:val="0001293F"/>
    <w:rsid w:val="00013601"/>
    <w:rsid w:val="00023575"/>
    <w:rsid w:val="00024062"/>
    <w:rsid w:val="000302F4"/>
    <w:rsid w:val="00030DCC"/>
    <w:rsid w:val="00031425"/>
    <w:rsid w:val="00031DF8"/>
    <w:rsid w:val="00036D48"/>
    <w:rsid w:val="00045A8B"/>
    <w:rsid w:val="00055B45"/>
    <w:rsid w:val="00057488"/>
    <w:rsid w:val="0006009A"/>
    <w:rsid w:val="00060BB6"/>
    <w:rsid w:val="00061F29"/>
    <w:rsid w:val="00072253"/>
    <w:rsid w:val="00075BE6"/>
    <w:rsid w:val="000817AB"/>
    <w:rsid w:val="0008323F"/>
    <w:rsid w:val="000872BE"/>
    <w:rsid w:val="0009070A"/>
    <w:rsid w:val="00091409"/>
    <w:rsid w:val="000952F3"/>
    <w:rsid w:val="000958DB"/>
    <w:rsid w:val="00096C28"/>
    <w:rsid w:val="000A6F7A"/>
    <w:rsid w:val="000B0671"/>
    <w:rsid w:val="000B3224"/>
    <w:rsid w:val="000D098D"/>
    <w:rsid w:val="000D1A4B"/>
    <w:rsid w:val="000E398F"/>
    <w:rsid w:val="000F1A1A"/>
    <w:rsid w:val="000F5782"/>
    <w:rsid w:val="000F7870"/>
    <w:rsid w:val="0010135B"/>
    <w:rsid w:val="00103A95"/>
    <w:rsid w:val="00112266"/>
    <w:rsid w:val="001179DA"/>
    <w:rsid w:val="00120D7D"/>
    <w:rsid w:val="001212D5"/>
    <w:rsid w:val="0013389F"/>
    <w:rsid w:val="00134D63"/>
    <w:rsid w:val="001362CD"/>
    <w:rsid w:val="001364C6"/>
    <w:rsid w:val="001375CC"/>
    <w:rsid w:val="0014029C"/>
    <w:rsid w:val="00146539"/>
    <w:rsid w:val="00155780"/>
    <w:rsid w:val="00162092"/>
    <w:rsid w:val="00162D20"/>
    <w:rsid w:val="001631B4"/>
    <w:rsid w:val="00164A0B"/>
    <w:rsid w:val="00170658"/>
    <w:rsid w:val="00171AD1"/>
    <w:rsid w:val="00172582"/>
    <w:rsid w:val="00177464"/>
    <w:rsid w:val="001816A4"/>
    <w:rsid w:val="00185957"/>
    <w:rsid w:val="001912FC"/>
    <w:rsid w:val="00191A22"/>
    <w:rsid w:val="00192A11"/>
    <w:rsid w:val="00193D82"/>
    <w:rsid w:val="00194BEB"/>
    <w:rsid w:val="001956B8"/>
    <w:rsid w:val="0019621C"/>
    <w:rsid w:val="001A12B7"/>
    <w:rsid w:val="001A14DB"/>
    <w:rsid w:val="001A3F6E"/>
    <w:rsid w:val="001A7F01"/>
    <w:rsid w:val="001B336E"/>
    <w:rsid w:val="001B3F51"/>
    <w:rsid w:val="001B5053"/>
    <w:rsid w:val="001B5E3F"/>
    <w:rsid w:val="001C1A04"/>
    <w:rsid w:val="001C26ED"/>
    <w:rsid w:val="001D0322"/>
    <w:rsid w:val="001E0DCD"/>
    <w:rsid w:val="001E1609"/>
    <w:rsid w:val="001E2A90"/>
    <w:rsid w:val="001E48CC"/>
    <w:rsid w:val="001E7788"/>
    <w:rsid w:val="001F4460"/>
    <w:rsid w:val="002030A9"/>
    <w:rsid w:val="00203F25"/>
    <w:rsid w:val="002063B3"/>
    <w:rsid w:val="002121D1"/>
    <w:rsid w:val="002125C7"/>
    <w:rsid w:val="00214328"/>
    <w:rsid w:val="0021470A"/>
    <w:rsid w:val="00214DF8"/>
    <w:rsid w:val="0021578A"/>
    <w:rsid w:val="002164BF"/>
    <w:rsid w:val="00221EA9"/>
    <w:rsid w:val="002248FB"/>
    <w:rsid w:val="00224957"/>
    <w:rsid w:val="00226305"/>
    <w:rsid w:val="00230369"/>
    <w:rsid w:val="00236B10"/>
    <w:rsid w:val="0024387C"/>
    <w:rsid w:val="0025003D"/>
    <w:rsid w:val="002506A9"/>
    <w:rsid w:val="00260352"/>
    <w:rsid w:val="0026677D"/>
    <w:rsid w:val="00281B2E"/>
    <w:rsid w:val="00282B7F"/>
    <w:rsid w:val="002831EB"/>
    <w:rsid w:val="00285BDF"/>
    <w:rsid w:val="002870FE"/>
    <w:rsid w:val="0029017B"/>
    <w:rsid w:val="0029286F"/>
    <w:rsid w:val="002945BF"/>
    <w:rsid w:val="002A0912"/>
    <w:rsid w:val="002A7319"/>
    <w:rsid w:val="002D10EB"/>
    <w:rsid w:val="002E0DDD"/>
    <w:rsid w:val="002E219F"/>
    <w:rsid w:val="002E5720"/>
    <w:rsid w:val="002E59A3"/>
    <w:rsid w:val="002E7DF4"/>
    <w:rsid w:val="002F1084"/>
    <w:rsid w:val="002F2325"/>
    <w:rsid w:val="002F36C9"/>
    <w:rsid w:val="002F76C1"/>
    <w:rsid w:val="003006ED"/>
    <w:rsid w:val="00304E2E"/>
    <w:rsid w:val="0030632B"/>
    <w:rsid w:val="003125D3"/>
    <w:rsid w:val="003301AF"/>
    <w:rsid w:val="0033350D"/>
    <w:rsid w:val="0033668A"/>
    <w:rsid w:val="00340295"/>
    <w:rsid w:val="003414E8"/>
    <w:rsid w:val="00341E80"/>
    <w:rsid w:val="00353C9C"/>
    <w:rsid w:val="00355823"/>
    <w:rsid w:val="00366765"/>
    <w:rsid w:val="00367818"/>
    <w:rsid w:val="003730A9"/>
    <w:rsid w:val="0037427B"/>
    <w:rsid w:val="00381B14"/>
    <w:rsid w:val="003858B8"/>
    <w:rsid w:val="00387BC8"/>
    <w:rsid w:val="003910C5"/>
    <w:rsid w:val="00392EEF"/>
    <w:rsid w:val="00393914"/>
    <w:rsid w:val="00393DA2"/>
    <w:rsid w:val="003A14EB"/>
    <w:rsid w:val="003A2C7B"/>
    <w:rsid w:val="003A6EDA"/>
    <w:rsid w:val="003B0510"/>
    <w:rsid w:val="003B0E07"/>
    <w:rsid w:val="003B126E"/>
    <w:rsid w:val="003B32BB"/>
    <w:rsid w:val="003B61FF"/>
    <w:rsid w:val="003C4562"/>
    <w:rsid w:val="003D1BBE"/>
    <w:rsid w:val="003D2E4C"/>
    <w:rsid w:val="003D3787"/>
    <w:rsid w:val="003D3F79"/>
    <w:rsid w:val="003E45DF"/>
    <w:rsid w:val="003E7341"/>
    <w:rsid w:val="003F719A"/>
    <w:rsid w:val="00400983"/>
    <w:rsid w:val="00400B76"/>
    <w:rsid w:val="004045FA"/>
    <w:rsid w:val="00406F9A"/>
    <w:rsid w:val="0042157B"/>
    <w:rsid w:val="004244AB"/>
    <w:rsid w:val="004250AD"/>
    <w:rsid w:val="0042643F"/>
    <w:rsid w:val="00433006"/>
    <w:rsid w:val="004332CE"/>
    <w:rsid w:val="00442ECD"/>
    <w:rsid w:val="004442CF"/>
    <w:rsid w:val="0044432B"/>
    <w:rsid w:val="004449C9"/>
    <w:rsid w:val="00444C40"/>
    <w:rsid w:val="00453613"/>
    <w:rsid w:val="004546F5"/>
    <w:rsid w:val="00454E3B"/>
    <w:rsid w:val="00455EC7"/>
    <w:rsid w:val="00460DDE"/>
    <w:rsid w:val="00464290"/>
    <w:rsid w:val="00467A92"/>
    <w:rsid w:val="00470451"/>
    <w:rsid w:val="00473694"/>
    <w:rsid w:val="004741EE"/>
    <w:rsid w:val="0047720D"/>
    <w:rsid w:val="00481BE1"/>
    <w:rsid w:val="00481EBD"/>
    <w:rsid w:val="0048758B"/>
    <w:rsid w:val="00491FC5"/>
    <w:rsid w:val="00492CA0"/>
    <w:rsid w:val="004A0220"/>
    <w:rsid w:val="004A05BE"/>
    <w:rsid w:val="004A05DA"/>
    <w:rsid w:val="004A3DD3"/>
    <w:rsid w:val="004A4145"/>
    <w:rsid w:val="004A65B1"/>
    <w:rsid w:val="004A668C"/>
    <w:rsid w:val="004A7206"/>
    <w:rsid w:val="004B1C89"/>
    <w:rsid w:val="004C575E"/>
    <w:rsid w:val="004D24C8"/>
    <w:rsid w:val="004E4924"/>
    <w:rsid w:val="004E545B"/>
    <w:rsid w:val="004E5D8F"/>
    <w:rsid w:val="004F3072"/>
    <w:rsid w:val="004F5B45"/>
    <w:rsid w:val="004F712B"/>
    <w:rsid w:val="00506553"/>
    <w:rsid w:val="00507981"/>
    <w:rsid w:val="00520395"/>
    <w:rsid w:val="0052349D"/>
    <w:rsid w:val="005263CD"/>
    <w:rsid w:val="00533BF7"/>
    <w:rsid w:val="005364DF"/>
    <w:rsid w:val="00537830"/>
    <w:rsid w:val="00544CCF"/>
    <w:rsid w:val="00552FC5"/>
    <w:rsid w:val="00553E65"/>
    <w:rsid w:val="005606BD"/>
    <w:rsid w:val="00560CFF"/>
    <w:rsid w:val="00567184"/>
    <w:rsid w:val="00567B15"/>
    <w:rsid w:val="00570AF3"/>
    <w:rsid w:val="005734A8"/>
    <w:rsid w:val="00573E45"/>
    <w:rsid w:val="00574749"/>
    <w:rsid w:val="0057502E"/>
    <w:rsid w:val="00576137"/>
    <w:rsid w:val="00582125"/>
    <w:rsid w:val="00583C4A"/>
    <w:rsid w:val="00586364"/>
    <w:rsid w:val="00590F5F"/>
    <w:rsid w:val="00591AF5"/>
    <w:rsid w:val="00591E9C"/>
    <w:rsid w:val="0059675C"/>
    <w:rsid w:val="00597A48"/>
    <w:rsid w:val="005A0937"/>
    <w:rsid w:val="005A09BC"/>
    <w:rsid w:val="005A4545"/>
    <w:rsid w:val="005A72DD"/>
    <w:rsid w:val="005B0396"/>
    <w:rsid w:val="005B4F27"/>
    <w:rsid w:val="005B5EF1"/>
    <w:rsid w:val="005B697D"/>
    <w:rsid w:val="005B7CAF"/>
    <w:rsid w:val="005C1C15"/>
    <w:rsid w:val="005C1CF6"/>
    <w:rsid w:val="005C2EA5"/>
    <w:rsid w:val="005C4213"/>
    <w:rsid w:val="005D2B2F"/>
    <w:rsid w:val="005D5182"/>
    <w:rsid w:val="005D5D27"/>
    <w:rsid w:val="005E01A9"/>
    <w:rsid w:val="005E2E6B"/>
    <w:rsid w:val="005E3093"/>
    <w:rsid w:val="005F067A"/>
    <w:rsid w:val="005F1050"/>
    <w:rsid w:val="005F335D"/>
    <w:rsid w:val="006064B8"/>
    <w:rsid w:val="00616E3F"/>
    <w:rsid w:val="0061743E"/>
    <w:rsid w:val="00620D91"/>
    <w:rsid w:val="00621479"/>
    <w:rsid w:val="006240F2"/>
    <w:rsid w:val="006254F6"/>
    <w:rsid w:val="006312A1"/>
    <w:rsid w:val="006313B4"/>
    <w:rsid w:val="00634AB0"/>
    <w:rsid w:val="00644C4E"/>
    <w:rsid w:val="00652EAC"/>
    <w:rsid w:val="00672A9A"/>
    <w:rsid w:val="00673EEC"/>
    <w:rsid w:val="006745B3"/>
    <w:rsid w:val="00676071"/>
    <w:rsid w:val="00676F01"/>
    <w:rsid w:val="00687D10"/>
    <w:rsid w:val="00691B91"/>
    <w:rsid w:val="00694DEF"/>
    <w:rsid w:val="006957D6"/>
    <w:rsid w:val="00695CF4"/>
    <w:rsid w:val="006A2EF4"/>
    <w:rsid w:val="006A5C4E"/>
    <w:rsid w:val="006B3ADE"/>
    <w:rsid w:val="006C6C08"/>
    <w:rsid w:val="006C7481"/>
    <w:rsid w:val="006C7E2F"/>
    <w:rsid w:val="006E2143"/>
    <w:rsid w:val="006E25D7"/>
    <w:rsid w:val="006E260C"/>
    <w:rsid w:val="006E3030"/>
    <w:rsid w:val="006E3DB8"/>
    <w:rsid w:val="006F099F"/>
    <w:rsid w:val="006F3662"/>
    <w:rsid w:val="006F573E"/>
    <w:rsid w:val="006F7A38"/>
    <w:rsid w:val="0070023D"/>
    <w:rsid w:val="00704277"/>
    <w:rsid w:val="00710667"/>
    <w:rsid w:val="007109A2"/>
    <w:rsid w:val="00716907"/>
    <w:rsid w:val="00720716"/>
    <w:rsid w:val="00723F33"/>
    <w:rsid w:val="007258EC"/>
    <w:rsid w:val="00725D26"/>
    <w:rsid w:val="00744354"/>
    <w:rsid w:val="00750A8C"/>
    <w:rsid w:val="00750F87"/>
    <w:rsid w:val="0075354F"/>
    <w:rsid w:val="00755502"/>
    <w:rsid w:val="00756FAA"/>
    <w:rsid w:val="00762ED2"/>
    <w:rsid w:val="007653D9"/>
    <w:rsid w:val="007702B0"/>
    <w:rsid w:val="007729D0"/>
    <w:rsid w:val="00775F68"/>
    <w:rsid w:val="0079058D"/>
    <w:rsid w:val="00790AD1"/>
    <w:rsid w:val="007934F2"/>
    <w:rsid w:val="007A1AC7"/>
    <w:rsid w:val="007A57BB"/>
    <w:rsid w:val="007B7B83"/>
    <w:rsid w:val="007C36FC"/>
    <w:rsid w:val="007C51C2"/>
    <w:rsid w:val="007C5BF6"/>
    <w:rsid w:val="007C6C42"/>
    <w:rsid w:val="007D03F4"/>
    <w:rsid w:val="007D1BCB"/>
    <w:rsid w:val="007D257B"/>
    <w:rsid w:val="007D665C"/>
    <w:rsid w:val="007D6C98"/>
    <w:rsid w:val="007E53EA"/>
    <w:rsid w:val="007E5F40"/>
    <w:rsid w:val="007E6405"/>
    <w:rsid w:val="007E7389"/>
    <w:rsid w:val="007F11DE"/>
    <w:rsid w:val="00800E0B"/>
    <w:rsid w:val="00801FC4"/>
    <w:rsid w:val="00820605"/>
    <w:rsid w:val="00821B2E"/>
    <w:rsid w:val="0082343A"/>
    <w:rsid w:val="00825962"/>
    <w:rsid w:val="0083423F"/>
    <w:rsid w:val="00834DEA"/>
    <w:rsid w:val="008358E9"/>
    <w:rsid w:val="00840A14"/>
    <w:rsid w:val="008417CF"/>
    <w:rsid w:val="00842E91"/>
    <w:rsid w:val="008470DF"/>
    <w:rsid w:val="00850BED"/>
    <w:rsid w:val="0085607C"/>
    <w:rsid w:val="0085676A"/>
    <w:rsid w:val="0085710E"/>
    <w:rsid w:val="00862B33"/>
    <w:rsid w:val="008675F3"/>
    <w:rsid w:val="00867B24"/>
    <w:rsid w:val="00874C8D"/>
    <w:rsid w:val="0088264B"/>
    <w:rsid w:val="00883826"/>
    <w:rsid w:val="00897906"/>
    <w:rsid w:val="008A01F8"/>
    <w:rsid w:val="008A21CC"/>
    <w:rsid w:val="008A21D3"/>
    <w:rsid w:val="008A639F"/>
    <w:rsid w:val="008B40D5"/>
    <w:rsid w:val="008B695E"/>
    <w:rsid w:val="008C3698"/>
    <w:rsid w:val="008E3DE7"/>
    <w:rsid w:val="008E4A49"/>
    <w:rsid w:val="008E53D3"/>
    <w:rsid w:val="008F2461"/>
    <w:rsid w:val="009005E2"/>
    <w:rsid w:val="0090204B"/>
    <w:rsid w:val="009028A2"/>
    <w:rsid w:val="009055B2"/>
    <w:rsid w:val="009079C4"/>
    <w:rsid w:val="009129E9"/>
    <w:rsid w:val="009135E8"/>
    <w:rsid w:val="009143DC"/>
    <w:rsid w:val="00921505"/>
    <w:rsid w:val="00930980"/>
    <w:rsid w:val="0093476C"/>
    <w:rsid w:val="00937B70"/>
    <w:rsid w:val="009424D6"/>
    <w:rsid w:val="00942E9E"/>
    <w:rsid w:val="00943469"/>
    <w:rsid w:val="00945DD4"/>
    <w:rsid w:val="0095130D"/>
    <w:rsid w:val="009530AF"/>
    <w:rsid w:val="0095663C"/>
    <w:rsid w:val="00956723"/>
    <w:rsid w:val="00957DB1"/>
    <w:rsid w:val="009627EC"/>
    <w:rsid w:val="00976692"/>
    <w:rsid w:val="00977E78"/>
    <w:rsid w:val="00981624"/>
    <w:rsid w:val="009822E7"/>
    <w:rsid w:val="009866DD"/>
    <w:rsid w:val="00992D12"/>
    <w:rsid w:val="00996070"/>
    <w:rsid w:val="009A42CA"/>
    <w:rsid w:val="009A597C"/>
    <w:rsid w:val="009B1A41"/>
    <w:rsid w:val="009B1BB3"/>
    <w:rsid w:val="009B27D9"/>
    <w:rsid w:val="009B456C"/>
    <w:rsid w:val="009C5F20"/>
    <w:rsid w:val="009C70AE"/>
    <w:rsid w:val="009D0FAD"/>
    <w:rsid w:val="009E1D1D"/>
    <w:rsid w:val="009E4F39"/>
    <w:rsid w:val="009F0D44"/>
    <w:rsid w:val="009F344F"/>
    <w:rsid w:val="009F3EDC"/>
    <w:rsid w:val="009F4EAD"/>
    <w:rsid w:val="009F5C5D"/>
    <w:rsid w:val="009F614A"/>
    <w:rsid w:val="009F767D"/>
    <w:rsid w:val="00A057DC"/>
    <w:rsid w:val="00A05EE9"/>
    <w:rsid w:val="00A07AB6"/>
    <w:rsid w:val="00A17C6E"/>
    <w:rsid w:val="00A241C0"/>
    <w:rsid w:val="00A25153"/>
    <w:rsid w:val="00A27F93"/>
    <w:rsid w:val="00A313AF"/>
    <w:rsid w:val="00A327B5"/>
    <w:rsid w:val="00A335EC"/>
    <w:rsid w:val="00A408CF"/>
    <w:rsid w:val="00A409E8"/>
    <w:rsid w:val="00A4235C"/>
    <w:rsid w:val="00A430B6"/>
    <w:rsid w:val="00A4403D"/>
    <w:rsid w:val="00A44712"/>
    <w:rsid w:val="00A5107F"/>
    <w:rsid w:val="00A51DFB"/>
    <w:rsid w:val="00A52A4D"/>
    <w:rsid w:val="00A62BA3"/>
    <w:rsid w:val="00A6507E"/>
    <w:rsid w:val="00A7037A"/>
    <w:rsid w:val="00A77202"/>
    <w:rsid w:val="00A80BC0"/>
    <w:rsid w:val="00A813FB"/>
    <w:rsid w:val="00A81875"/>
    <w:rsid w:val="00A823CA"/>
    <w:rsid w:val="00A8402C"/>
    <w:rsid w:val="00A8509E"/>
    <w:rsid w:val="00A91592"/>
    <w:rsid w:val="00A92FF3"/>
    <w:rsid w:val="00A9509D"/>
    <w:rsid w:val="00A9618A"/>
    <w:rsid w:val="00A96F1C"/>
    <w:rsid w:val="00A97353"/>
    <w:rsid w:val="00AA0189"/>
    <w:rsid w:val="00AA3D73"/>
    <w:rsid w:val="00AB1971"/>
    <w:rsid w:val="00AB64EB"/>
    <w:rsid w:val="00AB7218"/>
    <w:rsid w:val="00AC3B6A"/>
    <w:rsid w:val="00AC40AF"/>
    <w:rsid w:val="00AC7748"/>
    <w:rsid w:val="00AD1142"/>
    <w:rsid w:val="00AD36C9"/>
    <w:rsid w:val="00AD6F62"/>
    <w:rsid w:val="00AE3693"/>
    <w:rsid w:val="00AF2402"/>
    <w:rsid w:val="00AF347A"/>
    <w:rsid w:val="00AF4C55"/>
    <w:rsid w:val="00AF56A7"/>
    <w:rsid w:val="00B013D5"/>
    <w:rsid w:val="00B02A89"/>
    <w:rsid w:val="00B11DA2"/>
    <w:rsid w:val="00B165D7"/>
    <w:rsid w:val="00B17AC5"/>
    <w:rsid w:val="00B276D6"/>
    <w:rsid w:val="00B309AD"/>
    <w:rsid w:val="00B34E4E"/>
    <w:rsid w:val="00B35267"/>
    <w:rsid w:val="00B421D3"/>
    <w:rsid w:val="00B43329"/>
    <w:rsid w:val="00B45806"/>
    <w:rsid w:val="00B47247"/>
    <w:rsid w:val="00B47447"/>
    <w:rsid w:val="00B4765E"/>
    <w:rsid w:val="00B52865"/>
    <w:rsid w:val="00B55475"/>
    <w:rsid w:val="00B5635A"/>
    <w:rsid w:val="00B5732A"/>
    <w:rsid w:val="00B657AD"/>
    <w:rsid w:val="00B702ED"/>
    <w:rsid w:val="00B72ABF"/>
    <w:rsid w:val="00B75B74"/>
    <w:rsid w:val="00B76A68"/>
    <w:rsid w:val="00B8353B"/>
    <w:rsid w:val="00B9023A"/>
    <w:rsid w:val="00B9403D"/>
    <w:rsid w:val="00B95623"/>
    <w:rsid w:val="00B97412"/>
    <w:rsid w:val="00BA0E3B"/>
    <w:rsid w:val="00BA1409"/>
    <w:rsid w:val="00BA1674"/>
    <w:rsid w:val="00BA42AC"/>
    <w:rsid w:val="00BA6136"/>
    <w:rsid w:val="00BB39FE"/>
    <w:rsid w:val="00BB3EE6"/>
    <w:rsid w:val="00BB4F45"/>
    <w:rsid w:val="00BB60C9"/>
    <w:rsid w:val="00BC29EE"/>
    <w:rsid w:val="00BC37F4"/>
    <w:rsid w:val="00BD04F3"/>
    <w:rsid w:val="00BD28ED"/>
    <w:rsid w:val="00BD29F4"/>
    <w:rsid w:val="00BD60E5"/>
    <w:rsid w:val="00BE376C"/>
    <w:rsid w:val="00BE4F52"/>
    <w:rsid w:val="00BF28CF"/>
    <w:rsid w:val="00C00C85"/>
    <w:rsid w:val="00C02FCF"/>
    <w:rsid w:val="00C05C75"/>
    <w:rsid w:val="00C12F86"/>
    <w:rsid w:val="00C15C5A"/>
    <w:rsid w:val="00C1744C"/>
    <w:rsid w:val="00C17D74"/>
    <w:rsid w:val="00C21F05"/>
    <w:rsid w:val="00C2313A"/>
    <w:rsid w:val="00C23403"/>
    <w:rsid w:val="00C27DF4"/>
    <w:rsid w:val="00C30654"/>
    <w:rsid w:val="00C30B9E"/>
    <w:rsid w:val="00C31188"/>
    <w:rsid w:val="00C31E9D"/>
    <w:rsid w:val="00C338FA"/>
    <w:rsid w:val="00C40328"/>
    <w:rsid w:val="00C54667"/>
    <w:rsid w:val="00C548FA"/>
    <w:rsid w:val="00C67381"/>
    <w:rsid w:val="00C73EA4"/>
    <w:rsid w:val="00C84070"/>
    <w:rsid w:val="00C85492"/>
    <w:rsid w:val="00C86705"/>
    <w:rsid w:val="00C86896"/>
    <w:rsid w:val="00C8764D"/>
    <w:rsid w:val="00C91123"/>
    <w:rsid w:val="00C91F55"/>
    <w:rsid w:val="00CA136B"/>
    <w:rsid w:val="00CA431A"/>
    <w:rsid w:val="00CA649D"/>
    <w:rsid w:val="00CA77A3"/>
    <w:rsid w:val="00CB10F4"/>
    <w:rsid w:val="00CB2958"/>
    <w:rsid w:val="00CB4237"/>
    <w:rsid w:val="00CC3E4E"/>
    <w:rsid w:val="00CD162E"/>
    <w:rsid w:val="00CD3B80"/>
    <w:rsid w:val="00CD6353"/>
    <w:rsid w:val="00CD7154"/>
    <w:rsid w:val="00CE0382"/>
    <w:rsid w:val="00CE3245"/>
    <w:rsid w:val="00CE3491"/>
    <w:rsid w:val="00CE5631"/>
    <w:rsid w:val="00D03BD7"/>
    <w:rsid w:val="00D0493A"/>
    <w:rsid w:val="00D07243"/>
    <w:rsid w:val="00D10343"/>
    <w:rsid w:val="00D10A22"/>
    <w:rsid w:val="00D13B64"/>
    <w:rsid w:val="00D25374"/>
    <w:rsid w:val="00D458D0"/>
    <w:rsid w:val="00D46393"/>
    <w:rsid w:val="00D47A25"/>
    <w:rsid w:val="00D47DF7"/>
    <w:rsid w:val="00D545A3"/>
    <w:rsid w:val="00D65E8F"/>
    <w:rsid w:val="00D672E4"/>
    <w:rsid w:val="00D73D31"/>
    <w:rsid w:val="00D778C8"/>
    <w:rsid w:val="00D77F91"/>
    <w:rsid w:val="00D81144"/>
    <w:rsid w:val="00D81763"/>
    <w:rsid w:val="00D870BE"/>
    <w:rsid w:val="00D92AA9"/>
    <w:rsid w:val="00D94DF1"/>
    <w:rsid w:val="00D97C52"/>
    <w:rsid w:val="00DA1244"/>
    <w:rsid w:val="00DA3C58"/>
    <w:rsid w:val="00DA5F1E"/>
    <w:rsid w:val="00DA6FAB"/>
    <w:rsid w:val="00DA781C"/>
    <w:rsid w:val="00DA7E92"/>
    <w:rsid w:val="00DB0314"/>
    <w:rsid w:val="00DB5195"/>
    <w:rsid w:val="00DB672B"/>
    <w:rsid w:val="00DC1741"/>
    <w:rsid w:val="00DC29A6"/>
    <w:rsid w:val="00DC511A"/>
    <w:rsid w:val="00DC61F8"/>
    <w:rsid w:val="00DD3482"/>
    <w:rsid w:val="00DD667E"/>
    <w:rsid w:val="00DE4272"/>
    <w:rsid w:val="00DE5632"/>
    <w:rsid w:val="00DE5740"/>
    <w:rsid w:val="00DE772B"/>
    <w:rsid w:val="00DF2D95"/>
    <w:rsid w:val="00DF5716"/>
    <w:rsid w:val="00DF70F6"/>
    <w:rsid w:val="00DF784B"/>
    <w:rsid w:val="00E011E1"/>
    <w:rsid w:val="00E03AAF"/>
    <w:rsid w:val="00E049B7"/>
    <w:rsid w:val="00E065D1"/>
    <w:rsid w:val="00E13002"/>
    <w:rsid w:val="00E223A1"/>
    <w:rsid w:val="00E314A8"/>
    <w:rsid w:val="00E32941"/>
    <w:rsid w:val="00E333F9"/>
    <w:rsid w:val="00E3490F"/>
    <w:rsid w:val="00E34BE2"/>
    <w:rsid w:val="00E40944"/>
    <w:rsid w:val="00E508F1"/>
    <w:rsid w:val="00E50961"/>
    <w:rsid w:val="00E51B61"/>
    <w:rsid w:val="00E5317A"/>
    <w:rsid w:val="00E56BCF"/>
    <w:rsid w:val="00E6084C"/>
    <w:rsid w:val="00E61A9F"/>
    <w:rsid w:val="00E65112"/>
    <w:rsid w:val="00E7001B"/>
    <w:rsid w:val="00E73EB2"/>
    <w:rsid w:val="00E874B1"/>
    <w:rsid w:val="00E91F19"/>
    <w:rsid w:val="00E92AD5"/>
    <w:rsid w:val="00E9487C"/>
    <w:rsid w:val="00E94887"/>
    <w:rsid w:val="00E9499A"/>
    <w:rsid w:val="00E958CD"/>
    <w:rsid w:val="00EA04AD"/>
    <w:rsid w:val="00EA177B"/>
    <w:rsid w:val="00EA6560"/>
    <w:rsid w:val="00EB17DC"/>
    <w:rsid w:val="00EB3078"/>
    <w:rsid w:val="00EB3D49"/>
    <w:rsid w:val="00EB41EA"/>
    <w:rsid w:val="00EB465D"/>
    <w:rsid w:val="00EB66E2"/>
    <w:rsid w:val="00EC33EB"/>
    <w:rsid w:val="00EC52CC"/>
    <w:rsid w:val="00EC5BE8"/>
    <w:rsid w:val="00EC64C9"/>
    <w:rsid w:val="00ED0F31"/>
    <w:rsid w:val="00ED2568"/>
    <w:rsid w:val="00EE087F"/>
    <w:rsid w:val="00EE1A09"/>
    <w:rsid w:val="00F03760"/>
    <w:rsid w:val="00F10914"/>
    <w:rsid w:val="00F12D72"/>
    <w:rsid w:val="00F145E4"/>
    <w:rsid w:val="00F151F3"/>
    <w:rsid w:val="00F2112C"/>
    <w:rsid w:val="00F212BD"/>
    <w:rsid w:val="00F241DC"/>
    <w:rsid w:val="00F2649A"/>
    <w:rsid w:val="00F26F48"/>
    <w:rsid w:val="00F31ACA"/>
    <w:rsid w:val="00F32376"/>
    <w:rsid w:val="00F35F43"/>
    <w:rsid w:val="00F413BD"/>
    <w:rsid w:val="00F44D7E"/>
    <w:rsid w:val="00F5082C"/>
    <w:rsid w:val="00F56EDF"/>
    <w:rsid w:val="00F613A0"/>
    <w:rsid w:val="00F62A99"/>
    <w:rsid w:val="00F635A5"/>
    <w:rsid w:val="00F668DB"/>
    <w:rsid w:val="00F75B98"/>
    <w:rsid w:val="00F77FF6"/>
    <w:rsid w:val="00F878FF"/>
    <w:rsid w:val="00F93DC0"/>
    <w:rsid w:val="00F94040"/>
    <w:rsid w:val="00F94405"/>
    <w:rsid w:val="00F97463"/>
    <w:rsid w:val="00FA25EA"/>
    <w:rsid w:val="00FA2AF1"/>
    <w:rsid w:val="00FA6584"/>
    <w:rsid w:val="00FB051B"/>
    <w:rsid w:val="00FC02A8"/>
    <w:rsid w:val="00FC1773"/>
    <w:rsid w:val="00FC308E"/>
    <w:rsid w:val="00FD6536"/>
    <w:rsid w:val="00FD75B0"/>
    <w:rsid w:val="00FE5C7A"/>
    <w:rsid w:val="00FF073F"/>
    <w:rsid w:val="00FF7E2F"/>
    <w:rsid w:val="0C925E97"/>
    <w:rsid w:val="0E7F5BFB"/>
    <w:rsid w:val="2BAA2BA6"/>
    <w:rsid w:val="307C3474"/>
    <w:rsid w:val="30AA7296"/>
    <w:rsid w:val="33590AD6"/>
    <w:rsid w:val="46E32F52"/>
    <w:rsid w:val="512B1992"/>
    <w:rsid w:val="5813728B"/>
    <w:rsid w:val="62C41857"/>
    <w:rsid w:val="74156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adjustRightInd w:val="0"/>
    </w:pPr>
    <w:rPr>
      <w:rFonts w:ascii="宋体" w:hAnsi="Times New Roman" w:eastAsia="宋体" w:cs="宋体"/>
      <w:sz w:val="22"/>
      <w:szCs w:val="22"/>
      <w:lang w:val="en-US" w:eastAsia="zh-CN" w:bidi="ar-SA"/>
    </w:rPr>
  </w:style>
  <w:style w:type="paragraph" w:styleId="4">
    <w:name w:val="heading 1"/>
    <w:basedOn w:val="1"/>
    <w:next w:val="1"/>
    <w:link w:val="28"/>
    <w:qFormat/>
    <w:uiPriority w:val="1"/>
    <w:pPr>
      <w:spacing w:before="55"/>
      <w:jc w:val="center"/>
      <w:outlineLvl w:val="0"/>
    </w:pPr>
    <w:rPr>
      <w:rFonts w:ascii="黑体" w:eastAsia="黑体" w:cs="黑体"/>
      <w:sz w:val="32"/>
      <w:szCs w:val="32"/>
    </w:rPr>
  </w:style>
  <w:style w:type="paragraph" w:styleId="5">
    <w:name w:val="heading 2"/>
    <w:basedOn w:val="1"/>
    <w:next w:val="1"/>
    <w:link w:val="3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39"/>
    <w:unhideWhenUsed/>
    <w:qFormat/>
    <w:uiPriority w:val="9"/>
    <w:pPr>
      <w:keepNext/>
      <w:keepLines/>
      <w:spacing w:before="260" w:after="260" w:line="416" w:lineRule="auto"/>
      <w:outlineLvl w:val="2"/>
    </w:pPr>
    <w:rPr>
      <w:b/>
      <w:bCs/>
      <w:sz w:val="32"/>
      <w:szCs w:val="32"/>
    </w:rPr>
  </w:style>
  <w:style w:type="paragraph" w:styleId="7">
    <w:name w:val="heading 4"/>
    <w:basedOn w:val="1"/>
    <w:next w:val="1"/>
    <w:link w:val="4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8">
    <w:name w:val="heading 5"/>
    <w:basedOn w:val="1"/>
    <w:next w:val="1"/>
    <w:link w:val="41"/>
    <w:unhideWhenUsed/>
    <w:qFormat/>
    <w:uiPriority w:val="9"/>
    <w:pPr>
      <w:keepNext/>
      <w:keepLines/>
      <w:spacing w:before="280" w:after="290" w:line="376" w:lineRule="auto"/>
      <w:outlineLvl w:val="4"/>
    </w:pPr>
    <w:rPr>
      <w:b/>
      <w:bCs/>
      <w:sz w:val="28"/>
      <w:szCs w:val="28"/>
    </w:rPr>
  </w:style>
  <w:style w:type="paragraph" w:styleId="9">
    <w:name w:val="heading 6"/>
    <w:basedOn w:val="1"/>
    <w:next w:val="1"/>
    <w:link w:val="4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10">
    <w:name w:val="heading 7"/>
    <w:basedOn w:val="1"/>
    <w:next w:val="1"/>
    <w:link w:val="43"/>
    <w:unhideWhenUsed/>
    <w:qFormat/>
    <w:uiPriority w:val="9"/>
    <w:pPr>
      <w:keepNext/>
      <w:keepLines/>
      <w:spacing w:before="240" w:after="64" w:line="320" w:lineRule="auto"/>
      <w:outlineLvl w:val="6"/>
    </w:pPr>
    <w:rPr>
      <w:b/>
      <w:bCs/>
      <w:sz w:val="24"/>
      <w:szCs w:val="24"/>
    </w:rPr>
  </w:style>
  <w:style w:type="paragraph" w:styleId="11">
    <w:name w:val="heading 8"/>
    <w:basedOn w:val="1"/>
    <w:next w:val="1"/>
    <w:link w:val="44"/>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2">
    <w:name w:val="heading 9"/>
    <w:basedOn w:val="1"/>
    <w:next w:val="1"/>
    <w:link w:val="45"/>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29"/>
    <w:qFormat/>
    <w:uiPriority w:val="1"/>
    <w:rPr>
      <w:sz w:val="21"/>
      <w:szCs w:val="21"/>
    </w:rPr>
  </w:style>
  <w:style w:type="paragraph" w:styleId="3">
    <w:name w:val="Intense Quote"/>
    <w:next w:val="1"/>
    <w:qFormat/>
    <w:uiPriority w:val="0"/>
    <w:pPr>
      <w:wordWrap w:val="0"/>
      <w:spacing w:before="360" w:after="360"/>
      <w:ind w:left="950" w:right="950"/>
      <w:jc w:val="center"/>
    </w:pPr>
    <w:rPr>
      <w:rFonts w:ascii="宋体" w:hAnsi="宋体" w:eastAsia="Times New Roman" w:cs="Times New Roman"/>
      <w:i/>
      <w:sz w:val="21"/>
      <w:lang w:val="en-US" w:eastAsia="zh-CN" w:bidi="ar-SA"/>
    </w:rPr>
  </w:style>
  <w:style w:type="paragraph" w:styleId="13">
    <w:name w:val="annotation text"/>
    <w:basedOn w:val="1"/>
    <w:link w:val="49"/>
    <w:unhideWhenUsed/>
    <w:qFormat/>
    <w:uiPriority w:val="99"/>
  </w:style>
  <w:style w:type="paragraph" w:styleId="14">
    <w:name w:val="Date"/>
    <w:basedOn w:val="1"/>
    <w:next w:val="1"/>
    <w:link w:val="35"/>
    <w:semiHidden/>
    <w:unhideWhenUsed/>
    <w:qFormat/>
    <w:uiPriority w:val="99"/>
    <w:pPr>
      <w:ind w:left="100" w:leftChars="2500"/>
    </w:pPr>
  </w:style>
  <w:style w:type="paragraph" w:styleId="15">
    <w:name w:val="Balloon Text"/>
    <w:basedOn w:val="1"/>
    <w:link w:val="33"/>
    <w:semiHidden/>
    <w:unhideWhenUsed/>
    <w:qFormat/>
    <w:uiPriority w:val="99"/>
    <w:rPr>
      <w:sz w:val="18"/>
      <w:szCs w:val="18"/>
    </w:rPr>
  </w:style>
  <w:style w:type="paragraph" w:styleId="16">
    <w:name w:val="footer"/>
    <w:basedOn w:val="1"/>
    <w:link w:val="27"/>
    <w:unhideWhenUsed/>
    <w:qFormat/>
    <w:uiPriority w:val="99"/>
    <w:pPr>
      <w:tabs>
        <w:tab w:val="center" w:pos="4153"/>
        <w:tab w:val="right" w:pos="8306"/>
      </w:tabs>
      <w:snapToGrid w:val="0"/>
    </w:pPr>
    <w:rPr>
      <w:sz w:val="18"/>
      <w:szCs w:val="18"/>
    </w:rPr>
  </w:style>
  <w:style w:type="paragraph" w:styleId="17">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style>
  <w:style w:type="paragraph" w:styleId="19">
    <w:name w:val="Title"/>
    <w:basedOn w:val="1"/>
    <w:next w:val="1"/>
    <w:link w:val="30"/>
    <w:qFormat/>
    <w:uiPriority w:val="1"/>
    <w:pPr>
      <w:spacing w:before="703"/>
      <w:ind w:left="120"/>
    </w:pPr>
    <w:rPr>
      <w:rFonts w:ascii="Times New Roman" w:cs="Times New Roman" w:eastAsiaTheme="minorEastAsia"/>
      <w:b/>
      <w:bCs/>
      <w:sz w:val="72"/>
      <w:szCs w:val="72"/>
    </w:rPr>
  </w:style>
  <w:style w:type="paragraph" w:styleId="20">
    <w:name w:val="annotation subject"/>
    <w:basedOn w:val="13"/>
    <w:next w:val="13"/>
    <w:link w:val="50"/>
    <w:semiHidden/>
    <w:unhideWhenUsed/>
    <w:qFormat/>
    <w:uiPriority w:val="99"/>
    <w:rPr>
      <w:b/>
      <w:bCs/>
    </w:rPr>
  </w:style>
  <w:style w:type="table" w:styleId="22">
    <w:name w:val="Table Grid"/>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Hyperlink"/>
    <w:basedOn w:val="23"/>
    <w:unhideWhenUsed/>
    <w:qFormat/>
    <w:uiPriority w:val="99"/>
    <w:rPr>
      <w:color w:val="0000FF" w:themeColor="hyperlink"/>
      <w:u w:val="single"/>
      <w14:textFill>
        <w14:solidFill>
          <w14:schemeClr w14:val="hlink"/>
        </w14:solidFill>
      </w14:textFill>
    </w:rPr>
  </w:style>
  <w:style w:type="character" w:styleId="25">
    <w:name w:val="annotation reference"/>
    <w:basedOn w:val="23"/>
    <w:semiHidden/>
    <w:unhideWhenUsed/>
    <w:qFormat/>
    <w:uiPriority w:val="99"/>
    <w:rPr>
      <w:sz w:val="21"/>
      <w:szCs w:val="21"/>
    </w:rPr>
  </w:style>
  <w:style w:type="character" w:customStyle="1" w:styleId="26">
    <w:name w:val="页眉 Char"/>
    <w:basedOn w:val="23"/>
    <w:link w:val="17"/>
    <w:qFormat/>
    <w:uiPriority w:val="99"/>
    <w:rPr>
      <w:sz w:val="18"/>
      <w:szCs w:val="18"/>
    </w:rPr>
  </w:style>
  <w:style w:type="character" w:customStyle="1" w:styleId="27">
    <w:name w:val="页脚 Char"/>
    <w:basedOn w:val="23"/>
    <w:link w:val="16"/>
    <w:qFormat/>
    <w:uiPriority w:val="99"/>
    <w:rPr>
      <w:sz w:val="18"/>
      <w:szCs w:val="18"/>
    </w:rPr>
  </w:style>
  <w:style w:type="character" w:customStyle="1" w:styleId="28">
    <w:name w:val="标题 1 Char"/>
    <w:basedOn w:val="23"/>
    <w:link w:val="4"/>
    <w:qFormat/>
    <w:uiPriority w:val="1"/>
    <w:rPr>
      <w:rFonts w:ascii="黑体" w:hAnsi="Times New Roman" w:eastAsia="黑体" w:cs="黑体"/>
      <w:kern w:val="0"/>
      <w:sz w:val="32"/>
      <w:szCs w:val="32"/>
    </w:rPr>
  </w:style>
  <w:style w:type="character" w:customStyle="1" w:styleId="29">
    <w:name w:val="正文文本 Char"/>
    <w:basedOn w:val="23"/>
    <w:link w:val="2"/>
    <w:qFormat/>
    <w:uiPriority w:val="1"/>
    <w:rPr>
      <w:rFonts w:ascii="宋体" w:hAnsi="Times New Roman" w:eastAsia="宋体" w:cs="宋体"/>
      <w:kern w:val="0"/>
      <w:szCs w:val="21"/>
    </w:rPr>
  </w:style>
  <w:style w:type="character" w:customStyle="1" w:styleId="30">
    <w:name w:val="标题 Char"/>
    <w:basedOn w:val="23"/>
    <w:link w:val="19"/>
    <w:qFormat/>
    <w:uiPriority w:val="1"/>
    <w:rPr>
      <w:rFonts w:ascii="Times New Roman" w:hAnsi="Times New Roman" w:cs="Times New Roman"/>
      <w:b/>
      <w:bCs/>
      <w:kern w:val="0"/>
      <w:sz w:val="72"/>
      <w:szCs w:val="72"/>
    </w:rPr>
  </w:style>
  <w:style w:type="paragraph" w:styleId="31">
    <w:name w:val="List Paragraph"/>
    <w:basedOn w:val="1"/>
    <w:qFormat/>
    <w:uiPriority w:val="1"/>
    <w:pPr>
      <w:ind w:left="120"/>
    </w:pPr>
    <w:rPr>
      <w:sz w:val="24"/>
      <w:szCs w:val="24"/>
    </w:rPr>
  </w:style>
  <w:style w:type="paragraph" w:customStyle="1" w:styleId="32">
    <w:name w:val="Table Paragraph"/>
    <w:basedOn w:val="1"/>
    <w:qFormat/>
    <w:uiPriority w:val="1"/>
    <w:rPr>
      <w:sz w:val="24"/>
      <w:szCs w:val="24"/>
    </w:rPr>
  </w:style>
  <w:style w:type="character" w:customStyle="1" w:styleId="33">
    <w:name w:val="批注框文本 Char"/>
    <w:basedOn w:val="23"/>
    <w:link w:val="15"/>
    <w:semiHidden/>
    <w:qFormat/>
    <w:uiPriority w:val="99"/>
    <w:rPr>
      <w:rFonts w:ascii="宋体" w:hAnsi="Times New Roman" w:eastAsia="宋体" w:cs="宋体"/>
      <w:kern w:val="0"/>
      <w:sz w:val="18"/>
      <w:szCs w:val="18"/>
    </w:rPr>
  </w:style>
  <w:style w:type="table" w:customStyle="1" w:styleId="34">
    <w:name w:val="网格型1"/>
    <w:basedOn w:val="21"/>
    <w:qFormat/>
    <w:uiPriority w:val="39"/>
    <w:rPr>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5">
    <w:name w:val="日期 Char"/>
    <w:basedOn w:val="23"/>
    <w:link w:val="14"/>
    <w:semiHidden/>
    <w:qFormat/>
    <w:uiPriority w:val="99"/>
    <w:rPr>
      <w:rFonts w:ascii="宋体" w:hAnsi="Times New Roman" w:eastAsia="宋体" w:cs="宋体"/>
      <w:kern w:val="0"/>
      <w:sz w:val="22"/>
    </w:rPr>
  </w:style>
  <w:style w:type="table" w:customStyle="1" w:styleId="36">
    <w:name w:val="网格型2"/>
    <w:basedOn w:val="21"/>
    <w:qFormat/>
    <w:uiPriority w:val="3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7">
    <w:name w:val="网格型3"/>
    <w:basedOn w:val="21"/>
    <w:qFormat/>
    <w:uiPriority w:val="3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8">
    <w:name w:val="标题 2 Char"/>
    <w:basedOn w:val="23"/>
    <w:link w:val="5"/>
    <w:qFormat/>
    <w:uiPriority w:val="9"/>
    <w:rPr>
      <w:rFonts w:asciiTheme="majorHAnsi" w:hAnsiTheme="majorHAnsi" w:eastAsiaTheme="majorEastAsia" w:cstheme="majorBidi"/>
      <w:b/>
      <w:bCs/>
      <w:kern w:val="0"/>
      <w:sz w:val="32"/>
      <w:szCs w:val="32"/>
    </w:rPr>
  </w:style>
  <w:style w:type="character" w:customStyle="1" w:styleId="39">
    <w:name w:val="标题 3 Char"/>
    <w:basedOn w:val="23"/>
    <w:link w:val="6"/>
    <w:qFormat/>
    <w:uiPriority w:val="9"/>
    <w:rPr>
      <w:rFonts w:ascii="宋体" w:hAnsi="Times New Roman" w:eastAsia="宋体" w:cs="宋体"/>
      <w:b/>
      <w:bCs/>
      <w:kern w:val="0"/>
      <w:sz w:val="32"/>
      <w:szCs w:val="32"/>
    </w:rPr>
  </w:style>
  <w:style w:type="character" w:customStyle="1" w:styleId="40">
    <w:name w:val="标题 4 Char"/>
    <w:basedOn w:val="23"/>
    <w:link w:val="7"/>
    <w:qFormat/>
    <w:uiPriority w:val="9"/>
    <w:rPr>
      <w:rFonts w:asciiTheme="majorHAnsi" w:hAnsiTheme="majorHAnsi" w:eastAsiaTheme="majorEastAsia" w:cstheme="majorBidi"/>
      <w:b/>
      <w:bCs/>
      <w:kern w:val="0"/>
      <w:sz w:val="28"/>
      <w:szCs w:val="28"/>
    </w:rPr>
  </w:style>
  <w:style w:type="character" w:customStyle="1" w:styleId="41">
    <w:name w:val="标题 5 Char"/>
    <w:basedOn w:val="23"/>
    <w:link w:val="8"/>
    <w:qFormat/>
    <w:uiPriority w:val="9"/>
    <w:rPr>
      <w:rFonts w:ascii="宋体" w:hAnsi="Times New Roman" w:eastAsia="宋体" w:cs="宋体"/>
      <w:b/>
      <w:bCs/>
      <w:kern w:val="0"/>
      <w:sz w:val="28"/>
      <w:szCs w:val="28"/>
    </w:rPr>
  </w:style>
  <w:style w:type="character" w:customStyle="1" w:styleId="42">
    <w:name w:val="标题 6 Char"/>
    <w:basedOn w:val="23"/>
    <w:link w:val="9"/>
    <w:qFormat/>
    <w:uiPriority w:val="9"/>
    <w:rPr>
      <w:rFonts w:asciiTheme="majorHAnsi" w:hAnsiTheme="majorHAnsi" w:eastAsiaTheme="majorEastAsia" w:cstheme="majorBidi"/>
      <w:b/>
      <w:bCs/>
      <w:kern w:val="0"/>
      <w:sz w:val="24"/>
      <w:szCs w:val="24"/>
    </w:rPr>
  </w:style>
  <w:style w:type="character" w:customStyle="1" w:styleId="43">
    <w:name w:val="标题 7 Char"/>
    <w:basedOn w:val="23"/>
    <w:link w:val="10"/>
    <w:qFormat/>
    <w:uiPriority w:val="9"/>
    <w:rPr>
      <w:rFonts w:ascii="宋体" w:hAnsi="Times New Roman" w:eastAsia="宋体" w:cs="宋体"/>
      <w:b/>
      <w:bCs/>
      <w:kern w:val="0"/>
      <w:sz w:val="24"/>
      <w:szCs w:val="24"/>
    </w:rPr>
  </w:style>
  <w:style w:type="character" w:customStyle="1" w:styleId="44">
    <w:name w:val="标题 8 Char"/>
    <w:basedOn w:val="23"/>
    <w:link w:val="11"/>
    <w:qFormat/>
    <w:uiPriority w:val="9"/>
    <w:rPr>
      <w:rFonts w:asciiTheme="majorHAnsi" w:hAnsiTheme="majorHAnsi" w:eastAsiaTheme="majorEastAsia" w:cstheme="majorBidi"/>
      <w:kern w:val="0"/>
      <w:sz w:val="24"/>
      <w:szCs w:val="24"/>
    </w:rPr>
  </w:style>
  <w:style w:type="character" w:customStyle="1" w:styleId="45">
    <w:name w:val="标题 9 Char"/>
    <w:basedOn w:val="23"/>
    <w:link w:val="12"/>
    <w:qFormat/>
    <w:uiPriority w:val="9"/>
    <w:rPr>
      <w:rFonts w:asciiTheme="majorHAnsi" w:hAnsiTheme="majorHAnsi" w:eastAsiaTheme="majorEastAsia" w:cstheme="majorBidi"/>
      <w:kern w:val="0"/>
      <w:szCs w:val="21"/>
    </w:rPr>
  </w:style>
  <w:style w:type="paragraph" w:customStyle="1" w:styleId="46">
    <w:name w:val="TOC 标题1"/>
    <w:basedOn w:val="4"/>
    <w:next w:val="1"/>
    <w:semiHidden/>
    <w:unhideWhenUsed/>
    <w:qFormat/>
    <w:uiPriority w:val="39"/>
    <w:pPr>
      <w:keepNext/>
      <w:keepLines/>
      <w:widowControl/>
      <w:autoSpaceDE/>
      <w:autoSpaceDN/>
      <w:adjustRightInd/>
      <w:spacing w:before="480" w:line="276" w:lineRule="auto"/>
      <w:jc w:val="left"/>
      <w:outlineLvl w:val="9"/>
    </w:pPr>
    <w:rPr>
      <w:rFonts w:asciiTheme="majorHAnsi" w:hAnsiTheme="majorHAnsi" w:eastAsiaTheme="majorEastAsia" w:cstheme="majorBidi"/>
      <w:b/>
      <w:bCs/>
      <w:color w:val="376092" w:themeColor="accent1" w:themeShade="BF"/>
      <w:sz w:val="28"/>
      <w:szCs w:val="28"/>
    </w:rPr>
  </w:style>
  <w:style w:type="table" w:customStyle="1" w:styleId="47">
    <w:name w:val="网格型4"/>
    <w:basedOn w:val="2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8">
    <w:name w:val="附录标识"/>
    <w:basedOn w:val="1"/>
    <w:next w:val="1"/>
    <w:qFormat/>
    <w:uiPriority w:val="0"/>
    <w:pPr>
      <w:keepNext/>
      <w:widowControl/>
      <w:shd w:val="clear" w:color="FFFFFF" w:fill="FFFFFF"/>
      <w:tabs>
        <w:tab w:val="left" w:pos="6405"/>
      </w:tabs>
      <w:autoSpaceDE/>
      <w:autoSpaceDN/>
      <w:adjustRightInd/>
      <w:spacing w:before="640" w:after="280"/>
      <w:jc w:val="center"/>
      <w:outlineLvl w:val="0"/>
    </w:pPr>
    <w:rPr>
      <w:rFonts w:ascii="黑体" w:eastAsia="黑体" w:cs="Times New Roman"/>
      <w:sz w:val="21"/>
      <w:szCs w:val="20"/>
    </w:rPr>
  </w:style>
  <w:style w:type="character" w:customStyle="1" w:styleId="49">
    <w:name w:val="批注文字 Char"/>
    <w:basedOn w:val="23"/>
    <w:link w:val="13"/>
    <w:semiHidden/>
    <w:qFormat/>
    <w:uiPriority w:val="99"/>
    <w:rPr>
      <w:rFonts w:ascii="宋体" w:hAnsi="Times New Roman" w:eastAsia="宋体" w:cs="宋体"/>
      <w:kern w:val="0"/>
      <w:sz w:val="22"/>
    </w:rPr>
  </w:style>
  <w:style w:type="character" w:customStyle="1" w:styleId="50">
    <w:name w:val="批注主题 Char"/>
    <w:basedOn w:val="49"/>
    <w:link w:val="20"/>
    <w:semiHidden/>
    <w:qFormat/>
    <w:uiPriority w:val="99"/>
    <w:rPr>
      <w:rFonts w:ascii="宋体" w:hAnsi="Times New Roman" w:eastAsia="宋体" w:cs="宋体"/>
      <w:b/>
      <w:bCs/>
      <w:kern w:val="0"/>
      <w:sz w:val="22"/>
    </w:rPr>
  </w:style>
  <w:style w:type="paragraph" w:customStyle="1" w:styleId="51">
    <w:name w:val="修订1"/>
    <w:hidden/>
    <w:semiHidden/>
    <w:qFormat/>
    <w:uiPriority w:val="99"/>
    <w:rPr>
      <w:rFonts w:ascii="宋体" w:hAnsi="Times New Roman" w:eastAsia="宋体" w:cs="宋体"/>
      <w:sz w:val="22"/>
      <w:szCs w:val="22"/>
      <w:lang w:val="en-US" w:eastAsia="zh-CN" w:bidi="ar-SA"/>
    </w:rPr>
  </w:style>
  <w:style w:type="table" w:customStyle="1" w:styleId="52">
    <w:name w:val="Table Normal"/>
    <w:semiHidden/>
    <w:unhideWhenUsed/>
    <w:qFormat/>
    <w:uiPriority w:val="0"/>
    <w:tblPr>
      <w:tblCellMar>
        <w:top w:w="0" w:type="dxa"/>
        <w:left w:w="0" w:type="dxa"/>
        <w:bottom w:w="0" w:type="dxa"/>
        <w:right w:w="0" w:type="dxa"/>
      </w:tblCellMar>
    </w:tblPr>
  </w:style>
  <w:style w:type="paragraph" w:customStyle="1" w:styleId="53">
    <w:name w:val="Revision"/>
    <w:hidden/>
    <w:unhideWhenUsed/>
    <w:qFormat/>
    <w:uiPriority w:val="99"/>
    <w:rPr>
      <w:rFonts w:ascii="宋体" w:hAnsi="Times New Roman" w:eastAsia="宋体" w:cs="宋体"/>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8B0446-1AFC-4C9A-9D46-BB82C5D67F95}">
  <ds:schemaRefs/>
</ds:datastoreItem>
</file>

<file path=docProps/app.xml><?xml version="1.0" encoding="utf-8"?>
<Properties xmlns="http://schemas.openxmlformats.org/officeDocument/2006/extended-properties" xmlns:vt="http://schemas.openxmlformats.org/officeDocument/2006/docPropsVTypes">
  <Template>Normal.dotm</Template>
  <Pages>20</Pages>
  <Words>2440</Words>
  <Characters>13908</Characters>
  <Lines>115</Lines>
  <Paragraphs>32</Paragraphs>
  <TotalTime>86</TotalTime>
  <ScaleCrop>false</ScaleCrop>
  <LinksUpToDate>false</LinksUpToDate>
  <CharactersWithSpaces>16316</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2023-07-08T01:21:00Z</dcterms:created>
  <dc:creator>renqing@ncpe.com.cn</dc:creator>
  <cp:lastModifiedBy>史延伟</cp:lastModifiedBy>
  <cp:lastPrinted>2023-02-22T05:26:00Z</cp:lastPrinted>
  <dcterms:modified xsi:type="dcterms:W3CDTF">2023-07-26T01:16:25Z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DED13EA5858041DCBDF7D1ED6E6C8766_13</vt:lpwstr>
  </property>
</Properties>
</file>