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43C15">
      <w:pPr>
        <w:pStyle w:val="6"/>
        <w:spacing w:before="0" w:after="312" w:afterLines="100"/>
        <w:ind w:left="0"/>
        <w:jc w:val="left"/>
        <w:rPr>
          <w:rFonts w:hint="eastAsia" w:ascii="黑体" w:hAnsi="黑体" w:eastAsia="黑体" w:cs="黑体"/>
          <w:color w:val="auto"/>
          <w:lang w:eastAsia="zh-CN"/>
        </w:rPr>
      </w:pPr>
      <w:r>
        <w:rPr>
          <w:rFonts w:hint="eastAsia" w:ascii="黑体" w:hAnsi="黑体" w:eastAsia="黑体" w:cs="黑体"/>
          <w:color w:val="auto"/>
        </w:rPr>
        <w:t>附件</w:t>
      </w:r>
      <w:r>
        <w:rPr>
          <w:rFonts w:hint="eastAsia" w:ascii="黑体" w:hAnsi="黑体" w:eastAsia="黑体" w:cs="黑体"/>
          <w:color w:val="auto"/>
          <w:lang w:val="en-US" w:eastAsia="zh-CN"/>
        </w:rPr>
        <w:t>2</w:t>
      </w:r>
    </w:p>
    <w:p w14:paraId="6051B240">
      <w:pPr>
        <w:pStyle w:val="6"/>
        <w:spacing w:before="0" w:after="312" w:afterLines="100"/>
        <w:ind w:left="0"/>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中国电力建设企业协会标准《电力建设质量管理小组活动导则》编制说明</w:t>
      </w:r>
    </w:p>
    <w:p w14:paraId="1295ECD9">
      <w:pPr>
        <w:pStyle w:val="6"/>
        <w:keepNext w:val="0"/>
        <w:keepLines w:val="0"/>
        <w:pageBreakBefore w:val="0"/>
        <w:widowControl w:val="0"/>
        <w:numPr>
          <w:numId w:val="0"/>
        </w:numPr>
        <w:kinsoku/>
        <w:wordWrap/>
        <w:overflowPunct/>
        <w:topLinePunct w:val="0"/>
        <w:autoSpaceDE/>
        <w:autoSpaceDN/>
        <w:bidi w:val="0"/>
        <w:adjustRightInd/>
        <w:snapToGrid/>
        <w:spacing w:before="0" w:line="620" w:lineRule="exact"/>
        <w:ind w:firstLine="643" w:firstLineChars="200"/>
        <w:jc w:val="left"/>
        <w:textAlignment w:val="auto"/>
        <w:rPr>
          <w:rFonts w:hint="eastAsia" w:ascii="仿宋_GB2312" w:hAnsi="仿宋_GB2312" w:eastAsia="仿宋_GB2312" w:cs="仿宋_GB2312"/>
          <w:b/>
          <w:bCs/>
          <w:color w:val="auto"/>
        </w:rPr>
      </w:pPr>
      <w:r>
        <w:rPr>
          <w:rFonts w:hint="eastAsia" w:ascii="仿宋_GB2312" w:hAnsi="仿宋_GB2312" w:eastAsia="仿宋_GB2312" w:cs="仿宋_GB2312"/>
          <w:b/>
          <w:bCs/>
          <w:color w:val="auto"/>
          <w:lang w:val="en-US" w:eastAsia="zh-CN"/>
        </w:rPr>
        <w:t>1.</w:t>
      </w:r>
      <w:r>
        <w:rPr>
          <w:rFonts w:hint="eastAsia" w:ascii="仿宋_GB2312" w:hAnsi="仿宋_GB2312" w:eastAsia="仿宋_GB2312" w:cs="仿宋_GB2312"/>
          <w:b/>
          <w:bCs/>
          <w:color w:val="auto"/>
        </w:rPr>
        <w:t>工作简况</w:t>
      </w:r>
    </w:p>
    <w:p w14:paraId="57F6694C">
      <w:pPr>
        <w:keepNext w:val="0"/>
        <w:keepLines w:val="0"/>
        <w:pageBreakBefore w:val="0"/>
        <w:widowControl w:val="0"/>
        <w:kinsoku/>
        <w:wordWrap/>
        <w:overflowPunct/>
        <w:topLinePunct w:val="0"/>
        <w:autoSpaceDE/>
        <w:autoSpaceDN/>
        <w:bidi w:val="0"/>
        <w:adjustRightInd/>
        <w:snapToGrid/>
        <w:spacing w:line="620" w:lineRule="exact"/>
        <w:ind w:firstLine="643" w:firstLineChars="200"/>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1.1任务来源</w:t>
      </w:r>
    </w:p>
    <w:p w14:paraId="3389940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根据《关于印发2024年第二批中国电力建设企业协会团体标准制订计划的通知》（中电建协〔2024〕302号）文件安排，对计划编号为“</w:t>
      </w:r>
      <w:r>
        <w:rPr>
          <w:rFonts w:hint="eastAsia" w:ascii="仿宋_GB2312" w:hAnsi="仿宋_GB2312" w:eastAsia="仿宋_GB2312" w:cs="仿宋_GB2312"/>
          <w:color w:val="auto"/>
          <w:kern w:val="2"/>
          <w:sz w:val="32"/>
          <w:szCs w:val="32"/>
          <w:lang w:val="en-US" w:eastAsia="zh-CN" w:bidi="ar-SA"/>
        </w:rPr>
        <w:t>T/CEPCA 202414</w:t>
      </w:r>
      <w:r>
        <w:rPr>
          <w:rFonts w:hint="eastAsia" w:ascii="仿宋_GB2312" w:hAnsi="仿宋_GB2312" w:eastAsia="仿宋_GB2312" w:cs="仿宋_GB2312"/>
          <w:color w:val="auto"/>
          <w:sz w:val="32"/>
          <w:szCs w:val="32"/>
        </w:rPr>
        <w:t>”的中电建协标准项目《电力建设质量管理小组活动导则》进行编制。</w:t>
      </w:r>
    </w:p>
    <w:p w14:paraId="76289419">
      <w:pPr>
        <w:pStyle w:val="6"/>
        <w:keepNext w:val="0"/>
        <w:keepLines w:val="0"/>
        <w:pageBreakBefore w:val="0"/>
        <w:widowControl w:val="0"/>
        <w:numPr>
          <w:ilvl w:val="0"/>
          <w:numId w:val="0"/>
        </w:numPr>
        <w:kinsoku/>
        <w:wordWrap/>
        <w:overflowPunct/>
        <w:topLinePunct w:val="0"/>
        <w:autoSpaceDE/>
        <w:autoSpaceDN/>
        <w:bidi w:val="0"/>
        <w:adjustRightInd/>
        <w:snapToGrid/>
        <w:spacing w:before="0" w:line="620" w:lineRule="exact"/>
        <w:ind w:firstLine="643" w:firstLineChars="200"/>
        <w:jc w:val="left"/>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1.2编写单位</w:t>
      </w:r>
    </w:p>
    <w:p w14:paraId="20DD3B1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本标准由中国电力建设企业协会组织</w:t>
      </w:r>
      <w:r>
        <w:rPr>
          <w:rFonts w:hint="eastAsia" w:ascii="仿宋_GB2312" w:hAnsi="仿宋_GB2312" w:eastAsia="仿宋_GB2312" w:cs="仿宋_GB2312"/>
          <w:color w:val="auto"/>
          <w:sz w:val="32"/>
          <w:szCs w:val="32"/>
          <w:lang w:val="en-US" w:eastAsia="zh-CN"/>
        </w:rPr>
        <w:t>相关单位</w:t>
      </w:r>
      <w:r>
        <w:rPr>
          <w:rFonts w:hint="eastAsia" w:ascii="仿宋_GB2312" w:hAnsi="仿宋_GB2312" w:eastAsia="仿宋_GB2312" w:cs="仿宋_GB2312"/>
          <w:color w:val="auto"/>
          <w:sz w:val="32"/>
          <w:szCs w:val="32"/>
        </w:rPr>
        <w:t>编写。</w:t>
      </w:r>
    </w:p>
    <w:p w14:paraId="5B6D11E2">
      <w:pPr>
        <w:pStyle w:val="6"/>
        <w:keepNext w:val="0"/>
        <w:keepLines w:val="0"/>
        <w:pageBreakBefore w:val="0"/>
        <w:widowControl w:val="0"/>
        <w:numPr>
          <w:ilvl w:val="0"/>
          <w:numId w:val="0"/>
        </w:numPr>
        <w:kinsoku/>
        <w:wordWrap/>
        <w:overflowPunct/>
        <w:topLinePunct w:val="0"/>
        <w:autoSpaceDE/>
        <w:autoSpaceDN/>
        <w:bidi w:val="0"/>
        <w:adjustRightInd/>
        <w:snapToGrid/>
        <w:spacing w:before="0" w:line="620" w:lineRule="exact"/>
        <w:ind w:firstLine="643" w:firstLineChars="200"/>
        <w:jc w:val="left"/>
        <w:textAlignment w:val="auto"/>
        <w:rPr>
          <w:rFonts w:hint="eastAsia" w:ascii="仿宋_GB2312" w:hAnsi="仿宋_GB2312" w:eastAsia="仿宋_GB2312" w:cs="仿宋_GB2312"/>
          <w:b/>
          <w:bCs/>
          <w:color w:val="auto"/>
          <w:lang w:val="en-US" w:eastAsia="zh-CN"/>
        </w:rPr>
      </w:pPr>
      <w:r>
        <w:rPr>
          <w:rFonts w:hint="eastAsia" w:ascii="仿宋_GB2312" w:hAnsi="仿宋_GB2312" w:eastAsia="仿宋_GB2312" w:cs="仿宋_GB2312"/>
          <w:b/>
          <w:bCs/>
          <w:color w:val="auto"/>
          <w:kern w:val="2"/>
          <w:sz w:val="32"/>
          <w:szCs w:val="32"/>
          <w:lang w:val="en-US" w:eastAsia="zh-CN" w:bidi="ar-SA"/>
        </w:rPr>
        <w:t>1.3</w:t>
      </w:r>
      <w:r>
        <w:rPr>
          <w:rFonts w:hint="eastAsia" w:ascii="仿宋_GB2312" w:hAnsi="仿宋_GB2312" w:eastAsia="仿宋_GB2312" w:cs="仿宋_GB2312"/>
          <w:b/>
          <w:bCs/>
          <w:color w:val="auto"/>
          <w:lang w:val="en-US" w:eastAsia="zh-CN"/>
        </w:rPr>
        <w:t>具体内容</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7664"/>
      </w:tblGrid>
      <w:tr w14:paraId="07CA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2" w:type="pct"/>
            <w:noWrap w:val="0"/>
            <w:vAlign w:val="center"/>
          </w:tcPr>
          <w:p w14:paraId="666EC4FD">
            <w:pPr>
              <w:spacing w:line="24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序号</w:t>
            </w:r>
          </w:p>
        </w:tc>
        <w:tc>
          <w:tcPr>
            <w:tcW w:w="4497" w:type="pct"/>
            <w:noWrap w:val="0"/>
            <w:vAlign w:val="center"/>
          </w:tcPr>
          <w:p w14:paraId="452C8962">
            <w:pPr>
              <w:spacing w:line="24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大纲及相关内容</w:t>
            </w:r>
          </w:p>
        </w:tc>
      </w:tr>
      <w:tr w14:paraId="07DE3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502" w:type="pct"/>
            <w:noWrap w:val="0"/>
            <w:vAlign w:val="center"/>
          </w:tcPr>
          <w:p w14:paraId="5235CDD9">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4497" w:type="pct"/>
            <w:noWrap w:val="0"/>
            <w:vAlign w:val="center"/>
          </w:tcPr>
          <w:p w14:paraId="7BCE6CC5">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封面</w:t>
            </w:r>
          </w:p>
          <w:p w14:paraId="354B51AC">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目录</w:t>
            </w:r>
          </w:p>
          <w:p w14:paraId="73E2CC95">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前言</w:t>
            </w:r>
          </w:p>
        </w:tc>
      </w:tr>
      <w:tr w14:paraId="58EE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502" w:type="pct"/>
            <w:noWrap w:val="0"/>
            <w:vAlign w:val="center"/>
          </w:tcPr>
          <w:p w14:paraId="506AA33C">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4497" w:type="pct"/>
            <w:noWrap w:val="0"/>
            <w:vAlign w:val="center"/>
          </w:tcPr>
          <w:p w14:paraId="0C65BFBB">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  范围</w:t>
            </w:r>
          </w:p>
          <w:p w14:paraId="07C68967">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  规范性引用文件</w:t>
            </w:r>
          </w:p>
          <w:p w14:paraId="7D1925C2">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3  术语和定义</w:t>
            </w:r>
          </w:p>
        </w:tc>
      </w:tr>
      <w:tr w14:paraId="3B0D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502" w:type="pct"/>
            <w:noWrap w:val="0"/>
            <w:vAlign w:val="center"/>
          </w:tcPr>
          <w:p w14:paraId="2DB46A84">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4497" w:type="pct"/>
            <w:noWrap w:val="0"/>
            <w:vAlign w:val="center"/>
          </w:tcPr>
          <w:p w14:paraId="2E59A249">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 xml:space="preserve">4  </w:t>
            </w:r>
            <w:r>
              <w:rPr>
                <w:rFonts w:hint="eastAsia" w:ascii="仿宋" w:hAnsi="仿宋" w:eastAsia="仿宋" w:cs="仿宋"/>
                <w:color w:val="auto"/>
                <w:sz w:val="24"/>
                <w:szCs w:val="24"/>
                <w:lang w:val="en-US" w:eastAsia="zh-CN"/>
              </w:rPr>
              <w:t>总则</w:t>
            </w:r>
          </w:p>
          <w:p w14:paraId="79DE51F9">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4.1目的</w:t>
            </w:r>
          </w:p>
          <w:p w14:paraId="243B0E0C">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4.2基本原则</w:t>
            </w:r>
          </w:p>
          <w:p w14:paraId="156AAEE2">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4.3要求</w:t>
            </w:r>
          </w:p>
        </w:tc>
      </w:tr>
      <w:tr w14:paraId="5A47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502" w:type="pct"/>
            <w:noWrap w:val="0"/>
            <w:vAlign w:val="center"/>
          </w:tcPr>
          <w:p w14:paraId="27B69A58">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4497" w:type="pct"/>
            <w:noWrap w:val="0"/>
            <w:vAlign w:val="center"/>
          </w:tcPr>
          <w:p w14:paraId="33782DDB">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5  活动程序要求</w:t>
            </w:r>
          </w:p>
          <w:p w14:paraId="40FC9655">
            <w:pPr>
              <w:pStyle w:val="2"/>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5.1 问题解决型</w:t>
            </w:r>
          </w:p>
        </w:tc>
      </w:tr>
      <w:tr w14:paraId="259E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502" w:type="pct"/>
            <w:noWrap w:val="0"/>
            <w:vAlign w:val="center"/>
          </w:tcPr>
          <w:p w14:paraId="406528EB">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4497" w:type="pct"/>
            <w:noWrap w:val="0"/>
            <w:vAlign w:val="center"/>
          </w:tcPr>
          <w:p w14:paraId="71BEC8A4">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5.</w:t>
            </w:r>
            <w:r>
              <w:rPr>
                <w:rFonts w:hint="eastAsia" w:ascii="仿宋" w:hAnsi="仿宋" w:eastAsia="仿宋" w:cs="仿宋"/>
                <w:color w:val="auto"/>
                <w:sz w:val="24"/>
                <w:szCs w:val="24"/>
              </w:rPr>
              <w:t>2 创新型</w:t>
            </w:r>
          </w:p>
        </w:tc>
      </w:tr>
      <w:tr w14:paraId="6F37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502" w:type="pct"/>
            <w:vMerge w:val="restart"/>
            <w:noWrap w:val="0"/>
            <w:vAlign w:val="center"/>
          </w:tcPr>
          <w:p w14:paraId="69909746">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4497" w:type="pct"/>
            <w:vMerge w:val="restart"/>
            <w:noWrap w:val="0"/>
            <w:vAlign w:val="center"/>
          </w:tcPr>
          <w:p w14:paraId="61415AA0">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6  成果评价</w:t>
            </w:r>
          </w:p>
          <w:p w14:paraId="2FA1DD4F">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6.1要求</w:t>
            </w:r>
          </w:p>
          <w:p w14:paraId="359B02C4">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6.2评价人员</w:t>
            </w:r>
          </w:p>
          <w:p w14:paraId="6B2B323D">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6.3评价方式</w:t>
            </w:r>
          </w:p>
          <w:p w14:paraId="0A28509F">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6.4评价结果</w:t>
            </w:r>
          </w:p>
        </w:tc>
      </w:tr>
      <w:tr w14:paraId="494B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502" w:type="pct"/>
            <w:vMerge w:val="continue"/>
            <w:noWrap w:val="0"/>
            <w:vAlign w:val="center"/>
          </w:tcPr>
          <w:p w14:paraId="631D0756">
            <w:pPr>
              <w:adjustRightInd w:val="0"/>
              <w:snapToGrid w:val="0"/>
              <w:spacing w:line="240" w:lineRule="auto"/>
              <w:jc w:val="center"/>
              <w:rPr>
                <w:rFonts w:hint="eastAsia" w:ascii="仿宋" w:hAnsi="仿宋" w:eastAsia="仿宋" w:cs="仿宋"/>
                <w:color w:val="auto"/>
                <w:sz w:val="24"/>
                <w:szCs w:val="24"/>
              </w:rPr>
            </w:pPr>
          </w:p>
        </w:tc>
        <w:tc>
          <w:tcPr>
            <w:tcW w:w="4497" w:type="pct"/>
            <w:vMerge w:val="continue"/>
            <w:noWrap w:val="0"/>
            <w:vAlign w:val="center"/>
          </w:tcPr>
          <w:p w14:paraId="35743A4A">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p>
        </w:tc>
      </w:tr>
      <w:tr w14:paraId="2C019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02" w:type="pct"/>
            <w:noWrap w:val="0"/>
            <w:vAlign w:val="center"/>
          </w:tcPr>
          <w:p w14:paraId="7AA57EE6">
            <w:pPr>
              <w:adjustRightInd w:val="0"/>
              <w:snapToGrid w:val="0"/>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4497" w:type="pct"/>
            <w:noWrap w:val="0"/>
            <w:vAlign w:val="center"/>
          </w:tcPr>
          <w:p w14:paraId="0D151ED0">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7  </w:t>
            </w:r>
            <w:r>
              <w:rPr>
                <w:rFonts w:hint="eastAsia" w:ascii="仿宋" w:hAnsi="仿宋" w:eastAsia="仿宋" w:cs="仿宋"/>
                <w:color w:val="auto"/>
                <w:sz w:val="24"/>
                <w:szCs w:val="24"/>
                <w:lang w:val="en-US" w:eastAsia="zh-CN"/>
              </w:rPr>
              <w:t>成果推广应用</w:t>
            </w:r>
          </w:p>
        </w:tc>
      </w:tr>
      <w:tr w14:paraId="44D8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02" w:type="pct"/>
            <w:noWrap w:val="0"/>
            <w:vAlign w:val="center"/>
          </w:tcPr>
          <w:p w14:paraId="7BEE20E8">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w:t>
            </w:r>
          </w:p>
        </w:tc>
        <w:tc>
          <w:tcPr>
            <w:tcW w:w="4497" w:type="pct"/>
            <w:noWrap w:val="0"/>
            <w:vAlign w:val="center"/>
          </w:tcPr>
          <w:p w14:paraId="6413A668">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附录A</w:t>
            </w:r>
          </w:p>
        </w:tc>
      </w:tr>
      <w:tr w14:paraId="490A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02" w:type="pct"/>
            <w:noWrap w:val="0"/>
            <w:vAlign w:val="center"/>
          </w:tcPr>
          <w:p w14:paraId="274282C9">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w:t>
            </w:r>
          </w:p>
        </w:tc>
        <w:tc>
          <w:tcPr>
            <w:tcW w:w="4497" w:type="pct"/>
            <w:noWrap w:val="0"/>
            <w:vAlign w:val="center"/>
          </w:tcPr>
          <w:p w14:paraId="27E2E523">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附录B</w:t>
            </w:r>
          </w:p>
        </w:tc>
      </w:tr>
      <w:tr w14:paraId="1A65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02" w:type="pct"/>
            <w:noWrap w:val="0"/>
            <w:vAlign w:val="center"/>
          </w:tcPr>
          <w:p w14:paraId="5AED7418">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4497" w:type="pct"/>
            <w:noWrap w:val="0"/>
            <w:vAlign w:val="center"/>
          </w:tcPr>
          <w:p w14:paraId="1C651540">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附录C</w:t>
            </w:r>
          </w:p>
        </w:tc>
      </w:tr>
      <w:tr w14:paraId="7314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02" w:type="pct"/>
            <w:noWrap w:val="0"/>
            <w:vAlign w:val="center"/>
          </w:tcPr>
          <w:p w14:paraId="6F9D8B30">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4497" w:type="pct"/>
            <w:noWrap w:val="0"/>
            <w:vAlign w:val="center"/>
          </w:tcPr>
          <w:p w14:paraId="7B65EE18">
            <w:pPr>
              <w:pStyle w:val="26"/>
              <w:widowControl w:val="0"/>
              <w:tabs>
                <w:tab w:val="right" w:leader="dot" w:pos="8306"/>
              </w:tabs>
              <w:adjustRightInd w:val="0"/>
              <w:snapToGrid w:val="0"/>
              <w:spacing w:line="240" w:lineRule="auto"/>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附录D</w:t>
            </w:r>
          </w:p>
        </w:tc>
      </w:tr>
      <w:tr w14:paraId="1B2F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502" w:type="pct"/>
            <w:noWrap w:val="0"/>
            <w:vAlign w:val="center"/>
          </w:tcPr>
          <w:p w14:paraId="1432AC26">
            <w:pPr>
              <w:adjustRightInd w:val="0"/>
              <w:snapToGrid w:val="0"/>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w:t>
            </w:r>
          </w:p>
        </w:tc>
        <w:tc>
          <w:tcPr>
            <w:tcW w:w="4497" w:type="pct"/>
            <w:noWrap w:val="0"/>
            <w:vAlign w:val="center"/>
          </w:tcPr>
          <w:p w14:paraId="74F63255">
            <w:pPr>
              <w:adjustRightInd w:val="0"/>
              <w:snapToGrid w:val="0"/>
              <w:spacing w:line="240" w:lineRule="auto"/>
              <w:jc w:val="left"/>
              <w:rPr>
                <w:rFonts w:hint="eastAsia" w:ascii="仿宋" w:hAnsi="仿宋" w:eastAsia="仿宋" w:cs="仿宋"/>
                <w:color w:val="auto"/>
                <w:sz w:val="24"/>
                <w:szCs w:val="24"/>
              </w:rPr>
            </w:pPr>
            <w:r>
              <w:rPr>
                <w:rFonts w:hint="eastAsia" w:ascii="仿宋" w:hAnsi="仿宋" w:eastAsia="仿宋" w:cs="仿宋"/>
                <w:color w:val="auto"/>
                <w:kern w:val="0"/>
                <w:sz w:val="24"/>
                <w:szCs w:val="24"/>
                <w:lang w:bidi="ar"/>
              </w:rPr>
              <w:t>参考文献</w:t>
            </w:r>
          </w:p>
        </w:tc>
      </w:tr>
    </w:tbl>
    <w:p w14:paraId="55CA67E6">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14:ligatures w14:val="standardContextual"/>
        </w:rPr>
      </w:pPr>
      <w:r>
        <w:rPr>
          <w:rFonts w:hint="eastAsia" w:ascii="仿宋_GB2312" w:hAnsi="仿宋_GB2312" w:eastAsia="仿宋_GB2312" w:cs="仿宋_GB2312"/>
          <w:b/>
          <w:bCs/>
          <w:color w:val="auto"/>
          <w:sz w:val="32"/>
          <w:szCs w:val="32"/>
          <w:lang w:val="en-US" w:eastAsia="zh-CN"/>
          <w14:ligatures w14:val="standardContextual"/>
        </w:rPr>
        <w:t>1.4</w:t>
      </w:r>
      <w:r>
        <w:rPr>
          <w:rFonts w:hint="eastAsia" w:ascii="仿宋_GB2312" w:hAnsi="仿宋_GB2312" w:eastAsia="仿宋_GB2312" w:cs="仿宋_GB2312"/>
          <w:b/>
          <w:bCs/>
          <w:color w:val="auto"/>
          <w:sz w:val="32"/>
          <w:szCs w:val="32"/>
          <w14:ligatures w14:val="standardContextual"/>
        </w:rPr>
        <w:t>主要工作过程</w:t>
      </w:r>
    </w:p>
    <w:p w14:paraId="58F7FF8F">
      <w:pPr>
        <w:keepNext w:val="0"/>
        <w:keepLines w:val="0"/>
        <w:pageBreakBefore w:val="0"/>
        <w:kinsoku/>
        <w:wordWrap/>
        <w:overflowPunct/>
        <w:topLinePunct w:val="0"/>
        <w:autoSpaceDE/>
        <w:autoSpaceDN/>
        <w:bidi w:val="0"/>
        <w:adjustRightInd w:val="0"/>
        <w:snapToGrid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2024年</w:t>
      </w:r>
      <w:r>
        <w:rPr>
          <w:rFonts w:hint="eastAsia" w:ascii="仿宋_GB2312" w:hAnsi="仿宋_GB2312" w:eastAsia="仿宋_GB2312" w:cs="仿宋_GB2312"/>
          <w:color w:val="auto"/>
          <w:kern w:val="0"/>
          <w:sz w:val="32"/>
          <w:szCs w:val="32"/>
          <w:lang w:val="en-US" w:eastAsia="zh-CN" w:bidi="ar"/>
        </w:rPr>
        <w:t>3</w:t>
      </w:r>
      <w:r>
        <w:rPr>
          <w:rFonts w:hint="eastAsia" w:ascii="仿宋_GB2312" w:hAnsi="仿宋_GB2312" w:eastAsia="仿宋_GB2312" w:cs="仿宋_GB2312"/>
          <w:color w:val="auto"/>
          <w:kern w:val="0"/>
          <w:sz w:val="32"/>
          <w:szCs w:val="32"/>
          <w:lang w:bidi="ar"/>
        </w:rPr>
        <w:t>月，中国电力建设企业协会标准化管理委员会对中国电力建设协会项目《电力建设质量管理小组活动导则》予以立项。</w:t>
      </w:r>
    </w:p>
    <w:p w14:paraId="16B07D92">
      <w:pPr>
        <w:keepNext w:val="0"/>
        <w:keepLines w:val="0"/>
        <w:pageBreakBefore w:val="0"/>
        <w:kinsoku/>
        <w:wordWrap/>
        <w:overflowPunct/>
        <w:topLinePunct w:val="0"/>
        <w:autoSpaceDE/>
        <w:autoSpaceDN/>
        <w:bidi w:val="0"/>
        <w:adjustRightInd w:val="0"/>
        <w:snapToGrid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2024年</w:t>
      </w:r>
      <w:r>
        <w:rPr>
          <w:rFonts w:hint="eastAsia" w:ascii="仿宋_GB2312" w:hAnsi="仿宋_GB2312" w:eastAsia="仿宋_GB2312" w:cs="仿宋_GB2312"/>
          <w:color w:val="auto"/>
          <w:kern w:val="0"/>
          <w:sz w:val="32"/>
          <w:szCs w:val="32"/>
          <w:lang w:val="en-US" w:eastAsia="zh-CN" w:bidi="ar"/>
        </w:rPr>
        <w:t>9</w:t>
      </w:r>
      <w:r>
        <w:rPr>
          <w:rFonts w:hint="eastAsia" w:ascii="仿宋_GB2312" w:hAnsi="仿宋_GB2312" w:eastAsia="仿宋_GB2312" w:cs="仿宋_GB2312"/>
          <w:color w:val="auto"/>
          <w:kern w:val="0"/>
          <w:sz w:val="32"/>
          <w:szCs w:val="32"/>
          <w:lang w:bidi="ar"/>
        </w:rPr>
        <w:t>月</w:t>
      </w:r>
      <w:r>
        <w:rPr>
          <w:rFonts w:hint="eastAsia" w:ascii="仿宋_GB2312" w:hAnsi="仿宋_GB2312" w:eastAsia="仿宋_GB2312" w:cs="仿宋_GB2312"/>
          <w:color w:val="auto"/>
          <w:kern w:val="0"/>
          <w:sz w:val="32"/>
          <w:szCs w:val="32"/>
          <w:lang w:val="en-US" w:eastAsia="zh-CN" w:bidi="ar"/>
        </w:rPr>
        <w:t>27</w:t>
      </w:r>
      <w:r>
        <w:rPr>
          <w:rFonts w:hint="eastAsia" w:ascii="仿宋_GB2312" w:hAnsi="仿宋_GB2312" w:eastAsia="仿宋_GB2312" w:cs="仿宋_GB2312"/>
          <w:color w:val="auto"/>
          <w:kern w:val="0"/>
          <w:sz w:val="32"/>
          <w:szCs w:val="32"/>
          <w:lang w:bidi="ar"/>
        </w:rPr>
        <w:t>，中国电力建设企业协会标准化管理委员会以线下形式在</w:t>
      </w:r>
      <w:r>
        <w:rPr>
          <w:rFonts w:hint="eastAsia" w:ascii="仿宋_GB2312" w:hAnsi="仿宋_GB2312" w:eastAsia="仿宋_GB2312" w:cs="仿宋_GB2312"/>
          <w:color w:val="auto"/>
          <w:kern w:val="0"/>
          <w:sz w:val="32"/>
          <w:szCs w:val="32"/>
          <w:lang w:val="en-US" w:eastAsia="zh-CN" w:bidi="ar"/>
        </w:rPr>
        <w:t>衡阳</w:t>
      </w:r>
      <w:r>
        <w:rPr>
          <w:rFonts w:hint="eastAsia" w:ascii="仿宋_GB2312" w:hAnsi="仿宋_GB2312" w:eastAsia="仿宋_GB2312" w:cs="仿宋_GB2312"/>
          <w:color w:val="auto"/>
          <w:kern w:val="0"/>
          <w:sz w:val="32"/>
          <w:szCs w:val="32"/>
          <w:lang w:bidi="ar"/>
        </w:rPr>
        <w:t>组织召开《电力建设质量管理小组活动导则》编制启动暨初稿讨论会，介绍了编制背景与目标，与会人员充分讨论了标准大纲，明确了大纲及初稿修改意见、各章节编写小组分工与后续工作计划。</w:t>
      </w:r>
    </w:p>
    <w:p w14:paraId="17C84005">
      <w:pPr>
        <w:keepNext w:val="0"/>
        <w:keepLines w:val="0"/>
        <w:pageBreakBefore w:val="0"/>
        <w:kinsoku/>
        <w:wordWrap/>
        <w:overflowPunct/>
        <w:topLinePunct w:val="0"/>
        <w:autoSpaceDE/>
        <w:autoSpaceDN/>
        <w:bidi w:val="0"/>
        <w:adjustRightInd w:val="0"/>
        <w:snapToGrid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2024年11月3日，中国电力建设企业协会组织相关单位在</w:t>
      </w:r>
      <w:r>
        <w:rPr>
          <w:rFonts w:hint="eastAsia" w:ascii="仿宋_GB2312" w:hAnsi="仿宋_GB2312" w:eastAsia="仿宋_GB2312" w:cs="仿宋_GB2312"/>
          <w:color w:val="auto"/>
          <w:kern w:val="0"/>
          <w:sz w:val="32"/>
          <w:szCs w:val="32"/>
          <w:lang w:val="en-US" w:eastAsia="zh-CN" w:bidi="ar"/>
        </w:rPr>
        <w:t>沈阳</w:t>
      </w:r>
      <w:r>
        <w:rPr>
          <w:rFonts w:hint="eastAsia" w:ascii="仿宋_GB2312" w:hAnsi="仿宋_GB2312" w:eastAsia="仿宋_GB2312" w:cs="仿宋_GB2312"/>
          <w:color w:val="auto"/>
          <w:kern w:val="0"/>
          <w:sz w:val="32"/>
          <w:szCs w:val="32"/>
          <w:lang w:bidi="ar"/>
        </w:rPr>
        <w:t>召开了《电力建设质量管理小组活动导则》二稿讨论会。中电建协相关人员、各参编单位相关专家与代表参加本次会。会议首先汇报了初稿的修改成果，介绍了二稿讨论的目标和原则，与会人员针对初稿进行了充分讨论，明确了</w:t>
      </w:r>
      <w:r>
        <w:rPr>
          <w:rFonts w:hint="eastAsia" w:ascii="仿宋_GB2312" w:hAnsi="仿宋_GB2312" w:eastAsia="仿宋_GB2312" w:cs="仿宋_GB2312"/>
          <w:color w:val="auto"/>
          <w:kern w:val="0"/>
          <w:sz w:val="32"/>
          <w:szCs w:val="32"/>
          <w:lang w:val="en-US" w:eastAsia="zh-CN" w:bidi="ar"/>
        </w:rPr>
        <w:t>三稿</w:t>
      </w:r>
      <w:r>
        <w:rPr>
          <w:rFonts w:hint="eastAsia" w:ascii="仿宋_GB2312" w:hAnsi="仿宋_GB2312" w:eastAsia="仿宋_GB2312" w:cs="仿宋_GB2312"/>
          <w:color w:val="auto"/>
          <w:kern w:val="0"/>
          <w:sz w:val="32"/>
          <w:szCs w:val="32"/>
          <w:lang w:bidi="ar"/>
        </w:rPr>
        <w:t>修改内容、修改分工与后续编制完成节点。</w:t>
      </w:r>
    </w:p>
    <w:p w14:paraId="128DD471">
      <w:pPr>
        <w:keepNext w:val="0"/>
        <w:keepLines w:val="0"/>
        <w:pageBreakBefore w:val="0"/>
        <w:kinsoku/>
        <w:wordWrap/>
        <w:overflowPunct/>
        <w:topLinePunct w:val="0"/>
        <w:autoSpaceDE/>
        <w:autoSpaceDN/>
        <w:bidi w:val="0"/>
        <w:adjustRightInd w:val="0"/>
        <w:snapToGrid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2024年</w:t>
      </w:r>
      <w:r>
        <w:rPr>
          <w:rFonts w:hint="eastAsia" w:ascii="仿宋_GB2312" w:hAnsi="仿宋_GB2312" w:eastAsia="仿宋_GB2312" w:cs="仿宋_GB2312"/>
          <w:color w:val="auto"/>
          <w:kern w:val="0"/>
          <w:sz w:val="32"/>
          <w:szCs w:val="32"/>
          <w:lang w:val="en-US" w:eastAsia="zh-CN" w:bidi="ar"/>
        </w:rPr>
        <w:t>12</w:t>
      </w:r>
      <w:r>
        <w:rPr>
          <w:rFonts w:hint="eastAsia" w:ascii="仿宋_GB2312" w:hAnsi="仿宋_GB2312" w:eastAsia="仿宋_GB2312" w:cs="仿宋_GB2312"/>
          <w:color w:val="auto"/>
          <w:kern w:val="0"/>
          <w:sz w:val="32"/>
          <w:szCs w:val="32"/>
          <w:lang w:bidi="ar"/>
        </w:rPr>
        <w:t>月</w:t>
      </w:r>
      <w:r>
        <w:rPr>
          <w:rFonts w:hint="eastAsia" w:ascii="仿宋_GB2312" w:hAnsi="仿宋_GB2312" w:eastAsia="仿宋_GB2312" w:cs="仿宋_GB2312"/>
          <w:color w:val="auto"/>
          <w:kern w:val="0"/>
          <w:sz w:val="32"/>
          <w:szCs w:val="32"/>
          <w:lang w:val="en-US" w:eastAsia="zh-CN" w:bidi="ar"/>
        </w:rPr>
        <w:t>18</w:t>
      </w:r>
      <w:r>
        <w:rPr>
          <w:rFonts w:hint="eastAsia" w:ascii="仿宋_GB2312" w:hAnsi="仿宋_GB2312" w:eastAsia="仿宋_GB2312" w:cs="仿宋_GB2312"/>
          <w:color w:val="auto"/>
          <w:kern w:val="0"/>
          <w:sz w:val="32"/>
          <w:szCs w:val="32"/>
          <w:lang w:bidi="ar"/>
        </w:rPr>
        <w:t>日，中国电力建设企业协会组织相关单位在</w:t>
      </w:r>
      <w:r>
        <w:rPr>
          <w:rFonts w:hint="eastAsia" w:ascii="仿宋_GB2312" w:hAnsi="仿宋_GB2312" w:eastAsia="仿宋_GB2312" w:cs="仿宋_GB2312"/>
          <w:color w:val="auto"/>
          <w:kern w:val="0"/>
          <w:sz w:val="32"/>
          <w:szCs w:val="32"/>
          <w:lang w:val="en-US" w:eastAsia="zh-CN" w:bidi="ar"/>
        </w:rPr>
        <w:t>广西南宁</w:t>
      </w:r>
      <w:r>
        <w:rPr>
          <w:rFonts w:hint="eastAsia" w:ascii="仿宋_GB2312" w:hAnsi="仿宋_GB2312" w:eastAsia="仿宋_GB2312" w:cs="仿宋_GB2312"/>
          <w:color w:val="auto"/>
          <w:kern w:val="0"/>
          <w:sz w:val="32"/>
          <w:szCs w:val="32"/>
          <w:lang w:bidi="ar"/>
        </w:rPr>
        <w:t>召开了《电力建设质量管理小组活动导则》</w:t>
      </w:r>
      <w:r>
        <w:rPr>
          <w:rFonts w:hint="eastAsia" w:ascii="仿宋_GB2312" w:hAnsi="仿宋_GB2312" w:eastAsia="仿宋_GB2312" w:cs="仿宋_GB2312"/>
          <w:color w:val="auto"/>
          <w:kern w:val="0"/>
          <w:sz w:val="32"/>
          <w:szCs w:val="32"/>
          <w:lang w:val="en-US" w:eastAsia="zh-CN" w:bidi="ar"/>
        </w:rPr>
        <w:t>三稿</w:t>
      </w:r>
      <w:r>
        <w:rPr>
          <w:rFonts w:hint="eastAsia" w:ascii="仿宋_GB2312" w:hAnsi="仿宋_GB2312" w:eastAsia="仿宋_GB2312" w:cs="仿宋_GB2312"/>
          <w:color w:val="auto"/>
          <w:kern w:val="0"/>
          <w:sz w:val="32"/>
          <w:szCs w:val="32"/>
          <w:lang w:bidi="ar"/>
        </w:rPr>
        <w:t>讨论会。中电建协相关人员、各参编单位相关专家与代表参加本次会。会议首先汇报了</w:t>
      </w:r>
      <w:r>
        <w:rPr>
          <w:rFonts w:hint="eastAsia" w:ascii="仿宋_GB2312" w:hAnsi="仿宋_GB2312" w:eastAsia="仿宋_GB2312" w:cs="仿宋_GB2312"/>
          <w:color w:val="auto"/>
          <w:kern w:val="0"/>
          <w:sz w:val="32"/>
          <w:szCs w:val="32"/>
          <w:lang w:val="en-US" w:eastAsia="zh-CN" w:bidi="ar"/>
        </w:rPr>
        <w:t>二稿</w:t>
      </w:r>
      <w:r>
        <w:rPr>
          <w:rFonts w:hint="eastAsia" w:ascii="仿宋_GB2312" w:hAnsi="仿宋_GB2312" w:eastAsia="仿宋_GB2312" w:cs="仿宋_GB2312"/>
          <w:color w:val="auto"/>
          <w:kern w:val="0"/>
          <w:sz w:val="32"/>
          <w:szCs w:val="32"/>
          <w:lang w:bidi="ar"/>
        </w:rPr>
        <w:t>的修改成果，介绍了</w:t>
      </w:r>
      <w:r>
        <w:rPr>
          <w:rFonts w:hint="eastAsia" w:ascii="仿宋_GB2312" w:hAnsi="仿宋_GB2312" w:eastAsia="仿宋_GB2312" w:cs="仿宋_GB2312"/>
          <w:color w:val="auto"/>
          <w:kern w:val="0"/>
          <w:sz w:val="32"/>
          <w:szCs w:val="32"/>
          <w:lang w:val="en-US" w:eastAsia="zh-CN" w:bidi="ar"/>
        </w:rPr>
        <w:t>三</w:t>
      </w:r>
      <w:r>
        <w:rPr>
          <w:rFonts w:hint="eastAsia" w:ascii="仿宋_GB2312" w:hAnsi="仿宋_GB2312" w:eastAsia="仿宋_GB2312" w:cs="仿宋_GB2312"/>
          <w:color w:val="auto"/>
          <w:kern w:val="0"/>
          <w:sz w:val="32"/>
          <w:szCs w:val="32"/>
          <w:lang w:bidi="ar"/>
        </w:rPr>
        <w:t>稿讨论的目标和原则，与会人员针对初稿进行了充分讨论，明确了三稿（征求意见稿）修改内容、修改分工与后续编制完成节点。</w:t>
      </w:r>
    </w:p>
    <w:p w14:paraId="5327A39B">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2.标准编制原则</w:t>
      </w:r>
    </w:p>
    <w:p w14:paraId="5ECA1957">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14:ligatures w14:val="standardContextual"/>
        </w:rPr>
      </w:pPr>
      <w:bookmarkStart w:id="0" w:name="_Toc151325081"/>
      <w:r>
        <w:rPr>
          <w:rFonts w:hint="eastAsia" w:ascii="仿宋_GB2312" w:hAnsi="仿宋_GB2312" w:eastAsia="仿宋_GB2312" w:cs="仿宋_GB2312"/>
          <w:b/>
          <w:bCs/>
          <w:color w:val="auto"/>
          <w:sz w:val="32"/>
          <w:szCs w:val="32"/>
          <w:lang w:val="en-US" w:eastAsia="zh-CN"/>
          <w14:ligatures w14:val="standardContextual"/>
        </w:rPr>
        <w:t>2.1</w:t>
      </w:r>
      <w:r>
        <w:rPr>
          <w:rFonts w:hint="eastAsia" w:ascii="仿宋_GB2312" w:hAnsi="仿宋_GB2312" w:eastAsia="仿宋_GB2312" w:cs="仿宋_GB2312"/>
          <w:b/>
          <w:bCs/>
          <w:color w:val="auto"/>
          <w:sz w:val="32"/>
          <w:szCs w:val="32"/>
          <w14:ligatures w14:val="standardContextual"/>
        </w:rPr>
        <w:t>编写原则</w:t>
      </w:r>
      <w:bookmarkEnd w:id="0"/>
    </w:p>
    <w:p w14:paraId="4CE659AF">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2.1.1</w:t>
      </w:r>
      <w:r>
        <w:rPr>
          <w:rFonts w:hint="eastAsia" w:ascii="仿宋_GB2312" w:hAnsi="仿宋_GB2312" w:eastAsia="仿宋_GB2312" w:cs="仿宋_GB2312"/>
          <w:color w:val="auto"/>
          <w:kern w:val="0"/>
          <w:sz w:val="32"/>
          <w:szCs w:val="32"/>
          <w:lang w:bidi="ar"/>
        </w:rPr>
        <w:t>本技术标准的编制应满足中国电力建设协会相关要求。</w:t>
      </w:r>
    </w:p>
    <w:p w14:paraId="77169DFB">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2.1.2</w:t>
      </w:r>
      <w:r>
        <w:rPr>
          <w:rFonts w:hint="eastAsia" w:ascii="仿宋_GB2312" w:hAnsi="仿宋_GB2312" w:eastAsia="仿宋_GB2312" w:cs="仿宋_GB2312"/>
          <w:color w:val="auto"/>
          <w:kern w:val="0"/>
          <w:sz w:val="32"/>
          <w:szCs w:val="32"/>
          <w:lang w:bidi="ar"/>
        </w:rPr>
        <w:t>编写格式执行《标准化工作导则 第1部分：标准化文件的结构和起草规则》GB/T 1.1—2020的有关规定；起草规则执行《标准起草规则 第8部分：评价标准》GB/T 20001.8—2023的有关规定。</w:t>
      </w:r>
    </w:p>
    <w:p w14:paraId="70077C61">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3遵循导则编制的“四性”要求：技术上的先进性和科学性、与国家法律法规和相关标准的协调性、标准发布实施上的可操作性。</w:t>
      </w:r>
    </w:p>
    <w:p w14:paraId="7D86B511">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4充分考虑编制本标准的目的和必要性，总结近年来电力</w:t>
      </w:r>
      <w:r>
        <w:rPr>
          <w:rFonts w:hint="eastAsia" w:ascii="仿宋_GB2312" w:hAnsi="仿宋_GB2312" w:eastAsia="仿宋_GB2312" w:cs="仿宋_GB2312"/>
          <w:color w:val="auto"/>
          <w:kern w:val="0"/>
          <w:sz w:val="32"/>
          <w:szCs w:val="32"/>
          <w:lang w:val="en-US" w:eastAsia="zh-CN" w:bidi="ar"/>
        </w:rPr>
        <w:t>建设单位及各级组织的要求与经验</w:t>
      </w:r>
      <w:r>
        <w:rPr>
          <w:rFonts w:hint="eastAsia" w:ascii="仿宋_GB2312" w:hAnsi="仿宋_GB2312" w:eastAsia="仿宋_GB2312" w:cs="仿宋_GB2312"/>
          <w:color w:val="auto"/>
          <w:kern w:val="0"/>
          <w:sz w:val="32"/>
          <w:szCs w:val="32"/>
          <w:lang w:bidi="ar"/>
        </w:rPr>
        <w:t>，以</w:t>
      </w:r>
      <w:r>
        <w:rPr>
          <w:rFonts w:hint="eastAsia" w:ascii="仿宋_GB2312" w:hAnsi="仿宋_GB2312" w:eastAsia="仿宋_GB2312" w:cs="仿宋_GB2312"/>
          <w:color w:val="auto"/>
          <w:kern w:val="0"/>
          <w:sz w:val="32"/>
          <w:szCs w:val="32"/>
          <w:lang w:val="en-US" w:eastAsia="zh-CN" w:bidi="ar"/>
        </w:rPr>
        <w:t>质量管理小组活动</w:t>
      </w:r>
      <w:r>
        <w:rPr>
          <w:rFonts w:hint="eastAsia" w:ascii="仿宋_GB2312" w:hAnsi="仿宋_GB2312" w:eastAsia="仿宋_GB2312" w:cs="仿宋_GB2312"/>
          <w:color w:val="auto"/>
          <w:kern w:val="0"/>
          <w:sz w:val="32"/>
          <w:szCs w:val="32"/>
          <w:lang w:bidi="ar"/>
        </w:rPr>
        <w:t>为基础，按照</w:t>
      </w:r>
      <w:r>
        <w:rPr>
          <w:rFonts w:hint="eastAsia" w:ascii="仿宋_GB2312" w:hAnsi="仿宋_GB2312" w:eastAsia="仿宋_GB2312" w:cs="仿宋_GB2312"/>
          <w:color w:val="auto"/>
          <w:kern w:val="0"/>
          <w:sz w:val="32"/>
          <w:szCs w:val="32"/>
          <w:lang w:val="en-US" w:eastAsia="zh-CN" w:bidi="ar"/>
        </w:rPr>
        <w:t>成果</w:t>
      </w:r>
      <w:r>
        <w:rPr>
          <w:rFonts w:hint="eastAsia" w:ascii="仿宋_GB2312" w:hAnsi="仿宋_GB2312" w:eastAsia="仿宋_GB2312" w:cs="仿宋_GB2312"/>
          <w:color w:val="auto"/>
          <w:kern w:val="0"/>
          <w:sz w:val="32"/>
          <w:szCs w:val="32"/>
          <w:lang w:bidi="ar"/>
        </w:rPr>
        <w:t>应用</w:t>
      </w:r>
      <w:r>
        <w:rPr>
          <w:rFonts w:hint="eastAsia" w:ascii="仿宋_GB2312" w:hAnsi="仿宋_GB2312" w:eastAsia="仿宋_GB2312" w:cs="仿宋_GB2312"/>
          <w:color w:val="auto"/>
          <w:kern w:val="0"/>
          <w:sz w:val="32"/>
          <w:szCs w:val="32"/>
          <w:lang w:val="en-US" w:eastAsia="zh-CN" w:bidi="ar"/>
        </w:rPr>
        <w:t>结合</w:t>
      </w:r>
      <w:r>
        <w:rPr>
          <w:rFonts w:hint="eastAsia" w:ascii="仿宋_GB2312" w:hAnsi="仿宋_GB2312" w:eastAsia="仿宋_GB2312" w:cs="仿宋_GB2312"/>
          <w:color w:val="auto"/>
          <w:kern w:val="0"/>
          <w:sz w:val="32"/>
          <w:szCs w:val="32"/>
          <w:lang w:bidi="ar"/>
        </w:rPr>
        <w:t>实际需要，合理</w:t>
      </w:r>
      <w:r>
        <w:rPr>
          <w:rFonts w:hint="eastAsia" w:ascii="仿宋_GB2312" w:hAnsi="仿宋_GB2312" w:eastAsia="仿宋_GB2312" w:cs="仿宋_GB2312"/>
          <w:color w:val="auto"/>
          <w:kern w:val="0"/>
          <w:sz w:val="32"/>
          <w:szCs w:val="32"/>
          <w:lang w:val="en-US" w:eastAsia="zh-CN" w:bidi="ar"/>
        </w:rPr>
        <w:t>编制</w:t>
      </w:r>
      <w:r>
        <w:rPr>
          <w:rFonts w:hint="eastAsia" w:ascii="仿宋_GB2312" w:hAnsi="仿宋_GB2312" w:eastAsia="仿宋_GB2312" w:cs="仿宋_GB2312"/>
          <w:color w:val="auto"/>
          <w:kern w:val="0"/>
          <w:sz w:val="32"/>
          <w:szCs w:val="32"/>
          <w:lang w:bidi="ar"/>
        </w:rPr>
        <w:t>，保持本标准的先进性</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科学性</w:t>
      </w:r>
      <w:r>
        <w:rPr>
          <w:rFonts w:hint="eastAsia" w:ascii="仿宋_GB2312" w:hAnsi="仿宋_GB2312" w:eastAsia="仿宋_GB2312" w:cs="仿宋_GB2312"/>
          <w:color w:val="auto"/>
          <w:kern w:val="0"/>
          <w:sz w:val="32"/>
          <w:szCs w:val="32"/>
          <w:lang w:bidi="ar"/>
        </w:rPr>
        <w:t>，具有较强的可操作性和实用性。</w:t>
      </w:r>
    </w:p>
    <w:p w14:paraId="5BE64937">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5贯彻执行《中华人民共和国标准化法》、《团体标准管理规定》等法律、规定，做到格式规范，逻辑</w:t>
      </w:r>
      <w:r>
        <w:rPr>
          <w:rFonts w:hint="eastAsia" w:ascii="仿宋_GB2312" w:hAnsi="仿宋_GB2312" w:eastAsia="仿宋_GB2312" w:cs="仿宋_GB2312"/>
          <w:color w:val="auto"/>
          <w:kern w:val="0"/>
          <w:sz w:val="32"/>
          <w:szCs w:val="32"/>
          <w:lang w:val="en-US" w:eastAsia="zh-CN" w:bidi="ar"/>
        </w:rPr>
        <w:t>清晰</w:t>
      </w:r>
      <w:r>
        <w:rPr>
          <w:rFonts w:hint="eastAsia" w:ascii="仿宋_GB2312" w:hAnsi="仿宋_GB2312" w:eastAsia="仿宋_GB2312" w:cs="仿宋_GB2312"/>
          <w:color w:val="auto"/>
          <w:kern w:val="0"/>
          <w:sz w:val="32"/>
          <w:szCs w:val="32"/>
          <w:lang w:bidi="ar"/>
        </w:rPr>
        <w:t>，结构</w:t>
      </w:r>
      <w:r>
        <w:rPr>
          <w:rFonts w:hint="eastAsia" w:ascii="仿宋_GB2312" w:hAnsi="仿宋_GB2312" w:eastAsia="仿宋_GB2312" w:cs="仿宋_GB2312"/>
          <w:color w:val="auto"/>
          <w:kern w:val="0"/>
          <w:sz w:val="32"/>
          <w:szCs w:val="32"/>
          <w:lang w:val="en-US" w:eastAsia="zh-CN" w:bidi="ar"/>
        </w:rPr>
        <w:t>严紧</w:t>
      </w:r>
      <w:r>
        <w:rPr>
          <w:rFonts w:hint="eastAsia" w:ascii="仿宋_GB2312" w:hAnsi="仿宋_GB2312" w:eastAsia="仿宋_GB2312" w:cs="仿宋_GB2312"/>
          <w:color w:val="auto"/>
          <w:kern w:val="0"/>
          <w:sz w:val="32"/>
          <w:szCs w:val="32"/>
          <w:lang w:bidi="ar"/>
        </w:rPr>
        <w:t>。</w:t>
      </w:r>
    </w:p>
    <w:p w14:paraId="5C5F0EB4">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6充分发扬民主</w:t>
      </w:r>
      <w:r>
        <w:rPr>
          <w:rFonts w:hint="eastAsia" w:ascii="仿宋_GB2312" w:hAnsi="仿宋_GB2312" w:eastAsia="仿宋_GB2312" w:cs="仿宋_GB2312"/>
          <w:color w:val="auto"/>
          <w:kern w:val="0"/>
          <w:sz w:val="32"/>
          <w:szCs w:val="32"/>
          <w:lang w:val="en-US" w:eastAsia="zh-CN" w:bidi="ar"/>
        </w:rPr>
        <w:t>自由性</w:t>
      </w:r>
      <w:r>
        <w:rPr>
          <w:rFonts w:hint="eastAsia" w:ascii="仿宋_GB2312" w:hAnsi="仿宋_GB2312" w:eastAsia="仿宋_GB2312" w:cs="仿宋_GB2312"/>
          <w:color w:val="auto"/>
          <w:kern w:val="0"/>
          <w:sz w:val="32"/>
          <w:szCs w:val="32"/>
          <w:lang w:bidi="ar"/>
        </w:rPr>
        <w:t>，与各参编单位协</w:t>
      </w:r>
      <w:r>
        <w:rPr>
          <w:rFonts w:hint="eastAsia" w:ascii="仿宋_GB2312" w:hAnsi="仿宋_GB2312" w:eastAsia="仿宋_GB2312" w:cs="仿宋_GB2312"/>
          <w:color w:val="auto"/>
          <w:kern w:val="0"/>
          <w:sz w:val="32"/>
          <w:szCs w:val="32"/>
          <w:lang w:val="en-US" w:eastAsia="zh-CN" w:bidi="ar"/>
        </w:rPr>
        <w:t>协调</w:t>
      </w:r>
      <w:r>
        <w:rPr>
          <w:rFonts w:hint="eastAsia" w:ascii="仿宋_GB2312" w:hAnsi="仿宋_GB2312" w:eastAsia="仿宋_GB2312" w:cs="仿宋_GB2312"/>
          <w:color w:val="auto"/>
          <w:kern w:val="0"/>
          <w:sz w:val="32"/>
          <w:szCs w:val="32"/>
          <w:lang w:bidi="ar"/>
        </w:rPr>
        <w:t>一致，共同</w:t>
      </w:r>
      <w:r>
        <w:rPr>
          <w:rFonts w:hint="eastAsia" w:ascii="仿宋_GB2312" w:hAnsi="仿宋_GB2312" w:eastAsia="仿宋_GB2312" w:cs="仿宋_GB2312"/>
          <w:color w:val="auto"/>
          <w:kern w:val="0"/>
          <w:sz w:val="32"/>
          <w:szCs w:val="32"/>
          <w:lang w:val="en-US" w:eastAsia="zh-CN" w:bidi="ar"/>
        </w:rPr>
        <w:t>商讨</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梳理</w:t>
      </w:r>
      <w:r>
        <w:rPr>
          <w:rFonts w:hint="eastAsia" w:ascii="仿宋_GB2312" w:hAnsi="仿宋_GB2312" w:eastAsia="仿宋_GB2312" w:cs="仿宋_GB2312"/>
          <w:color w:val="auto"/>
          <w:kern w:val="0"/>
          <w:sz w:val="32"/>
          <w:szCs w:val="32"/>
          <w:lang w:bidi="ar"/>
        </w:rPr>
        <w:t>与现行相关</w:t>
      </w:r>
      <w:r>
        <w:rPr>
          <w:rFonts w:hint="eastAsia" w:ascii="仿宋_GB2312" w:hAnsi="仿宋_GB2312" w:eastAsia="仿宋_GB2312" w:cs="仿宋_GB2312"/>
          <w:color w:val="auto"/>
          <w:kern w:val="0"/>
          <w:sz w:val="32"/>
          <w:szCs w:val="32"/>
          <w:lang w:val="en-US" w:eastAsia="zh-CN" w:bidi="ar"/>
        </w:rPr>
        <w:t>国家</w:t>
      </w:r>
      <w:r>
        <w:rPr>
          <w:rFonts w:hint="eastAsia" w:ascii="仿宋_GB2312" w:hAnsi="仿宋_GB2312" w:eastAsia="仿宋_GB2312" w:cs="仿宋_GB2312"/>
          <w:color w:val="auto"/>
          <w:kern w:val="0"/>
          <w:sz w:val="32"/>
          <w:szCs w:val="32"/>
          <w:lang w:bidi="ar"/>
        </w:rPr>
        <w:t>标准之间的关系，避免</w:t>
      </w:r>
      <w:r>
        <w:rPr>
          <w:rFonts w:hint="eastAsia" w:ascii="仿宋_GB2312" w:hAnsi="仿宋_GB2312" w:eastAsia="仿宋_GB2312" w:cs="仿宋_GB2312"/>
          <w:color w:val="auto"/>
          <w:kern w:val="0"/>
          <w:sz w:val="32"/>
          <w:szCs w:val="32"/>
          <w:lang w:val="en-US" w:eastAsia="zh-CN" w:bidi="ar"/>
        </w:rPr>
        <w:t>重复与矛盾</w:t>
      </w:r>
      <w:r>
        <w:rPr>
          <w:rFonts w:hint="eastAsia" w:ascii="仿宋_GB2312" w:hAnsi="仿宋_GB2312" w:eastAsia="仿宋_GB2312" w:cs="仿宋_GB2312"/>
          <w:color w:val="auto"/>
          <w:kern w:val="0"/>
          <w:sz w:val="32"/>
          <w:szCs w:val="32"/>
          <w:lang w:bidi="ar"/>
        </w:rPr>
        <w:t>。</w:t>
      </w:r>
    </w:p>
    <w:p w14:paraId="01BEA589">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7标准编写</w:t>
      </w:r>
      <w:r>
        <w:rPr>
          <w:rFonts w:hint="eastAsia" w:ascii="仿宋_GB2312" w:hAnsi="仿宋_GB2312" w:eastAsia="仿宋_GB2312" w:cs="仿宋_GB2312"/>
          <w:color w:val="auto"/>
          <w:kern w:val="0"/>
          <w:sz w:val="32"/>
          <w:szCs w:val="32"/>
          <w:lang w:val="en-US" w:eastAsia="zh-CN" w:bidi="ar"/>
        </w:rPr>
        <w:t>工作</w:t>
      </w:r>
      <w:r>
        <w:rPr>
          <w:rFonts w:hint="eastAsia" w:ascii="仿宋_GB2312" w:hAnsi="仿宋_GB2312" w:eastAsia="仿宋_GB2312" w:cs="仿宋_GB2312"/>
          <w:color w:val="auto"/>
          <w:kern w:val="0"/>
          <w:sz w:val="32"/>
          <w:szCs w:val="32"/>
          <w:lang w:bidi="ar"/>
        </w:rPr>
        <w:t>符合</w:t>
      </w:r>
      <w:r>
        <w:rPr>
          <w:rFonts w:hint="eastAsia" w:ascii="仿宋_GB2312" w:hAnsi="仿宋_GB2312" w:eastAsia="仿宋_GB2312" w:cs="仿宋_GB2312"/>
          <w:color w:val="auto"/>
          <w:kern w:val="0"/>
          <w:sz w:val="32"/>
          <w:szCs w:val="32"/>
          <w:lang w:val="en-US" w:eastAsia="zh-CN" w:bidi="ar"/>
        </w:rPr>
        <w:t>国标</w:t>
      </w:r>
      <w:r>
        <w:rPr>
          <w:rFonts w:hint="eastAsia" w:ascii="仿宋_GB2312" w:hAnsi="仿宋_GB2312" w:eastAsia="仿宋_GB2312" w:cs="仿宋_GB2312"/>
          <w:color w:val="auto"/>
          <w:kern w:val="0"/>
          <w:sz w:val="32"/>
          <w:szCs w:val="32"/>
          <w:lang w:bidi="ar"/>
        </w:rPr>
        <w:t>规定，内容完整、</w:t>
      </w:r>
      <w:r>
        <w:rPr>
          <w:rFonts w:hint="eastAsia" w:ascii="仿宋_GB2312" w:hAnsi="仿宋_GB2312" w:eastAsia="仿宋_GB2312" w:cs="仿宋_GB2312"/>
          <w:color w:val="auto"/>
          <w:kern w:val="0"/>
          <w:sz w:val="32"/>
          <w:szCs w:val="32"/>
          <w:lang w:val="en-US" w:eastAsia="zh-CN" w:bidi="ar"/>
        </w:rPr>
        <w:t>翔实具体</w:t>
      </w:r>
      <w:r>
        <w:rPr>
          <w:rFonts w:hint="eastAsia" w:ascii="仿宋_GB2312" w:hAnsi="仿宋_GB2312" w:eastAsia="仿宋_GB2312" w:cs="仿宋_GB2312"/>
          <w:color w:val="auto"/>
          <w:kern w:val="0"/>
          <w:sz w:val="32"/>
          <w:szCs w:val="32"/>
          <w:lang w:bidi="ar"/>
        </w:rPr>
        <w:t>，用词</w:t>
      </w:r>
      <w:r>
        <w:rPr>
          <w:rFonts w:hint="eastAsia" w:ascii="仿宋_GB2312" w:hAnsi="仿宋_GB2312" w:eastAsia="仿宋_GB2312" w:cs="仿宋_GB2312"/>
          <w:color w:val="auto"/>
          <w:kern w:val="0"/>
          <w:sz w:val="32"/>
          <w:szCs w:val="32"/>
          <w:lang w:val="en-US" w:eastAsia="zh-CN" w:bidi="ar"/>
        </w:rPr>
        <w:t>准确</w:t>
      </w:r>
      <w:r>
        <w:rPr>
          <w:rFonts w:hint="eastAsia" w:ascii="仿宋_GB2312" w:hAnsi="仿宋_GB2312" w:eastAsia="仿宋_GB2312" w:cs="仿宋_GB2312"/>
          <w:color w:val="auto"/>
          <w:kern w:val="0"/>
          <w:sz w:val="32"/>
          <w:szCs w:val="32"/>
          <w:lang w:bidi="ar"/>
        </w:rPr>
        <w:t>，规定</w:t>
      </w:r>
      <w:r>
        <w:rPr>
          <w:rFonts w:hint="eastAsia" w:ascii="仿宋_GB2312" w:hAnsi="仿宋_GB2312" w:eastAsia="仿宋_GB2312" w:cs="仿宋_GB2312"/>
          <w:color w:val="auto"/>
          <w:kern w:val="0"/>
          <w:sz w:val="32"/>
          <w:szCs w:val="32"/>
          <w:lang w:val="en-US" w:eastAsia="zh-CN" w:bidi="ar"/>
        </w:rPr>
        <w:t>清晰</w:t>
      </w:r>
      <w:r>
        <w:rPr>
          <w:rFonts w:hint="eastAsia" w:ascii="仿宋_GB2312" w:hAnsi="仿宋_GB2312" w:eastAsia="仿宋_GB2312" w:cs="仿宋_GB2312"/>
          <w:color w:val="auto"/>
          <w:kern w:val="0"/>
          <w:sz w:val="32"/>
          <w:szCs w:val="32"/>
          <w:lang w:bidi="ar"/>
        </w:rPr>
        <w:t>，不</w:t>
      </w:r>
      <w:r>
        <w:rPr>
          <w:rFonts w:hint="eastAsia" w:ascii="仿宋_GB2312" w:hAnsi="仿宋_GB2312" w:eastAsia="仿宋_GB2312" w:cs="仿宋_GB2312"/>
          <w:color w:val="auto"/>
          <w:kern w:val="0"/>
          <w:sz w:val="32"/>
          <w:szCs w:val="32"/>
          <w:lang w:val="en-US" w:eastAsia="zh-CN" w:bidi="ar"/>
        </w:rPr>
        <w:t>可模糊不清</w:t>
      </w:r>
      <w:r>
        <w:rPr>
          <w:rFonts w:hint="eastAsia" w:ascii="仿宋_GB2312" w:hAnsi="仿宋_GB2312" w:eastAsia="仿宋_GB2312" w:cs="仿宋_GB2312"/>
          <w:color w:val="auto"/>
          <w:kern w:val="0"/>
          <w:sz w:val="32"/>
          <w:szCs w:val="32"/>
          <w:lang w:bidi="ar"/>
        </w:rPr>
        <w:t>。</w:t>
      </w:r>
    </w:p>
    <w:p w14:paraId="6AB7ED79">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8明确分工协作、落实</w:t>
      </w:r>
      <w:r>
        <w:rPr>
          <w:rFonts w:hint="eastAsia" w:ascii="仿宋_GB2312" w:hAnsi="仿宋_GB2312" w:eastAsia="仿宋_GB2312" w:cs="仿宋_GB2312"/>
          <w:color w:val="auto"/>
          <w:kern w:val="0"/>
          <w:sz w:val="32"/>
          <w:szCs w:val="32"/>
          <w:lang w:val="en-US" w:eastAsia="zh-CN" w:bidi="ar"/>
        </w:rPr>
        <w:t>各自编制</w:t>
      </w:r>
      <w:r>
        <w:rPr>
          <w:rFonts w:hint="eastAsia" w:ascii="仿宋_GB2312" w:hAnsi="仿宋_GB2312" w:eastAsia="仿宋_GB2312" w:cs="仿宋_GB2312"/>
          <w:color w:val="auto"/>
          <w:kern w:val="0"/>
          <w:sz w:val="32"/>
          <w:szCs w:val="32"/>
          <w:lang w:bidi="ar"/>
        </w:rPr>
        <w:t>责任，严格控制</w:t>
      </w:r>
      <w:r>
        <w:rPr>
          <w:rFonts w:hint="eastAsia" w:ascii="仿宋_GB2312" w:hAnsi="仿宋_GB2312" w:eastAsia="仿宋_GB2312" w:cs="仿宋_GB2312"/>
          <w:color w:val="auto"/>
          <w:kern w:val="0"/>
          <w:sz w:val="32"/>
          <w:szCs w:val="32"/>
          <w:lang w:val="en-US" w:eastAsia="zh-CN" w:bidi="ar"/>
        </w:rPr>
        <w:t>编制</w:t>
      </w:r>
      <w:r>
        <w:rPr>
          <w:rFonts w:hint="eastAsia" w:ascii="仿宋_GB2312" w:hAnsi="仿宋_GB2312" w:eastAsia="仿宋_GB2312" w:cs="仿宋_GB2312"/>
          <w:color w:val="auto"/>
          <w:kern w:val="0"/>
          <w:sz w:val="32"/>
          <w:szCs w:val="32"/>
          <w:lang w:bidi="ar"/>
        </w:rPr>
        <w:t>进度计划、确保标准</w:t>
      </w:r>
      <w:r>
        <w:rPr>
          <w:rFonts w:hint="eastAsia" w:ascii="仿宋_GB2312" w:hAnsi="仿宋_GB2312" w:eastAsia="仿宋_GB2312" w:cs="仿宋_GB2312"/>
          <w:color w:val="auto"/>
          <w:kern w:val="0"/>
          <w:sz w:val="32"/>
          <w:szCs w:val="32"/>
          <w:lang w:val="en-US" w:eastAsia="zh-CN" w:bidi="ar"/>
        </w:rPr>
        <w:t>高</w:t>
      </w:r>
      <w:r>
        <w:rPr>
          <w:rFonts w:hint="eastAsia" w:ascii="仿宋_GB2312" w:hAnsi="仿宋_GB2312" w:eastAsia="仿宋_GB2312" w:cs="仿宋_GB2312"/>
          <w:color w:val="auto"/>
          <w:kern w:val="0"/>
          <w:sz w:val="32"/>
          <w:szCs w:val="32"/>
          <w:lang w:bidi="ar"/>
        </w:rPr>
        <w:t>质量编制。</w:t>
      </w:r>
    </w:p>
    <w:p w14:paraId="4655CA4E">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14:ligatures w14:val="standardContextual"/>
        </w:rPr>
      </w:pPr>
      <w:r>
        <w:rPr>
          <w:rFonts w:hint="eastAsia" w:ascii="仿宋_GB2312" w:hAnsi="仿宋_GB2312" w:eastAsia="仿宋_GB2312" w:cs="仿宋_GB2312"/>
          <w:b/>
          <w:bCs/>
          <w:color w:val="auto"/>
          <w:sz w:val="32"/>
          <w:szCs w:val="32"/>
          <w:lang w:val="en-US" w:eastAsia="zh-CN"/>
          <w14:ligatures w14:val="standardContextual"/>
        </w:rPr>
        <w:t>2.2</w:t>
      </w:r>
      <w:r>
        <w:rPr>
          <w:rFonts w:hint="eastAsia" w:ascii="仿宋_GB2312" w:hAnsi="仿宋_GB2312" w:eastAsia="仿宋_GB2312" w:cs="仿宋_GB2312"/>
          <w:b/>
          <w:bCs/>
          <w:color w:val="auto"/>
          <w:sz w:val="32"/>
          <w:szCs w:val="32"/>
          <w14:ligatures w14:val="standardContextual"/>
        </w:rPr>
        <w:t>标准框架、主要内容及其确定依据</w:t>
      </w:r>
    </w:p>
    <w:p w14:paraId="2F474197">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2.2.</w:t>
      </w:r>
      <w:r>
        <w:rPr>
          <w:rFonts w:hint="eastAsia" w:ascii="仿宋_GB2312" w:hAnsi="仿宋_GB2312" w:eastAsia="仿宋_GB2312" w:cs="仿宋_GB2312"/>
          <w:color w:val="auto"/>
          <w:kern w:val="0"/>
          <w:sz w:val="32"/>
          <w:szCs w:val="32"/>
          <w:lang w:bidi="ar"/>
        </w:rPr>
        <w:t>1标准框架</w:t>
      </w:r>
    </w:p>
    <w:p w14:paraId="16D7E753">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本标准主要有前言、范围、规范性应用文件、术语和定义、总则、活动程序、成果评价、成果推广应用、附录、参考文献共计</w:t>
      </w:r>
      <w:r>
        <w:rPr>
          <w:rFonts w:hint="eastAsia" w:ascii="仿宋_GB2312" w:hAnsi="仿宋_GB2312" w:eastAsia="仿宋_GB2312" w:cs="仿宋_GB2312"/>
          <w:color w:val="auto"/>
          <w:kern w:val="0"/>
          <w:sz w:val="32"/>
          <w:szCs w:val="32"/>
          <w:lang w:val="en-US" w:eastAsia="zh-CN" w:bidi="ar"/>
        </w:rPr>
        <w:t>10</w:t>
      </w:r>
      <w:r>
        <w:rPr>
          <w:rFonts w:hint="eastAsia" w:ascii="仿宋_GB2312" w:hAnsi="仿宋_GB2312" w:eastAsia="仿宋_GB2312" w:cs="仿宋_GB2312"/>
          <w:color w:val="auto"/>
          <w:kern w:val="0"/>
          <w:sz w:val="32"/>
          <w:szCs w:val="32"/>
          <w:lang w:bidi="ar"/>
        </w:rPr>
        <w:t>部分组成。</w:t>
      </w:r>
    </w:p>
    <w:p w14:paraId="690406AE">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2.2.</w:t>
      </w:r>
      <w:r>
        <w:rPr>
          <w:rFonts w:hint="eastAsia" w:ascii="仿宋_GB2312" w:hAnsi="仿宋_GB2312" w:eastAsia="仿宋_GB2312" w:cs="仿宋_GB2312"/>
          <w:color w:val="auto"/>
          <w:kern w:val="0"/>
          <w:sz w:val="32"/>
          <w:szCs w:val="32"/>
          <w:lang w:bidi="ar"/>
        </w:rPr>
        <w:t>2主要内容</w:t>
      </w:r>
    </w:p>
    <w:p w14:paraId="7B1A3685">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本</w:t>
      </w:r>
      <w:r>
        <w:rPr>
          <w:rFonts w:hint="eastAsia" w:ascii="仿宋_GB2312" w:hAnsi="仿宋_GB2312" w:eastAsia="仿宋_GB2312" w:cs="仿宋_GB2312"/>
          <w:color w:val="auto"/>
          <w:kern w:val="0"/>
          <w:sz w:val="32"/>
          <w:szCs w:val="32"/>
          <w:lang w:val="en-US" w:eastAsia="zh-CN" w:bidi="ar"/>
        </w:rPr>
        <w:t>标准</w:t>
      </w:r>
      <w:r>
        <w:rPr>
          <w:rFonts w:hint="eastAsia" w:ascii="仿宋_GB2312" w:hAnsi="仿宋_GB2312" w:eastAsia="仿宋_GB2312" w:cs="仿宋_GB2312"/>
          <w:color w:val="auto"/>
          <w:kern w:val="0"/>
          <w:sz w:val="32"/>
          <w:szCs w:val="32"/>
          <w:lang w:bidi="ar"/>
        </w:rPr>
        <w:t>规定了电力建设质量管理小组活动</w:t>
      </w:r>
      <w:r>
        <w:rPr>
          <w:rFonts w:hint="eastAsia" w:ascii="仿宋_GB2312" w:hAnsi="仿宋_GB2312" w:eastAsia="仿宋_GB2312" w:cs="仿宋_GB2312"/>
          <w:color w:val="auto"/>
          <w:kern w:val="0"/>
          <w:sz w:val="32"/>
          <w:szCs w:val="32"/>
          <w:lang w:val="en-US" w:eastAsia="zh-CN" w:bidi="ar"/>
        </w:rPr>
        <w:t>开展</w:t>
      </w:r>
      <w:r>
        <w:rPr>
          <w:rFonts w:hint="eastAsia" w:ascii="仿宋_GB2312" w:hAnsi="仿宋_GB2312" w:eastAsia="仿宋_GB2312" w:cs="仿宋_GB2312"/>
          <w:color w:val="auto"/>
          <w:kern w:val="0"/>
          <w:sz w:val="32"/>
          <w:szCs w:val="32"/>
          <w:lang w:bidi="ar"/>
        </w:rPr>
        <w:t>的</w:t>
      </w:r>
      <w:r>
        <w:rPr>
          <w:rFonts w:hint="eastAsia" w:ascii="仿宋_GB2312" w:hAnsi="仿宋_GB2312" w:eastAsia="仿宋_GB2312" w:cs="仿宋_GB2312"/>
          <w:color w:val="auto"/>
          <w:kern w:val="0"/>
          <w:sz w:val="32"/>
          <w:szCs w:val="32"/>
          <w:lang w:val="en-US" w:eastAsia="zh-CN" w:bidi="ar"/>
        </w:rPr>
        <w:t>基本原则</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活动程序、成果评价及推广应用</w:t>
      </w:r>
      <w:r>
        <w:rPr>
          <w:rFonts w:hint="eastAsia" w:ascii="仿宋_GB2312" w:hAnsi="仿宋_GB2312" w:eastAsia="仿宋_GB2312" w:cs="仿宋_GB2312"/>
          <w:color w:val="auto"/>
          <w:kern w:val="0"/>
          <w:sz w:val="32"/>
          <w:szCs w:val="32"/>
          <w:lang w:bidi="ar"/>
        </w:rPr>
        <w:t>，包括</w:t>
      </w:r>
      <w:r>
        <w:rPr>
          <w:rFonts w:hint="eastAsia" w:ascii="仿宋_GB2312" w:hAnsi="仿宋_GB2312" w:eastAsia="仿宋_GB2312" w:cs="仿宋_GB2312"/>
          <w:color w:val="auto"/>
          <w:kern w:val="0"/>
          <w:sz w:val="32"/>
          <w:szCs w:val="32"/>
          <w:lang w:val="en-US" w:eastAsia="zh-CN" w:bidi="ar"/>
        </w:rPr>
        <w:t>问题解决型</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创新型课题两</w:t>
      </w:r>
      <w:r>
        <w:rPr>
          <w:rFonts w:hint="eastAsia" w:ascii="仿宋_GB2312" w:hAnsi="仿宋_GB2312" w:eastAsia="仿宋_GB2312" w:cs="仿宋_GB2312"/>
          <w:color w:val="auto"/>
          <w:kern w:val="0"/>
          <w:sz w:val="32"/>
          <w:szCs w:val="32"/>
          <w:lang w:bidi="ar"/>
        </w:rPr>
        <w:t>个方面。</w:t>
      </w:r>
    </w:p>
    <w:p w14:paraId="6515351B">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构建了电力建设质量管理小组活动</w:t>
      </w:r>
      <w:r>
        <w:rPr>
          <w:rFonts w:hint="eastAsia" w:ascii="仿宋_GB2312" w:hAnsi="仿宋_GB2312" w:eastAsia="仿宋_GB2312" w:cs="仿宋_GB2312"/>
          <w:color w:val="auto"/>
          <w:kern w:val="0"/>
          <w:sz w:val="32"/>
          <w:szCs w:val="32"/>
          <w:lang w:val="en-US" w:eastAsia="zh-CN" w:bidi="ar"/>
        </w:rPr>
        <w:t>开展体系与主要内容</w:t>
      </w:r>
      <w:r>
        <w:rPr>
          <w:rFonts w:hint="eastAsia" w:ascii="仿宋_GB2312" w:hAnsi="仿宋_GB2312" w:eastAsia="仿宋_GB2312" w:cs="仿宋_GB2312"/>
          <w:color w:val="auto"/>
          <w:kern w:val="0"/>
          <w:sz w:val="32"/>
          <w:szCs w:val="32"/>
          <w:lang w:bidi="ar"/>
        </w:rPr>
        <w:t>。搭建了包含</w:t>
      </w:r>
      <w:r>
        <w:rPr>
          <w:rFonts w:hint="eastAsia" w:ascii="仿宋_GB2312" w:hAnsi="仿宋_GB2312" w:eastAsia="仿宋_GB2312" w:cs="仿宋_GB2312"/>
          <w:color w:val="auto"/>
          <w:kern w:val="0"/>
          <w:sz w:val="32"/>
          <w:szCs w:val="32"/>
          <w:lang w:val="en-US" w:eastAsia="zh-CN" w:bidi="ar"/>
        </w:rPr>
        <w:t>5项活动基本原则</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2项活动开展程序</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4项评价</w:t>
      </w:r>
      <w:r>
        <w:rPr>
          <w:rFonts w:hint="eastAsia" w:ascii="仿宋_GB2312" w:hAnsi="仿宋_GB2312" w:eastAsia="仿宋_GB2312" w:cs="仿宋_GB2312"/>
          <w:color w:val="auto"/>
          <w:kern w:val="0"/>
          <w:sz w:val="32"/>
          <w:szCs w:val="32"/>
          <w:lang w:bidi="ar"/>
        </w:rPr>
        <w:t>体系框架；</w:t>
      </w:r>
      <w:r>
        <w:rPr>
          <w:rFonts w:hint="eastAsia" w:ascii="仿宋_GB2312" w:hAnsi="仿宋_GB2312" w:eastAsia="仿宋_GB2312" w:cs="仿宋_GB2312"/>
          <w:color w:val="auto"/>
          <w:kern w:val="0"/>
          <w:sz w:val="32"/>
          <w:szCs w:val="32"/>
          <w:lang w:val="en-US" w:eastAsia="zh-CN" w:bidi="ar"/>
        </w:rPr>
        <w:t>具化了问题解决型课题的四个阶段11个步骤的内容及创新型课题的四个阶段10个步骤的内容；</w:t>
      </w:r>
      <w:r>
        <w:rPr>
          <w:rFonts w:hint="eastAsia" w:ascii="仿宋_GB2312" w:hAnsi="仿宋_GB2312" w:eastAsia="仿宋_GB2312" w:cs="仿宋_GB2312"/>
          <w:color w:val="auto"/>
          <w:kern w:val="0"/>
          <w:sz w:val="32"/>
          <w:szCs w:val="32"/>
          <w:lang w:bidi="ar"/>
        </w:rPr>
        <w:t>确立了</w:t>
      </w:r>
      <w:r>
        <w:rPr>
          <w:rFonts w:hint="eastAsia" w:ascii="仿宋_GB2312" w:hAnsi="仿宋_GB2312" w:eastAsia="仿宋_GB2312" w:cs="仿宋_GB2312"/>
          <w:color w:val="auto"/>
          <w:kern w:val="0"/>
          <w:sz w:val="32"/>
          <w:szCs w:val="32"/>
          <w:lang w:val="en-US" w:eastAsia="zh-CN" w:bidi="ar"/>
        </w:rPr>
        <w:t>电力建设质量管理小组活动编制的“文本+演示”的2项基本规定</w:t>
      </w:r>
      <w:r>
        <w:rPr>
          <w:rFonts w:hint="eastAsia" w:ascii="仿宋_GB2312" w:hAnsi="仿宋_GB2312" w:eastAsia="仿宋_GB2312" w:cs="仿宋_GB2312"/>
          <w:color w:val="auto"/>
          <w:kern w:val="0"/>
          <w:sz w:val="32"/>
          <w:szCs w:val="32"/>
          <w:lang w:bidi="ar"/>
        </w:rPr>
        <w:t>。</w:t>
      </w:r>
    </w:p>
    <w:p w14:paraId="595626B1">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针对不同</w:t>
      </w:r>
      <w:r>
        <w:rPr>
          <w:rFonts w:hint="eastAsia" w:ascii="仿宋_GB2312" w:hAnsi="仿宋_GB2312" w:eastAsia="仿宋_GB2312" w:cs="仿宋_GB2312"/>
          <w:color w:val="auto"/>
          <w:kern w:val="0"/>
          <w:sz w:val="32"/>
          <w:szCs w:val="32"/>
          <w:lang w:val="en-US" w:eastAsia="zh-CN" w:bidi="ar"/>
        </w:rPr>
        <w:t>课题</w:t>
      </w:r>
      <w:r>
        <w:rPr>
          <w:rFonts w:hint="eastAsia" w:ascii="仿宋_GB2312" w:hAnsi="仿宋_GB2312" w:eastAsia="仿宋_GB2312" w:cs="仿宋_GB2312"/>
          <w:color w:val="auto"/>
          <w:kern w:val="0"/>
          <w:sz w:val="32"/>
          <w:szCs w:val="32"/>
          <w:lang w:bidi="ar"/>
        </w:rPr>
        <w:t>类型</w:t>
      </w:r>
      <w:r>
        <w:rPr>
          <w:rFonts w:hint="eastAsia" w:ascii="仿宋_GB2312" w:hAnsi="仿宋_GB2312" w:eastAsia="仿宋_GB2312" w:cs="仿宋_GB2312"/>
          <w:color w:val="auto"/>
          <w:kern w:val="0"/>
          <w:sz w:val="32"/>
          <w:szCs w:val="32"/>
          <w:lang w:val="en-US" w:eastAsia="zh-CN" w:bidi="ar"/>
        </w:rPr>
        <w:t>小组活动</w:t>
      </w:r>
      <w:r>
        <w:rPr>
          <w:rFonts w:hint="eastAsia" w:ascii="仿宋_GB2312" w:hAnsi="仿宋_GB2312" w:eastAsia="仿宋_GB2312" w:cs="仿宋_GB2312"/>
          <w:color w:val="auto"/>
          <w:kern w:val="0"/>
          <w:sz w:val="32"/>
          <w:szCs w:val="32"/>
          <w:lang w:bidi="ar"/>
        </w:rPr>
        <w:t>，明确了</w:t>
      </w:r>
      <w:r>
        <w:rPr>
          <w:rFonts w:hint="eastAsia" w:ascii="仿宋_GB2312" w:hAnsi="仿宋_GB2312" w:eastAsia="仿宋_GB2312" w:cs="仿宋_GB2312"/>
          <w:color w:val="auto"/>
          <w:kern w:val="0"/>
          <w:sz w:val="32"/>
          <w:szCs w:val="32"/>
          <w:lang w:val="en-US" w:eastAsia="zh-CN" w:bidi="ar"/>
        </w:rPr>
        <w:t>活动开展</w:t>
      </w:r>
      <w:r>
        <w:rPr>
          <w:rFonts w:hint="eastAsia" w:ascii="仿宋_GB2312" w:hAnsi="仿宋_GB2312" w:eastAsia="仿宋_GB2312" w:cs="仿宋_GB2312"/>
          <w:color w:val="auto"/>
          <w:kern w:val="0"/>
          <w:sz w:val="32"/>
          <w:szCs w:val="32"/>
          <w:lang w:bidi="ar"/>
        </w:rPr>
        <w:t>具体的</w:t>
      </w:r>
      <w:r>
        <w:rPr>
          <w:rFonts w:hint="eastAsia" w:ascii="仿宋_GB2312" w:hAnsi="仿宋_GB2312" w:eastAsia="仿宋_GB2312" w:cs="仿宋_GB2312"/>
          <w:color w:val="auto"/>
          <w:kern w:val="0"/>
          <w:sz w:val="32"/>
          <w:szCs w:val="32"/>
          <w:lang w:val="en-US" w:eastAsia="zh-CN" w:bidi="ar"/>
        </w:rPr>
        <w:t>程序步骤</w:t>
      </w:r>
      <w:r>
        <w:rPr>
          <w:rFonts w:hint="eastAsia" w:ascii="仿宋_GB2312" w:hAnsi="仿宋_GB2312" w:eastAsia="仿宋_GB2312" w:cs="仿宋_GB2312"/>
          <w:color w:val="auto"/>
          <w:kern w:val="0"/>
          <w:sz w:val="32"/>
          <w:szCs w:val="32"/>
          <w:lang w:bidi="ar"/>
        </w:rPr>
        <w:t>，确保</w:t>
      </w:r>
      <w:r>
        <w:rPr>
          <w:rFonts w:hint="eastAsia" w:ascii="仿宋_GB2312" w:hAnsi="仿宋_GB2312" w:eastAsia="仿宋_GB2312" w:cs="仿宋_GB2312"/>
          <w:color w:val="auto"/>
          <w:kern w:val="0"/>
          <w:sz w:val="32"/>
          <w:szCs w:val="32"/>
          <w:lang w:val="en-US" w:eastAsia="zh-CN" w:bidi="ar"/>
        </w:rPr>
        <w:t>小组活动的开展</w:t>
      </w:r>
      <w:r>
        <w:rPr>
          <w:rFonts w:hint="eastAsia" w:ascii="仿宋_GB2312" w:hAnsi="仿宋_GB2312" w:eastAsia="仿宋_GB2312" w:cs="仿宋_GB2312"/>
          <w:color w:val="auto"/>
          <w:kern w:val="0"/>
          <w:sz w:val="32"/>
          <w:szCs w:val="32"/>
          <w:lang w:bidi="ar"/>
        </w:rPr>
        <w:t>适用于电力建设工程全</w:t>
      </w:r>
      <w:r>
        <w:rPr>
          <w:rFonts w:hint="eastAsia" w:ascii="仿宋_GB2312" w:hAnsi="仿宋_GB2312" w:eastAsia="仿宋_GB2312" w:cs="仿宋_GB2312"/>
          <w:color w:val="auto"/>
          <w:kern w:val="0"/>
          <w:sz w:val="32"/>
          <w:szCs w:val="32"/>
          <w:lang w:val="en-US" w:eastAsia="zh-CN" w:bidi="ar"/>
        </w:rPr>
        <w:t>过程、全范围</w:t>
      </w:r>
      <w:r>
        <w:rPr>
          <w:rFonts w:hint="eastAsia" w:ascii="仿宋_GB2312" w:hAnsi="仿宋_GB2312" w:eastAsia="仿宋_GB2312" w:cs="仿宋_GB2312"/>
          <w:color w:val="auto"/>
          <w:kern w:val="0"/>
          <w:sz w:val="32"/>
          <w:szCs w:val="32"/>
          <w:lang w:bidi="ar"/>
        </w:rPr>
        <w:t>。</w:t>
      </w:r>
    </w:p>
    <w:p w14:paraId="1BEFEE6F">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2.2.</w:t>
      </w:r>
      <w:r>
        <w:rPr>
          <w:rFonts w:hint="eastAsia" w:ascii="仿宋_GB2312" w:hAnsi="仿宋_GB2312" w:eastAsia="仿宋_GB2312" w:cs="仿宋_GB2312"/>
          <w:color w:val="auto"/>
          <w:kern w:val="0"/>
          <w:sz w:val="32"/>
          <w:szCs w:val="32"/>
          <w:lang w:bidi="ar"/>
        </w:rPr>
        <w:t>3确定依据</w:t>
      </w:r>
    </w:p>
    <w:p w14:paraId="08829739">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《标准起草规则 第8部分：评价标准》GB/T 20001.8—2023</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 xml:space="preserve">  </w:t>
      </w:r>
    </w:p>
    <w:p w14:paraId="76A95C29">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3.主要试验(或验证)的分析、综述报告，技术经济论证，预期的经济效果</w:t>
      </w:r>
    </w:p>
    <w:p w14:paraId="21A1F3C5">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14:ligatures w14:val="standardContextual"/>
        </w:rPr>
      </w:pPr>
      <w:r>
        <w:rPr>
          <w:rFonts w:hint="eastAsia" w:ascii="仿宋_GB2312" w:hAnsi="仿宋_GB2312" w:eastAsia="仿宋_GB2312" w:cs="仿宋_GB2312"/>
          <w:b/>
          <w:bCs/>
          <w:color w:val="auto"/>
          <w:sz w:val="32"/>
          <w:szCs w:val="32"/>
          <w:lang w:val="en-US" w:eastAsia="zh-CN"/>
          <w14:ligatures w14:val="standardContextual"/>
        </w:rPr>
        <w:t>3.1</w:t>
      </w:r>
      <w:r>
        <w:rPr>
          <w:rFonts w:hint="eastAsia" w:ascii="仿宋_GB2312" w:hAnsi="仿宋_GB2312" w:eastAsia="仿宋_GB2312" w:cs="仿宋_GB2312"/>
          <w:b/>
          <w:bCs/>
          <w:color w:val="auto"/>
          <w:sz w:val="32"/>
          <w:szCs w:val="32"/>
          <w14:ligatures w14:val="standardContextual"/>
        </w:rPr>
        <w:t>试验验证情况</w:t>
      </w:r>
    </w:p>
    <w:p w14:paraId="23196918">
      <w:pPr>
        <w:keepNext w:val="0"/>
        <w:keepLines w:val="0"/>
        <w:pageBreakBefore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color w:val="auto"/>
          <w:kern w:val="0"/>
          <w:sz w:val="32"/>
          <w:szCs w:val="32"/>
          <w:lang w:bidi="ar"/>
        </w:rPr>
      </w:pPr>
      <w:bookmarkStart w:id="1" w:name="_Toc151325085"/>
      <w:r>
        <w:rPr>
          <w:rFonts w:hint="eastAsia" w:ascii="仿宋_GB2312" w:hAnsi="仿宋_GB2312" w:eastAsia="仿宋_GB2312" w:cs="仿宋_GB2312"/>
          <w:color w:val="auto"/>
          <w:kern w:val="0"/>
          <w:sz w:val="32"/>
          <w:szCs w:val="32"/>
          <w:lang w:bidi="ar"/>
        </w:rPr>
        <w:t>自2006年开始，中电建协依据中国质量协会《关于推进企业质量管理小组活动意见》（国经贸【1997】147号）、《质量管理小组活动管理办法》和《质量管理小组活动准则》（T/CAQ 10201—2019）等标准编制了《电力建设质量管理小组活动成果竞赛管理办法（试行）》，每年组织电力建设质量管理小组活动成果评选，涵盖火力发电（含核电常规岛）、水利水电（含抽水蓄能）、输变电、风力发电、光伏发电、储能及其它新能源等电力工程类型，包括建设、总承包、设计、监理、施工和调试等单位在工程实践中形成的QC小组活动成果。</w:t>
      </w:r>
    </w:p>
    <w:p w14:paraId="7D90631E">
      <w:pPr>
        <w:keepNext w:val="0"/>
        <w:keepLines w:val="0"/>
        <w:pageBreakBefore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bidi="ar"/>
        </w:rPr>
        <w:t>本标准</w:t>
      </w:r>
      <w:r>
        <w:rPr>
          <w:rFonts w:hint="eastAsia" w:ascii="仿宋_GB2312" w:hAnsi="仿宋_GB2312" w:eastAsia="仿宋_GB2312" w:cs="仿宋_GB2312"/>
          <w:color w:val="auto"/>
          <w:kern w:val="0"/>
          <w:sz w:val="32"/>
          <w:szCs w:val="32"/>
          <w:lang w:val="en-US" w:eastAsia="zh-CN" w:bidi="ar"/>
        </w:rPr>
        <w:t>是以历年中电建协开展质量小组活动为基础</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对电力建设质量活动小组程序、评价的总结提炼及验证，也是对现行</w:t>
      </w:r>
      <w:r>
        <w:rPr>
          <w:rFonts w:hint="eastAsia" w:ascii="仿宋_GB2312" w:hAnsi="仿宋_GB2312" w:eastAsia="仿宋_GB2312" w:cs="仿宋_GB2312"/>
          <w:color w:val="auto"/>
          <w:kern w:val="0"/>
          <w:sz w:val="32"/>
          <w:szCs w:val="32"/>
          <w:lang w:bidi="ar"/>
        </w:rPr>
        <w:t>《电力建设质量管理小组活动成果竞赛管理办法（试行）》</w:t>
      </w:r>
      <w:r>
        <w:rPr>
          <w:rFonts w:hint="eastAsia" w:ascii="仿宋_GB2312" w:hAnsi="仿宋_GB2312" w:eastAsia="仿宋_GB2312" w:cs="仿宋_GB2312"/>
          <w:color w:val="auto"/>
          <w:kern w:val="0"/>
          <w:sz w:val="32"/>
          <w:szCs w:val="32"/>
          <w:lang w:val="en-US" w:eastAsia="zh-CN" w:bidi="ar"/>
        </w:rPr>
        <w:t>的延伸。</w:t>
      </w:r>
    </w:p>
    <w:p w14:paraId="6C024C32">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14:ligatures w14:val="standardContextual"/>
        </w:rPr>
      </w:pPr>
      <w:r>
        <w:rPr>
          <w:rFonts w:hint="eastAsia" w:ascii="仿宋_GB2312" w:hAnsi="仿宋_GB2312" w:eastAsia="仿宋_GB2312" w:cs="仿宋_GB2312"/>
          <w:b/>
          <w:bCs/>
          <w:color w:val="auto"/>
          <w:sz w:val="32"/>
          <w:szCs w:val="32"/>
          <w:lang w:val="en-US" w:eastAsia="zh-CN"/>
          <w14:ligatures w14:val="standardContextual"/>
        </w:rPr>
        <w:t>3.2</w:t>
      </w:r>
      <w:r>
        <w:rPr>
          <w:rFonts w:hint="eastAsia" w:ascii="仿宋_GB2312" w:hAnsi="仿宋_GB2312" w:eastAsia="仿宋_GB2312" w:cs="仿宋_GB2312"/>
          <w:b/>
          <w:bCs/>
          <w:color w:val="auto"/>
          <w:sz w:val="32"/>
          <w:szCs w:val="32"/>
          <w14:ligatures w14:val="standardContextual"/>
        </w:rPr>
        <w:t>预期达到的效果</w:t>
      </w:r>
      <w:bookmarkEnd w:id="1"/>
    </w:p>
    <w:p w14:paraId="41B175AB">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bookmarkStart w:id="2" w:name="OLE_LINK3"/>
      <w:r>
        <w:rPr>
          <w:rFonts w:hint="eastAsia" w:ascii="仿宋_GB2312" w:hAnsi="仿宋_GB2312" w:eastAsia="仿宋_GB2312" w:cs="仿宋_GB2312"/>
          <w:color w:val="auto"/>
          <w:kern w:val="0"/>
          <w:sz w:val="32"/>
          <w:szCs w:val="32"/>
          <w:lang w:bidi="ar"/>
        </w:rPr>
        <w:t>近几年</w:t>
      </w:r>
      <w:r>
        <w:rPr>
          <w:rFonts w:hint="eastAsia" w:ascii="仿宋_GB2312" w:hAnsi="仿宋_GB2312" w:eastAsia="仿宋_GB2312" w:cs="仿宋_GB2312"/>
          <w:color w:val="auto"/>
          <w:kern w:val="0"/>
          <w:sz w:val="32"/>
          <w:szCs w:val="32"/>
          <w:lang w:val="en-US" w:eastAsia="zh-CN" w:bidi="ar"/>
        </w:rPr>
        <w:t>国内各行各业的质量管理小组的快速</w:t>
      </w:r>
      <w:r>
        <w:rPr>
          <w:rFonts w:hint="eastAsia" w:ascii="仿宋_GB2312" w:hAnsi="仿宋_GB2312" w:eastAsia="仿宋_GB2312" w:cs="仿宋_GB2312"/>
          <w:color w:val="auto"/>
          <w:kern w:val="0"/>
          <w:sz w:val="32"/>
          <w:szCs w:val="32"/>
          <w:lang w:bidi="ar"/>
        </w:rPr>
        <w:t>发展，</w:t>
      </w:r>
      <w:r>
        <w:rPr>
          <w:rFonts w:hint="eastAsia" w:ascii="仿宋_GB2312" w:hAnsi="仿宋_GB2312" w:eastAsia="仿宋_GB2312" w:cs="仿宋_GB2312"/>
          <w:color w:val="auto"/>
          <w:kern w:val="0"/>
          <w:sz w:val="32"/>
          <w:szCs w:val="32"/>
          <w:lang w:val="en-US" w:eastAsia="zh-CN" w:bidi="ar"/>
        </w:rPr>
        <w:t>对标不同的行业特点与活动效果，</w:t>
      </w:r>
      <w:r>
        <w:rPr>
          <w:rFonts w:hint="eastAsia" w:ascii="仿宋_GB2312" w:hAnsi="仿宋_GB2312" w:eastAsia="仿宋_GB2312" w:cs="仿宋_GB2312"/>
          <w:color w:val="auto"/>
          <w:kern w:val="0"/>
          <w:sz w:val="32"/>
          <w:szCs w:val="32"/>
          <w:lang w:bidi="ar"/>
        </w:rPr>
        <w:t>也</w:t>
      </w:r>
      <w:r>
        <w:rPr>
          <w:rFonts w:hint="eastAsia" w:ascii="仿宋_GB2312" w:hAnsi="仿宋_GB2312" w:eastAsia="仿宋_GB2312" w:cs="仿宋_GB2312"/>
          <w:color w:val="auto"/>
          <w:kern w:val="0"/>
          <w:sz w:val="32"/>
          <w:szCs w:val="32"/>
          <w:lang w:val="en-US" w:eastAsia="zh-CN" w:bidi="ar"/>
        </w:rPr>
        <w:t>展现出电力建设</w:t>
      </w:r>
      <w:r>
        <w:rPr>
          <w:rFonts w:hint="eastAsia" w:ascii="仿宋_GB2312" w:hAnsi="仿宋_GB2312" w:eastAsia="仿宋_GB2312" w:cs="仿宋_GB2312"/>
          <w:color w:val="auto"/>
          <w:kern w:val="0"/>
          <w:sz w:val="32"/>
          <w:szCs w:val="32"/>
          <w:lang w:bidi="ar"/>
        </w:rPr>
        <w:t>的</w:t>
      </w:r>
      <w:r>
        <w:rPr>
          <w:rFonts w:hint="eastAsia" w:ascii="仿宋_GB2312" w:hAnsi="仿宋_GB2312" w:eastAsia="仿宋_GB2312" w:cs="仿宋_GB2312"/>
          <w:color w:val="auto"/>
          <w:kern w:val="0"/>
          <w:sz w:val="32"/>
          <w:szCs w:val="32"/>
          <w:lang w:val="en-US" w:eastAsia="zh-CN" w:bidi="ar"/>
        </w:rPr>
        <w:t>质量管理小组活动开展的</w:t>
      </w:r>
      <w:r>
        <w:rPr>
          <w:rFonts w:hint="eastAsia" w:ascii="仿宋_GB2312" w:hAnsi="仿宋_GB2312" w:eastAsia="仿宋_GB2312" w:cs="仿宋_GB2312"/>
          <w:color w:val="auto"/>
          <w:kern w:val="0"/>
          <w:sz w:val="32"/>
          <w:szCs w:val="32"/>
          <w:lang w:bidi="ar"/>
        </w:rPr>
        <w:t>一些不足和问题，如</w:t>
      </w:r>
      <w:r>
        <w:rPr>
          <w:rFonts w:hint="eastAsia" w:ascii="仿宋_GB2312" w:hAnsi="仿宋_GB2312" w:eastAsia="仿宋_GB2312" w:cs="仿宋_GB2312"/>
          <w:color w:val="auto"/>
          <w:kern w:val="0"/>
          <w:sz w:val="32"/>
          <w:szCs w:val="32"/>
          <w:lang w:val="en-US" w:eastAsia="zh-CN" w:bidi="ar"/>
        </w:rPr>
        <w:t>质量管理小组开展活动</w:t>
      </w:r>
      <w:bookmarkEnd w:id="2"/>
      <w:r>
        <w:rPr>
          <w:rFonts w:hint="eastAsia" w:ascii="仿宋_GB2312" w:hAnsi="仿宋_GB2312" w:eastAsia="仿宋_GB2312" w:cs="仿宋_GB2312"/>
          <w:color w:val="auto"/>
          <w:kern w:val="0"/>
          <w:sz w:val="32"/>
          <w:szCs w:val="32"/>
          <w:lang w:val="en-US" w:eastAsia="zh-CN" w:bidi="ar"/>
        </w:rPr>
        <w:t>的动力与创新型不足</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成果总结结构不一、评价方式单一</w:t>
      </w:r>
      <w:r>
        <w:rPr>
          <w:rFonts w:hint="eastAsia" w:ascii="仿宋_GB2312" w:hAnsi="仿宋_GB2312" w:eastAsia="仿宋_GB2312" w:cs="仿宋_GB2312"/>
          <w:color w:val="auto"/>
          <w:kern w:val="0"/>
          <w:sz w:val="32"/>
          <w:szCs w:val="32"/>
          <w:lang w:bidi="ar"/>
        </w:rPr>
        <w:t>、缺乏统一的标准与规范。</w:t>
      </w:r>
    </w:p>
    <w:p w14:paraId="662A08F9">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本标准的编写主要拟解决以下几个</w:t>
      </w:r>
      <w:r>
        <w:rPr>
          <w:rFonts w:hint="eastAsia" w:ascii="仿宋_GB2312" w:hAnsi="仿宋_GB2312" w:eastAsia="仿宋_GB2312" w:cs="仿宋_GB2312"/>
          <w:color w:val="auto"/>
          <w:kern w:val="0"/>
          <w:sz w:val="32"/>
          <w:szCs w:val="32"/>
          <w:lang w:val="en-US" w:eastAsia="zh-CN" w:bidi="ar"/>
        </w:rPr>
        <w:t>电力建设质量管理小组活动</w:t>
      </w:r>
      <w:r>
        <w:rPr>
          <w:rFonts w:hint="eastAsia" w:ascii="仿宋_GB2312" w:hAnsi="仿宋_GB2312" w:eastAsia="仿宋_GB2312" w:cs="仿宋_GB2312"/>
          <w:color w:val="auto"/>
          <w:kern w:val="0"/>
          <w:sz w:val="32"/>
          <w:szCs w:val="32"/>
          <w:lang w:bidi="ar"/>
        </w:rPr>
        <w:t>的关键问题：</w:t>
      </w:r>
    </w:p>
    <w:p w14:paraId="2C87787E">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问题1：</w:t>
      </w:r>
      <w:r>
        <w:rPr>
          <w:rFonts w:hint="eastAsia" w:ascii="仿宋_GB2312" w:hAnsi="仿宋_GB2312" w:eastAsia="仿宋_GB2312" w:cs="仿宋_GB2312"/>
          <w:color w:val="auto"/>
          <w:kern w:val="0"/>
          <w:sz w:val="32"/>
          <w:szCs w:val="32"/>
          <w:lang w:val="en-US" w:eastAsia="zh-CN" w:bidi="ar"/>
        </w:rPr>
        <w:t>电力建设质量管理小组活动开展</w:t>
      </w:r>
      <w:r>
        <w:rPr>
          <w:rFonts w:hint="eastAsia" w:ascii="仿宋_GB2312" w:hAnsi="仿宋_GB2312" w:eastAsia="仿宋_GB2312" w:cs="仿宋_GB2312"/>
          <w:color w:val="auto"/>
          <w:kern w:val="0"/>
          <w:sz w:val="32"/>
          <w:szCs w:val="32"/>
          <w:lang w:bidi="ar"/>
        </w:rPr>
        <w:t>的有效性。</w:t>
      </w:r>
      <w:r>
        <w:rPr>
          <w:rFonts w:hint="eastAsia" w:ascii="仿宋_GB2312" w:hAnsi="仿宋_GB2312" w:eastAsia="仿宋_GB2312" w:cs="仿宋_GB2312"/>
          <w:color w:val="auto"/>
          <w:kern w:val="0"/>
          <w:sz w:val="32"/>
          <w:szCs w:val="32"/>
          <w:lang w:val="en-US" w:eastAsia="zh-CN" w:bidi="ar"/>
        </w:rPr>
        <w:t>成果的推广</w:t>
      </w:r>
      <w:r>
        <w:rPr>
          <w:rFonts w:hint="eastAsia" w:ascii="仿宋_GB2312" w:hAnsi="仿宋_GB2312" w:eastAsia="仿宋_GB2312" w:cs="仿宋_GB2312"/>
          <w:color w:val="auto"/>
          <w:kern w:val="0"/>
          <w:sz w:val="32"/>
          <w:szCs w:val="32"/>
          <w:lang w:bidi="ar"/>
        </w:rPr>
        <w:t>应用是否达到了预期的效果？是否提高了项目的</w:t>
      </w:r>
      <w:r>
        <w:rPr>
          <w:rFonts w:hint="eastAsia" w:ascii="仿宋_GB2312" w:hAnsi="仿宋_GB2312" w:eastAsia="仿宋_GB2312" w:cs="仿宋_GB2312"/>
          <w:color w:val="auto"/>
          <w:kern w:val="0"/>
          <w:sz w:val="32"/>
          <w:szCs w:val="32"/>
          <w:lang w:val="en-US" w:eastAsia="zh-CN" w:bidi="ar"/>
        </w:rPr>
        <w:t>质量、安全与经济效益</w:t>
      </w:r>
      <w:r>
        <w:rPr>
          <w:rFonts w:hint="eastAsia" w:ascii="仿宋_GB2312" w:hAnsi="仿宋_GB2312" w:eastAsia="仿宋_GB2312" w:cs="仿宋_GB2312"/>
          <w:color w:val="auto"/>
          <w:kern w:val="0"/>
          <w:sz w:val="32"/>
          <w:szCs w:val="32"/>
          <w:lang w:bidi="ar"/>
        </w:rPr>
        <w:t>？</w:t>
      </w:r>
    </w:p>
    <w:p w14:paraId="7A54BC36">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解决方案：通过本标准拟定</w:t>
      </w:r>
      <w:r>
        <w:rPr>
          <w:rFonts w:hint="eastAsia" w:ascii="仿宋_GB2312" w:hAnsi="仿宋_GB2312" w:eastAsia="仿宋_GB2312" w:cs="仿宋_GB2312"/>
          <w:color w:val="auto"/>
          <w:kern w:val="0"/>
          <w:sz w:val="32"/>
          <w:szCs w:val="32"/>
          <w:lang w:val="en-US" w:eastAsia="zh-CN" w:bidi="ar"/>
        </w:rPr>
        <w:t>了成果的基本活动程序，结合成果实际达到的效果，确保标准的</w:t>
      </w:r>
      <w:r>
        <w:rPr>
          <w:rFonts w:hint="eastAsia" w:ascii="仿宋_GB2312" w:hAnsi="仿宋_GB2312" w:eastAsia="仿宋_GB2312" w:cs="仿宋_GB2312"/>
          <w:color w:val="auto"/>
          <w:kern w:val="0"/>
          <w:sz w:val="32"/>
          <w:szCs w:val="32"/>
          <w:lang w:bidi="ar"/>
        </w:rPr>
        <w:t>有效性，确保</w:t>
      </w:r>
      <w:r>
        <w:rPr>
          <w:rFonts w:hint="eastAsia" w:ascii="仿宋_GB2312" w:hAnsi="仿宋_GB2312" w:eastAsia="仿宋_GB2312" w:cs="仿宋_GB2312"/>
          <w:color w:val="auto"/>
          <w:kern w:val="0"/>
          <w:sz w:val="32"/>
          <w:szCs w:val="32"/>
          <w:lang w:val="en-US" w:eastAsia="zh-CN" w:bidi="ar"/>
        </w:rPr>
        <w:t>标准</w:t>
      </w:r>
      <w:r>
        <w:rPr>
          <w:rFonts w:hint="eastAsia" w:ascii="仿宋_GB2312" w:hAnsi="仿宋_GB2312" w:eastAsia="仿宋_GB2312" w:cs="仿宋_GB2312"/>
          <w:color w:val="auto"/>
          <w:kern w:val="0"/>
          <w:sz w:val="32"/>
          <w:szCs w:val="32"/>
          <w:lang w:bidi="ar"/>
        </w:rPr>
        <w:t>在实际</w:t>
      </w:r>
      <w:r>
        <w:rPr>
          <w:rFonts w:hint="eastAsia" w:ascii="仿宋_GB2312" w:hAnsi="仿宋_GB2312" w:eastAsia="仿宋_GB2312" w:cs="仿宋_GB2312"/>
          <w:color w:val="auto"/>
          <w:kern w:val="0"/>
          <w:sz w:val="32"/>
          <w:szCs w:val="32"/>
          <w:lang w:val="en-US" w:eastAsia="zh-CN" w:bidi="ar"/>
        </w:rPr>
        <w:t>电建建设过程</w:t>
      </w:r>
      <w:r>
        <w:rPr>
          <w:rFonts w:hint="eastAsia" w:ascii="仿宋_GB2312" w:hAnsi="仿宋_GB2312" w:eastAsia="仿宋_GB2312" w:cs="仿宋_GB2312"/>
          <w:color w:val="auto"/>
          <w:kern w:val="0"/>
          <w:sz w:val="32"/>
          <w:szCs w:val="32"/>
          <w:lang w:bidi="ar"/>
        </w:rPr>
        <w:t>中产生积极影响</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对提升人的素质，提高项目的质量、环保与安全管理，提升电力建设组织的经济效益</w:t>
      </w:r>
      <w:r>
        <w:rPr>
          <w:rFonts w:hint="eastAsia" w:ascii="仿宋_GB2312" w:hAnsi="仿宋_GB2312" w:eastAsia="仿宋_GB2312" w:cs="仿宋_GB2312"/>
          <w:color w:val="auto"/>
          <w:kern w:val="0"/>
          <w:sz w:val="32"/>
          <w:szCs w:val="32"/>
          <w:lang w:bidi="ar"/>
        </w:rPr>
        <w:t>。</w:t>
      </w:r>
    </w:p>
    <w:p w14:paraId="298507B0">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问题</w:t>
      </w:r>
      <w:r>
        <w:rPr>
          <w:rFonts w:hint="eastAsia" w:ascii="仿宋_GB2312" w:hAnsi="仿宋_GB2312" w:eastAsia="仿宋_GB2312" w:cs="仿宋_GB2312"/>
          <w:color w:val="auto"/>
          <w:kern w:val="0"/>
          <w:sz w:val="32"/>
          <w:szCs w:val="32"/>
          <w:lang w:val="en-US" w:eastAsia="zh-CN" w:bidi="ar"/>
        </w:rPr>
        <w:t>2</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电力建设质量管理小组活动的</w:t>
      </w:r>
      <w:r>
        <w:rPr>
          <w:rFonts w:hint="eastAsia" w:ascii="仿宋_GB2312" w:hAnsi="仿宋_GB2312" w:eastAsia="仿宋_GB2312" w:cs="仿宋_GB2312"/>
          <w:color w:val="auto"/>
          <w:kern w:val="0"/>
          <w:sz w:val="32"/>
          <w:szCs w:val="32"/>
          <w:lang w:bidi="ar"/>
        </w:rPr>
        <w:t>数据管理与安全性。</w:t>
      </w:r>
      <w:r>
        <w:rPr>
          <w:rFonts w:hint="eastAsia" w:ascii="仿宋_GB2312" w:hAnsi="仿宋_GB2312" w:eastAsia="仿宋_GB2312" w:cs="仿宋_GB2312"/>
          <w:color w:val="auto"/>
          <w:kern w:val="0"/>
          <w:sz w:val="32"/>
          <w:szCs w:val="32"/>
          <w:lang w:val="en-US" w:eastAsia="zh-CN" w:bidi="ar"/>
        </w:rPr>
        <w:t>在成果总结</w:t>
      </w:r>
      <w:r>
        <w:rPr>
          <w:rFonts w:hint="eastAsia" w:ascii="仿宋_GB2312" w:hAnsi="仿宋_GB2312" w:eastAsia="仿宋_GB2312" w:cs="仿宋_GB2312"/>
          <w:color w:val="auto"/>
          <w:kern w:val="0"/>
          <w:sz w:val="32"/>
          <w:szCs w:val="32"/>
          <w:lang w:bidi="ar"/>
        </w:rPr>
        <w:t>中的数据</w:t>
      </w:r>
      <w:r>
        <w:rPr>
          <w:rFonts w:hint="eastAsia" w:ascii="仿宋_GB2312" w:hAnsi="仿宋_GB2312" w:eastAsia="仿宋_GB2312" w:cs="仿宋_GB2312"/>
          <w:color w:val="auto"/>
          <w:kern w:val="0"/>
          <w:sz w:val="32"/>
          <w:szCs w:val="32"/>
          <w:lang w:val="en-US" w:eastAsia="zh-CN" w:bidi="ar"/>
        </w:rPr>
        <w:t>及技术创新</w:t>
      </w:r>
      <w:r>
        <w:rPr>
          <w:rFonts w:hint="eastAsia" w:ascii="仿宋_GB2312" w:hAnsi="仿宋_GB2312" w:eastAsia="仿宋_GB2312" w:cs="仿宋_GB2312"/>
          <w:color w:val="auto"/>
          <w:kern w:val="0"/>
          <w:sz w:val="32"/>
          <w:szCs w:val="32"/>
          <w:lang w:bidi="ar"/>
        </w:rPr>
        <w:t>管理是否安全可靠？是否存在数据泄露和隐私保护不足的风险？</w:t>
      </w:r>
    </w:p>
    <w:p w14:paraId="16EF0039">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解决方案：通过本标准</w:t>
      </w:r>
      <w:r>
        <w:rPr>
          <w:rFonts w:hint="eastAsia" w:ascii="仿宋_GB2312" w:hAnsi="仿宋_GB2312" w:eastAsia="仿宋_GB2312" w:cs="仿宋_GB2312"/>
          <w:color w:val="auto"/>
          <w:kern w:val="0"/>
          <w:sz w:val="32"/>
          <w:szCs w:val="32"/>
          <w:lang w:val="en-US" w:eastAsia="zh-CN" w:bidi="ar"/>
        </w:rPr>
        <w:t>规定了活动开展的基本原则，确保数据来自实际生产工作中，依据客观事实依据，确保数据</w:t>
      </w:r>
      <w:r>
        <w:rPr>
          <w:rFonts w:hint="eastAsia" w:ascii="仿宋_GB2312" w:hAnsi="仿宋_GB2312" w:eastAsia="仿宋_GB2312" w:cs="仿宋_GB2312"/>
          <w:color w:val="auto"/>
          <w:kern w:val="0"/>
          <w:sz w:val="32"/>
          <w:szCs w:val="32"/>
          <w:lang w:bidi="ar"/>
        </w:rPr>
        <w:t>安全，</w:t>
      </w:r>
      <w:r>
        <w:rPr>
          <w:rFonts w:hint="eastAsia" w:ascii="仿宋_GB2312" w:hAnsi="仿宋_GB2312" w:eastAsia="仿宋_GB2312" w:cs="仿宋_GB2312"/>
          <w:color w:val="auto"/>
          <w:kern w:val="0"/>
          <w:sz w:val="32"/>
          <w:szCs w:val="32"/>
          <w:lang w:val="en-US" w:eastAsia="zh-CN" w:bidi="ar"/>
        </w:rPr>
        <w:t>同时成果</w:t>
      </w:r>
      <w:r>
        <w:rPr>
          <w:rFonts w:hint="eastAsia" w:ascii="仿宋_GB2312" w:hAnsi="仿宋_GB2312" w:eastAsia="仿宋_GB2312" w:cs="仿宋_GB2312"/>
          <w:color w:val="auto"/>
          <w:kern w:val="0"/>
          <w:sz w:val="32"/>
          <w:szCs w:val="32"/>
          <w:lang w:bidi="ar"/>
        </w:rPr>
        <w:t>数据和</w:t>
      </w:r>
      <w:r>
        <w:rPr>
          <w:rFonts w:hint="eastAsia" w:ascii="仿宋_GB2312" w:hAnsi="仿宋_GB2312" w:eastAsia="仿宋_GB2312" w:cs="仿宋_GB2312"/>
          <w:color w:val="auto"/>
          <w:kern w:val="0"/>
          <w:sz w:val="32"/>
          <w:szCs w:val="32"/>
          <w:lang w:val="en-US" w:eastAsia="zh-CN" w:bidi="ar"/>
        </w:rPr>
        <w:t>涉及的技术、专利、工艺方法等不保密，</w:t>
      </w:r>
      <w:r>
        <w:rPr>
          <w:rFonts w:hint="eastAsia" w:ascii="仿宋_GB2312" w:hAnsi="仿宋_GB2312" w:eastAsia="仿宋_GB2312" w:cs="仿宋_GB2312"/>
          <w:color w:val="auto"/>
          <w:kern w:val="0"/>
          <w:sz w:val="32"/>
          <w:szCs w:val="32"/>
          <w:lang w:bidi="ar"/>
        </w:rPr>
        <w:t>确保</w:t>
      </w:r>
      <w:r>
        <w:rPr>
          <w:rFonts w:hint="eastAsia" w:ascii="仿宋_GB2312" w:hAnsi="仿宋_GB2312" w:eastAsia="仿宋_GB2312" w:cs="仿宋_GB2312"/>
          <w:color w:val="auto"/>
          <w:kern w:val="0"/>
          <w:sz w:val="32"/>
          <w:szCs w:val="32"/>
          <w:lang w:val="en-US" w:eastAsia="zh-CN" w:bidi="ar"/>
        </w:rPr>
        <w:t>标准</w:t>
      </w:r>
      <w:r>
        <w:rPr>
          <w:rFonts w:hint="eastAsia" w:ascii="仿宋_GB2312" w:hAnsi="仿宋_GB2312" w:eastAsia="仿宋_GB2312" w:cs="仿宋_GB2312"/>
          <w:color w:val="auto"/>
          <w:kern w:val="0"/>
          <w:sz w:val="32"/>
          <w:szCs w:val="32"/>
          <w:lang w:bidi="ar"/>
        </w:rPr>
        <w:t>的合规性和安全性。</w:t>
      </w:r>
    </w:p>
    <w:p w14:paraId="5848DFD0">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问题</w:t>
      </w:r>
      <w:r>
        <w:rPr>
          <w:rFonts w:hint="eastAsia" w:ascii="仿宋_GB2312" w:hAnsi="仿宋_GB2312" w:eastAsia="仿宋_GB2312" w:cs="仿宋_GB2312"/>
          <w:color w:val="auto"/>
          <w:kern w:val="0"/>
          <w:sz w:val="32"/>
          <w:szCs w:val="32"/>
          <w:lang w:val="en-US" w:eastAsia="zh-CN" w:bidi="ar"/>
        </w:rPr>
        <w:t>3</w:t>
      </w:r>
      <w:r>
        <w:rPr>
          <w:rFonts w:hint="eastAsia" w:ascii="仿宋_GB2312" w:hAnsi="仿宋_GB2312" w:eastAsia="仿宋_GB2312" w:cs="仿宋_GB2312"/>
          <w:color w:val="auto"/>
          <w:kern w:val="0"/>
          <w:sz w:val="32"/>
          <w:szCs w:val="32"/>
          <w:lang w:bidi="ar"/>
        </w:rPr>
        <w:t>：创新与持续改进。</w:t>
      </w:r>
      <w:r>
        <w:rPr>
          <w:rFonts w:hint="eastAsia" w:ascii="仿宋_GB2312" w:hAnsi="仿宋_GB2312" w:eastAsia="仿宋_GB2312" w:cs="仿宋_GB2312"/>
          <w:color w:val="auto"/>
          <w:kern w:val="0"/>
          <w:sz w:val="32"/>
          <w:szCs w:val="32"/>
          <w:lang w:val="en-US" w:eastAsia="zh-CN" w:bidi="ar"/>
        </w:rPr>
        <w:t>电力建设质量管理小组活动</w:t>
      </w:r>
      <w:r>
        <w:rPr>
          <w:rFonts w:hint="eastAsia" w:ascii="仿宋_GB2312" w:hAnsi="仿宋_GB2312" w:eastAsia="仿宋_GB2312" w:cs="仿宋_GB2312"/>
          <w:color w:val="auto"/>
          <w:kern w:val="0"/>
          <w:sz w:val="32"/>
          <w:szCs w:val="32"/>
          <w:lang w:bidi="ar"/>
        </w:rPr>
        <w:t>是否具备持续创新和改进的能力？是否能够适应行业的发展和变化？</w:t>
      </w:r>
    </w:p>
    <w:p w14:paraId="124D7B0A">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解决方案：通过本标准</w:t>
      </w:r>
      <w:r>
        <w:rPr>
          <w:rFonts w:hint="eastAsia" w:ascii="仿宋_GB2312" w:hAnsi="仿宋_GB2312" w:eastAsia="仿宋_GB2312" w:cs="仿宋_GB2312"/>
          <w:color w:val="auto"/>
          <w:kern w:val="0"/>
          <w:sz w:val="32"/>
          <w:szCs w:val="32"/>
          <w:lang w:val="en-US" w:eastAsia="zh-CN" w:bidi="ar"/>
        </w:rPr>
        <w:t>规定了</w:t>
      </w:r>
      <w:r>
        <w:rPr>
          <w:rFonts w:hint="eastAsia" w:ascii="仿宋_GB2312" w:hAnsi="仿宋_GB2312" w:eastAsia="仿宋_GB2312" w:cs="仿宋_GB2312"/>
          <w:color w:val="auto"/>
          <w:kern w:val="0"/>
          <w:sz w:val="32"/>
          <w:szCs w:val="32"/>
          <w:lang w:bidi="ar"/>
        </w:rPr>
        <w:t>电力建设质量管理小组活动</w:t>
      </w:r>
      <w:r>
        <w:rPr>
          <w:rFonts w:hint="eastAsia" w:ascii="仿宋_GB2312" w:hAnsi="仿宋_GB2312" w:eastAsia="仿宋_GB2312" w:cs="仿宋_GB2312"/>
          <w:color w:val="auto"/>
          <w:kern w:val="0"/>
          <w:sz w:val="32"/>
          <w:szCs w:val="32"/>
          <w:lang w:val="en-US" w:eastAsia="zh-CN" w:bidi="ar"/>
        </w:rPr>
        <w:t>的评价与应用推广</w:t>
      </w:r>
      <w:r>
        <w:rPr>
          <w:rFonts w:hint="eastAsia" w:ascii="仿宋_GB2312" w:hAnsi="仿宋_GB2312" w:eastAsia="仿宋_GB2312" w:cs="仿宋_GB2312"/>
          <w:color w:val="auto"/>
          <w:kern w:val="0"/>
          <w:sz w:val="32"/>
          <w:szCs w:val="32"/>
          <w:lang w:bidi="ar"/>
        </w:rPr>
        <w:t>，分析</w:t>
      </w:r>
      <w:r>
        <w:rPr>
          <w:rFonts w:hint="eastAsia" w:ascii="仿宋_GB2312" w:hAnsi="仿宋_GB2312" w:eastAsia="仿宋_GB2312" w:cs="仿宋_GB2312"/>
          <w:color w:val="auto"/>
          <w:kern w:val="0"/>
          <w:sz w:val="32"/>
          <w:szCs w:val="32"/>
          <w:lang w:val="en-US" w:eastAsia="zh-CN" w:bidi="ar"/>
        </w:rPr>
        <w:t>成果</w:t>
      </w:r>
      <w:r>
        <w:rPr>
          <w:rFonts w:hint="eastAsia" w:ascii="仿宋_GB2312" w:hAnsi="仿宋_GB2312" w:eastAsia="仿宋_GB2312" w:cs="仿宋_GB2312"/>
          <w:color w:val="auto"/>
          <w:kern w:val="0"/>
          <w:sz w:val="32"/>
          <w:szCs w:val="32"/>
          <w:lang w:bidi="ar"/>
        </w:rPr>
        <w:t>应用的</w:t>
      </w:r>
      <w:r>
        <w:rPr>
          <w:rFonts w:hint="eastAsia" w:ascii="仿宋_GB2312" w:hAnsi="仿宋_GB2312" w:eastAsia="仿宋_GB2312" w:cs="仿宋_GB2312"/>
          <w:color w:val="auto"/>
          <w:kern w:val="0"/>
          <w:sz w:val="32"/>
          <w:szCs w:val="32"/>
          <w:lang w:val="en-US" w:eastAsia="zh-CN" w:bidi="ar"/>
        </w:rPr>
        <w:t>全面</w:t>
      </w:r>
      <w:r>
        <w:rPr>
          <w:rFonts w:hint="eastAsia" w:ascii="仿宋_GB2312" w:hAnsi="仿宋_GB2312" w:eastAsia="仿宋_GB2312" w:cs="仿宋_GB2312"/>
          <w:color w:val="auto"/>
          <w:kern w:val="0"/>
          <w:sz w:val="32"/>
          <w:szCs w:val="32"/>
          <w:lang w:bidi="ar"/>
        </w:rPr>
        <w:t>性和</w:t>
      </w:r>
      <w:r>
        <w:rPr>
          <w:rFonts w:hint="eastAsia" w:ascii="仿宋_GB2312" w:hAnsi="仿宋_GB2312" w:eastAsia="仿宋_GB2312" w:cs="仿宋_GB2312"/>
          <w:color w:val="auto"/>
          <w:kern w:val="0"/>
          <w:sz w:val="32"/>
          <w:szCs w:val="32"/>
          <w:lang w:val="en-US" w:eastAsia="zh-CN" w:bidi="ar"/>
        </w:rPr>
        <w:t>有效</w:t>
      </w:r>
      <w:r>
        <w:rPr>
          <w:rFonts w:hint="eastAsia" w:ascii="仿宋_GB2312" w:hAnsi="仿宋_GB2312" w:eastAsia="仿宋_GB2312" w:cs="仿宋_GB2312"/>
          <w:color w:val="auto"/>
          <w:kern w:val="0"/>
          <w:sz w:val="32"/>
          <w:szCs w:val="32"/>
          <w:lang w:bidi="ar"/>
        </w:rPr>
        <w:t>性，</w:t>
      </w:r>
      <w:r>
        <w:rPr>
          <w:rFonts w:hint="eastAsia" w:ascii="仿宋_GB2312" w:hAnsi="仿宋_GB2312" w:eastAsia="仿宋_GB2312" w:cs="仿宋_GB2312"/>
          <w:color w:val="auto"/>
          <w:kern w:val="0"/>
          <w:sz w:val="32"/>
          <w:szCs w:val="32"/>
          <w:lang w:val="en-US" w:eastAsia="zh-CN" w:bidi="ar"/>
        </w:rPr>
        <w:t>评价活动成果</w:t>
      </w:r>
      <w:r>
        <w:rPr>
          <w:rFonts w:hint="eastAsia" w:ascii="仿宋_GB2312" w:hAnsi="仿宋_GB2312" w:eastAsia="仿宋_GB2312" w:cs="仿宋_GB2312"/>
          <w:color w:val="auto"/>
          <w:kern w:val="0"/>
          <w:sz w:val="32"/>
          <w:szCs w:val="32"/>
          <w:lang w:bidi="ar"/>
        </w:rPr>
        <w:t>在</w:t>
      </w:r>
      <w:r>
        <w:rPr>
          <w:rFonts w:hint="eastAsia" w:ascii="仿宋_GB2312" w:hAnsi="仿宋_GB2312" w:eastAsia="仿宋_GB2312" w:cs="仿宋_GB2312"/>
          <w:color w:val="auto"/>
          <w:kern w:val="0"/>
          <w:sz w:val="32"/>
          <w:szCs w:val="32"/>
          <w:lang w:val="en-US" w:eastAsia="zh-CN" w:bidi="ar"/>
        </w:rPr>
        <w:t>创新</w:t>
      </w:r>
      <w:r>
        <w:rPr>
          <w:rFonts w:hint="eastAsia" w:ascii="仿宋_GB2312" w:hAnsi="仿宋_GB2312" w:eastAsia="仿宋_GB2312" w:cs="仿宋_GB2312"/>
          <w:color w:val="auto"/>
          <w:kern w:val="0"/>
          <w:sz w:val="32"/>
          <w:szCs w:val="32"/>
          <w:lang w:bidi="ar"/>
        </w:rPr>
        <w:t>和</w:t>
      </w:r>
      <w:r>
        <w:rPr>
          <w:rFonts w:hint="eastAsia" w:ascii="仿宋_GB2312" w:hAnsi="仿宋_GB2312" w:eastAsia="仿宋_GB2312" w:cs="仿宋_GB2312"/>
          <w:color w:val="auto"/>
          <w:kern w:val="0"/>
          <w:sz w:val="32"/>
          <w:szCs w:val="32"/>
          <w:lang w:val="en-US" w:eastAsia="zh-CN" w:bidi="ar"/>
        </w:rPr>
        <w:t>改进</w:t>
      </w:r>
      <w:r>
        <w:rPr>
          <w:rFonts w:hint="eastAsia" w:ascii="仿宋_GB2312" w:hAnsi="仿宋_GB2312" w:eastAsia="仿宋_GB2312" w:cs="仿宋_GB2312"/>
          <w:color w:val="auto"/>
          <w:kern w:val="0"/>
          <w:sz w:val="32"/>
          <w:szCs w:val="32"/>
          <w:lang w:bidi="ar"/>
        </w:rPr>
        <w:t>方面的潜力，确保其能够持续满足</w:t>
      </w:r>
      <w:r>
        <w:rPr>
          <w:rFonts w:hint="eastAsia" w:ascii="仿宋_GB2312" w:hAnsi="仿宋_GB2312" w:eastAsia="仿宋_GB2312" w:cs="仿宋_GB2312"/>
          <w:color w:val="auto"/>
          <w:kern w:val="0"/>
          <w:sz w:val="32"/>
          <w:szCs w:val="32"/>
          <w:lang w:val="en-US" w:eastAsia="zh-CN" w:bidi="ar"/>
        </w:rPr>
        <w:t>电力</w:t>
      </w:r>
      <w:r>
        <w:rPr>
          <w:rFonts w:hint="eastAsia" w:ascii="仿宋_GB2312" w:hAnsi="仿宋_GB2312" w:eastAsia="仿宋_GB2312" w:cs="仿宋_GB2312"/>
          <w:color w:val="auto"/>
          <w:kern w:val="0"/>
          <w:sz w:val="32"/>
          <w:szCs w:val="32"/>
          <w:lang w:bidi="ar"/>
        </w:rPr>
        <w:t>行业需求。</w:t>
      </w:r>
    </w:p>
    <w:p w14:paraId="79CBDADD">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问题</w:t>
      </w:r>
      <w:r>
        <w:rPr>
          <w:rFonts w:hint="eastAsia" w:ascii="仿宋_GB2312" w:hAnsi="仿宋_GB2312" w:eastAsia="仿宋_GB2312" w:cs="仿宋_GB2312"/>
          <w:color w:val="auto"/>
          <w:kern w:val="0"/>
          <w:sz w:val="32"/>
          <w:szCs w:val="32"/>
          <w:lang w:val="en-US" w:eastAsia="zh-CN" w:bidi="ar"/>
        </w:rPr>
        <w:t>4</w:t>
      </w:r>
      <w:r>
        <w:rPr>
          <w:rFonts w:hint="eastAsia" w:ascii="仿宋_GB2312" w:hAnsi="仿宋_GB2312" w:eastAsia="仿宋_GB2312" w:cs="仿宋_GB2312"/>
          <w:color w:val="auto"/>
          <w:kern w:val="0"/>
          <w:sz w:val="32"/>
          <w:szCs w:val="32"/>
          <w:lang w:bidi="ar"/>
        </w:rPr>
        <w:t>：环境与社会影响。</w:t>
      </w:r>
      <w:r>
        <w:rPr>
          <w:rFonts w:hint="eastAsia" w:ascii="仿宋_GB2312" w:hAnsi="仿宋_GB2312" w:eastAsia="仿宋_GB2312" w:cs="仿宋_GB2312"/>
          <w:color w:val="auto"/>
          <w:kern w:val="0"/>
          <w:sz w:val="32"/>
          <w:szCs w:val="32"/>
          <w:lang w:val="en-US" w:eastAsia="zh-CN" w:bidi="ar"/>
        </w:rPr>
        <w:t>电力建设质量管理小组活动</w:t>
      </w:r>
      <w:r>
        <w:rPr>
          <w:rFonts w:hint="eastAsia" w:ascii="仿宋_GB2312" w:hAnsi="仿宋_GB2312" w:eastAsia="仿宋_GB2312" w:cs="仿宋_GB2312"/>
          <w:color w:val="auto"/>
          <w:kern w:val="0"/>
          <w:sz w:val="32"/>
          <w:szCs w:val="32"/>
          <w:lang w:bidi="ar"/>
        </w:rPr>
        <w:t>是否对环境和社会产生积极影响？是否促进了可持续发展和社会责任？</w:t>
      </w:r>
    </w:p>
    <w:p w14:paraId="1A79017A">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bidi="ar"/>
        </w:rPr>
        <w:t>解决方案：电力建设质量管理小组活动在持续改进、节能降耗、绿色低碳，提高经济效益等方面的贡献，确保其符合可持续发展目标。</w:t>
      </w:r>
    </w:p>
    <w:p w14:paraId="2F1A6B3E">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通过解决上述问题，电力建设质量管理小组活动</w:t>
      </w:r>
      <w:r>
        <w:rPr>
          <w:rFonts w:hint="eastAsia" w:ascii="仿宋_GB2312" w:hAnsi="仿宋_GB2312" w:eastAsia="仿宋_GB2312" w:cs="仿宋_GB2312"/>
          <w:color w:val="auto"/>
          <w:kern w:val="0"/>
          <w:sz w:val="32"/>
          <w:szCs w:val="32"/>
          <w:lang w:val="en-US" w:eastAsia="zh-CN" w:bidi="ar"/>
        </w:rPr>
        <w:t>导则</w:t>
      </w:r>
      <w:r>
        <w:rPr>
          <w:rFonts w:hint="eastAsia" w:ascii="仿宋_GB2312" w:hAnsi="仿宋_GB2312" w:eastAsia="仿宋_GB2312" w:cs="仿宋_GB2312"/>
          <w:color w:val="auto"/>
          <w:kern w:val="0"/>
          <w:sz w:val="32"/>
          <w:szCs w:val="32"/>
          <w:lang w:bidi="ar"/>
        </w:rPr>
        <w:t>将为电力</w:t>
      </w:r>
      <w:r>
        <w:rPr>
          <w:rFonts w:hint="eastAsia" w:ascii="仿宋_GB2312" w:hAnsi="仿宋_GB2312" w:eastAsia="仿宋_GB2312" w:cs="仿宋_GB2312"/>
          <w:color w:val="auto"/>
          <w:kern w:val="0"/>
          <w:sz w:val="32"/>
          <w:szCs w:val="32"/>
          <w:lang w:val="en-US" w:eastAsia="zh-CN" w:bidi="ar"/>
        </w:rPr>
        <w:t>建设组织</w:t>
      </w:r>
      <w:r>
        <w:rPr>
          <w:rFonts w:hint="eastAsia" w:ascii="仿宋_GB2312" w:hAnsi="仿宋_GB2312" w:eastAsia="仿宋_GB2312" w:cs="仿宋_GB2312"/>
          <w:color w:val="auto"/>
          <w:kern w:val="0"/>
          <w:sz w:val="32"/>
          <w:szCs w:val="32"/>
          <w:lang w:bidi="ar"/>
        </w:rPr>
        <w:t>提供</w:t>
      </w:r>
      <w:r>
        <w:rPr>
          <w:rFonts w:hint="eastAsia" w:ascii="仿宋_GB2312" w:hAnsi="仿宋_GB2312" w:eastAsia="仿宋_GB2312" w:cs="仿宋_GB2312"/>
          <w:color w:val="auto"/>
          <w:kern w:val="0"/>
          <w:sz w:val="32"/>
          <w:szCs w:val="32"/>
          <w:lang w:val="en-US" w:eastAsia="zh-CN" w:bidi="ar"/>
        </w:rPr>
        <w:t>逻辑清晰</w:t>
      </w:r>
      <w:r>
        <w:rPr>
          <w:rFonts w:hint="eastAsia" w:ascii="仿宋_GB2312" w:hAnsi="仿宋_GB2312" w:eastAsia="仿宋_GB2312" w:cs="仿宋_GB2312"/>
          <w:color w:val="auto"/>
          <w:kern w:val="0"/>
          <w:sz w:val="32"/>
          <w:szCs w:val="32"/>
          <w:lang w:bidi="ar"/>
        </w:rPr>
        <w:t>的</w:t>
      </w:r>
      <w:r>
        <w:rPr>
          <w:rFonts w:hint="eastAsia" w:ascii="仿宋_GB2312" w:hAnsi="仿宋_GB2312" w:eastAsia="仿宋_GB2312" w:cs="仿宋_GB2312"/>
          <w:color w:val="auto"/>
          <w:kern w:val="0"/>
          <w:sz w:val="32"/>
          <w:szCs w:val="32"/>
          <w:lang w:val="en-US" w:eastAsia="zh-CN" w:bidi="ar"/>
        </w:rPr>
        <w:t>活动程序</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客观公正评价指导</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规范有效的应用推广，助力</w:t>
      </w:r>
      <w:r>
        <w:rPr>
          <w:rFonts w:hint="eastAsia" w:ascii="仿宋_GB2312" w:hAnsi="仿宋_GB2312" w:eastAsia="仿宋_GB2312" w:cs="仿宋_GB2312"/>
          <w:color w:val="auto"/>
          <w:kern w:val="0"/>
          <w:sz w:val="32"/>
          <w:szCs w:val="32"/>
          <w:lang w:bidi="ar"/>
        </w:rPr>
        <w:t>电力</w:t>
      </w:r>
      <w:r>
        <w:rPr>
          <w:rFonts w:hint="eastAsia" w:ascii="仿宋_GB2312" w:hAnsi="仿宋_GB2312" w:eastAsia="仿宋_GB2312" w:cs="仿宋_GB2312"/>
          <w:color w:val="auto"/>
          <w:kern w:val="0"/>
          <w:sz w:val="32"/>
          <w:szCs w:val="32"/>
          <w:lang w:val="en-US" w:eastAsia="zh-CN" w:bidi="ar"/>
        </w:rPr>
        <w:t>建设组织有效开展活动</w:t>
      </w:r>
      <w:r>
        <w:rPr>
          <w:rFonts w:hint="eastAsia" w:ascii="仿宋_GB2312" w:hAnsi="仿宋_GB2312" w:eastAsia="仿宋_GB2312" w:cs="仿宋_GB2312"/>
          <w:color w:val="auto"/>
          <w:kern w:val="0"/>
          <w:sz w:val="32"/>
          <w:szCs w:val="32"/>
          <w:lang w:bidi="ar"/>
        </w:rPr>
        <w:t>，提升</w:t>
      </w:r>
      <w:r>
        <w:rPr>
          <w:rFonts w:hint="eastAsia" w:ascii="仿宋_GB2312" w:hAnsi="仿宋_GB2312" w:eastAsia="仿宋_GB2312" w:cs="仿宋_GB2312"/>
          <w:color w:val="auto"/>
          <w:kern w:val="0"/>
          <w:sz w:val="32"/>
          <w:szCs w:val="32"/>
          <w:lang w:val="en-US" w:eastAsia="zh-CN" w:bidi="ar"/>
        </w:rPr>
        <w:t>活动成果</w:t>
      </w:r>
      <w:r>
        <w:rPr>
          <w:rFonts w:hint="eastAsia" w:ascii="仿宋_GB2312" w:hAnsi="仿宋_GB2312" w:eastAsia="仿宋_GB2312" w:cs="仿宋_GB2312"/>
          <w:color w:val="auto"/>
          <w:kern w:val="0"/>
          <w:sz w:val="32"/>
          <w:szCs w:val="32"/>
          <w:lang w:bidi="ar"/>
        </w:rPr>
        <w:t>应用的价值和效果，</w:t>
      </w:r>
      <w:r>
        <w:rPr>
          <w:rFonts w:hint="eastAsia" w:ascii="仿宋_GB2312" w:hAnsi="仿宋_GB2312" w:eastAsia="仿宋_GB2312" w:cs="仿宋_GB2312"/>
          <w:color w:val="auto"/>
          <w:kern w:val="0"/>
          <w:sz w:val="32"/>
          <w:szCs w:val="32"/>
          <w:lang w:val="en-US" w:eastAsia="zh-CN" w:bidi="ar"/>
        </w:rPr>
        <w:t>推动电力</w:t>
      </w:r>
      <w:r>
        <w:rPr>
          <w:rFonts w:hint="eastAsia" w:ascii="仿宋_GB2312" w:hAnsi="仿宋_GB2312" w:eastAsia="仿宋_GB2312" w:cs="仿宋_GB2312"/>
          <w:color w:val="auto"/>
          <w:kern w:val="0"/>
          <w:sz w:val="32"/>
          <w:szCs w:val="32"/>
          <w:lang w:bidi="ar"/>
        </w:rPr>
        <w:t>行业的</w:t>
      </w:r>
      <w:r>
        <w:rPr>
          <w:rFonts w:hint="eastAsia" w:ascii="仿宋_GB2312" w:hAnsi="仿宋_GB2312" w:eastAsia="仿宋_GB2312" w:cs="仿宋_GB2312"/>
          <w:color w:val="auto"/>
          <w:kern w:val="0"/>
          <w:sz w:val="32"/>
          <w:szCs w:val="32"/>
          <w:lang w:val="en-US" w:eastAsia="zh-CN" w:bidi="ar"/>
        </w:rPr>
        <w:t>质量管理小组活动的良性发展与价值提升</w:t>
      </w:r>
      <w:r>
        <w:rPr>
          <w:rFonts w:hint="eastAsia" w:ascii="仿宋_GB2312" w:hAnsi="仿宋_GB2312" w:eastAsia="仿宋_GB2312" w:cs="仿宋_GB2312"/>
          <w:color w:val="auto"/>
          <w:kern w:val="0"/>
          <w:sz w:val="32"/>
          <w:szCs w:val="32"/>
          <w:lang w:bidi="ar"/>
        </w:rPr>
        <w:t>。</w:t>
      </w:r>
    </w:p>
    <w:p w14:paraId="3DA3F482">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4.采用国际标准和国外先进标准的程度,以及与国际、国外同类标准水平的对比情况，或与测试的国外样品、样机的有关数据对比情况</w:t>
      </w:r>
    </w:p>
    <w:p w14:paraId="4D669714">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电力建设质量管理小组活动导则这一</w:t>
      </w:r>
      <w:r>
        <w:rPr>
          <w:rFonts w:hint="eastAsia" w:ascii="仿宋_GB2312" w:hAnsi="仿宋_GB2312" w:eastAsia="仿宋_GB2312" w:cs="仿宋_GB2312"/>
          <w:color w:val="auto"/>
          <w:sz w:val="32"/>
          <w:szCs w:val="32"/>
          <w:lang w:val="en-US" w:eastAsia="zh-CN"/>
        </w:rPr>
        <w:t>导则</w:t>
      </w:r>
      <w:r>
        <w:rPr>
          <w:rFonts w:hint="eastAsia" w:ascii="仿宋_GB2312" w:hAnsi="仿宋_GB2312" w:eastAsia="仿宋_GB2312" w:cs="仿宋_GB2312"/>
          <w:color w:val="auto"/>
          <w:sz w:val="32"/>
          <w:szCs w:val="32"/>
        </w:rPr>
        <w:t>的实施，不仅有助于完善我国</w:t>
      </w:r>
      <w:r>
        <w:rPr>
          <w:rFonts w:hint="eastAsia" w:ascii="仿宋_GB2312" w:hAnsi="仿宋_GB2312" w:eastAsia="仿宋_GB2312" w:cs="仿宋_GB2312"/>
          <w:color w:val="auto"/>
          <w:sz w:val="32"/>
          <w:szCs w:val="32"/>
          <w:lang w:val="en-US" w:eastAsia="zh-CN"/>
        </w:rPr>
        <w:t>电力建设质量管理小组活动</w:t>
      </w:r>
      <w:r>
        <w:rPr>
          <w:rFonts w:hint="eastAsia" w:ascii="仿宋_GB2312" w:hAnsi="仿宋_GB2312" w:eastAsia="仿宋_GB2312" w:cs="仿宋_GB2312"/>
          <w:color w:val="auto"/>
          <w:sz w:val="32"/>
          <w:szCs w:val="32"/>
        </w:rPr>
        <w:t>标准体系，确保</w:t>
      </w:r>
      <w:r>
        <w:rPr>
          <w:rFonts w:hint="eastAsia" w:ascii="仿宋_GB2312" w:hAnsi="仿宋_GB2312" w:eastAsia="仿宋_GB2312" w:cs="仿宋_GB2312"/>
          <w:color w:val="auto"/>
          <w:sz w:val="32"/>
          <w:szCs w:val="32"/>
          <w:lang w:val="en-US" w:eastAsia="zh-CN"/>
        </w:rPr>
        <w:t>国内外</w:t>
      </w:r>
      <w:r>
        <w:rPr>
          <w:rFonts w:hint="eastAsia" w:ascii="仿宋_GB2312" w:hAnsi="仿宋_GB2312" w:eastAsia="仿宋_GB2312" w:cs="仿宋_GB2312"/>
          <w:color w:val="auto"/>
          <w:sz w:val="32"/>
          <w:szCs w:val="32"/>
        </w:rPr>
        <w:t>标准之间的协调统一和相互配套，还能有效应对国际</w:t>
      </w:r>
      <w:r>
        <w:rPr>
          <w:rFonts w:hint="eastAsia" w:ascii="仿宋_GB2312" w:hAnsi="仿宋_GB2312" w:eastAsia="仿宋_GB2312" w:cs="仿宋_GB2312"/>
          <w:color w:val="auto"/>
          <w:sz w:val="32"/>
          <w:szCs w:val="32"/>
          <w:lang w:val="en-US" w:eastAsia="zh-CN"/>
        </w:rPr>
        <w:t>标准</w:t>
      </w:r>
      <w:r>
        <w:rPr>
          <w:rFonts w:hint="eastAsia" w:ascii="仿宋_GB2312" w:hAnsi="仿宋_GB2312" w:eastAsia="仿宋_GB2312" w:cs="仿宋_GB2312"/>
          <w:color w:val="auto"/>
          <w:sz w:val="32"/>
          <w:szCs w:val="32"/>
        </w:rPr>
        <w:t>中的技术壁垒，促进国际发展。通过比对</w:t>
      </w:r>
      <w:r>
        <w:rPr>
          <w:rFonts w:hint="eastAsia" w:ascii="仿宋_GB2312" w:hAnsi="仿宋_GB2312" w:eastAsia="仿宋_GB2312" w:cs="仿宋_GB2312"/>
          <w:color w:val="auto"/>
          <w:sz w:val="32"/>
          <w:szCs w:val="32"/>
          <w:lang w:val="en-US" w:eastAsia="zh-CN"/>
        </w:rPr>
        <w:t>研究</w:t>
      </w:r>
      <w:r>
        <w:rPr>
          <w:rFonts w:hint="eastAsia" w:ascii="仿宋_GB2312" w:hAnsi="仿宋_GB2312" w:eastAsia="仿宋_GB2312" w:cs="仿宋_GB2312"/>
          <w:color w:val="auto"/>
          <w:sz w:val="32"/>
          <w:szCs w:val="32"/>
        </w:rPr>
        <w:t>，电力建设质量管理小组活动导则不仅能够及时了解国际标准的最新动态和发展趋势，还能根据</w:t>
      </w:r>
      <w:r>
        <w:rPr>
          <w:rFonts w:hint="eastAsia" w:ascii="仿宋_GB2312" w:hAnsi="仿宋_GB2312" w:eastAsia="仿宋_GB2312" w:cs="仿宋_GB2312"/>
          <w:color w:val="auto"/>
          <w:sz w:val="32"/>
          <w:szCs w:val="32"/>
          <w:lang w:val="en-US" w:eastAsia="zh-CN"/>
        </w:rPr>
        <w:t>国内电力发展</w:t>
      </w:r>
      <w:r>
        <w:rPr>
          <w:rFonts w:hint="eastAsia" w:ascii="仿宋_GB2312" w:hAnsi="仿宋_GB2312" w:eastAsia="仿宋_GB2312" w:cs="仿宋_GB2312"/>
          <w:color w:val="auto"/>
          <w:sz w:val="32"/>
          <w:szCs w:val="32"/>
        </w:rPr>
        <w:t>自身实际情况进行有针对性的改进和创新。有助于提升我国</w:t>
      </w:r>
      <w:r>
        <w:rPr>
          <w:rFonts w:hint="eastAsia" w:ascii="仿宋_GB2312" w:hAnsi="仿宋_GB2312" w:eastAsia="仿宋_GB2312" w:cs="仿宋_GB2312"/>
          <w:color w:val="auto"/>
          <w:sz w:val="32"/>
          <w:szCs w:val="32"/>
          <w:lang w:val="en-US" w:eastAsia="zh-CN"/>
        </w:rPr>
        <w:t>质量小组活动</w:t>
      </w:r>
      <w:r>
        <w:rPr>
          <w:rFonts w:hint="eastAsia" w:ascii="仿宋_GB2312" w:hAnsi="仿宋_GB2312" w:eastAsia="仿宋_GB2312" w:cs="仿宋_GB2312"/>
          <w:color w:val="auto"/>
          <w:sz w:val="32"/>
          <w:szCs w:val="32"/>
        </w:rPr>
        <w:t>标准的整体水平，还能增强我国</w:t>
      </w:r>
      <w:r>
        <w:rPr>
          <w:rFonts w:hint="eastAsia" w:ascii="仿宋_GB2312" w:hAnsi="仿宋_GB2312" w:eastAsia="仿宋_GB2312" w:cs="仿宋_GB2312"/>
          <w:color w:val="auto"/>
          <w:sz w:val="32"/>
          <w:szCs w:val="32"/>
          <w:lang w:val="en-US" w:eastAsia="zh-CN"/>
        </w:rPr>
        <w:t>质量管理小组活动的创新发展在</w:t>
      </w:r>
      <w:r>
        <w:rPr>
          <w:rFonts w:hint="eastAsia" w:ascii="仿宋_GB2312" w:hAnsi="仿宋_GB2312" w:eastAsia="仿宋_GB2312" w:cs="仿宋_GB2312"/>
          <w:color w:val="auto"/>
          <w:sz w:val="32"/>
          <w:szCs w:val="32"/>
        </w:rPr>
        <w:t>国际</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领域的影响力。</w:t>
      </w:r>
      <w:r>
        <w:rPr>
          <w:rFonts w:hint="eastAsia" w:ascii="仿宋_GB2312" w:hAnsi="仿宋_GB2312" w:eastAsia="仿宋_GB2312" w:cs="仿宋_GB2312"/>
          <w:color w:val="auto"/>
          <w:sz w:val="32"/>
          <w:szCs w:val="32"/>
          <w:lang w:val="en-US" w:eastAsia="zh-CN"/>
        </w:rPr>
        <w:t>与日本科学技术联盟等组织质量管理小组活动相互协调发展，结合国际质量管理小组活动以质量管理为中心的管理技术的引进、实施、应用、推广等方面，电力建设质量管理小组活动导则重点突出创新与发展，以严谨科学的活动程序、丰富详实的数据信息展现国内电力建设的发展与成就。</w:t>
      </w:r>
    </w:p>
    <w:p w14:paraId="63564E92">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5.与有关的现行法律、法规和强制性国家标准的关系</w:t>
      </w:r>
    </w:p>
    <w:p w14:paraId="3C2CB24E">
      <w:pPr>
        <w:keepNext w:val="0"/>
        <w:keepLines w:val="0"/>
        <w:pageBreakBefore w:val="0"/>
        <w:widowControl/>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目前，国内电力建设行业尚无专门针对电力建设质量管理小组</w:t>
      </w:r>
      <w:r>
        <w:rPr>
          <w:rFonts w:hint="eastAsia" w:ascii="仿宋_GB2312" w:hAnsi="仿宋_GB2312" w:eastAsia="仿宋_GB2312" w:cs="仿宋_GB2312"/>
          <w:color w:val="auto"/>
          <w:kern w:val="0"/>
          <w:sz w:val="32"/>
          <w:szCs w:val="32"/>
          <w:lang w:val="en-US" w:eastAsia="zh-CN" w:bidi="ar"/>
        </w:rPr>
        <w:t>活动开展与</w:t>
      </w:r>
      <w:r>
        <w:rPr>
          <w:rFonts w:hint="eastAsia" w:ascii="仿宋_GB2312" w:hAnsi="仿宋_GB2312" w:eastAsia="仿宋_GB2312" w:cs="仿宋_GB2312"/>
          <w:color w:val="auto"/>
          <w:kern w:val="0"/>
          <w:sz w:val="32"/>
          <w:szCs w:val="32"/>
          <w:lang w:bidi="ar"/>
        </w:rPr>
        <w:t>评价类标准，国外也无类似标准。本</w:t>
      </w:r>
      <w:r>
        <w:rPr>
          <w:rFonts w:hint="eastAsia" w:ascii="仿宋_GB2312" w:hAnsi="仿宋_GB2312" w:eastAsia="仿宋_GB2312" w:cs="仿宋_GB2312"/>
          <w:color w:val="auto"/>
          <w:kern w:val="0"/>
          <w:sz w:val="32"/>
          <w:szCs w:val="32"/>
          <w:lang w:val="en-US" w:eastAsia="zh-CN" w:bidi="ar"/>
        </w:rPr>
        <w:t>标准</w:t>
      </w:r>
      <w:r>
        <w:rPr>
          <w:rFonts w:hint="eastAsia" w:ascii="仿宋_GB2312" w:hAnsi="仿宋_GB2312" w:eastAsia="仿宋_GB2312" w:cs="仿宋_GB2312"/>
          <w:color w:val="auto"/>
          <w:kern w:val="0"/>
          <w:sz w:val="32"/>
          <w:szCs w:val="32"/>
          <w:lang w:bidi="ar"/>
        </w:rPr>
        <w:t>与《质量管理小组活动准则》T/CAQ 10201-202</w:t>
      </w:r>
      <w:r>
        <w:rPr>
          <w:rFonts w:hint="eastAsia" w:ascii="仿宋_GB2312" w:hAnsi="仿宋_GB2312" w:eastAsia="仿宋_GB2312" w:cs="仿宋_GB2312"/>
          <w:color w:val="auto"/>
          <w:kern w:val="0"/>
          <w:sz w:val="32"/>
          <w:szCs w:val="32"/>
          <w:lang w:val="en-US" w:eastAsia="zh-CN" w:bidi="ar"/>
        </w:rPr>
        <w:t>4</w:t>
      </w:r>
      <w:r>
        <w:rPr>
          <w:rFonts w:hint="eastAsia" w:ascii="仿宋_GB2312" w:hAnsi="仿宋_GB2312" w:eastAsia="仿宋_GB2312" w:cs="仿宋_GB2312"/>
          <w:color w:val="auto"/>
          <w:kern w:val="0"/>
          <w:sz w:val="32"/>
          <w:szCs w:val="32"/>
          <w:lang w:bidi="ar"/>
        </w:rPr>
        <w:t>、《电力质量管理小组活动评价准则》</w:t>
      </w:r>
      <w:r>
        <w:rPr>
          <w:rFonts w:hint="eastAsia" w:ascii="仿宋_GB2312" w:hAnsi="仿宋_GB2312" w:eastAsia="仿宋_GB2312" w:cs="仿宋_GB2312"/>
          <w:color w:val="auto"/>
          <w:kern w:val="0"/>
          <w:sz w:val="32"/>
          <w:szCs w:val="32"/>
          <w:lang w:val="en-US" w:eastAsia="zh-CN" w:bidi="ar"/>
        </w:rPr>
        <w:t>T</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val="en-US" w:eastAsia="zh-CN" w:bidi="ar"/>
        </w:rPr>
        <w:t>CEC</w:t>
      </w:r>
      <w:r>
        <w:rPr>
          <w:rFonts w:hint="eastAsia" w:ascii="仿宋_GB2312" w:hAnsi="仿宋_GB2312" w:eastAsia="仿宋_GB2312" w:cs="仿宋_GB2312"/>
          <w:color w:val="auto"/>
          <w:kern w:val="0"/>
          <w:sz w:val="32"/>
          <w:szCs w:val="32"/>
          <w:lang w:bidi="ar"/>
        </w:rPr>
        <w:t xml:space="preserve"> </w:t>
      </w:r>
      <w:r>
        <w:rPr>
          <w:rFonts w:hint="eastAsia" w:ascii="仿宋_GB2312" w:hAnsi="仿宋_GB2312" w:eastAsia="仿宋_GB2312" w:cs="仿宋_GB2312"/>
          <w:color w:val="auto"/>
          <w:kern w:val="0"/>
          <w:sz w:val="32"/>
          <w:szCs w:val="32"/>
          <w:lang w:val="en-US" w:eastAsia="zh-CN" w:bidi="ar"/>
        </w:rPr>
        <w:t>500</w:t>
      </w:r>
      <w:r>
        <w:rPr>
          <w:rFonts w:hint="eastAsia" w:ascii="仿宋_GB2312" w:hAnsi="仿宋_GB2312" w:eastAsia="仿宋_GB2312" w:cs="仿宋_GB2312"/>
          <w:color w:val="auto"/>
          <w:kern w:val="0"/>
          <w:sz w:val="32"/>
          <w:szCs w:val="32"/>
          <w:lang w:bidi="ar"/>
        </w:rPr>
        <w:t>-20</w:t>
      </w:r>
      <w:r>
        <w:rPr>
          <w:rFonts w:hint="eastAsia" w:ascii="仿宋_GB2312" w:hAnsi="仿宋_GB2312" w:eastAsia="仿宋_GB2312" w:cs="仿宋_GB2312"/>
          <w:color w:val="auto"/>
          <w:kern w:val="0"/>
          <w:sz w:val="32"/>
          <w:szCs w:val="32"/>
          <w:lang w:val="en-US" w:eastAsia="zh-CN" w:bidi="ar"/>
        </w:rPr>
        <w:t>21</w:t>
      </w:r>
      <w:r>
        <w:rPr>
          <w:rFonts w:hint="eastAsia" w:ascii="仿宋_GB2312" w:hAnsi="仿宋_GB2312" w:eastAsia="仿宋_GB2312" w:cs="仿宋_GB2312"/>
          <w:color w:val="auto"/>
          <w:kern w:val="0"/>
          <w:sz w:val="32"/>
          <w:szCs w:val="32"/>
          <w:lang w:bidi="ar"/>
        </w:rPr>
        <w:t>等标准相互协调，无冲突。</w:t>
      </w:r>
    </w:p>
    <w:p w14:paraId="6A0F6836">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6.重大分歧意见的处理经过和依据</w:t>
      </w:r>
    </w:p>
    <w:p w14:paraId="49F757CE">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p>
    <w:p w14:paraId="3F2D5572">
      <w:pPr>
        <w:keepNext w:val="0"/>
        <w:keepLines w:val="0"/>
        <w:pageBreakBefore w:val="0"/>
        <w:numPr>
          <w:ilvl w:val="0"/>
          <w:numId w:val="0"/>
        </w:numPr>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7.</w:t>
      </w:r>
      <w:r>
        <w:rPr>
          <w:rFonts w:hint="eastAsia" w:ascii="仿宋_GB2312" w:hAnsi="仿宋_GB2312" w:eastAsia="仿宋_GB2312" w:cs="仿宋_GB2312"/>
          <w:b/>
          <w:bCs/>
          <w:color w:val="auto"/>
          <w:sz w:val="32"/>
          <w:szCs w:val="32"/>
        </w:rPr>
        <w:t>贯彻团体标准的要求和措施建议(包括组织措施、技术措施、过渡办法等内容)</w:t>
      </w:r>
    </w:p>
    <w:p w14:paraId="5A29BD4D">
      <w:pPr>
        <w:keepNext w:val="0"/>
        <w:keepLines w:val="0"/>
        <w:pageBreakBefore w:val="0"/>
        <w:kinsoku/>
        <w:wordWrap/>
        <w:overflowPunct/>
        <w:topLinePunct w:val="0"/>
        <w:autoSpaceDE/>
        <w:autoSpaceDN/>
        <w:bidi w:val="0"/>
        <w:spacing w:line="6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《电力建设质量管理小组活动导则》正式颁布后，建议中国电力建设企业协会组织电力建设行业各单位进行宣贯培训，确保相关</w:t>
      </w:r>
      <w:r>
        <w:rPr>
          <w:rFonts w:hint="eastAsia" w:ascii="仿宋_GB2312" w:hAnsi="仿宋_GB2312" w:eastAsia="仿宋_GB2312" w:cs="仿宋_GB2312"/>
          <w:color w:val="auto"/>
          <w:sz w:val="32"/>
          <w:szCs w:val="32"/>
          <w:lang w:val="en-US" w:eastAsia="zh-CN"/>
        </w:rPr>
        <w:t>电力建设组织</w:t>
      </w:r>
      <w:r>
        <w:rPr>
          <w:rFonts w:hint="eastAsia" w:ascii="仿宋_GB2312" w:hAnsi="仿宋_GB2312" w:eastAsia="仿宋_GB2312" w:cs="仿宋_GB2312"/>
          <w:color w:val="auto"/>
          <w:sz w:val="32"/>
          <w:szCs w:val="32"/>
        </w:rPr>
        <w:t>能够正确领会《电力建设质量管理小组活动导则》的相关内容，并且将在后续各类</w:t>
      </w:r>
      <w:r>
        <w:rPr>
          <w:rFonts w:hint="eastAsia" w:ascii="仿宋_GB2312" w:hAnsi="仿宋_GB2312" w:eastAsia="仿宋_GB2312" w:cs="仿宋_GB2312"/>
          <w:color w:val="auto"/>
          <w:sz w:val="32"/>
          <w:szCs w:val="32"/>
          <w:lang w:val="en-US" w:eastAsia="zh-CN"/>
        </w:rPr>
        <w:t>成果总结</w:t>
      </w:r>
      <w:r>
        <w:rPr>
          <w:rFonts w:hint="eastAsia" w:ascii="仿宋_GB2312" w:hAnsi="仿宋_GB2312" w:eastAsia="仿宋_GB2312" w:cs="仿宋_GB2312"/>
          <w:color w:val="auto"/>
          <w:sz w:val="32"/>
          <w:szCs w:val="32"/>
        </w:rPr>
        <w:t>与行业优秀成果评选申报中结合《电力建设质量管理小组活动导则》的要求进行检查、评审，确保《电力建设质量管理小组活动导则》的推广执行。本</w:t>
      </w:r>
      <w:r>
        <w:rPr>
          <w:rFonts w:hint="eastAsia" w:ascii="仿宋_GB2312" w:hAnsi="仿宋_GB2312" w:eastAsia="仿宋_GB2312" w:cs="仿宋_GB2312"/>
          <w:color w:val="auto"/>
          <w:sz w:val="32"/>
          <w:szCs w:val="32"/>
          <w:lang w:val="en-US" w:eastAsia="zh-CN"/>
        </w:rPr>
        <w:t>标准适用于电力建设质量管理小组改进与创新的活动，范围包括</w:t>
      </w:r>
      <w:r>
        <w:rPr>
          <w:rFonts w:hint="eastAsia" w:ascii="仿宋_GB2312" w:hAnsi="仿宋_GB2312" w:eastAsia="仿宋_GB2312" w:cs="仿宋_GB2312"/>
          <w:color w:val="auto"/>
          <w:sz w:val="32"/>
          <w:szCs w:val="32"/>
        </w:rPr>
        <w:t>电力建设活动相关的协会、企业、部门、项目部、班组等组织。</w:t>
      </w:r>
    </w:p>
    <w:p w14:paraId="290481E8">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8.</w:t>
      </w:r>
      <w:r>
        <w:rPr>
          <w:rFonts w:hint="eastAsia" w:ascii="仿宋_GB2312" w:hAnsi="仿宋_GB2312" w:eastAsia="仿宋_GB2312" w:cs="仿宋_GB2312"/>
          <w:b/>
          <w:bCs/>
          <w:color w:val="auto"/>
          <w:sz w:val="32"/>
          <w:szCs w:val="32"/>
        </w:rPr>
        <w:t>代替或废止现行有关标准的建议。</w:t>
      </w:r>
    </w:p>
    <w:p w14:paraId="7A147201">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无。</w:t>
      </w:r>
    </w:p>
    <w:p w14:paraId="18876DCE">
      <w:pPr>
        <w:keepNext w:val="0"/>
        <w:keepLines w:val="0"/>
        <w:pageBreakBefore w:val="0"/>
        <w:kinsoku/>
        <w:wordWrap/>
        <w:overflowPunct/>
        <w:topLinePunct w:val="0"/>
        <w:autoSpaceDE/>
        <w:autoSpaceDN/>
        <w:bidi w:val="0"/>
        <w:spacing w:line="62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9.</w:t>
      </w:r>
      <w:r>
        <w:rPr>
          <w:rFonts w:hint="eastAsia" w:ascii="仿宋_GB2312" w:hAnsi="仿宋_GB2312" w:eastAsia="仿宋_GB2312" w:cs="仿宋_GB2312"/>
          <w:b/>
          <w:bCs/>
          <w:color w:val="auto"/>
          <w:sz w:val="32"/>
          <w:szCs w:val="32"/>
        </w:rPr>
        <w:t>其他应予说明的事项。</w:t>
      </w:r>
    </w:p>
    <w:p w14:paraId="24CDB4C0">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无。</w:t>
      </w:r>
    </w:p>
    <w:p w14:paraId="6D57E8A4">
      <w:pPr>
        <w:keepNext w:val="0"/>
        <w:keepLines w:val="0"/>
        <w:pageBreakBefore w:val="0"/>
        <w:kinsoku/>
        <w:wordWrap/>
        <w:overflowPunct/>
        <w:topLinePunct w:val="0"/>
        <w:autoSpaceDE/>
        <w:autoSpaceDN/>
        <w:bidi w:val="0"/>
        <w:spacing w:line="620" w:lineRule="exact"/>
        <w:ind w:firstLine="643" w:firstLineChars="20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10.</w:t>
      </w:r>
      <w:r>
        <w:rPr>
          <w:rFonts w:hint="eastAsia" w:ascii="仿宋_GB2312" w:hAnsi="仿宋_GB2312" w:eastAsia="仿宋_GB2312" w:cs="仿宋_GB2312"/>
          <w:b/>
          <w:bCs/>
          <w:color w:val="auto"/>
          <w:sz w:val="32"/>
          <w:szCs w:val="32"/>
        </w:rPr>
        <w:t>报批阶段应补充专家审查会情况。</w:t>
      </w:r>
    </w:p>
    <w:p w14:paraId="37DA3E0D">
      <w:pPr>
        <w:pStyle w:val="2"/>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SA"/>
        </w:rPr>
        <w:t>暂未召开专家审查会。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F157B7-5469-4148-9005-1AADB06AD4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8FF0469-F19A-4E95-821A-2CC5EE343885}"/>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3" w:fontKey="{524C3424-7D49-411D-8821-3D3A98955E64}"/>
  </w:font>
  <w:font w:name="仿宋_GB2312">
    <w:panose1 w:val="02010609030101010101"/>
    <w:charset w:val="86"/>
    <w:family w:val="modern"/>
    <w:pitch w:val="default"/>
    <w:sig w:usb0="00000001" w:usb1="080E0000" w:usb2="00000000" w:usb3="00000000" w:csb0="00040000" w:csb1="00000000"/>
    <w:embedRegular r:id="rId4" w:fontKey="{B87B457B-5045-4834-B0C4-45578EC6F4FC}"/>
  </w:font>
  <w:font w:name="楷体_GB2312">
    <w:altName w:val="楷体"/>
    <w:panose1 w:val="02010609030101010101"/>
    <w:charset w:val="86"/>
    <w:family w:val="modern"/>
    <w:pitch w:val="default"/>
    <w:sig w:usb0="00000000" w:usb1="00000000" w:usb2="00000010" w:usb3="00000000" w:csb0="00040000" w:csb1="00000000"/>
  </w:font>
  <w:font w:name="方正楷体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92FB5"/>
    <w:rsid w:val="00F918CA"/>
    <w:rsid w:val="03D42142"/>
    <w:rsid w:val="04142E23"/>
    <w:rsid w:val="0C5145C5"/>
    <w:rsid w:val="0C572E29"/>
    <w:rsid w:val="0DF97DF8"/>
    <w:rsid w:val="0F5A3229"/>
    <w:rsid w:val="11002D04"/>
    <w:rsid w:val="11BE74F2"/>
    <w:rsid w:val="13727961"/>
    <w:rsid w:val="15075231"/>
    <w:rsid w:val="15993A76"/>
    <w:rsid w:val="15A52BD0"/>
    <w:rsid w:val="17A77A18"/>
    <w:rsid w:val="1FCC231E"/>
    <w:rsid w:val="223432DC"/>
    <w:rsid w:val="22D4654E"/>
    <w:rsid w:val="2424465B"/>
    <w:rsid w:val="25B23601"/>
    <w:rsid w:val="27AB3D22"/>
    <w:rsid w:val="27EF3FA4"/>
    <w:rsid w:val="2A4D0323"/>
    <w:rsid w:val="2AAA2395"/>
    <w:rsid w:val="2AB92391"/>
    <w:rsid w:val="2C0927B9"/>
    <w:rsid w:val="2EE6563F"/>
    <w:rsid w:val="2F6F34DE"/>
    <w:rsid w:val="2F8B2ABB"/>
    <w:rsid w:val="3082749C"/>
    <w:rsid w:val="337B03DA"/>
    <w:rsid w:val="34A95CF4"/>
    <w:rsid w:val="3B0F474C"/>
    <w:rsid w:val="3C60501B"/>
    <w:rsid w:val="3DBF3A9D"/>
    <w:rsid w:val="3E965F19"/>
    <w:rsid w:val="3FB03189"/>
    <w:rsid w:val="402740CC"/>
    <w:rsid w:val="442452BD"/>
    <w:rsid w:val="443E0C46"/>
    <w:rsid w:val="47847862"/>
    <w:rsid w:val="47CD0F5B"/>
    <w:rsid w:val="48FD7D18"/>
    <w:rsid w:val="49486249"/>
    <w:rsid w:val="4AD92577"/>
    <w:rsid w:val="4CDC4EB9"/>
    <w:rsid w:val="4DC97FAC"/>
    <w:rsid w:val="4ED25642"/>
    <w:rsid w:val="5080141E"/>
    <w:rsid w:val="535B2E50"/>
    <w:rsid w:val="544B7BAF"/>
    <w:rsid w:val="54BD6F90"/>
    <w:rsid w:val="56723AD9"/>
    <w:rsid w:val="56D848CE"/>
    <w:rsid w:val="58341BEB"/>
    <w:rsid w:val="59F37D45"/>
    <w:rsid w:val="5A5A29C9"/>
    <w:rsid w:val="5EF046D1"/>
    <w:rsid w:val="5FA10C71"/>
    <w:rsid w:val="60592FB5"/>
    <w:rsid w:val="658A15D3"/>
    <w:rsid w:val="66F70DFE"/>
    <w:rsid w:val="690F71C7"/>
    <w:rsid w:val="6A113E14"/>
    <w:rsid w:val="6A673D95"/>
    <w:rsid w:val="6AFE4BC5"/>
    <w:rsid w:val="6F91156D"/>
    <w:rsid w:val="71A06CD5"/>
    <w:rsid w:val="731B1A42"/>
    <w:rsid w:val="74884E3D"/>
    <w:rsid w:val="74E34252"/>
    <w:rsid w:val="75974FFA"/>
    <w:rsid w:val="783955CE"/>
    <w:rsid w:val="78A3770E"/>
    <w:rsid w:val="7973541D"/>
    <w:rsid w:val="7BE75CD4"/>
    <w:rsid w:val="7CD673E6"/>
    <w:rsid w:val="7E2C3296"/>
    <w:rsid w:val="7ED45422"/>
    <w:rsid w:val="7F17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keepNext/>
      <w:keepLines/>
      <w:spacing w:before="120" w:after="120" w:line="240" w:lineRule="auto"/>
      <w:outlineLvl w:val="1"/>
    </w:pPr>
    <w:rPr>
      <w:rFonts w:ascii="Arial" w:hAnsi="Arial" w:eastAsia="仿宋"/>
      <w:b/>
      <w:sz w:val="28"/>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cs="宋体" w:asciiTheme="minorAscii" w:hAnsiTheme="minorAscii" w:eastAsiaTheme="minorEastAsia"/>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tabs>
        <w:tab w:val="left" w:pos="-945"/>
      </w:tabs>
    </w:pPr>
    <w:rPr>
      <w:rFonts w:ascii="宋体" w:hAnsi="Courier New"/>
    </w:rPr>
  </w:style>
  <w:style w:type="paragraph" w:styleId="6">
    <w:name w:val="Body Text"/>
    <w:basedOn w:val="1"/>
    <w:qFormat/>
    <w:uiPriority w:val="1"/>
    <w:pPr>
      <w:spacing w:before="43"/>
      <w:ind w:left="120"/>
    </w:pPr>
    <w:rPr>
      <w:rFonts w:ascii="宋体" w:hAnsi="宋体" w:eastAsia="宋体"/>
      <w:sz w:val="32"/>
      <w:szCs w:val="32"/>
    </w:rPr>
  </w:style>
  <w:style w:type="paragraph" w:styleId="7">
    <w:name w:val="toc 3"/>
    <w:basedOn w:val="1"/>
    <w:next w:val="1"/>
    <w:qFormat/>
    <w:uiPriority w:val="0"/>
    <w:pPr>
      <w:ind w:left="840" w:leftChars="40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12">
    <w:name w:val="Strong"/>
    <w:basedOn w:val="11"/>
    <w:qFormat/>
    <w:uiPriority w:val="0"/>
    <w:rPr>
      <w:b/>
    </w:rPr>
  </w:style>
  <w:style w:type="character" w:styleId="13">
    <w:name w:val="page number"/>
    <w:basedOn w:val="11"/>
    <w:qFormat/>
    <w:uiPriority w:val="0"/>
  </w:style>
  <w:style w:type="paragraph" w:customStyle="1" w:styleId="14">
    <w:name w:val="标题1"/>
    <w:basedOn w:val="3"/>
    <w:qFormat/>
    <w:uiPriority w:val="0"/>
    <w:rPr>
      <w:rFonts w:hint="eastAsia" w:ascii="黑体" w:hAnsi="黑体" w:eastAsia="黑体" w:cs="黑体"/>
      <w:color w:val="auto"/>
      <w:kern w:val="2"/>
      <w:sz w:val="32"/>
      <w:szCs w:val="32"/>
    </w:rPr>
  </w:style>
  <w:style w:type="paragraph" w:customStyle="1" w:styleId="15">
    <w:name w:val="2标题"/>
    <w:basedOn w:val="9"/>
    <w:qFormat/>
    <w:uiPriority w:val="0"/>
    <w:pPr>
      <w:keepNext/>
      <w:keepLines/>
      <w:spacing w:after="240" w:line="500" w:lineRule="exact"/>
      <w:outlineLvl w:val="1"/>
    </w:pPr>
    <w:rPr>
      <w:rFonts w:hint="eastAsia" w:ascii="仿宋" w:hAnsi="仿宋" w:eastAsia="仿宋" w:cs="Arial"/>
      <w:bCs/>
      <w:color w:val="FF0000"/>
      <w:kern w:val="0"/>
      <w:sz w:val="32"/>
      <w:szCs w:val="32"/>
    </w:rPr>
  </w:style>
  <w:style w:type="paragraph" w:customStyle="1" w:styleId="16">
    <w:name w:val="3标题"/>
    <w:basedOn w:val="9"/>
    <w:qFormat/>
    <w:uiPriority w:val="0"/>
    <w:pPr>
      <w:adjustRightInd w:val="0"/>
      <w:snapToGrid w:val="0"/>
      <w:spacing w:line="360" w:lineRule="auto"/>
      <w:ind w:leftChars="0" w:firstLine="560" w:firstLineChars="200"/>
      <w:jc w:val="left"/>
      <w:outlineLvl w:val="2"/>
    </w:pPr>
    <w:rPr>
      <w:rFonts w:hint="eastAsia" w:ascii="仿宋" w:hAnsi="仿宋" w:eastAsia="仿宋" w:cs="楷体"/>
      <w:bCs/>
      <w:kern w:val="0"/>
      <w:szCs w:val="32"/>
    </w:rPr>
  </w:style>
  <w:style w:type="paragraph" w:customStyle="1" w:styleId="17">
    <w:name w:val="正文表格表头"/>
    <w:basedOn w:val="1"/>
    <w:qFormat/>
    <w:uiPriority w:val="0"/>
    <w:pPr>
      <w:snapToGrid w:val="0"/>
      <w:spacing w:line="240" w:lineRule="auto"/>
      <w:ind w:firstLine="0" w:firstLineChars="0"/>
      <w:jc w:val="center"/>
    </w:pPr>
    <w:rPr>
      <w:rFonts w:hint="eastAsia" w:ascii="仿宋" w:hAnsi="仿宋" w:eastAsia="仿宋" w:cs="仿宋"/>
      <w:b/>
      <w:bCs/>
      <w:color w:val="000000" w:themeColor="text1"/>
      <w:kern w:val="0"/>
      <w:sz w:val="21"/>
      <w:szCs w:val="21"/>
      <w14:textFill>
        <w14:solidFill>
          <w14:schemeClr w14:val="tx1"/>
        </w14:solidFill>
      </w14:textFill>
    </w:rPr>
  </w:style>
  <w:style w:type="paragraph" w:customStyle="1" w:styleId="18">
    <w:name w:val="正文表格"/>
    <w:basedOn w:val="1"/>
    <w:qFormat/>
    <w:uiPriority w:val="0"/>
    <w:pPr>
      <w:snapToGrid w:val="0"/>
      <w:spacing w:line="240" w:lineRule="auto"/>
      <w:ind w:firstLine="0" w:firstLineChars="0"/>
      <w:jc w:val="left"/>
    </w:pPr>
    <w:rPr>
      <w:rFonts w:hint="eastAsia" w:ascii="仿宋" w:hAnsi="仿宋" w:eastAsia="仿宋" w:cs="仿宋"/>
      <w:sz w:val="21"/>
      <w:szCs w:val="21"/>
    </w:rPr>
  </w:style>
  <w:style w:type="paragraph" w:customStyle="1" w:styleId="19">
    <w:name w:val="样式1"/>
    <w:basedOn w:val="1"/>
    <w:next w:val="1"/>
    <w:qFormat/>
    <w:uiPriority w:val="0"/>
    <w:pPr>
      <w:keepNext/>
      <w:keepLines/>
      <w:ind w:firstLine="482"/>
      <w:outlineLvl w:val="2"/>
    </w:pPr>
    <w:rPr>
      <w:rFonts w:hint="default" w:eastAsia="仿宋" w:asciiTheme="minorAscii" w:hAnsiTheme="minorAscii"/>
      <w:b/>
      <w:sz w:val="28"/>
    </w:rPr>
  </w:style>
  <w:style w:type="paragraph" w:customStyle="1" w:styleId="20">
    <w:name w:val="三（三）标题"/>
    <w:basedOn w:val="1"/>
    <w:next w:val="1"/>
    <w:qFormat/>
    <w:uiPriority w:val="0"/>
    <w:pPr>
      <w:keepNext/>
      <w:keepLines/>
      <w:ind w:firstLine="482"/>
      <w:outlineLvl w:val="2"/>
    </w:pPr>
    <w:rPr>
      <w:rFonts w:eastAsia="仿宋" w:asciiTheme="minorAscii" w:hAnsiTheme="minorAscii"/>
      <w:b/>
      <w:sz w:val="28"/>
    </w:rPr>
  </w:style>
  <w:style w:type="paragraph" w:customStyle="1" w:styleId="21">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2">
    <w:name w:val="表格1"/>
    <w:basedOn w:val="1"/>
    <w:qFormat/>
    <w:uiPriority w:val="0"/>
    <w:pPr>
      <w:keepNext/>
      <w:keepLines/>
      <w:outlineLvl w:val="2"/>
    </w:pPr>
    <w:rPr>
      <w:rFonts w:hint="eastAsia" w:ascii="黑体" w:hAnsi="黑体" w:eastAsia="黑体" w:cs="黑体"/>
      <w:b/>
      <w:bCs/>
      <w:sz w:val="32"/>
      <w:szCs w:val="32"/>
    </w:rPr>
  </w:style>
  <w:style w:type="paragraph" w:customStyle="1" w:styleId="23">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4">
    <w:name w:val="表正文"/>
    <w:basedOn w:val="1"/>
    <w:qFormat/>
    <w:uiPriority w:val="0"/>
    <w:pPr>
      <w:snapToGrid w:val="0"/>
      <w:spacing w:line="240" w:lineRule="auto"/>
      <w:ind w:firstLine="0" w:firstLineChars="0"/>
      <w:jc w:val="left"/>
    </w:pPr>
    <w:rPr>
      <w:rFonts w:hint="eastAsia" w:ascii="仿宋" w:hAnsi="仿宋" w:eastAsia="宋体" w:cs="仿宋"/>
      <w:sz w:val="24"/>
      <w:szCs w:val="21"/>
    </w:rPr>
  </w:style>
  <w:style w:type="paragraph" w:customStyle="1" w:styleId="25">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3660</Words>
  <Characters>3809</Characters>
  <Lines>0</Lines>
  <Paragraphs>0</Paragraphs>
  <TotalTime>4</TotalTime>
  <ScaleCrop>false</ScaleCrop>
  <LinksUpToDate>false</LinksUpToDate>
  <CharactersWithSpaces>3837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2024-01-08T07:01:00Z</dcterms:created>
  <dc:creator>cwx</dc:creator>
  <cp:lastModifiedBy>16555</cp:lastModifiedBy>
  <dcterms:modified xsi:type="dcterms:W3CDTF">2025-01-14T06:53:18Z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37309169B3F840568DC89CCFEFF73854_13</vt:lpwstr>
  </property>
  <property fmtid="{D5CDD505-2E9C-101B-9397-08002B2CF9AE}" pid="4" name="KSOTemplateDocerSaveRecord">
    <vt:lpwstr>eyJoZGlkIjoiMDljYzUzMWQ4OWI0YzBkYjYzMDRhZTY5ZjZkYmFmYTgiLCJ1c2VySWQiOiI1MDYyMCJ9</vt:lpwstr>
  </property>
</Properties>
</file>