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6AF3F">
      <w:pPr>
        <w:pageBreakBefore w:val="0"/>
        <w:widowControl w:val="0"/>
        <w:kinsoku/>
        <w:wordWrap/>
        <w:overflowPunct/>
        <w:topLinePunct w:val="0"/>
        <w:autoSpaceDE/>
        <w:autoSpaceDN/>
        <w:bidi w:val="0"/>
        <w:snapToGrid w:val="0"/>
        <w:spacing w:line="560" w:lineRule="exact"/>
        <w:jc w:val="center"/>
        <w:textAlignment w:val="auto"/>
        <w:rPr>
          <w:rFonts w:hint="eastAsia" w:ascii="宋体" w:hAnsi="宋体"/>
          <w:b/>
          <w:bCs/>
          <w:snapToGrid w:val="0"/>
          <w:kern w:val="0"/>
          <w:sz w:val="32"/>
          <w:szCs w:val="32"/>
        </w:rPr>
      </w:pPr>
      <w:bookmarkStart w:id="0" w:name="_Toc503514276"/>
      <w:bookmarkStart w:id="1" w:name="_Toc501369083"/>
      <w:bookmarkStart w:id="2" w:name="_Toc501369089"/>
      <w:r>
        <w:rPr>
          <w:rFonts w:hint="eastAsia" w:ascii="宋体" w:hAnsi="宋体"/>
          <w:b/>
          <w:bCs/>
          <w:snapToGrid w:val="0"/>
          <w:kern w:val="0"/>
          <w:sz w:val="32"/>
          <w:szCs w:val="32"/>
        </w:rPr>
        <w:t>电力建设新能源产品推广目录</w:t>
      </w:r>
    </w:p>
    <w:p w14:paraId="333ABF2D">
      <w:pPr>
        <w:pageBreakBefore w:val="0"/>
        <w:widowControl w:val="0"/>
        <w:kinsoku/>
        <w:wordWrap/>
        <w:overflowPunct/>
        <w:topLinePunct w:val="0"/>
        <w:autoSpaceDE/>
        <w:autoSpaceDN/>
        <w:bidi w:val="0"/>
        <w:snapToGrid w:val="0"/>
        <w:spacing w:line="560" w:lineRule="exact"/>
        <w:jc w:val="center"/>
        <w:textAlignment w:val="auto"/>
        <w:rPr>
          <w:rFonts w:ascii="宋体" w:hAnsi="宋体"/>
          <w:b/>
          <w:bCs/>
          <w:snapToGrid w:val="0"/>
          <w:kern w:val="0"/>
          <w:sz w:val="32"/>
          <w:szCs w:val="32"/>
        </w:rPr>
      </w:pPr>
      <w:r>
        <w:rPr>
          <w:rFonts w:hint="eastAsia" w:ascii="宋体" w:hAnsi="宋体"/>
          <w:b/>
          <w:bCs/>
          <w:snapToGrid w:val="0"/>
          <w:kern w:val="0"/>
          <w:sz w:val="32"/>
          <w:szCs w:val="32"/>
        </w:rPr>
        <w:t>供应商申报公告（</w:t>
      </w:r>
      <w:r>
        <w:rPr>
          <w:rFonts w:hint="eastAsia" w:ascii="宋体" w:hAnsi="宋体"/>
          <w:b/>
          <w:bCs/>
          <w:snapToGrid w:val="0"/>
          <w:kern w:val="0"/>
          <w:sz w:val="32"/>
          <w:szCs w:val="32"/>
          <w:lang w:val="en-US" w:eastAsia="zh-CN"/>
        </w:rPr>
        <w:t>光伏组串式逆变器</w:t>
      </w:r>
      <w:r>
        <w:rPr>
          <w:rFonts w:hint="eastAsia" w:ascii="宋体" w:hAnsi="宋体"/>
          <w:b/>
          <w:bCs/>
          <w:snapToGrid w:val="0"/>
          <w:kern w:val="0"/>
          <w:sz w:val="32"/>
          <w:szCs w:val="32"/>
        </w:rPr>
        <w:t>）</w:t>
      </w:r>
    </w:p>
    <w:bookmarkEnd w:id="0"/>
    <w:bookmarkEnd w:id="1"/>
    <w:bookmarkEnd w:id="2"/>
    <w:p w14:paraId="525BCBE2">
      <w:pPr>
        <w:keepNext/>
        <w:keepLines/>
        <w:pageBreakBefore w:val="0"/>
        <w:widowControl w:val="0"/>
        <w:kinsoku/>
        <w:wordWrap/>
        <w:overflowPunct/>
        <w:topLinePunct w:val="0"/>
        <w:autoSpaceDE/>
        <w:autoSpaceDN/>
        <w:bidi w:val="0"/>
        <w:spacing w:line="560" w:lineRule="exact"/>
        <w:textAlignment w:val="auto"/>
        <w:outlineLvl w:val="2"/>
        <w:rPr>
          <w:rFonts w:ascii="Times New Roman" w:hAnsi="Times New Roman"/>
          <w:b/>
          <w:snapToGrid w:val="0"/>
          <w:sz w:val="24"/>
          <w:szCs w:val="32"/>
        </w:rPr>
      </w:pPr>
      <w:bookmarkStart w:id="3" w:name="_Toc61335209"/>
      <w:bookmarkStart w:id="4" w:name="_Toc503514281"/>
      <w:r>
        <w:rPr>
          <w:rFonts w:hint="eastAsia" w:ascii="宋体" w:hAnsi="宋体"/>
          <w:b/>
          <w:snapToGrid w:val="0"/>
          <w:sz w:val="24"/>
          <w:szCs w:val="32"/>
        </w:rPr>
        <w:t>1．</w:t>
      </w:r>
      <w:r>
        <w:rPr>
          <w:rFonts w:hint="eastAsia" w:ascii="Times New Roman" w:hAnsi="Times New Roman"/>
          <w:b/>
          <w:snapToGrid w:val="0"/>
          <w:sz w:val="24"/>
          <w:szCs w:val="32"/>
        </w:rPr>
        <w:t>基本原则及说明</w:t>
      </w:r>
    </w:p>
    <w:p w14:paraId="32F37392">
      <w:pPr>
        <w:pageBreakBefore w:val="0"/>
        <w:widowControl w:val="0"/>
        <w:kinsoku/>
        <w:wordWrap/>
        <w:overflowPunct/>
        <w:topLinePunct w:val="0"/>
        <w:autoSpaceDE/>
        <w:autoSpaceDN/>
        <w:bidi w:val="0"/>
        <w:spacing w:line="560" w:lineRule="exact"/>
        <w:ind w:firstLine="480" w:firstLineChars="200"/>
        <w:textAlignment w:val="auto"/>
        <w:outlineLvl w:val="1"/>
        <w:rPr>
          <w:rFonts w:ascii="宋体" w:hAnsi="宋体"/>
          <w:snapToGrid w:val="0"/>
          <w:sz w:val="24"/>
          <w:szCs w:val="24"/>
        </w:rPr>
      </w:pPr>
      <w:r>
        <w:rPr>
          <w:rFonts w:ascii="宋体" w:hAnsi="宋体"/>
          <w:snapToGrid w:val="0"/>
          <w:sz w:val="24"/>
          <w:szCs w:val="24"/>
        </w:rPr>
        <w:t xml:space="preserve">1.1 </w:t>
      </w:r>
      <w:r>
        <w:rPr>
          <w:rFonts w:hint="eastAsia" w:ascii="宋体" w:hAnsi="宋体"/>
          <w:snapToGrid w:val="0"/>
          <w:sz w:val="24"/>
          <w:szCs w:val="24"/>
        </w:rPr>
        <w:t>基本原则</w:t>
      </w:r>
    </w:p>
    <w:p w14:paraId="127D7B6B">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rPr>
      </w:pPr>
      <w:r>
        <w:rPr>
          <w:rFonts w:hint="eastAsia" w:ascii="宋体" w:hAnsi="宋体"/>
          <w:snapToGrid w:val="0"/>
          <w:sz w:val="24"/>
          <w:szCs w:val="24"/>
        </w:rPr>
        <w:t>为进一步提升电力建设新能源行业科技创新水平，切实推动电力建设新能源产品技术进步和市场应用，加快技术和产品升级换代，</w:t>
      </w:r>
      <w:r>
        <w:rPr>
          <w:rFonts w:hint="eastAsia" w:ascii="宋体" w:hAnsi="宋体"/>
          <w:snapToGrid w:val="0"/>
          <w:sz w:val="24"/>
          <w:szCs w:val="24"/>
          <w:lang w:val="en-US" w:eastAsia="zh-CN"/>
        </w:rPr>
        <w:t>拟</w:t>
      </w:r>
      <w:r>
        <w:rPr>
          <w:rFonts w:hint="eastAsia" w:ascii="宋体" w:hAnsi="宋体"/>
          <w:snapToGrid w:val="0"/>
          <w:sz w:val="24"/>
          <w:szCs w:val="24"/>
        </w:rPr>
        <w:t>采取</w:t>
      </w:r>
      <w:r>
        <w:rPr>
          <w:rFonts w:hint="eastAsia" w:ascii="宋体" w:hAnsi="宋体"/>
          <w:snapToGrid w:val="0"/>
          <w:sz w:val="24"/>
          <w:szCs w:val="24"/>
          <w:lang w:val="en-US" w:eastAsia="zh-CN"/>
        </w:rPr>
        <w:t>申报</w:t>
      </w:r>
      <w:r>
        <w:rPr>
          <w:rFonts w:hint="eastAsia" w:ascii="宋体" w:hAnsi="宋体"/>
          <w:snapToGrid w:val="0"/>
          <w:sz w:val="24"/>
          <w:szCs w:val="24"/>
        </w:rPr>
        <w:t>方式对</w:t>
      </w:r>
      <w:r>
        <w:rPr>
          <w:rFonts w:hint="eastAsia" w:ascii="宋体" w:hAnsi="宋体"/>
          <w:b/>
          <w:bCs/>
          <w:snapToGrid w:val="0"/>
          <w:sz w:val="24"/>
          <w:szCs w:val="24"/>
        </w:rPr>
        <w:t>光伏</w:t>
      </w:r>
      <w:r>
        <w:rPr>
          <w:rFonts w:hint="eastAsia" w:ascii="宋体" w:hAnsi="宋体"/>
          <w:b/>
          <w:bCs/>
          <w:snapToGrid w:val="0"/>
          <w:sz w:val="24"/>
          <w:szCs w:val="24"/>
          <w:lang w:eastAsia="zh-CN"/>
        </w:rPr>
        <w:t>组串式逆变器</w:t>
      </w:r>
      <w:r>
        <w:rPr>
          <w:rFonts w:hint="eastAsia" w:ascii="宋体" w:hAnsi="宋体"/>
          <w:snapToGrid w:val="0"/>
          <w:sz w:val="24"/>
          <w:szCs w:val="24"/>
        </w:rPr>
        <w:t>供应商开展电力建设新能源产品推广征集工作。</w:t>
      </w:r>
    </w:p>
    <w:p w14:paraId="68CD7BBB">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rPr>
      </w:pPr>
      <w:r>
        <w:rPr>
          <w:rFonts w:hint="eastAsia" w:ascii="宋体" w:hAnsi="宋体"/>
          <w:snapToGrid w:val="0"/>
          <w:sz w:val="24"/>
          <w:szCs w:val="24"/>
        </w:rPr>
        <w:t>《电力建设新能源产品推广目录》（以下简称《推广目录》）旨在为电力建设行业全面推广光伏</w:t>
      </w:r>
      <w:r>
        <w:rPr>
          <w:rFonts w:hint="eastAsia" w:ascii="宋体" w:hAnsi="宋体"/>
          <w:snapToGrid w:val="0"/>
          <w:sz w:val="24"/>
          <w:szCs w:val="24"/>
          <w:lang w:val="en-US" w:eastAsia="zh-CN"/>
        </w:rPr>
        <w:t>组串式逆变器</w:t>
      </w:r>
      <w:r>
        <w:rPr>
          <w:rFonts w:hint="eastAsia" w:ascii="宋体" w:hAnsi="宋体"/>
          <w:snapToGrid w:val="0"/>
          <w:sz w:val="24"/>
          <w:szCs w:val="24"/>
        </w:rPr>
        <w:t>的创新产品与技术，为行业提供参考和采用，每年发布一次。确保行业及时了解最新的新能源产品动态。</w:t>
      </w:r>
    </w:p>
    <w:p w14:paraId="2E6B2F64">
      <w:pPr>
        <w:pageBreakBefore w:val="0"/>
        <w:widowControl w:val="0"/>
        <w:kinsoku/>
        <w:wordWrap/>
        <w:overflowPunct/>
        <w:topLinePunct w:val="0"/>
        <w:autoSpaceDE/>
        <w:autoSpaceDN/>
        <w:bidi w:val="0"/>
        <w:spacing w:line="560" w:lineRule="exact"/>
        <w:ind w:firstLine="480" w:firstLineChars="200"/>
        <w:textAlignment w:val="auto"/>
        <w:outlineLvl w:val="1"/>
        <w:rPr>
          <w:rFonts w:ascii="宋体" w:hAnsi="宋体"/>
          <w:snapToGrid w:val="0"/>
          <w:sz w:val="24"/>
          <w:szCs w:val="24"/>
        </w:rPr>
      </w:pPr>
      <w:r>
        <w:rPr>
          <w:rFonts w:hint="eastAsia" w:ascii="宋体" w:hAnsi="宋体"/>
          <w:snapToGrid w:val="0"/>
          <w:sz w:val="24"/>
          <w:szCs w:val="24"/>
        </w:rPr>
        <w:t>1.2</w:t>
      </w:r>
      <w:r>
        <w:rPr>
          <w:rFonts w:ascii="宋体" w:hAnsi="宋体"/>
          <w:snapToGrid w:val="0"/>
          <w:sz w:val="24"/>
          <w:szCs w:val="24"/>
        </w:rPr>
        <w:t xml:space="preserve"> </w:t>
      </w:r>
      <w:r>
        <w:rPr>
          <w:rFonts w:hint="eastAsia" w:ascii="宋体" w:hAnsi="宋体"/>
          <w:snapToGrid w:val="0"/>
          <w:sz w:val="24"/>
          <w:szCs w:val="24"/>
        </w:rPr>
        <w:t>参与供应商的范围</w:t>
      </w:r>
    </w:p>
    <w:p w14:paraId="5CA43BEA">
      <w:pPr>
        <w:pageBreakBefore w:val="0"/>
        <w:widowControl w:val="0"/>
        <w:kinsoku/>
        <w:wordWrap/>
        <w:overflowPunct/>
        <w:topLinePunct w:val="0"/>
        <w:autoSpaceDE/>
        <w:autoSpaceDN/>
        <w:bidi w:val="0"/>
        <w:spacing w:line="560" w:lineRule="exact"/>
        <w:ind w:firstLine="480" w:firstLineChars="200"/>
        <w:textAlignment w:val="auto"/>
        <w:rPr>
          <w:rFonts w:ascii="宋体" w:hAnsi="宋体"/>
          <w:snapToGrid w:val="0"/>
          <w:sz w:val="24"/>
          <w:szCs w:val="24"/>
        </w:rPr>
      </w:pPr>
      <w:r>
        <w:rPr>
          <w:rFonts w:hint="eastAsia" w:ascii="宋体" w:hAnsi="宋体"/>
          <w:snapToGrid w:val="0"/>
          <w:sz w:val="24"/>
          <w:szCs w:val="24"/>
          <w:lang w:val="en-US" w:eastAsia="zh-CN"/>
        </w:rPr>
        <w:t>申报</w:t>
      </w:r>
      <w:r>
        <w:rPr>
          <w:rFonts w:hint="eastAsia" w:ascii="宋体" w:hAnsi="宋体"/>
          <w:snapToGrid w:val="0"/>
          <w:sz w:val="24"/>
          <w:szCs w:val="24"/>
        </w:rPr>
        <w:t>供应商应</w:t>
      </w:r>
      <w:r>
        <w:rPr>
          <w:rFonts w:hint="eastAsia" w:ascii="宋体" w:hAnsi="宋体"/>
          <w:snapToGrid w:val="0"/>
          <w:sz w:val="24"/>
          <w:szCs w:val="24"/>
          <w:lang w:val="en-US" w:eastAsia="zh-CN"/>
        </w:rPr>
        <w:t>为</w:t>
      </w:r>
      <w:r>
        <w:rPr>
          <w:rFonts w:hint="eastAsia" w:ascii="宋体" w:hAnsi="宋体"/>
          <w:snapToGrid w:val="0"/>
          <w:sz w:val="24"/>
          <w:szCs w:val="24"/>
        </w:rPr>
        <w:t>中国</w:t>
      </w:r>
      <w:r>
        <w:rPr>
          <w:rFonts w:hint="eastAsia" w:ascii="宋体" w:hAnsi="宋体"/>
          <w:snapToGrid w:val="0"/>
          <w:sz w:val="24"/>
          <w:szCs w:val="24"/>
          <w:lang w:val="en-US" w:eastAsia="zh-CN"/>
        </w:rPr>
        <w:t>光伏组串式逆变器制造企业</w:t>
      </w:r>
      <w:r>
        <w:rPr>
          <w:rFonts w:hint="eastAsia" w:ascii="宋体" w:hAnsi="宋体"/>
          <w:snapToGrid w:val="0"/>
          <w:sz w:val="24"/>
          <w:szCs w:val="24"/>
        </w:rPr>
        <w:t>，</w:t>
      </w:r>
      <w:r>
        <w:rPr>
          <w:rFonts w:hint="eastAsia" w:ascii="宋体" w:hAnsi="宋体"/>
          <w:snapToGrid w:val="0"/>
          <w:sz w:val="24"/>
          <w:szCs w:val="24"/>
          <w:lang w:val="en-US" w:eastAsia="zh-CN"/>
        </w:rPr>
        <w:t>供应商</w:t>
      </w:r>
      <w:r>
        <w:rPr>
          <w:rFonts w:hint="eastAsia" w:ascii="宋体" w:hAnsi="宋体"/>
          <w:snapToGrid w:val="0"/>
          <w:sz w:val="24"/>
          <w:szCs w:val="24"/>
        </w:rPr>
        <w:t>可按资格预审申报公告要求报名申请。</w:t>
      </w:r>
    </w:p>
    <w:p w14:paraId="3DEFCBEA">
      <w:pPr>
        <w:pageBreakBefore w:val="0"/>
        <w:widowControl w:val="0"/>
        <w:kinsoku/>
        <w:wordWrap/>
        <w:overflowPunct/>
        <w:topLinePunct w:val="0"/>
        <w:autoSpaceDE/>
        <w:autoSpaceDN/>
        <w:bidi w:val="0"/>
        <w:spacing w:line="560" w:lineRule="exact"/>
        <w:ind w:firstLine="480" w:firstLineChars="200"/>
        <w:textAlignment w:val="auto"/>
        <w:outlineLvl w:val="1"/>
        <w:rPr>
          <w:rFonts w:hint="default" w:ascii="宋体" w:hAnsi="宋体" w:eastAsia="宋体"/>
          <w:snapToGrid w:val="0"/>
          <w:sz w:val="24"/>
          <w:szCs w:val="24"/>
          <w:lang w:val="en-US" w:eastAsia="zh-CN"/>
        </w:rPr>
      </w:pPr>
      <w:r>
        <w:rPr>
          <w:rFonts w:hint="eastAsia" w:ascii="宋体" w:hAnsi="宋体"/>
          <w:snapToGrid w:val="0"/>
          <w:sz w:val="24"/>
          <w:szCs w:val="24"/>
        </w:rPr>
        <w:t>1.</w:t>
      </w:r>
      <w:r>
        <w:rPr>
          <w:rFonts w:ascii="宋体" w:hAnsi="宋体"/>
          <w:snapToGrid w:val="0"/>
          <w:sz w:val="24"/>
          <w:szCs w:val="24"/>
        </w:rPr>
        <w:t xml:space="preserve">3 </w:t>
      </w:r>
      <w:r>
        <w:rPr>
          <w:rFonts w:hint="eastAsia" w:ascii="宋体" w:hAnsi="宋体"/>
          <w:snapToGrid w:val="0"/>
          <w:sz w:val="24"/>
          <w:szCs w:val="24"/>
          <w:lang w:val="en-US" w:eastAsia="zh-CN"/>
        </w:rPr>
        <w:t>申报合格条件</w:t>
      </w:r>
    </w:p>
    <w:p w14:paraId="26305F4C">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bCs/>
          <w:snapToGrid w:val="0"/>
          <w:kern w:val="0"/>
          <w:sz w:val="24"/>
          <w:szCs w:val="24"/>
        </w:rPr>
        <w:t>审查方式为</w:t>
      </w:r>
      <w:r>
        <w:rPr>
          <w:rFonts w:hint="eastAsia" w:ascii="宋体" w:hAnsi="宋体"/>
          <w:b/>
          <w:snapToGrid w:val="0"/>
          <w:kern w:val="0"/>
          <w:sz w:val="24"/>
          <w:szCs w:val="24"/>
          <w:u w:val="single"/>
        </w:rPr>
        <w:t>合格制</w:t>
      </w:r>
      <w:r>
        <w:rPr>
          <w:rFonts w:hint="eastAsia" w:ascii="宋体" w:hAnsi="宋体"/>
          <w:bCs/>
          <w:snapToGrid w:val="0"/>
          <w:kern w:val="0"/>
          <w:sz w:val="24"/>
          <w:szCs w:val="24"/>
        </w:rPr>
        <w:t>，即：中电建协对申报材料进行形式审查，确认材料是否满足申报基本条件。形式审查应包括材料的完整性、规范性、真实性等方面的审查，对于不符</w:t>
      </w:r>
      <w:r>
        <w:rPr>
          <w:rFonts w:hint="eastAsia" w:ascii="宋体" w:hAnsi="宋体"/>
          <w:bCs/>
          <w:snapToGrid w:val="0"/>
          <w:kern w:val="0"/>
          <w:sz w:val="24"/>
          <w:szCs w:val="24"/>
          <w:highlight w:val="none"/>
        </w:rPr>
        <w:t>合要求的材料，应及时通知申报单位进行补充或修改</w:t>
      </w:r>
      <w:r>
        <w:rPr>
          <w:rFonts w:hint="eastAsia" w:ascii="宋体" w:hAnsi="宋体"/>
          <w:snapToGrid w:val="0"/>
          <w:sz w:val="24"/>
          <w:szCs w:val="24"/>
          <w:highlight w:val="none"/>
        </w:rPr>
        <w:t>。</w:t>
      </w:r>
      <w:r>
        <w:rPr>
          <w:rFonts w:hint="eastAsia" w:ascii="宋体" w:hAnsi="宋体"/>
          <w:snapToGrid w:val="0"/>
          <w:sz w:val="24"/>
          <w:szCs w:val="24"/>
          <w:highlight w:val="none"/>
          <w:lang w:val="en-US" w:eastAsia="zh-CN"/>
        </w:rPr>
        <w:t>拟推广新产品、新技术目录经中电建协批准后进行公示，公示期为5个工作日。公示无异议的，由中电建协列入当批次《电力建设新能源产品推广目录》，并印发文件发布。</w:t>
      </w:r>
    </w:p>
    <w:p w14:paraId="5FE4C417">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bCs/>
          <w:snapToGrid w:val="0"/>
          <w:sz w:val="24"/>
          <w:szCs w:val="24"/>
          <w:highlight w:val="none"/>
        </w:rPr>
        <w:t>1.4</w:t>
      </w:r>
      <w:r>
        <w:rPr>
          <w:rFonts w:hint="eastAsia" w:ascii="宋体" w:hAnsi="宋体"/>
          <w:bCs/>
          <w:snapToGrid w:val="0"/>
          <w:sz w:val="24"/>
          <w:szCs w:val="24"/>
          <w:highlight w:val="none"/>
          <w:lang w:val="en-US" w:eastAsia="zh-CN"/>
        </w:rPr>
        <w:t xml:space="preserve"> 合格有</w:t>
      </w:r>
      <w:r>
        <w:rPr>
          <w:rFonts w:hint="eastAsia" w:ascii="宋体" w:hAnsi="宋体"/>
          <w:bCs/>
          <w:snapToGrid w:val="0"/>
          <w:sz w:val="24"/>
          <w:szCs w:val="24"/>
          <w:highlight w:val="none"/>
        </w:rPr>
        <w:t>效期：</w:t>
      </w:r>
      <w:r>
        <w:rPr>
          <w:rFonts w:hint="eastAsia" w:ascii="宋体" w:hAnsi="宋体"/>
          <w:bCs/>
          <w:snapToGrid w:val="0"/>
          <w:sz w:val="24"/>
          <w:szCs w:val="24"/>
        </w:rPr>
        <w:t>目录产品有效期为</w:t>
      </w:r>
      <w:r>
        <w:rPr>
          <w:rFonts w:hint="eastAsia" w:ascii="宋体" w:hAnsi="宋体"/>
          <w:b/>
          <w:bCs w:val="0"/>
          <w:snapToGrid w:val="0"/>
          <w:sz w:val="24"/>
          <w:szCs w:val="24"/>
          <w:u w:val="single"/>
        </w:rPr>
        <w:t>两年</w:t>
      </w:r>
      <w:r>
        <w:rPr>
          <w:rFonts w:hint="eastAsia" w:ascii="宋体" w:hAnsi="宋体"/>
          <w:bCs/>
          <w:snapToGrid w:val="0"/>
          <w:sz w:val="24"/>
          <w:szCs w:val="24"/>
        </w:rPr>
        <w:t>，两年期满后，企业需重新申请评</w:t>
      </w:r>
      <w:r>
        <w:rPr>
          <w:rFonts w:hint="eastAsia" w:ascii="宋体" w:hAnsi="宋体"/>
          <w:snapToGrid w:val="0"/>
          <w:sz w:val="24"/>
          <w:szCs w:val="24"/>
          <w:highlight w:val="none"/>
          <w:lang w:val="en-US" w:eastAsia="zh-CN"/>
        </w:rPr>
        <w:t>审。</w:t>
      </w:r>
    </w:p>
    <w:p w14:paraId="421DEBF8">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 推广方式如下：</w:t>
      </w:r>
    </w:p>
    <w:p w14:paraId="6BFD495C">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1.5.1 印发文件，发放至会员企业特别是各集团公司、设计院的集采部门；确保会员企业及时了解目录产品信息，为会员企业的采购决策提供参考。</w:t>
      </w:r>
    </w:p>
    <w:p w14:paraId="71459E1E">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1.5.2 对列入目录的产品，颁发推荐证书或标志，提高产品的市场认可度和竞争力；</w:t>
      </w:r>
    </w:p>
    <w:p w14:paraId="48CE9C29">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1.5.3 在中电建协和上海新能源行业协会官网及相关平台上公布扩大目录产品的宣传范围和影响力。</w:t>
      </w:r>
    </w:p>
    <w:p w14:paraId="11D844CE">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1.5.4 在中电建协行业动态和会员通讯等刊物上进行报道，及时向行业传递目录产品的最新动态和应用案例。</w:t>
      </w:r>
    </w:p>
    <w:p w14:paraId="557A9444">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1.5.5 组织参加行业展览会、技术交流会等活动，推广目录产品，为企业搭建展示和交流的平台。</w:t>
      </w:r>
    </w:p>
    <w:p w14:paraId="543BD656">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1.5.6 与各地电力建设相关单位建立沟通渠道，推荐目录产品，促进目录产品在各地的广泛应用。</w:t>
      </w:r>
    </w:p>
    <w:p w14:paraId="06B2F33C">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1.5.7 组织有意向企业签订推广合作协议，通过合作共赢的方式，共同推动目录产品的市场推广。</w:t>
      </w:r>
    </w:p>
    <w:p w14:paraId="0B8298B3">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 </w:t>
      </w:r>
      <w:r>
        <w:rPr>
          <w:rFonts w:hint="default" w:ascii="宋体" w:hAnsi="宋体"/>
          <w:snapToGrid w:val="0"/>
          <w:sz w:val="24"/>
          <w:szCs w:val="24"/>
          <w:highlight w:val="none"/>
          <w:lang w:val="en-US" w:eastAsia="zh-CN"/>
        </w:rPr>
        <w:t>退出机制如下：</w:t>
      </w:r>
    </w:p>
    <w:p w14:paraId="138602C6">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1.6.1 </w:t>
      </w:r>
      <w:r>
        <w:rPr>
          <w:rFonts w:hint="default" w:ascii="宋体" w:hAnsi="宋体"/>
          <w:snapToGrid w:val="0"/>
          <w:sz w:val="24"/>
          <w:szCs w:val="24"/>
          <w:highlight w:val="none"/>
          <w:lang w:val="en-US" w:eastAsia="zh-CN"/>
        </w:rPr>
        <w:t>企业或产品不再符合目录管理办法要求的，协会将取消其目录资格。</w:t>
      </w:r>
    </w:p>
    <w:p w14:paraId="45784916">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1.6.2 </w:t>
      </w:r>
      <w:r>
        <w:rPr>
          <w:rFonts w:hint="default" w:ascii="宋体" w:hAnsi="宋体"/>
          <w:snapToGrid w:val="0"/>
          <w:sz w:val="24"/>
          <w:szCs w:val="24"/>
          <w:highlight w:val="none"/>
          <w:lang w:val="en-US" w:eastAsia="zh-CN"/>
        </w:rPr>
        <w:t>企业申请退出目录的，需提交书面申请，协会审核后予以办理。</w:t>
      </w:r>
    </w:p>
    <w:p w14:paraId="7C5BD6E5">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1.6.3 </w:t>
      </w:r>
      <w:r>
        <w:rPr>
          <w:rFonts w:hint="default" w:ascii="宋体" w:hAnsi="宋体"/>
          <w:snapToGrid w:val="0"/>
          <w:sz w:val="24"/>
          <w:szCs w:val="24"/>
          <w:highlight w:val="none"/>
          <w:lang w:val="en-US" w:eastAsia="zh-CN"/>
        </w:rPr>
        <w:t>在目录产品存在重大质量问题或安全隐患的，协会将立即终止其目录资格，并进行公告。</w:t>
      </w:r>
    </w:p>
    <w:p w14:paraId="2C67718C">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1.6.4 </w:t>
      </w:r>
      <w:r>
        <w:rPr>
          <w:rFonts w:hint="default" w:ascii="宋体" w:hAnsi="宋体"/>
          <w:snapToGrid w:val="0"/>
          <w:sz w:val="24"/>
          <w:szCs w:val="24"/>
          <w:highlight w:val="none"/>
          <w:lang w:val="en-US" w:eastAsia="zh-CN"/>
        </w:rPr>
        <w:t>企业在目录期间发生重大违法违规行为的，协会将取消其目录资格。</w:t>
      </w:r>
    </w:p>
    <w:p w14:paraId="4171D9AB">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1.6.5 </w:t>
      </w:r>
      <w:r>
        <w:rPr>
          <w:rFonts w:hint="default" w:ascii="宋体" w:hAnsi="宋体"/>
          <w:snapToGrid w:val="0"/>
          <w:sz w:val="24"/>
          <w:szCs w:val="24"/>
          <w:highlight w:val="none"/>
          <w:lang w:val="en-US" w:eastAsia="zh-CN"/>
        </w:rPr>
        <w:t>服务不及时造成重大客户投诉的，协会将取消其目录资格。</w:t>
      </w:r>
    </w:p>
    <w:p w14:paraId="5A09BA6A">
      <w:pPr>
        <w:keepNext/>
        <w:keepLines/>
        <w:pageBreakBefore w:val="0"/>
        <w:widowControl w:val="0"/>
        <w:kinsoku/>
        <w:wordWrap/>
        <w:overflowPunct/>
        <w:topLinePunct w:val="0"/>
        <w:autoSpaceDE/>
        <w:autoSpaceDN/>
        <w:bidi w:val="0"/>
        <w:spacing w:line="560" w:lineRule="exact"/>
        <w:textAlignment w:val="auto"/>
        <w:outlineLvl w:val="2"/>
        <w:rPr>
          <w:rFonts w:ascii="宋体" w:hAnsi="宋体"/>
          <w:b/>
          <w:color w:val="000000"/>
          <w:kern w:val="0"/>
          <w:sz w:val="24"/>
          <w:szCs w:val="24"/>
          <w:lang w:bidi="he-IL"/>
        </w:rPr>
      </w:pPr>
      <w:r>
        <w:rPr>
          <w:rFonts w:hint="eastAsia" w:ascii="宋体" w:hAnsi="宋体"/>
          <w:b/>
          <w:snapToGrid w:val="0"/>
          <w:sz w:val="24"/>
          <w:szCs w:val="24"/>
        </w:rPr>
        <w:t>2．准入品类</w:t>
      </w:r>
    </w:p>
    <w:p w14:paraId="77C54EF8">
      <w:pPr>
        <w:pageBreakBefore w:val="0"/>
        <w:widowControl w:val="0"/>
        <w:kinsoku/>
        <w:wordWrap/>
        <w:overflowPunct/>
        <w:topLinePunct w:val="0"/>
        <w:autoSpaceDE/>
        <w:autoSpaceDN/>
        <w:bidi w:val="0"/>
        <w:spacing w:line="560" w:lineRule="exact"/>
        <w:ind w:firstLine="482" w:firstLineChars="200"/>
        <w:textAlignment w:val="auto"/>
        <w:rPr>
          <w:rFonts w:ascii="宋体" w:hAnsi="宋体"/>
          <w:b/>
          <w:bCs/>
          <w:snapToGrid w:val="0"/>
          <w:sz w:val="24"/>
          <w:szCs w:val="24"/>
        </w:rPr>
      </w:pPr>
      <w:r>
        <w:rPr>
          <w:rFonts w:hint="eastAsia" w:ascii="宋体" w:hAnsi="宋体"/>
          <w:b/>
          <w:bCs/>
          <w:snapToGrid w:val="0"/>
          <w:sz w:val="24"/>
          <w:szCs w:val="24"/>
        </w:rPr>
        <w:t>光伏</w:t>
      </w:r>
      <w:r>
        <w:rPr>
          <w:rFonts w:hint="eastAsia" w:ascii="宋体" w:hAnsi="宋体"/>
          <w:b/>
          <w:bCs/>
          <w:snapToGrid w:val="0"/>
          <w:sz w:val="24"/>
          <w:szCs w:val="24"/>
          <w:lang w:eastAsia="zh-CN"/>
        </w:rPr>
        <w:t>组串式逆变器</w:t>
      </w:r>
      <w:r>
        <w:rPr>
          <w:rFonts w:hint="eastAsia" w:ascii="宋体" w:hAnsi="宋体"/>
          <w:b/>
          <w:bCs/>
          <w:snapToGrid w:val="0"/>
          <w:sz w:val="24"/>
          <w:szCs w:val="24"/>
        </w:rPr>
        <w:t>。</w:t>
      </w:r>
    </w:p>
    <w:p w14:paraId="6B2D6BE0">
      <w:pPr>
        <w:keepNext/>
        <w:keepLines/>
        <w:pageBreakBefore w:val="0"/>
        <w:widowControl w:val="0"/>
        <w:kinsoku/>
        <w:wordWrap/>
        <w:overflowPunct/>
        <w:topLinePunct w:val="0"/>
        <w:autoSpaceDE/>
        <w:autoSpaceDN/>
        <w:bidi w:val="0"/>
        <w:spacing w:line="560" w:lineRule="exact"/>
        <w:textAlignment w:val="auto"/>
        <w:outlineLvl w:val="2"/>
        <w:rPr>
          <w:rFonts w:ascii="宋体" w:hAnsi="宋体"/>
          <w:b/>
          <w:color w:val="000000"/>
          <w:kern w:val="0"/>
          <w:sz w:val="24"/>
          <w:szCs w:val="24"/>
          <w:lang w:bidi="he-IL"/>
        </w:rPr>
      </w:pPr>
      <w:bookmarkStart w:id="5" w:name="_Toc471578185"/>
      <w:r>
        <w:rPr>
          <w:rFonts w:ascii="宋体" w:hAnsi="宋体"/>
          <w:b/>
          <w:snapToGrid w:val="0"/>
          <w:sz w:val="24"/>
          <w:szCs w:val="24"/>
        </w:rPr>
        <w:t>3</w:t>
      </w:r>
      <w:r>
        <w:rPr>
          <w:rFonts w:hint="eastAsia" w:ascii="宋体" w:hAnsi="宋体"/>
          <w:b/>
          <w:snapToGrid w:val="0"/>
          <w:sz w:val="24"/>
          <w:szCs w:val="24"/>
        </w:rPr>
        <w:t>．</w:t>
      </w:r>
      <w:r>
        <w:rPr>
          <w:rFonts w:ascii="宋体" w:hAnsi="宋体"/>
          <w:b/>
          <w:snapToGrid w:val="0"/>
          <w:sz w:val="24"/>
          <w:szCs w:val="24"/>
        </w:rPr>
        <w:t>申请人资格要求</w:t>
      </w:r>
      <w:bookmarkEnd w:id="5"/>
    </w:p>
    <w:p w14:paraId="39C234E0">
      <w:pPr>
        <w:pageBreakBefore w:val="0"/>
        <w:widowControl w:val="0"/>
        <w:kinsoku/>
        <w:wordWrap/>
        <w:overflowPunct/>
        <w:topLinePunct w:val="0"/>
        <w:autoSpaceDE/>
        <w:autoSpaceDN/>
        <w:bidi w:val="0"/>
        <w:snapToGrid w:val="0"/>
        <w:spacing w:line="560" w:lineRule="exact"/>
        <w:ind w:firstLine="480" w:firstLineChars="200"/>
        <w:textAlignment w:val="auto"/>
        <w:rPr>
          <w:rFonts w:ascii="宋体" w:hAnsi="宋体"/>
          <w:bCs/>
          <w:snapToGrid w:val="0"/>
          <w:sz w:val="24"/>
          <w:szCs w:val="24"/>
        </w:rPr>
      </w:pPr>
      <w:r>
        <w:rPr>
          <w:rFonts w:hint="eastAsia" w:ascii="宋体" w:hAnsi="宋体"/>
          <w:bCs/>
          <w:snapToGrid w:val="0"/>
          <w:sz w:val="24"/>
          <w:szCs w:val="24"/>
        </w:rPr>
        <w:t>申请人应具备以下资质条件、能力和信誉，并具有相应的</w:t>
      </w:r>
      <w:r>
        <w:rPr>
          <w:rFonts w:hint="eastAsia" w:ascii="宋体" w:hAnsi="宋体"/>
          <w:bCs/>
          <w:snapToGrid w:val="0"/>
          <w:sz w:val="24"/>
          <w:szCs w:val="24"/>
          <w:lang w:val="en-US" w:eastAsia="zh-CN"/>
        </w:rPr>
        <w:t>研发、制造和供应</w:t>
      </w:r>
      <w:r>
        <w:rPr>
          <w:rFonts w:hint="eastAsia" w:ascii="宋体" w:hAnsi="宋体"/>
          <w:bCs/>
          <w:snapToGrid w:val="0"/>
          <w:sz w:val="24"/>
          <w:szCs w:val="24"/>
        </w:rPr>
        <w:t>能力。</w:t>
      </w:r>
    </w:p>
    <w:p w14:paraId="55A1C063">
      <w:pPr>
        <w:pageBreakBefore w:val="0"/>
        <w:widowControl w:val="0"/>
        <w:kinsoku/>
        <w:wordWrap/>
        <w:overflowPunct/>
        <w:topLinePunct w:val="0"/>
        <w:autoSpaceDE/>
        <w:autoSpaceDN/>
        <w:bidi w:val="0"/>
        <w:snapToGrid w:val="0"/>
        <w:spacing w:line="560" w:lineRule="exact"/>
        <w:ind w:firstLine="482" w:firstLineChars="200"/>
        <w:textAlignment w:val="auto"/>
        <w:rPr>
          <w:rFonts w:ascii="宋体" w:hAnsi="宋体"/>
          <w:b/>
          <w:snapToGrid w:val="0"/>
          <w:sz w:val="24"/>
          <w:szCs w:val="24"/>
        </w:rPr>
      </w:pPr>
      <w:r>
        <w:rPr>
          <w:rFonts w:hint="eastAsia" w:ascii="宋体" w:hAnsi="宋体"/>
          <w:b/>
          <w:snapToGrid w:val="0"/>
          <w:sz w:val="24"/>
          <w:szCs w:val="24"/>
        </w:rPr>
        <w:t xml:space="preserve">3.1 </w:t>
      </w:r>
      <w:r>
        <w:rPr>
          <w:rFonts w:hint="eastAsia" w:ascii="宋体" w:hAnsi="宋体"/>
          <w:b/>
          <w:snapToGrid w:val="0"/>
          <w:sz w:val="24"/>
          <w:szCs w:val="24"/>
          <w:lang w:val="en-US" w:eastAsia="zh-CN"/>
        </w:rPr>
        <w:t>企业</w:t>
      </w:r>
      <w:r>
        <w:rPr>
          <w:rFonts w:hint="eastAsia" w:ascii="宋体" w:hAnsi="宋体"/>
          <w:b/>
          <w:snapToGrid w:val="0"/>
          <w:sz w:val="24"/>
          <w:szCs w:val="24"/>
        </w:rPr>
        <w:t>资格要求</w:t>
      </w:r>
    </w:p>
    <w:p w14:paraId="59712C1F">
      <w:pPr>
        <w:pageBreakBefore w:val="0"/>
        <w:widowControl w:val="0"/>
        <w:kinsoku/>
        <w:wordWrap/>
        <w:overflowPunct/>
        <w:topLinePunct w:val="0"/>
        <w:autoSpaceDE/>
        <w:autoSpaceDN/>
        <w:bidi w:val="0"/>
        <w:spacing w:line="560" w:lineRule="exact"/>
        <w:ind w:firstLine="480" w:firstLineChars="200"/>
        <w:textAlignment w:val="auto"/>
        <w:outlineLvl w:val="0"/>
        <w:rPr>
          <w:rFonts w:ascii="宋体" w:hAnsi="宋体"/>
          <w:snapToGrid w:val="0"/>
          <w:sz w:val="24"/>
          <w:szCs w:val="24"/>
        </w:rPr>
      </w:pPr>
      <w:r>
        <w:rPr>
          <w:rFonts w:hint="eastAsia" w:ascii="宋体" w:hAnsi="宋体"/>
          <w:snapToGrid w:val="0"/>
          <w:sz w:val="24"/>
          <w:szCs w:val="24"/>
        </w:rPr>
        <w:t>3.1.1企业必须依法注册，具有独立法人资格，无不良信用记录。</w:t>
      </w:r>
    </w:p>
    <w:p w14:paraId="4FBE0E97">
      <w:pPr>
        <w:pageBreakBefore w:val="0"/>
        <w:widowControl w:val="0"/>
        <w:kinsoku/>
        <w:wordWrap/>
        <w:overflowPunct/>
        <w:topLinePunct w:val="0"/>
        <w:autoSpaceDE/>
        <w:autoSpaceDN/>
        <w:bidi w:val="0"/>
        <w:spacing w:line="560" w:lineRule="exact"/>
        <w:ind w:firstLine="480" w:firstLineChars="200"/>
        <w:textAlignment w:val="auto"/>
        <w:outlineLvl w:val="0"/>
        <w:rPr>
          <w:rFonts w:ascii="Times New Roman" w:hAnsi="Times New Roman"/>
          <w:snapToGrid w:val="0"/>
          <w:sz w:val="24"/>
          <w:szCs w:val="24"/>
        </w:rPr>
      </w:pPr>
      <w:r>
        <w:rPr>
          <w:rFonts w:hint="eastAsia" w:ascii="宋体" w:hAnsi="宋体"/>
          <w:snapToGrid w:val="0"/>
          <w:sz w:val="24"/>
          <w:szCs w:val="24"/>
        </w:rPr>
        <w:t>3.1.2应具备良好的商业信誉，无重大违法违规记录，包括但不限于行政处罚、严重违法失信等情况</w:t>
      </w:r>
      <w:r>
        <w:rPr>
          <w:rFonts w:hint="eastAsia" w:ascii="Times New Roman" w:hAnsi="Times New Roman"/>
          <w:snapToGrid w:val="0"/>
          <w:sz w:val="24"/>
          <w:szCs w:val="24"/>
        </w:rPr>
        <w:t>。</w:t>
      </w:r>
    </w:p>
    <w:p w14:paraId="58B8782E">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Times New Roman" w:hAnsi="Times New Roman"/>
          <w:snapToGrid w:val="0"/>
          <w:sz w:val="24"/>
          <w:szCs w:val="24"/>
        </w:rPr>
      </w:pPr>
      <w:r>
        <w:rPr>
          <w:rFonts w:hint="eastAsia" w:ascii="宋体" w:hAnsi="宋体"/>
          <w:snapToGrid w:val="0"/>
          <w:sz w:val="24"/>
          <w:szCs w:val="24"/>
        </w:rPr>
        <w:t>3.1.3应为电力行业具有一定规模的生产厂商，具备稳定的生产能力和质量保障体系，或具有一定规模的新能源产品或技术研发单位，拥有专业的研发团队和先进的研发设备</w:t>
      </w:r>
      <w:r>
        <w:rPr>
          <w:rFonts w:hint="eastAsia" w:ascii="Times New Roman" w:hAnsi="Times New Roman"/>
          <w:snapToGrid w:val="0"/>
          <w:sz w:val="24"/>
          <w:szCs w:val="24"/>
        </w:rPr>
        <w:t>。</w:t>
      </w:r>
    </w:p>
    <w:p w14:paraId="5E50685F">
      <w:pPr>
        <w:pageBreakBefore w:val="0"/>
        <w:widowControl w:val="0"/>
        <w:kinsoku/>
        <w:wordWrap/>
        <w:overflowPunct/>
        <w:topLinePunct w:val="0"/>
        <w:autoSpaceDE/>
        <w:autoSpaceDN/>
        <w:bidi w:val="0"/>
        <w:snapToGrid w:val="0"/>
        <w:spacing w:line="560" w:lineRule="exact"/>
        <w:ind w:firstLine="482" w:firstLineChars="200"/>
        <w:textAlignment w:val="auto"/>
        <w:rPr>
          <w:rFonts w:ascii="宋体" w:hAnsi="宋体"/>
          <w:b/>
          <w:snapToGrid w:val="0"/>
          <w:sz w:val="24"/>
          <w:szCs w:val="24"/>
        </w:rPr>
      </w:pPr>
      <w:r>
        <w:rPr>
          <w:rFonts w:hint="eastAsia" w:ascii="宋体" w:hAnsi="宋体"/>
          <w:b/>
          <w:snapToGrid w:val="0"/>
          <w:sz w:val="24"/>
          <w:szCs w:val="24"/>
        </w:rPr>
        <w:t>3.</w:t>
      </w:r>
      <w:r>
        <w:rPr>
          <w:rFonts w:hint="eastAsia" w:ascii="宋体" w:hAnsi="宋体"/>
          <w:b/>
          <w:snapToGrid w:val="0"/>
          <w:sz w:val="24"/>
          <w:szCs w:val="24"/>
          <w:lang w:val="en-US" w:eastAsia="zh-CN"/>
        </w:rPr>
        <w:t>2</w:t>
      </w:r>
      <w:r>
        <w:rPr>
          <w:rFonts w:hint="eastAsia" w:ascii="宋体" w:hAnsi="宋体"/>
          <w:b/>
          <w:snapToGrid w:val="0"/>
          <w:sz w:val="24"/>
          <w:szCs w:val="24"/>
        </w:rPr>
        <w:t xml:space="preserve"> </w:t>
      </w:r>
      <w:r>
        <w:rPr>
          <w:rFonts w:hint="eastAsia" w:ascii="宋体" w:hAnsi="宋体"/>
          <w:b/>
          <w:snapToGrid w:val="0"/>
          <w:sz w:val="24"/>
          <w:szCs w:val="24"/>
          <w:lang w:val="en-US" w:eastAsia="zh-CN"/>
        </w:rPr>
        <w:t>产品</w:t>
      </w:r>
      <w:r>
        <w:rPr>
          <w:rFonts w:hint="eastAsia" w:ascii="宋体" w:hAnsi="宋体"/>
          <w:b/>
          <w:snapToGrid w:val="0"/>
          <w:sz w:val="24"/>
          <w:szCs w:val="24"/>
        </w:rPr>
        <w:t>资格要求</w:t>
      </w:r>
    </w:p>
    <w:p w14:paraId="5F4B120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1 应严格符合国家及行业相关标准和规范，提供</w:t>
      </w:r>
      <w:r>
        <w:rPr>
          <w:rFonts w:hint="eastAsia" w:ascii="宋体" w:hAnsi="宋体"/>
          <w:snapToGrid w:val="0"/>
          <w:sz w:val="24"/>
          <w:szCs w:val="24"/>
          <w:lang w:val="en-US" w:eastAsia="zh-CN"/>
        </w:rPr>
        <w:t>组串式逆变器</w:t>
      </w:r>
      <w:r>
        <w:rPr>
          <w:rFonts w:hint="eastAsia" w:ascii="宋体" w:hAnsi="宋体"/>
          <w:snapToGrid w:val="0"/>
          <w:sz w:val="24"/>
          <w:szCs w:val="24"/>
        </w:rPr>
        <w:t>产品符合标准的详细检测报告和认证材料，如国家强制性产品认证证书等；</w:t>
      </w:r>
    </w:p>
    <w:p w14:paraId="3A4800DD">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2 应经过权威机构的全面产品检测认证，必须有详细的型式证书，证书应包含产品的各项技术参数和性能指标；</w:t>
      </w:r>
    </w:p>
    <w:p w14:paraId="2224D5D4">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3 应具有突出的创新性，能够显著提高电力建设的新能源产品工作效率、智能化水平、质量水平、安全水平等。例如，对于提高工作效率，可提供实际应用案例中的数据对比，说明新产品相比传统产品在发电效率、储能容量等方面的提升幅度；对于智能化水平，可展示产品具备的远程监控、智能诊断等功能；对于质量水平，可提供产品的耐久性测试报告等；对于安全水平，应说明产品在过压、过流、过热等情况下的保护措施。</w:t>
      </w:r>
    </w:p>
    <w:p w14:paraId="1B9D716A">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4 应具有广阔的市场前景或潜在的巨大经济效益。提供市场调研报告，分析产品的市场需求、竞争态势、潜在客户群体等，同时通过成本效益分析，说明产品在投资回报周期、节能降耗等方面的优势；</w:t>
      </w:r>
    </w:p>
    <w:p w14:paraId="191ADA7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5 应具有自主知识产权，且无知识产权纠纷。提供专利证书、软件著作权登记证书等知识产权证明材料，并通过专业的知识产权查询平台，确认无侵权风险；</w:t>
      </w:r>
    </w:p>
    <w:p w14:paraId="6EE5A7E9">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3.</w:t>
      </w:r>
      <w:r>
        <w:rPr>
          <w:rFonts w:hint="eastAsia" w:ascii="宋体" w:hAnsi="宋体"/>
          <w:snapToGrid w:val="0"/>
          <w:sz w:val="24"/>
          <w:szCs w:val="24"/>
          <w:lang w:val="en-US" w:eastAsia="zh-CN"/>
        </w:rPr>
        <w:t>2</w:t>
      </w:r>
      <w:r>
        <w:rPr>
          <w:rFonts w:hint="eastAsia" w:ascii="宋体" w:hAnsi="宋体"/>
          <w:snapToGrid w:val="0"/>
          <w:sz w:val="24"/>
          <w:szCs w:val="24"/>
        </w:rPr>
        <w:t>.</w:t>
      </w:r>
      <w:r>
        <w:rPr>
          <w:rFonts w:hint="eastAsia" w:ascii="宋体" w:hAnsi="宋体"/>
          <w:snapToGrid w:val="0"/>
          <w:sz w:val="24"/>
          <w:szCs w:val="24"/>
          <w:lang w:val="en-US" w:eastAsia="zh-CN"/>
        </w:rPr>
        <w:t>6</w:t>
      </w:r>
      <w:r>
        <w:rPr>
          <w:rFonts w:hint="eastAsia" w:ascii="宋体" w:hAnsi="宋体"/>
          <w:snapToGrid w:val="0"/>
          <w:sz w:val="24"/>
          <w:szCs w:val="24"/>
        </w:rPr>
        <w:t>应具备科研院所等单位提供的产品理论支撑材料或产品应用工程项目示例证明材料等。理论支撑材料应包括产品的技术原理、创新点分析等内容，工程项目示例证明材料应详细说明产品在实际工程项目中的应用效果、技术优势等。</w:t>
      </w:r>
    </w:p>
    <w:p w14:paraId="40CC91A6">
      <w:pPr>
        <w:pageBreakBefore w:val="0"/>
        <w:widowControl w:val="0"/>
        <w:kinsoku/>
        <w:wordWrap/>
        <w:overflowPunct/>
        <w:topLinePunct w:val="0"/>
        <w:autoSpaceDE/>
        <w:autoSpaceDN/>
        <w:bidi w:val="0"/>
        <w:spacing w:line="560" w:lineRule="exact"/>
        <w:ind w:firstLine="482" w:firstLineChars="200"/>
        <w:textAlignment w:val="auto"/>
        <w:outlineLvl w:val="0"/>
        <w:rPr>
          <w:rFonts w:ascii="宋体" w:hAnsi="宋体"/>
          <w:b/>
          <w:snapToGrid w:val="0"/>
          <w:sz w:val="24"/>
          <w:szCs w:val="24"/>
        </w:rPr>
      </w:pPr>
      <w:r>
        <w:rPr>
          <w:rFonts w:hint="eastAsia" w:ascii="宋体" w:hAnsi="宋体"/>
          <w:b/>
          <w:snapToGrid w:val="0"/>
          <w:sz w:val="24"/>
          <w:szCs w:val="24"/>
        </w:rPr>
        <w:t>3.</w:t>
      </w:r>
      <w:r>
        <w:rPr>
          <w:rFonts w:hint="eastAsia" w:ascii="宋体" w:hAnsi="宋体"/>
          <w:b/>
          <w:snapToGrid w:val="0"/>
          <w:sz w:val="24"/>
          <w:szCs w:val="24"/>
          <w:lang w:val="en-US" w:eastAsia="zh-CN"/>
        </w:rPr>
        <w:t>3</w:t>
      </w:r>
      <w:r>
        <w:rPr>
          <w:rFonts w:hint="eastAsia" w:ascii="宋体" w:hAnsi="宋体"/>
          <w:b/>
          <w:snapToGrid w:val="0"/>
          <w:sz w:val="24"/>
          <w:szCs w:val="24"/>
        </w:rPr>
        <w:t xml:space="preserve"> </w:t>
      </w:r>
      <w:r>
        <w:rPr>
          <w:rFonts w:hint="eastAsia" w:ascii="宋体" w:hAnsi="宋体"/>
          <w:b/>
          <w:snapToGrid w:val="0"/>
          <w:sz w:val="24"/>
          <w:szCs w:val="24"/>
          <w:lang w:val="en-US" w:eastAsia="zh-CN"/>
        </w:rPr>
        <w:t>认证及实证</w:t>
      </w:r>
      <w:r>
        <w:rPr>
          <w:rFonts w:hint="eastAsia" w:ascii="宋体" w:hAnsi="宋体"/>
          <w:b/>
          <w:snapToGrid w:val="0"/>
          <w:sz w:val="24"/>
          <w:szCs w:val="24"/>
        </w:rPr>
        <w:t>要求</w:t>
      </w:r>
    </w:p>
    <w:p w14:paraId="32AF1C8B">
      <w:pPr>
        <w:pStyle w:val="2"/>
        <w:ind w:firstLine="480" w:firstLineChars="200"/>
        <w:rPr>
          <w:rFonts w:hint="eastAsia" w:ascii="宋体" w:hAnsi="宋体"/>
          <w:snapToGrid w:val="0"/>
          <w:sz w:val="24"/>
          <w:szCs w:val="24"/>
        </w:rPr>
      </w:pPr>
      <w:r>
        <w:rPr>
          <w:rFonts w:hint="eastAsia" w:ascii="宋体" w:hAnsi="宋体"/>
          <w:snapToGrid w:val="0"/>
          <w:sz w:val="24"/>
          <w:szCs w:val="24"/>
        </w:rPr>
        <w:t>3.</w:t>
      </w:r>
      <w:r>
        <w:rPr>
          <w:rFonts w:hint="eastAsia" w:ascii="宋体" w:hAnsi="宋体"/>
          <w:snapToGrid w:val="0"/>
          <w:sz w:val="24"/>
          <w:szCs w:val="24"/>
          <w:lang w:val="en-US" w:eastAsia="zh-CN"/>
        </w:rPr>
        <w:t>3</w:t>
      </w:r>
      <w:r>
        <w:rPr>
          <w:rFonts w:hint="eastAsia" w:ascii="宋体" w:hAnsi="宋体"/>
          <w:snapToGrid w:val="0"/>
          <w:sz w:val="24"/>
          <w:szCs w:val="24"/>
        </w:rPr>
        <w:t>.1 申请人</w:t>
      </w:r>
      <w:r>
        <w:rPr>
          <w:rFonts w:hint="eastAsia" w:ascii="宋体" w:hAnsi="宋体"/>
          <w:snapToGrid w:val="0"/>
          <w:sz w:val="24"/>
          <w:szCs w:val="24"/>
          <w:lang w:val="en-US" w:eastAsia="zh-CN"/>
        </w:rPr>
        <w:t>组串式逆变器</w:t>
      </w:r>
      <w:r>
        <w:rPr>
          <w:rFonts w:hint="eastAsia" w:ascii="宋体" w:hAnsi="宋体"/>
          <w:snapToGrid w:val="0"/>
          <w:sz w:val="24"/>
          <w:szCs w:val="24"/>
        </w:rPr>
        <w:t>产品</w:t>
      </w:r>
      <w:r>
        <w:rPr>
          <w:rFonts w:hint="eastAsia" w:ascii="宋体" w:hAnsi="宋体"/>
          <w:snapToGrid w:val="0"/>
          <w:sz w:val="24"/>
          <w:szCs w:val="24"/>
          <w:lang w:val="en-US" w:eastAsia="zh-CN"/>
        </w:rPr>
        <w:t>应有国家认监委认可的认证机构颁发的产品认证证书。产品应通过CQC、CGC、TUV之一的认证。</w:t>
      </w:r>
    </w:p>
    <w:p w14:paraId="41117E9C">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eastAsia="宋体"/>
          <w:snapToGrid w:val="0"/>
          <w:sz w:val="24"/>
          <w:szCs w:val="24"/>
          <w:lang w:eastAsia="zh-CN"/>
        </w:rPr>
      </w:pPr>
      <w:r>
        <w:rPr>
          <w:rFonts w:hint="eastAsia" w:ascii="宋体" w:hAnsi="宋体"/>
          <w:snapToGrid w:val="0"/>
          <w:sz w:val="24"/>
          <w:szCs w:val="24"/>
        </w:rPr>
        <w:t>3.</w:t>
      </w:r>
      <w:r>
        <w:rPr>
          <w:rFonts w:hint="eastAsia" w:ascii="宋体" w:hAnsi="宋体"/>
          <w:snapToGrid w:val="0"/>
          <w:sz w:val="24"/>
          <w:szCs w:val="24"/>
          <w:lang w:val="en-US" w:eastAsia="zh-CN"/>
        </w:rPr>
        <w:t>3</w:t>
      </w:r>
      <w:r>
        <w:rPr>
          <w:rFonts w:hint="eastAsia" w:ascii="宋体" w:hAnsi="宋体"/>
          <w:snapToGrid w:val="0"/>
          <w:sz w:val="24"/>
          <w:szCs w:val="24"/>
        </w:rPr>
        <w:t>.</w:t>
      </w:r>
      <w:r>
        <w:rPr>
          <w:rFonts w:hint="eastAsia" w:ascii="宋体" w:hAnsi="宋体"/>
          <w:snapToGrid w:val="0"/>
          <w:sz w:val="24"/>
          <w:szCs w:val="24"/>
          <w:lang w:val="en-US" w:eastAsia="zh-CN"/>
        </w:rPr>
        <w:t>2</w:t>
      </w:r>
      <w:r>
        <w:rPr>
          <w:rFonts w:hint="eastAsia" w:ascii="宋体" w:hAnsi="宋体"/>
          <w:snapToGrid w:val="0"/>
          <w:sz w:val="24"/>
          <w:szCs w:val="24"/>
        </w:rPr>
        <w:t xml:space="preserve"> 申请人</w:t>
      </w:r>
      <w:r>
        <w:rPr>
          <w:rFonts w:hint="eastAsia" w:ascii="宋体" w:hAnsi="宋体"/>
          <w:snapToGrid w:val="0"/>
          <w:sz w:val="24"/>
          <w:szCs w:val="24"/>
          <w:lang w:val="en-US" w:eastAsia="zh-CN"/>
        </w:rPr>
        <w:t>应提供组串式逆变器产品</w:t>
      </w:r>
      <w:r>
        <w:rPr>
          <w:rFonts w:hint="eastAsia" w:ascii="宋体" w:hAnsi="宋体"/>
          <w:snapToGrid w:val="0"/>
          <w:sz w:val="24"/>
          <w:szCs w:val="24"/>
        </w:rPr>
        <w:t>申报技术知识产权资料，详细列出所有与申报技术相关的知识产权</w:t>
      </w:r>
      <w:r>
        <w:rPr>
          <w:rFonts w:hint="eastAsia" w:ascii="宋体" w:hAnsi="宋体"/>
          <w:snapToGrid w:val="0"/>
          <w:sz w:val="24"/>
          <w:szCs w:val="24"/>
          <w:lang w:eastAsia="zh-CN"/>
        </w:rPr>
        <w:t>（</w:t>
      </w:r>
      <w:r>
        <w:rPr>
          <w:rFonts w:hint="eastAsia" w:ascii="宋体" w:hAnsi="宋体"/>
          <w:snapToGrid w:val="0"/>
          <w:sz w:val="24"/>
          <w:szCs w:val="24"/>
        </w:rPr>
        <w:t>包括专利名称、专利号、授权日期等</w:t>
      </w:r>
      <w:r>
        <w:rPr>
          <w:rFonts w:hint="eastAsia" w:ascii="宋体" w:hAnsi="宋体"/>
          <w:snapToGrid w:val="0"/>
          <w:sz w:val="24"/>
          <w:szCs w:val="24"/>
          <w:lang w:eastAsia="zh-CN"/>
        </w:rPr>
        <w:t>）</w:t>
      </w:r>
      <w:r>
        <w:rPr>
          <w:rFonts w:hint="eastAsia" w:ascii="宋体" w:hAnsi="宋体"/>
          <w:snapToGrid w:val="0"/>
          <w:sz w:val="24"/>
          <w:szCs w:val="24"/>
        </w:rPr>
        <w:t>。</w:t>
      </w:r>
      <w:r>
        <w:rPr>
          <w:rFonts w:hint="eastAsia" w:ascii="宋体" w:hAnsi="宋体"/>
          <w:snapToGrid w:val="0"/>
          <w:sz w:val="24"/>
          <w:szCs w:val="24"/>
          <w:lang w:val="en-US" w:eastAsia="zh-CN"/>
        </w:rPr>
        <w:t>并提供</w:t>
      </w:r>
      <w:r>
        <w:rPr>
          <w:rFonts w:hint="eastAsia" w:ascii="宋体" w:hAnsi="宋体"/>
          <w:snapToGrid w:val="0"/>
          <w:sz w:val="24"/>
          <w:szCs w:val="24"/>
        </w:rPr>
        <w:t>相关的专利证书及其他获奖证书</w:t>
      </w:r>
      <w:r>
        <w:rPr>
          <w:rFonts w:hint="eastAsia" w:ascii="宋体" w:hAnsi="宋体"/>
          <w:snapToGrid w:val="0"/>
          <w:sz w:val="24"/>
          <w:szCs w:val="24"/>
          <w:lang w:eastAsia="zh-CN"/>
        </w:rPr>
        <w:t>（</w:t>
      </w:r>
      <w:r>
        <w:rPr>
          <w:rFonts w:hint="eastAsia" w:ascii="宋体" w:hAnsi="宋体"/>
          <w:snapToGrid w:val="0"/>
          <w:sz w:val="24"/>
          <w:szCs w:val="24"/>
        </w:rPr>
        <w:t>提供专利证书复印件和获奖证书原件或复印件，证书应与申报产品或技术直接相关</w:t>
      </w:r>
      <w:r>
        <w:rPr>
          <w:rFonts w:hint="eastAsia" w:ascii="宋体" w:hAnsi="宋体"/>
          <w:snapToGrid w:val="0"/>
          <w:sz w:val="24"/>
          <w:szCs w:val="24"/>
          <w:lang w:eastAsia="zh-CN"/>
        </w:rPr>
        <w:t>）。</w:t>
      </w:r>
    </w:p>
    <w:p w14:paraId="56DAF96C">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 xml:space="preserve">3.3.3 </w:t>
      </w:r>
      <w:r>
        <w:rPr>
          <w:rFonts w:hint="eastAsia" w:ascii="宋体" w:hAnsi="宋体"/>
          <w:snapToGrid w:val="0"/>
          <w:sz w:val="24"/>
          <w:szCs w:val="24"/>
        </w:rPr>
        <w:t>申请人</w:t>
      </w:r>
      <w:r>
        <w:rPr>
          <w:rFonts w:hint="eastAsia" w:ascii="宋体" w:hAnsi="宋体"/>
          <w:snapToGrid w:val="0"/>
          <w:sz w:val="24"/>
          <w:szCs w:val="24"/>
          <w:lang w:val="en-US" w:eastAsia="zh-CN"/>
        </w:rPr>
        <w:t>应</w:t>
      </w:r>
      <w:r>
        <w:rPr>
          <w:rFonts w:hint="eastAsia" w:ascii="宋体" w:hAnsi="宋体"/>
          <w:snapToGrid w:val="0"/>
          <w:sz w:val="24"/>
          <w:szCs w:val="24"/>
        </w:rPr>
        <w:t>提供</w:t>
      </w:r>
      <w:r>
        <w:rPr>
          <w:rFonts w:hint="eastAsia" w:ascii="宋体" w:hAnsi="宋体"/>
          <w:b/>
          <w:bCs/>
          <w:snapToGrid w:val="0"/>
          <w:sz w:val="24"/>
          <w:szCs w:val="24"/>
        </w:rPr>
        <w:t>至少三个</w:t>
      </w:r>
      <w:r>
        <w:rPr>
          <w:rFonts w:hint="eastAsia" w:ascii="宋体" w:hAnsi="宋体"/>
          <w:snapToGrid w:val="0"/>
          <w:sz w:val="24"/>
          <w:szCs w:val="24"/>
        </w:rPr>
        <w:t>不同</w:t>
      </w:r>
      <w:r>
        <w:rPr>
          <w:rFonts w:hint="eastAsia" w:ascii="宋体" w:hAnsi="宋体"/>
          <w:snapToGrid w:val="0"/>
          <w:sz w:val="24"/>
          <w:szCs w:val="24"/>
          <w:lang w:val="en-US" w:eastAsia="zh-CN"/>
        </w:rPr>
        <w:t>光伏</w:t>
      </w:r>
      <w:r>
        <w:rPr>
          <w:rFonts w:hint="eastAsia" w:ascii="宋体" w:hAnsi="宋体"/>
          <w:snapToGrid w:val="0"/>
          <w:sz w:val="24"/>
          <w:szCs w:val="24"/>
        </w:rPr>
        <w:t>项目</w:t>
      </w:r>
      <w:r>
        <w:rPr>
          <w:rFonts w:hint="eastAsia" w:ascii="宋体" w:hAnsi="宋体"/>
          <w:snapToGrid w:val="0"/>
          <w:sz w:val="24"/>
          <w:szCs w:val="24"/>
          <w:lang w:eastAsia="zh-CN"/>
        </w:rPr>
        <w:t>（</w:t>
      </w:r>
      <w:r>
        <w:rPr>
          <w:rFonts w:hint="eastAsia" w:ascii="宋体" w:hAnsi="宋体"/>
          <w:snapToGrid w:val="0"/>
          <w:sz w:val="24"/>
          <w:szCs w:val="24"/>
          <w:lang w:val="en-US" w:eastAsia="zh-CN"/>
        </w:rPr>
        <w:t>单个项目容量不少于10MW</w:t>
      </w:r>
      <w:r>
        <w:rPr>
          <w:rFonts w:hint="eastAsia" w:ascii="宋体" w:hAnsi="宋体"/>
          <w:snapToGrid w:val="0"/>
          <w:sz w:val="24"/>
          <w:szCs w:val="24"/>
          <w:lang w:eastAsia="zh-CN"/>
        </w:rPr>
        <w:t>）</w:t>
      </w:r>
      <w:r>
        <w:rPr>
          <w:rFonts w:hint="eastAsia" w:ascii="宋体" w:hAnsi="宋体"/>
          <w:snapToGrid w:val="0"/>
          <w:sz w:val="24"/>
          <w:szCs w:val="24"/>
          <w:lang w:val="en-US" w:eastAsia="zh-CN"/>
        </w:rPr>
        <w:t>300</w:t>
      </w:r>
      <w:r>
        <w:rPr>
          <w:rFonts w:hint="eastAsia" w:ascii="宋体" w:hAnsi="宋体"/>
          <w:snapToGrid w:val="0"/>
          <w:sz w:val="24"/>
          <w:szCs w:val="24"/>
          <w:lang w:eastAsia="zh-CN"/>
        </w:rPr>
        <w:t>kW</w:t>
      </w:r>
      <w:r>
        <w:rPr>
          <w:rFonts w:hint="eastAsia" w:ascii="宋体" w:hAnsi="宋体"/>
          <w:snapToGrid w:val="0"/>
          <w:sz w:val="24"/>
          <w:szCs w:val="24"/>
          <w:lang w:val="en-US" w:eastAsia="zh-CN"/>
        </w:rPr>
        <w:t>以上组串式逆变器产品</w:t>
      </w:r>
      <w:r>
        <w:rPr>
          <w:rFonts w:hint="eastAsia" w:ascii="宋体" w:hAnsi="宋体"/>
          <w:snapToGrid w:val="0"/>
          <w:sz w:val="24"/>
          <w:szCs w:val="24"/>
        </w:rPr>
        <w:t>的工程应用证明材料</w:t>
      </w:r>
      <w:r>
        <w:rPr>
          <w:rFonts w:hint="eastAsia" w:ascii="宋体" w:hAnsi="宋体"/>
          <w:snapToGrid w:val="0"/>
          <w:sz w:val="24"/>
          <w:szCs w:val="24"/>
          <w:lang w:eastAsia="zh-CN"/>
        </w:rPr>
        <w:t>（</w:t>
      </w:r>
      <w:r>
        <w:rPr>
          <w:rFonts w:hint="eastAsia" w:ascii="宋体" w:hAnsi="宋体"/>
          <w:snapToGrid w:val="0"/>
          <w:sz w:val="24"/>
          <w:szCs w:val="24"/>
        </w:rPr>
        <w:t>包括项目名称、项目地点、项目规模、产品应用情况等，并加盖项目业主单位公章</w:t>
      </w:r>
      <w:r>
        <w:rPr>
          <w:rFonts w:hint="eastAsia" w:ascii="宋体" w:hAnsi="宋体"/>
          <w:snapToGrid w:val="0"/>
          <w:sz w:val="24"/>
          <w:szCs w:val="24"/>
          <w:lang w:eastAsia="zh-CN"/>
        </w:rPr>
        <w:t>）</w:t>
      </w:r>
      <w:r>
        <w:rPr>
          <w:rFonts w:hint="eastAsia" w:ascii="宋体" w:hAnsi="宋体"/>
          <w:snapToGrid w:val="0"/>
          <w:sz w:val="24"/>
          <w:szCs w:val="24"/>
        </w:rPr>
        <w:t>。</w:t>
      </w:r>
    </w:p>
    <w:p w14:paraId="26302D7D">
      <w:pPr>
        <w:keepNext/>
        <w:keepLines/>
        <w:pageBreakBefore w:val="0"/>
        <w:widowControl w:val="0"/>
        <w:kinsoku/>
        <w:wordWrap/>
        <w:overflowPunct/>
        <w:topLinePunct w:val="0"/>
        <w:autoSpaceDE/>
        <w:autoSpaceDN/>
        <w:bidi w:val="0"/>
        <w:spacing w:line="560" w:lineRule="exact"/>
        <w:textAlignment w:val="auto"/>
        <w:outlineLvl w:val="2"/>
        <w:rPr>
          <w:rFonts w:ascii="宋体" w:hAnsi="宋体"/>
          <w:b/>
          <w:snapToGrid w:val="0"/>
          <w:sz w:val="24"/>
          <w:szCs w:val="24"/>
        </w:rPr>
      </w:pPr>
      <w:r>
        <w:rPr>
          <w:rFonts w:hint="eastAsia" w:ascii="宋体" w:hAnsi="宋体"/>
          <w:b/>
          <w:snapToGrid w:val="0"/>
          <w:sz w:val="24"/>
          <w:szCs w:val="24"/>
        </w:rPr>
        <w:t>4. 注意事项</w:t>
      </w:r>
    </w:p>
    <w:p w14:paraId="0433D2DA">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napToGrid w:val="0"/>
          <w:sz w:val="24"/>
          <w:szCs w:val="24"/>
          <w:lang w:bidi="he-IL"/>
        </w:rPr>
      </w:pPr>
      <w:r>
        <w:rPr>
          <w:rFonts w:hint="eastAsia" w:ascii="宋体" w:hAnsi="宋体"/>
          <w:snapToGrid w:val="0"/>
          <w:sz w:val="24"/>
          <w:szCs w:val="24"/>
          <w:lang w:val="en-US" w:eastAsia="zh-CN" w:bidi="he-IL"/>
        </w:rPr>
        <w:t>4.1</w:t>
      </w:r>
      <w:r>
        <w:rPr>
          <w:rFonts w:hint="eastAsia" w:ascii="宋体" w:hAnsi="宋体"/>
          <w:snapToGrid w:val="0"/>
          <w:sz w:val="24"/>
          <w:szCs w:val="24"/>
          <w:lang w:bidi="he-IL"/>
        </w:rPr>
        <w:t>各类电力企事业单位、科研院所、高等院校和设备供应商等均可申报，产权共有的，应由一家单位征得其他单位同意后提出申报，不得分别申请。明确申报主体的责任和义务，确保申报过程的规范性和统一性。</w:t>
      </w:r>
    </w:p>
    <w:p w14:paraId="4DCD9006">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napToGrid w:val="0"/>
          <w:sz w:val="24"/>
          <w:szCs w:val="24"/>
          <w:lang w:bidi="he-IL"/>
        </w:rPr>
      </w:pPr>
      <w:r>
        <w:rPr>
          <w:rFonts w:hint="eastAsia" w:ascii="宋体" w:hAnsi="宋体"/>
          <w:snapToGrid w:val="0"/>
          <w:sz w:val="24"/>
          <w:szCs w:val="24"/>
          <w:lang w:val="en-US" w:eastAsia="zh-CN" w:bidi="he-IL"/>
        </w:rPr>
        <w:t>4.2</w:t>
      </w:r>
      <w:r>
        <w:rPr>
          <w:rFonts w:hint="eastAsia" w:ascii="宋体" w:hAnsi="宋体"/>
          <w:snapToGrid w:val="0"/>
          <w:sz w:val="24"/>
          <w:szCs w:val="24"/>
          <w:lang w:bidi="he-IL"/>
        </w:rPr>
        <w:t xml:space="preserve"> 对列入《推广目录》的产品、技术，协会将保护其知识产权，对于仿制或侵权产品不做推荐。</w:t>
      </w:r>
    </w:p>
    <w:p w14:paraId="38E2102C">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napToGrid w:val="0"/>
          <w:sz w:val="24"/>
          <w:szCs w:val="24"/>
          <w:lang w:bidi="he-IL"/>
        </w:rPr>
      </w:pPr>
      <w:r>
        <w:rPr>
          <w:rFonts w:hint="eastAsia" w:ascii="宋体" w:hAnsi="宋体"/>
          <w:snapToGrid w:val="0"/>
          <w:sz w:val="24"/>
          <w:szCs w:val="24"/>
          <w:lang w:val="en-US" w:eastAsia="zh-CN" w:bidi="he-IL"/>
        </w:rPr>
        <w:t>4.3</w:t>
      </w:r>
      <w:r>
        <w:rPr>
          <w:rFonts w:hint="eastAsia" w:ascii="宋体" w:hAnsi="宋体"/>
          <w:snapToGrid w:val="0"/>
          <w:sz w:val="24"/>
          <w:szCs w:val="24"/>
          <w:lang w:bidi="he-IL"/>
        </w:rPr>
        <w:t xml:space="preserve"> 在《推广目录》有效期内，企业应保证新能源产品的技术质量和服务水平。</w:t>
      </w:r>
    </w:p>
    <w:bookmarkEnd w:id="3"/>
    <w:bookmarkEnd w:id="4"/>
    <w:p w14:paraId="4D20EF31">
      <w:pPr>
        <w:keepNext/>
        <w:keepLines/>
        <w:pageBreakBefore w:val="0"/>
        <w:widowControl w:val="0"/>
        <w:kinsoku/>
        <w:wordWrap/>
        <w:overflowPunct/>
        <w:topLinePunct w:val="0"/>
        <w:autoSpaceDE/>
        <w:autoSpaceDN/>
        <w:bidi w:val="0"/>
        <w:adjustRightInd w:val="0"/>
        <w:snapToGrid w:val="0"/>
        <w:spacing w:line="560" w:lineRule="exact"/>
        <w:ind w:firstLine="241" w:firstLineChars="100"/>
        <w:textAlignment w:val="auto"/>
        <w:outlineLvl w:val="2"/>
        <w:rPr>
          <w:rFonts w:ascii="宋体" w:hAnsi="宋体"/>
          <w:b/>
          <w:bCs/>
          <w:snapToGrid w:val="0"/>
          <w:kern w:val="0"/>
          <w:sz w:val="24"/>
          <w:szCs w:val="24"/>
        </w:rPr>
      </w:pPr>
      <w:r>
        <w:rPr>
          <w:rFonts w:ascii="宋体" w:hAnsi="宋体"/>
          <w:b/>
          <w:bCs/>
          <w:snapToGrid w:val="0"/>
          <w:kern w:val="0"/>
          <w:sz w:val="24"/>
          <w:szCs w:val="24"/>
        </w:rPr>
        <w:t>5</w:t>
      </w:r>
      <w:r>
        <w:rPr>
          <w:rFonts w:hint="eastAsia" w:ascii="宋体" w:hAnsi="宋体"/>
          <w:b/>
          <w:bCs/>
          <w:snapToGrid w:val="0"/>
          <w:kern w:val="0"/>
          <w:sz w:val="24"/>
          <w:szCs w:val="24"/>
        </w:rPr>
        <w:t>.</w:t>
      </w:r>
      <w:r>
        <w:rPr>
          <w:rFonts w:hint="eastAsia" w:ascii="宋体" w:hAnsi="宋体"/>
          <w:b/>
          <w:bCs/>
          <w:snapToGrid w:val="0"/>
          <w:kern w:val="0"/>
          <w:sz w:val="24"/>
          <w:szCs w:val="24"/>
          <w:lang w:val="en-US" w:eastAsia="zh-CN"/>
        </w:rPr>
        <w:t>申报书</w:t>
      </w:r>
      <w:r>
        <w:rPr>
          <w:rFonts w:hint="eastAsia" w:ascii="宋体" w:hAnsi="宋体"/>
          <w:b/>
          <w:bCs/>
          <w:snapToGrid w:val="0"/>
          <w:kern w:val="0"/>
          <w:sz w:val="24"/>
          <w:szCs w:val="24"/>
        </w:rPr>
        <w:t>的获取</w:t>
      </w:r>
    </w:p>
    <w:p w14:paraId="226236BF">
      <w:pPr>
        <w:pageBreakBefore w:val="0"/>
        <w:widowControl w:val="0"/>
        <w:kinsoku/>
        <w:wordWrap/>
        <w:overflowPunct/>
        <w:topLinePunct w:val="0"/>
        <w:autoSpaceDE/>
        <w:autoSpaceDN/>
        <w:bidi w:val="0"/>
        <w:snapToGrid w:val="0"/>
        <w:spacing w:line="560" w:lineRule="exact"/>
        <w:ind w:firstLine="480" w:firstLineChars="200"/>
        <w:textAlignment w:val="auto"/>
        <w:rPr>
          <w:rFonts w:ascii="宋体" w:hAnsi="宋体"/>
          <w:bCs/>
          <w:snapToGrid w:val="0"/>
          <w:sz w:val="24"/>
          <w:szCs w:val="24"/>
        </w:rPr>
      </w:pPr>
      <w:r>
        <w:rPr>
          <w:rFonts w:ascii="宋体" w:hAnsi="宋体"/>
          <w:bCs/>
          <w:snapToGrid w:val="0"/>
          <w:sz w:val="24"/>
          <w:szCs w:val="24"/>
        </w:rPr>
        <w:t>5</w:t>
      </w:r>
      <w:r>
        <w:rPr>
          <w:rFonts w:hint="eastAsia" w:ascii="宋体" w:hAnsi="宋体"/>
          <w:bCs/>
          <w:snapToGrid w:val="0"/>
          <w:sz w:val="24"/>
          <w:szCs w:val="24"/>
        </w:rPr>
        <w:t>.1 获取</w:t>
      </w:r>
      <w:r>
        <w:rPr>
          <w:rFonts w:hint="eastAsia" w:ascii="宋体" w:hAnsi="宋体"/>
          <w:bCs/>
          <w:snapToGrid w:val="0"/>
          <w:sz w:val="24"/>
          <w:szCs w:val="24"/>
          <w:lang w:val="en-US" w:eastAsia="zh-CN"/>
        </w:rPr>
        <w:t>申报书</w:t>
      </w:r>
      <w:r>
        <w:rPr>
          <w:rFonts w:hint="eastAsia" w:ascii="宋体" w:hAnsi="宋体"/>
          <w:bCs/>
          <w:snapToGrid w:val="0"/>
          <w:sz w:val="24"/>
          <w:szCs w:val="24"/>
        </w:rPr>
        <w:t>的时间及地点：凡有意参</w:t>
      </w:r>
      <w:r>
        <w:rPr>
          <w:rFonts w:hint="eastAsia" w:ascii="宋体" w:hAnsi="宋体"/>
          <w:bCs/>
          <w:snapToGrid w:val="0"/>
          <w:sz w:val="24"/>
          <w:szCs w:val="24"/>
          <w:lang w:val="en-US" w:eastAsia="zh-CN"/>
        </w:rPr>
        <w:t>与</w:t>
      </w:r>
      <w:r>
        <w:rPr>
          <w:rFonts w:hint="eastAsia" w:ascii="宋体" w:hAnsi="宋体"/>
          <w:bCs/>
          <w:snapToGrid w:val="0"/>
          <w:sz w:val="24"/>
          <w:szCs w:val="24"/>
        </w:rPr>
        <w:t>，请于</w:t>
      </w:r>
      <w:r>
        <w:rPr>
          <w:rFonts w:hint="eastAsia" w:ascii="宋体" w:hAnsi="宋体"/>
          <w:b/>
          <w:snapToGrid w:val="0"/>
          <w:sz w:val="24"/>
          <w:szCs w:val="24"/>
          <w:u w:val="single"/>
        </w:rPr>
        <w:t>202</w:t>
      </w:r>
      <w:r>
        <w:rPr>
          <w:rFonts w:hint="eastAsia" w:ascii="宋体" w:hAnsi="宋体"/>
          <w:b/>
          <w:snapToGrid w:val="0"/>
          <w:sz w:val="24"/>
          <w:szCs w:val="24"/>
          <w:u w:val="single"/>
          <w:lang w:val="en-US" w:eastAsia="zh-CN"/>
        </w:rPr>
        <w:t>5</w:t>
      </w:r>
      <w:r>
        <w:rPr>
          <w:rFonts w:hint="eastAsia" w:ascii="宋体" w:hAnsi="宋体"/>
          <w:b/>
          <w:snapToGrid w:val="0"/>
          <w:sz w:val="24"/>
          <w:szCs w:val="24"/>
          <w:u w:val="single"/>
        </w:rPr>
        <w:t>年</w:t>
      </w:r>
      <w:r>
        <w:rPr>
          <w:rFonts w:hint="eastAsia" w:ascii="宋体" w:hAnsi="宋体"/>
          <w:b/>
          <w:snapToGrid w:val="0"/>
          <w:sz w:val="24"/>
          <w:szCs w:val="24"/>
          <w:u w:val="single"/>
          <w:lang w:val="en-US" w:eastAsia="zh-CN"/>
        </w:rPr>
        <w:t>3</w:t>
      </w:r>
      <w:r>
        <w:rPr>
          <w:rFonts w:hint="eastAsia" w:ascii="宋体" w:hAnsi="宋体"/>
          <w:b/>
          <w:snapToGrid w:val="0"/>
          <w:sz w:val="24"/>
          <w:szCs w:val="24"/>
          <w:u w:val="single"/>
        </w:rPr>
        <w:t>月</w:t>
      </w:r>
      <w:r>
        <w:rPr>
          <w:rFonts w:hint="eastAsia" w:ascii="宋体" w:hAnsi="宋体"/>
          <w:b/>
          <w:snapToGrid w:val="0"/>
          <w:sz w:val="24"/>
          <w:szCs w:val="24"/>
          <w:u w:val="single"/>
          <w:lang w:val="en-US" w:eastAsia="zh-CN"/>
        </w:rPr>
        <w:t>20</w:t>
      </w:r>
      <w:r>
        <w:rPr>
          <w:rFonts w:hint="eastAsia" w:ascii="宋体" w:hAnsi="宋体"/>
          <w:b/>
          <w:snapToGrid w:val="0"/>
          <w:sz w:val="24"/>
          <w:szCs w:val="24"/>
          <w:u w:val="single"/>
        </w:rPr>
        <w:t>日至202</w:t>
      </w:r>
      <w:r>
        <w:rPr>
          <w:rFonts w:hint="eastAsia" w:ascii="宋体" w:hAnsi="宋体"/>
          <w:b/>
          <w:snapToGrid w:val="0"/>
          <w:sz w:val="24"/>
          <w:szCs w:val="24"/>
          <w:u w:val="single"/>
          <w:lang w:val="en-US" w:eastAsia="zh-CN"/>
        </w:rPr>
        <w:t>5</w:t>
      </w:r>
      <w:r>
        <w:rPr>
          <w:rFonts w:hint="eastAsia" w:ascii="宋体" w:hAnsi="宋体"/>
          <w:b/>
          <w:snapToGrid w:val="0"/>
          <w:sz w:val="24"/>
          <w:szCs w:val="24"/>
          <w:u w:val="single"/>
        </w:rPr>
        <w:t>年</w:t>
      </w:r>
      <w:r>
        <w:rPr>
          <w:rFonts w:hint="eastAsia" w:ascii="宋体" w:hAnsi="宋体"/>
          <w:b/>
          <w:snapToGrid w:val="0"/>
          <w:sz w:val="24"/>
          <w:szCs w:val="24"/>
          <w:u w:val="single"/>
          <w:lang w:val="en-US" w:eastAsia="zh-CN"/>
        </w:rPr>
        <w:t>4</w:t>
      </w:r>
      <w:r>
        <w:rPr>
          <w:rFonts w:hint="eastAsia" w:ascii="宋体" w:hAnsi="宋体"/>
          <w:b/>
          <w:snapToGrid w:val="0"/>
          <w:sz w:val="24"/>
          <w:szCs w:val="24"/>
          <w:u w:val="single"/>
        </w:rPr>
        <w:t>月</w:t>
      </w:r>
      <w:r>
        <w:rPr>
          <w:rFonts w:hint="eastAsia" w:ascii="宋体" w:hAnsi="宋体"/>
          <w:b/>
          <w:snapToGrid w:val="0"/>
          <w:sz w:val="24"/>
          <w:szCs w:val="24"/>
          <w:u w:val="single"/>
          <w:lang w:val="en-US" w:eastAsia="zh-CN"/>
        </w:rPr>
        <w:t>20</w:t>
      </w:r>
      <w:r>
        <w:rPr>
          <w:rFonts w:hint="eastAsia" w:ascii="宋体" w:hAnsi="宋体"/>
          <w:b/>
          <w:snapToGrid w:val="0"/>
          <w:sz w:val="24"/>
          <w:szCs w:val="24"/>
          <w:u w:val="single"/>
        </w:rPr>
        <w:t>日</w:t>
      </w:r>
      <w:r>
        <w:rPr>
          <w:rFonts w:hint="eastAsia" w:ascii="宋体" w:hAnsi="宋体"/>
          <w:b/>
          <w:snapToGrid w:val="0"/>
          <w:sz w:val="24"/>
          <w:szCs w:val="24"/>
          <w:u w:val="single"/>
          <w:lang w:val="en-US" w:eastAsia="zh-CN"/>
        </w:rPr>
        <w:t>18</w:t>
      </w:r>
      <w:r>
        <w:rPr>
          <w:rFonts w:hint="eastAsia" w:ascii="宋体" w:hAnsi="宋体"/>
          <w:b/>
          <w:snapToGrid w:val="0"/>
          <w:sz w:val="24"/>
          <w:szCs w:val="24"/>
          <w:u w:val="single"/>
        </w:rPr>
        <w:t>时</w:t>
      </w:r>
      <w:r>
        <w:rPr>
          <w:rFonts w:hint="eastAsia" w:ascii="宋体" w:hAnsi="宋体"/>
          <w:bCs/>
          <w:snapToGrid w:val="0"/>
          <w:sz w:val="24"/>
          <w:szCs w:val="24"/>
        </w:rPr>
        <w:t>（北京时间，下</w:t>
      </w:r>
      <w:r>
        <w:rPr>
          <w:rFonts w:hint="eastAsia" w:ascii="宋体" w:hAnsi="宋体" w:eastAsia="宋体" w:cs="Times New Roman"/>
          <w:bCs/>
          <w:snapToGrid w:val="0"/>
          <w:sz w:val="24"/>
          <w:szCs w:val="24"/>
          <w:lang w:val="en-US" w:eastAsia="zh-CN"/>
        </w:rPr>
        <w:t>同），登录中国电力建设企业协会官网</w:t>
      </w:r>
      <w:r>
        <w:rPr>
          <w:rFonts w:hint="eastAsia" w:ascii="宋体" w:hAnsi="宋体" w:cs="Times New Roman"/>
          <w:bCs/>
          <w:snapToGrid w:val="0"/>
          <w:sz w:val="24"/>
          <w:szCs w:val="24"/>
          <w:lang w:val="en-US" w:eastAsia="zh-CN"/>
        </w:rPr>
        <w:t>（http://www.cepca.org.cn/）</w:t>
      </w:r>
      <w:r>
        <w:rPr>
          <w:rFonts w:hint="eastAsia" w:ascii="宋体" w:hAnsi="宋体" w:eastAsia="宋体" w:cs="Times New Roman"/>
          <w:bCs/>
          <w:snapToGrid w:val="0"/>
          <w:sz w:val="24"/>
          <w:szCs w:val="24"/>
          <w:lang w:val="en-US" w:eastAsia="zh-CN"/>
        </w:rPr>
        <w:t>和上海新能源行业协会官网</w:t>
      </w:r>
      <w:r>
        <w:rPr>
          <w:rFonts w:hint="eastAsia" w:ascii="宋体" w:hAnsi="宋体" w:cs="Times New Roman"/>
          <w:bCs/>
          <w:snapToGrid w:val="0"/>
          <w:sz w:val="24"/>
          <w:szCs w:val="24"/>
          <w:lang w:val="en-US" w:eastAsia="zh-CN"/>
        </w:rPr>
        <w:t>（ https://sneia.org/）</w:t>
      </w:r>
      <w:r>
        <w:rPr>
          <w:rFonts w:hint="eastAsia" w:ascii="宋体" w:hAnsi="宋体"/>
          <w:bCs/>
          <w:snapToGrid w:val="0"/>
          <w:sz w:val="24"/>
          <w:szCs w:val="24"/>
        </w:rPr>
        <w:t>，下载</w:t>
      </w:r>
      <w:r>
        <w:rPr>
          <w:rFonts w:hint="eastAsia" w:ascii="宋体" w:hAnsi="宋体"/>
          <w:bCs/>
          <w:snapToGrid w:val="0"/>
          <w:sz w:val="24"/>
          <w:szCs w:val="24"/>
          <w:lang w:val="en-US" w:eastAsia="zh-CN"/>
        </w:rPr>
        <w:t>并按要求填写《电力建设新能源产品推广申报书》和《电力建设新能源产品申报汇总表》</w:t>
      </w:r>
      <w:r>
        <w:rPr>
          <w:rFonts w:hint="eastAsia" w:ascii="宋体" w:hAnsi="宋体"/>
          <w:bCs/>
          <w:snapToGrid w:val="0"/>
          <w:sz w:val="24"/>
          <w:szCs w:val="24"/>
        </w:rPr>
        <w:t>。</w:t>
      </w:r>
    </w:p>
    <w:p w14:paraId="6164ED22">
      <w:pPr>
        <w:keepNext/>
        <w:keepLines/>
        <w:pageBreakBefore w:val="0"/>
        <w:widowControl w:val="0"/>
        <w:kinsoku/>
        <w:wordWrap/>
        <w:overflowPunct/>
        <w:topLinePunct w:val="0"/>
        <w:autoSpaceDE/>
        <w:autoSpaceDN/>
        <w:bidi w:val="0"/>
        <w:adjustRightInd w:val="0"/>
        <w:snapToGrid w:val="0"/>
        <w:spacing w:line="560" w:lineRule="exact"/>
        <w:ind w:firstLine="241" w:firstLineChars="100"/>
        <w:textAlignment w:val="auto"/>
        <w:outlineLvl w:val="2"/>
        <w:rPr>
          <w:rFonts w:ascii="宋体" w:hAnsi="宋体"/>
          <w:b/>
          <w:bCs/>
          <w:snapToGrid w:val="0"/>
          <w:kern w:val="0"/>
          <w:sz w:val="24"/>
          <w:szCs w:val="24"/>
        </w:rPr>
      </w:pPr>
      <w:bookmarkStart w:id="6" w:name="_Toc501369087"/>
      <w:bookmarkStart w:id="7" w:name="_Toc503514282"/>
      <w:bookmarkStart w:id="8" w:name="_Toc61335210"/>
      <w:r>
        <w:rPr>
          <w:rFonts w:ascii="宋体" w:hAnsi="宋体"/>
          <w:b/>
          <w:bCs/>
          <w:snapToGrid w:val="0"/>
          <w:kern w:val="0"/>
          <w:sz w:val="24"/>
          <w:szCs w:val="24"/>
        </w:rPr>
        <w:t>6</w:t>
      </w:r>
      <w:r>
        <w:rPr>
          <w:rFonts w:hint="eastAsia" w:ascii="宋体" w:hAnsi="宋体"/>
          <w:b/>
          <w:bCs/>
          <w:snapToGrid w:val="0"/>
          <w:kern w:val="0"/>
          <w:sz w:val="24"/>
          <w:szCs w:val="24"/>
        </w:rPr>
        <w:t>.</w:t>
      </w:r>
      <w:r>
        <w:rPr>
          <w:rFonts w:hint="eastAsia" w:ascii="宋体" w:hAnsi="宋体"/>
          <w:b/>
          <w:bCs/>
          <w:snapToGrid w:val="0"/>
          <w:kern w:val="0"/>
          <w:sz w:val="24"/>
          <w:szCs w:val="24"/>
          <w:lang w:eastAsia="zh-CN"/>
        </w:rPr>
        <w:t>申报书</w:t>
      </w:r>
      <w:r>
        <w:rPr>
          <w:rFonts w:hint="eastAsia" w:ascii="宋体" w:hAnsi="宋体"/>
          <w:b/>
          <w:bCs/>
          <w:snapToGrid w:val="0"/>
          <w:kern w:val="0"/>
          <w:sz w:val="24"/>
          <w:szCs w:val="24"/>
        </w:rPr>
        <w:t>的递交</w:t>
      </w:r>
      <w:bookmarkEnd w:id="6"/>
      <w:bookmarkEnd w:id="7"/>
      <w:bookmarkEnd w:id="8"/>
    </w:p>
    <w:p w14:paraId="07A0890E">
      <w:pPr>
        <w:pageBreakBefore w:val="0"/>
        <w:widowControl w:val="0"/>
        <w:kinsoku/>
        <w:wordWrap/>
        <w:overflowPunct/>
        <w:topLinePunct w:val="0"/>
        <w:autoSpaceDE/>
        <w:autoSpaceDN/>
        <w:bidi w:val="0"/>
        <w:snapToGrid w:val="0"/>
        <w:spacing w:line="560" w:lineRule="exact"/>
        <w:ind w:left="19" w:leftChars="9" w:firstLine="458" w:firstLineChars="191"/>
        <w:textAlignment w:val="auto"/>
        <w:rPr>
          <w:rFonts w:ascii="宋体" w:hAnsi="宋体"/>
          <w:b/>
          <w:bCs/>
          <w:sz w:val="24"/>
          <w:szCs w:val="24"/>
          <w:u w:val="single"/>
        </w:rPr>
      </w:pPr>
      <w:r>
        <w:rPr>
          <w:rFonts w:ascii="宋体" w:hAnsi="宋体"/>
          <w:sz w:val="24"/>
          <w:szCs w:val="24"/>
        </w:rPr>
        <w:t>6</w:t>
      </w:r>
      <w:r>
        <w:rPr>
          <w:rFonts w:hint="eastAsia" w:ascii="宋体" w:hAnsi="宋体"/>
          <w:sz w:val="24"/>
          <w:szCs w:val="24"/>
        </w:rPr>
        <w:t>.1 递交</w:t>
      </w:r>
      <w:r>
        <w:rPr>
          <w:rFonts w:hint="eastAsia" w:ascii="宋体" w:hAnsi="宋体"/>
          <w:sz w:val="24"/>
          <w:szCs w:val="24"/>
          <w:lang w:val="en-US" w:eastAsia="zh-CN"/>
        </w:rPr>
        <w:t>申报书</w:t>
      </w:r>
      <w:r>
        <w:rPr>
          <w:rFonts w:hint="eastAsia" w:ascii="宋体" w:hAnsi="宋体"/>
          <w:sz w:val="24"/>
          <w:szCs w:val="24"/>
        </w:rPr>
        <w:t>截止时间：</w:t>
      </w:r>
      <w:r>
        <w:rPr>
          <w:rFonts w:hint="eastAsia" w:ascii="宋体" w:hAnsi="宋体"/>
          <w:b/>
          <w:bCs/>
          <w:sz w:val="24"/>
          <w:szCs w:val="24"/>
          <w:u w:val="single"/>
        </w:rPr>
        <w:t>202</w:t>
      </w:r>
      <w:r>
        <w:rPr>
          <w:rFonts w:hint="eastAsia" w:ascii="宋体" w:hAnsi="宋体"/>
          <w:b/>
          <w:bCs/>
          <w:sz w:val="24"/>
          <w:szCs w:val="24"/>
          <w:u w:val="single"/>
          <w:lang w:val="en-US" w:eastAsia="zh-CN"/>
        </w:rPr>
        <w:t>5</w:t>
      </w:r>
      <w:r>
        <w:rPr>
          <w:rFonts w:hint="eastAsia" w:ascii="宋体" w:hAnsi="宋体"/>
          <w:b/>
          <w:bCs/>
          <w:sz w:val="24"/>
          <w:szCs w:val="24"/>
          <w:u w:val="single"/>
        </w:rPr>
        <w:t>年</w:t>
      </w:r>
      <w:r>
        <w:rPr>
          <w:rFonts w:hint="eastAsia" w:ascii="宋体" w:hAnsi="宋体"/>
          <w:b/>
          <w:bCs/>
          <w:sz w:val="24"/>
          <w:szCs w:val="24"/>
          <w:u w:val="single"/>
          <w:lang w:val="en-US" w:eastAsia="zh-CN"/>
        </w:rPr>
        <w:t>4</w:t>
      </w:r>
      <w:r>
        <w:rPr>
          <w:rFonts w:hint="eastAsia" w:ascii="宋体" w:hAnsi="宋体"/>
          <w:b/>
          <w:bCs/>
          <w:sz w:val="24"/>
          <w:szCs w:val="24"/>
          <w:u w:val="single"/>
        </w:rPr>
        <w:t>月</w:t>
      </w:r>
      <w:r>
        <w:rPr>
          <w:rFonts w:hint="eastAsia" w:ascii="宋体" w:hAnsi="宋体"/>
          <w:b/>
          <w:bCs/>
          <w:sz w:val="24"/>
          <w:szCs w:val="24"/>
          <w:u w:val="single"/>
          <w:lang w:val="en-US" w:eastAsia="zh-CN"/>
        </w:rPr>
        <w:t>20</w:t>
      </w:r>
      <w:r>
        <w:rPr>
          <w:rFonts w:hint="eastAsia" w:ascii="宋体" w:hAnsi="宋体"/>
          <w:b/>
          <w:bCs/>
          <w:sz w:val="24"/>
          <w:szCs w:val="24"/>
          <w:u w:val="single"/>
        </w:rPr>
        <w:t>日</w:t>
      </w:r>
      <w:r>
        <w:rPr>
          <w:rFonts w:hint="eastAsia" w:ascii="宋体" w:hAnsi="宋体"/>
          <w:b/>
          <w:bCs/>
          <w:sz w:val="24"/>
          <w:szCs w:val="24"/>
          <w:u w:val="single"/>
          <w:lang w:val="en-US" w:eastAsia="zh-CN"/>
        </w:rPr>
        <w:t>下午18</w:t>
      </w:r>
      <w:r>
        <w:rPr>
          <w:rFonts w:hint="eastAsia" w:ascii="宋体" w:hAnsi="宋体"/>
          <w:b/>
          <w:bCs/>
          <w:sz w:val="24"/>
          <w:szCs w:val="24"/>
          <w:u w:val="single"/>
        </w:rPr>
        <w:t>：00。</w:t>
      </w:r>
    </w:p>
    <w:p w14:paraId="5B4ECB49">
      <w:pPr>
        <w:pageBreakBefore w:val="0"/>
        <w:widowControl w:val="0"/>
        <w:kinsoku/>
        <w:wordWrap/>
        <w:overflowPunct/>
        <w:topLinePunct w:val="0"/>
        <w:autoSpaceDE/>
        <w:autoSpaceDN/>
        <w:bidi w:val="0"/>
        <w:snapToGrid w:val="0"/>
        <w:spacing w:line="560" w:lineRule="exact"/>
        <w:ind w:firstLine="480" w:firstLineChars="200"/>
        <w:jc w:val="left"/>
        <w:textAlignment w:val="auto"/>
        <w:rPr>
          <w:rFonts w:ascii="宋体" w:hAnsi="宋体"/>
          <w:sz w:val="24"/>
          <w:szCs w:val="24"/>
        </w:rPr>
      </w:pPr>
      <w:r>
        <w:rPr>
          <w:rFonts w:ascii="宋体" w:hAnsi="宋体"/>
          <w:sz w:val="24"/>
          <w:szCs w:val="24"/>
        </w:rPr>
        <w:t>6</w:t>
      </w:r>
      <w:r>
        <w:rPr>
          <w:rFonts w:hint="eastAsia" w:ascii="宋体" w:hAnsi="宋体"/>
          <w:sz w:val="24"/>
          <w:szCs w:val="24"/>
        </w:rPr>
        <w:t>.2 递交方式：</w:t>
      </w:r>
      <w:r>
        <w:rPr>
          <w:rFonts w:hint="eastAsia" w:ascii="宋体" w:hAnsi="宋体"/>
          <w:sz w:val="24"/>
          <w:szCs w:val="24"/>
          <w:lang w:val="en-US" w:eastAsia="zh-CN"/>
        </w:rPr>
        <w:t>发至中电建协联系人邮箱：</w:t>
      </w:r>
      <w:r>
        <w:rPr>
          <w:rFonts w:hint="eastAsia" w:ascii="宋体" w:hAnsi="宋体"/>
          <w:sz w:val="24"/>
          <w:szCs w:val="24"/>
          <w:lang w:val="en-US" w:eastAsia="zh-CN"/>
        </w:rPr>
        <w:fldChar w:fldCharType="begin"/>
      </w:r>
      <w:r>
        <w:rPr>
          <w:rFonts w:hint="eastAsia" w:ascii="宋体" w:hAnsi="宋体"/>
          <w:sz w:val="24"/>
          <w:szCs w:val="24"/>
          <w:lang w:val="en-US" w:eastAsia="zh-CN"/>
        </w:rPr>
        <w:instrText xml:space="preserve"> HYPERLINK "mailto:wangyishun@cepca.org.cn" </w:instrText>
      </w:r>
      <w:r>
        <w:rPr>
          <w:rFonts w:hint="eastAsia" w:ascii="宋体" w:hAnsi="宋体"/>
          <w:sz w:val="24"/>
          <w:szCs w:val="24"/>
          <w:lang w:val="en-US" w:eastAsia="zh-CN"/>
        </w:rPr>
        <w:fldChar w:fldCharType="separate"/>
      </w:r>
      <w:r>
        <w:rPr>
          <w:rFonts w:hint="eastAsia" w:ascii="宋体" w:hAnsi="宋体"/>
          <w:sz w:val="24"/>
          <w:szCs w:val="24"/>
          <w:lang w:val="en-US" w:eastAsia="zh-CN"/>
        </w:rPr>
        <w:t>zhanghaibin@cepca.org.cn</w:t>
      </w:r>
      <w:r>
        <w:rPr>
          <w:rFonts w:hint="eastAsia" w:ascii="宋体" w:hAnsi="宋体"/>
          <w:sz w:val="24"/>
          <w:szCs w:val="24"/>
          <w:lang w:val="en-US" w:eastAsia="zh-CN"/>
        </w:rPr>
        <w:fldChar w:fldCharType="end"/>
      </w:r>
      <w:r>
        <w:rPr>
          <w:rFonts w:hint="eastAsia" w:ascii="宋体" w:hAnsi="宋体"/>
          <w:sz w:val="24"/>
          <w:szCs w:val="24"/>
          <w:lang w:val="en-US" w:eastAsia="zh-CN"/>
        </w:rPr>
        <w:t>或上海新能源行业协会联系人邮箱：yrwang@snec.org.cn。</w:t>
      </w:r>
    </w:p>
    <w:p w14:paraId="53F1E633">
      <w:pPr>
        <w:keepNext/>
        <w:keepLines/>
        <w:pageBreakBefore w:val="0"/>
        <w:widowControl w:val="0"/>
        <w:kinsoku/>
        <w:wordWrap/>
        <w:overflowPunct/>
        <w:topLinePunct w:val="0"/>
        <w:autoSpaceDE/>
        <w:autoSpaceDN/>
        <w:bidi w:val="0"/>
        <w:adjustRightInd w:val="0"/>
        <w:snapToGrid w:val="0"/>
        <w:spacing w:line="560" w:lineRule="exact"/>
        <w:ind w:firstLine="241" w:firstLineChars="100"/>
        <w:textAlignment w:val="auto"/>
        <w:outlineLvl w:val="2"/>
        <w:rPr>
          <w:rFonts w:ascii="宋体" w:hAnsi="宋体"/>
          <w:b/>
          <w:bCs/>
          <w:snapToGrid w:val="0"/>
          <w:kern w:val="0"/>
          <w:sz w:val="24"/>
          <w:szCs w:val="24"/>
        </w:rPr>
      </w:pPr>
      <w:bookmarkStart w:id="9" w:name="_Toc501369088"/>
      <w:bookmarkStart w:id="10" w:name="_Toc503514283"/>
      <w:bookmarkStart w:id="11" w:name="_Toc61335211"/>
      <w:r>
        <w:rPr>
          <w:rFonts w:ascii="宋体" w:hAnsi="宋体"/>
          <w:b/>
          <w:bCs/>
          <w:snapToGrid w:val="0"/>
          <w:kern w:val="0"/>
          <w:sz w:val="24"/>
          <w:szCs w:val="24"/>
        </w:rPr>
        <w:t>7</w:t>
      </w:r>
      <w:r>
        <w:rPr>
          <w:rFonts w:hint="eastAsia" w:ascii="宋体" w:hAnsi="宋体"/>
          <w:b/>
          <w:bCs/>
          <w:snapToGrid w:val="0"/>
          <w:kern w:val="0"/>
          <w:sz w:val="24"/>
          <w:szCs w:val="24"/>
        </w:rPr>
        <w:t>.发布公告的媒介</w:t>
      </w:r>
      <w:bookmarkEnd w:id="9"/>
      <w:bookmarkEnd w:id="10"/>
      <w:bookmarkEnd w:id="11"/>
    </w:p>
    <w:p w14:paraId="74B79E03">
      <w:pPr>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ascii="宋体" w:hAnsi="宋体"/>
          <w:sz w:val="24"/>
          <w:szCs w:val="24"/>
        </w:rPr>
      </w:pPr>
      <w:r>
        <w:rPr>
          <w:rFonts w:hint="eastAsia" w:ascii="宋体" w:hAnsi="宋体"/>
          <w:sz w:val="24"/>
          <w:szCs w:val="24"/>
        </w:rPr>
        <w:t>本次</w:t>
      </w:r>
      <w:r>
        <w:rPr>
          <w:rFonts w:hint="eastAsia" w:ascii="宋体" w:hAnsi="宋体"/>
          <w:sz w:val="24"/>
          <w:szCs w:val="24"/>
          <w:lang w:val="en-US" w:eastAsia="zh-CN"/>
        </w:rPr>
        <w:t>申报</w:t>
      </w:r>
      <w:r>
        <w:rPr>
          <w:rFonts w:hint="eastAsia" w:ascii="宋体" w:hAnsi="宋体"/>
          <w:sz w:val="24"/>
          <w:szCs w:val="24"/>
        </w:rPr>
        <w:t>公告同时在</w:t>
      </w:r>
      <w:r>
        <w:rPr>
          <w:rFonts w:hint="eastAsia" w:ascii="宋体" w:hAnsi="宋体" w:eastAsia="宋体" w:cs="Times New Roman"/>
          <w:bCs/>
          <w:snapToGrid w:val="0"/>
          <w:sz w:val="24"/>
          <w:szCs w:val="24"/>
          <w:lang w:val="en-US" w:eastAsia="zh-CN"/>
        </w:rPr>
        <w:t>中国电力建设企业协会官网和上海新能源行业协会官网上</w:t>
      </w:r>
      <w:r>
        <w:rPr>
          <w:rFonts w:hint="eastAsia" w:ascii="宋体" w:hAnsi="宋体"/>
          <w:sz w:val="24"/>
          <w:szCs w:val="24"/>
        </w:rPr>
        <w:t>发布。</w:t>
      </w:r>
    </w:p>
    <w:p w14:paraId="02BED8C1">
      <w:pPr>
        <w:keepNext/>
        <w:keepLines/>
        <w:pageBreakBefore w:val="0"/>
        <w:widowControl w:val="0"/>
        <w:kinsoku/>
        <w:wordWrap/>
        <w:overflowPunct/>
        <w:topLinePunct w:val="0"/>
        <w:autoSpaceDE/>
        <w:autoSpaceDN/>
        <w:bidi w:val="0"/>
        <w:adjustRightInd w:val="0"/>
        <w:snapToGrid w:val="0"/>
        <w:spacing w:line="560" w:lineRule="exact"/>
        <w:ind w:firstLine="241" w:firstLineChars="100"/>
        <w:textAlignment w:val="auto"/>
        <w:outlineLvl w:val="2"/>
        <w:rPr>
          <w:rFonts w:ascii="宋体" w:hAnsi="宋体"/>
          <w:b/>
          <w:bCs/>
          <w:snapToGrid w:val="0"/>
          <w:kern w:val="0"/>
          <w:sz w:val="24"/>
          <w:szCs w:val="24"/>
        </w:rPr>
      </w:pPr>
      <w:bookmarkStart w:id="12" w:name="_Toc61335212"/>
      <w:r>
        <w:rPr>
          <w:rFonts w:ascii="宋体" w:hAnsi="宋体"/>
          <w:b/>
          <w:bCs/>
          <w:snapToGrid w:val="0"/>
          <w:kern w:val="0"/>
          <w:sz w:val="24"/>
          <w:szCs w:val="24"/>
        </w:rPr>
        <w:t>8.</w:t>
      </w:r>
      <w:r>
        <w:rPr>
          <w:rFonts w:hint="eastAsia" w:ascii="宋体" w:hAnsi="宋体"/>
          <w:b/>
          <w:bCs/>
          <w:snapToGrid w:val="0"/>
          <w:kern w:val="0"/>
          <w:sz w:val="24"/>
          <w:szCs w:val="24"/>
        </w:rPr>
        <w:t>联系方式</w:t>
      </w:r>
      <w:bookmarkEnd w:id="12"/>
    </w:p>
    <w:p w14:paraId="314BAB7B">
      <w:pPr>
        <w:adjustRightInd w:val="0"/>
        <w:snapToGrid w:val="0"/>
        <w:spacing w:line="5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中</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电</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建</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协</w:t>
      </w:r>
      <w:r>
        <w:rPr>
          <w:rFonts w:hint="eastAsia" w:ascii="宋体" w:hAnsi="宋体" w:eastAsia="宋体" w:cs="Times New Roman"/>
          <w:sz w:val="24"/>
          <w:szCs w:val="24"/>
          <w:lang w:val="en-US" w:eastAsia="zh-CN"/>
        </w:rPr>
        <w:t xml:space="preserve">  联  系人</w:t>
      </w:r>
      <w:r>
        <w:rPr>
          <w:rFonts w:hint="eastAsia" w:ascii="宋体" w:hAnsi="宋体" w:eastAsia="宋体" w:cs="Times New Roman"/>
          <w:sz w:val="24"/>
          <w:szCs w:val="24"/>
        </w:rPr>
        <w:t>：张海斌  13651070981</w:t>
      </w:r>
    </w:p>
    <w:p w14:paraId="2B76A7DB">
      <w:pPr>
        <w:adjustRightInd w:val="0"/>
        <w:snapToGrid w:val="0"/>
        <w:spacing w:line="560" w:lineRule="exact"/>
        <w:ind w:firstLine="480" w:firstLineChars="200"/>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 xml:space="preserve">上海新能源行业协会联系人：王一然 </w:t>
      </w:r>
      <w:r>
        <w:rPr>
          <w:rFonts w:hint="eastAsia" w:ascii="宋体" w:hAnsi="宋体" w:cs="Times New Roman"/>
          <w:sz w:val="24"/>
          <w:szCs w:val="24"/>
          <w:lang w:val="en-US" w:eastAsia="zh-CN"/>
        </w:rPr>
        <w:t xml:space="preserve"> 17317358063</w:t>
      </w:r>
    </w:p>
    <w:p w14:paraId="494825C3">
      <w:bookmarkStart w:id="13" w:name="_GoBack"/>
      <w:bookmarkEnd w:id="13"/>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B30B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9B036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19B036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BB079F"/>
    <w:rsid w:val="04246D9C"/>
    <w:rsid w:val="0BA75542"/>
    <w:rsid w:val="111231C3"/>
    <w:rsid w:val="13BB079F"/>
    <w:rsid w:val="1A536C80"/>
    <w:rsid w:val="434D29C4"/>
    <w:rsid w:val="4536378A"/>
    <w:rsid w:val="51611D91"/>
    <w:rsid w:val="63CB2832"/>
    <w:rsid w:val="6E047B17"/>
    <w:rsid w:val="79764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560" w:lineRule="exact"/>
      <w:ind w:firstLine="624"/>
      <w:jc w:val="left"/>
      <w:textAlignment w:val="baseline"/>
    </w:pPr>
    <w:rPr>
      <w:kern w:val="0"/>
      <w:szCs w:val="32"/>
    </w:r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2474</Words>
  <Characters>2736</Characters>
  <Lines>0</Lines>
  <Paragraphs>0</Paragraphs>
  <TotalTime>0</TotalTime>
  <ScaleCrop>false</ScaleCrop>
  <LinksUpToDate>false</LinksUpToDate>
  <CharactersWithSpaces>2786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2025-02-07T06:10:00Z</dcterms:created>
  <dc:creator>Mr.丙峄</dc:creator>
  <cp:lastModifiedBy>张海斌</cp:lastModifiedBy>
  <dcterms:modified xsi:type="dcterms:W3CDTF">2025-03-18T02:56:57Z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8B6701D504E9406482AA74C5F8DD2437_13</vt:lpwstr>
  </property>
  <property fmtid="{D5CDD505-2E9C-101B-9397-08002B2CF9AE}" pid="4" name="KSOTemplateDocerSaveRecord">
    <vt:lpwstr>eyJoZGlkIjoiMmIyMDAzZjBjOTMxZjlmMTNhMWNkMzU2ZDM2ZGQ5N2EiLCJ1c2VySWQiOiI3MzM2NDY2NzUifQ==</vt:lpwstr>
  </property>
</Properties>
</file>