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A950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71FBFE">
            <w:pPr>
              <w:pStyle w:val="25"/>
              <w:framePr w:wrap="notBeside" w:vAnchor="page" w:hAnchor="page" w:x="1372" w:y="568"/>
              <w:tabs>
                <w:tab w:val="clear" w:pos="4153"/>
                <w:tab w:val="clear" w:pos="8306"/>
              </w:tabs>
              <w:spacing w:line="240" w:lineRule="auto"/>
              <w:jc w:val="left"/>
              <w:rPr>
                <w:rFonts w:hint="eastAsia" w:ascii="黑体" w:hAnsi="黑体" w:eastAsia="黑体"/>
                <w:color w:val="auto"/>
                <w:sz w:val="21"/>
                <w:szCs w:val="21"/>
              </w:rPr>
            </w:pPr>
            <w:r>
              <w:rPr>
                <w:rFonts w:ascii="Times New Roman" w:hAnsi="Times New Roman" w:eastAsia="黑体"/>
                <w:color w:val="auto"/>
                <w:sz w:val="21"/>
                <w:szCs w:val="21"/>
              </w:rPr>
              <w:t>ICS</w:t>
            </w:r>
            <w:r>
              <w:rPr>
                <w:rFonts w:ascii="黑体" w:hAnsi="黑体" w:eastAsia="黑体"/>
                <w:color w:val="auto"/>
                <w:sz w:val="21"/>
                <w:szCs w:val="21"/>
              </w:rPr>
              <w:t xml:space="preserve">  </w:t>
            </w:r>
          </w:p>
        </w:tc>
        <w:tc>
          <w:tcPr>
            <w:tcW w:w="8855" w:type="dxa"/>
          </w:tcPr>
          <w:p w14:paraId="56DD15AA">
            <w:pPr>
              <w:pStyle w:val="25"/>
              <w:framePr w:wrap="notBeside" w:vAnchor="page" w:hAnchor="page" w:x="1372" w:y="568"/>
              <w:tabs>
                <w:tab w:val="clear" w:pos="4153"/>
                <w:tab w:val="clear" w:pos="8306"/>
              </w:tabs>
              <w:spacing w:line="240" w:lineRule="auto"/>
              <w:jc w:val="both"/>
              <w:rPr>
                <w:rFonts w:hint="eastAsia" w:ascii="黑体" w:hAnsi="黑体" w:eastAsia="黑体"/>
                <w:color w:val="auto"/>
                <w:sz w:val="21"/>
                <w:szCs w:val="21"/>
              </w:rPr>
            </w:pPr>
            <w:r>
              <w:rPr>
                <w:rFonts w:ascii="黑体" w:hAnsi="黑体" w:eastAsia="黑体"/>
                <w:color w:val="auto"/>
                <w:sz w:val="21"/>
                <w:szCs w:val="21"/>
              </w:rPr>
              <w:fldChar w:fldCharType="begin">
                <w:ffData>
                  <w:name w:val="ICS"/>
                  <w:enabled/>
                  <w:calcOnExit w:val="0"/>
                  <w:textInput>
                    <w:default w:val="点击此处添加ICS号"/>
                  </w:textInput>
                </w:ffData>
              </w:fldChar>
            </w:r>
            <w:bookmarkStart w:id="0" w:name="ICS"/>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29.240</w:t>
            </w:r>
            <w:r>
              <w:rPr>
                <w:rFonts w:ascii="黑体" w:hAnsi="黑体" w:eastAsia="黑体"/>
                <w:color w:val="auto"/>
                <w:sz w:val="21"/>
                <w:szCs w:val="21"/>
              </w:rPr>
              <w:fldChar w:fldCharType="end"/>
            </w:r>
            <w:bookmarkEnd w:id="0"/>
          </w:p>
        </w:tc>
      </w:tr>
      <w:tr w14:paraId="5974D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1F3A6AC">
            <w:pPr>
              <w:pStyle w:val="25"/>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Times New Roman" w:hAnsi="Times New Roman" w:eastAsia="黑体"/>
                <w:color w:val="auto"/>
                <w:sz w:val="21"/>
                <w:szCs w:val="21"/>
              </w:rPr>
              <w:t xml:space="preserve">CCS </w:t>
            </w:r>
            <w:r>
              <w:rPr>
                <w:rFonts w:ascii="黑体" w:hAnsi="黑体" w:eastAsia="黑体"/>
                <w:color w:val="auto"/>
                <w:sz w:val="21"/>
                <w:szCs w:val="21"/>
              </w:rPr>
              <w:t xml:space="preserve"> </w:t>
            </w:r>
          </w:p>
        </w:tc>
        <w:tc>
          <w:tcPr>
            <w:tcW w:w="8855" w:type="dxa"/>
          </w:tcPr>
          <w:tbl>
            <w:tblPr>
              <w:tblStyle w:val="3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92CA74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B4DF7EA">
                  <w:pPr>
                    <w:pStyle w:val="71"/>
                    <w:framePr w:wrap="notBeside" w:vAnchor="page" w:hAnchor="page" w:x="1372" w:y="568"/>
                    <w:ind w:left="420" w:right="624"/>
                    <w:rPr>
                      <w:rFonts w:hint="eastAsia" w:ascii="宋体" w:hAnsi="宋体"/>
                      <w:color w:val="auto"/>
                      <w:sz w:val="28"/>
                      <w:szCs w:val="28"/>
                    </w:rPr>
                  </w:pPr>
                </w:p>
              </w:tc>
            </w:tr>
          </w:tbl>
          <w:p w14:paraId="0119E50D">
            <w:pPr>
              <w:pStyle w:val="25"/>
              <w:framePr w:wrap="notBeside" w:vAnchor="page" w:hAnchor="page" w:x="1372" w:y="568"/>
              <w:tabs>
                <w:tab w:val="clear" w:pos="4153"/>
                <w:tab w:val="clear" w:pos="8306"/>
              </w:tabs>
              <w:spacing w:before="40" w:line="240" w:lineRule="auto"/>
              <w:jc w:val="left"/>
              <w:rPr>
                <w:rFonts w:hint="eastAsia" w:ascii="黑体" w:hAnsi="黑体" w:eastAsia="黑体"/>
                <w:color w:val="auto"/>
                <w:sz w:val="21"/>
                <w:szCs w:val="21"/>
              </w:rPr>
            </w:pPr>
            <w:r>
              <w:rPr>
                <w:rFonts w:ascii="黑体" w:hAnsi="黑体" w:eastAsia="黑体"/>
                <w:color w:val="auto"/>
                <w:sz w:val="21"/>
                <w:szCs w:val="21"/>
              </w:rPr>
              <w:fldChar w:fldCharType="begin">
                <w:ffData>
                  <w:name w:val="CSDN"/>
                  <w:enabled/>
                  <w:calcOnExit w:val="0"/>
                  <w:textInput>
                    <w:default w:val="点击此处添加CCS号"/>
                  </w:textInput>
                </w:ffData>
              </w:fldChar>
            </w:r>
            <w:bookmarkStart w:id="1" w:name="CSDN"/>
            <w:r>
              <w:rPr>
                <w:rFonts w:ascii="黑体" w:hAnsi="黑体" w:eastAsia="黑体"/>
                <w:color w:val="auto"/>
                <w:sz w:val="21"/>
                <w:szCs w:val="21"/>
              </w:rPr>
              <w:instrText xml:space="preserve"> FORMTEXT </w:instrText>
            </w:r>
            <w:r>
              <w:rPr>
                <w:rFonts w:ascii="黑体" w:hAnsi="黑体" w:eastAsia="黑体"/>
                <w:color w:val="auto"/>
                <w:sz w:val="21"/>
                <w:szCs w:val="21"/>
              </w:rPr>
              <w:fldChar w:fldCharType="separate"/>
            </w:r>
            <w:r>
              <w:rPr>
                <w:rFonts w:hint="eastAsia" w:ascii="黑体" w:hAnsi="黑体" w:eastAsia="黑体"/>
                <w:color w:val="auto"/>
                <w:sz w:val="21"/>
                <w:szCs w:val="21"/>
              </w:rPr>
              <w:t>F  29</w:t>
            </w:r>
            <w:r>
              <w:rPr>
                <w:rFonts w:ascii="黑体" w:hAnsi="黑体" w:eastAsia="黑体"/>
                <w:color w:val="auto"/>
                <w:sz w:val="21"/>
                <w:szCs w:val="21"/>
              </w:rPr>
              <w:fldChar w:fldCharType="end"/>
            </w:r>
            <w:bookmarkEnd w:id="1"/>
          </w:p>
        </w:tc>
      </w:tr>
    </w:tbl>
    <w:p w14:paraId="7222F4B0">
      <w:pPr>
        <w:pStyle w:val="218"/>
        <w:framePr w:w="8871" w:h="1417" w:hRule="exact" w:wrap="around" w:x="1704" w:y="2209"/>
        <w:adjustRightInd w:val="0"/>
        <w:snapToGrid w:val="0"/>
        <w:spacing w:before="0" w:line="240" w:lineRule="auto"/>
        <w:jc w:val="center"/>
        <w:rPr>
          <w:color w:val="auto"/>
          <w:sz w:val="48"/>
          <w:szCs w:val="20"/>
        </w:rPr>
      </w:pPr>
    </w:p>
    <w:p w14:paraId="42120B55">
      <w:pPr>
        <w:pStyle w:val="218"/>
        <w:framePr w:w="8871" w:h="1417" w:hRule="exact" w:wrap="around" w:x="1704" w:y="2209"/>
        <w:adjustRightInd w:val="0"/>
        <w:snapToGrid w:val="0"/>
        <w:spacing w:before="0" w:line="240" w:lineRule="auto"/>
        <w:jc w:val="distribute"/>
        <w:rPr>
          <w:rFonts w:hint="eastAsia" w:hAnsi="黑体"/>
          <w:color w:val="auto"/>
        </w:rPr>
      </w:pPr>
      <w:r>
        <w:rPr>
          <w:rFonts w:hint="eastAsia"/>
          <w:color w:val="auto"/>
          <w:sz w:val="48"/>
          <w:szCs w:val="20"/>
        </w:rPr>
        <w:t>中国电力建设企业协会标准</w:t>
      </w:r>
    </w:p>
    <w:p w14:paraId="49499E69">
      <w:pPr>
        <w:spacing w:line="240" w:lineRule="auto"/>
        <w:rPr>
          <w:rFonts w:hint="eastAsia" w:ascii="黑体" w:hAnsi="黑体" w:eastAsia="黑体"/>
          <w:color w:val="auto"/>
          <w:kern w:val="0"/>
          <w:sz w:val="10"/>
          <w:szCs w:val="10"/>
        </w:rPr>
      </w:pPr>
      <w:r>
        <w:rPr>
          <w:rFonts w:ascii="黑体" w:hAnsi="黑体" w:eastAsia="黑体"/>
          <w:color w:val="auto"/>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84EF684">
      <w:pPr>
        <w:pStyle w:val="72"/>
        <w:framePr w:w="9639" w:h="6976" w:hRule="exact" w:hSpace="0" w:vSpace="0" w:wrap="around" w:hAnchor="page" w:y="6408"/>
        <w:jc w:val="center"/>
        <w:rPr>
          <w:rFonts w:hint="eastAsia" w:ascii="黑体" w:hAnsi="黑体" w:eastAsia="黑体"/>
          <w:b w:val="0"/>
          <w:bCs w:val="0"/>
          <w:color w:val="auto"/>
          <w:w w:val="100"/>
        </w:rPr>
      </w:pPr>
    </w:p>
    <w:p w14:paraId="7853EDA8">
      <w:pPr>
        <w:pStyle w:val="219"/>
        <w:framePr w:h="6974" w:hRule="exact" w:wrap="around" w:x="1419" w:anchorLock="1"/>
        <w:rPr>
          <w:rFonts w:hint="eastAsia"/>
          <w:color w:val="auto"/>
        </w:rPr>
      </w:pPr>
      <w:r>
        <w:rPr>
          <w:rFonts w:hint="eastAsia"/>
          <w:color w:val="auto"/>
        </w:rPr>
        <w:fldChar w:fldCharType="begin">
          <w:ffData>
            <w:name w:val="CSTD_NAME"/>
            <w:enabled/>
            <w:calcOnExit w:val="0"/>
            <w:textInput>
              <w:default w:val="电力建设塔式起重机安全使用规程"/>
            </w:textInput>
          </w:ffData>
        </w:fldChar>
      </w:r>
      <w:bookmarkStart w:id="2" w:name="CSTD_NAME"/>
      <w:r>
        <w:rPr>
          <w:rFonts w:hint="eastAsia"/>
          <w:color w:val="auto"/>
        </w:rPr>
        <w:instrText xml:space="preserve"> FORMTEXT </w:instrText>
      </w:r>
      <w:r>
        <w:rPr>
          <w:rFonts w:hint="eastAsia"/>
          <w:color w:val="auto"/>
        </w:rPr>
        <w:fldChar w:fldCharType="separate"/>
      </w:r>
      <w:r>
        <w:rPr>
          <w:rFonts w:hint="eastAsia"/>
          <w:color w:val="auto"/>
        </w:rPr>
        <w:t>电力建设塔式起重机安全使用规程</w:t>
      </w:r>
      <w:r>
        <w:rPr>
          <w:rFonts w:hint="eastAsia"/>
          <w:color w:val="auto"/>
        </w:rPr>
        <w:fldChar w:fldCharType="end"/>
      </w:r>
      <w:bookmarkEnd w:id="2"/>
    </w:p>
    <w:p w14:paraId="46D13FB7">
      <w:pPr>
        <w:framePr w:w="9639" w:h="6974" w:hRule="exact" w:wrap="around" w:vAnchor="page" w:hAnchor="page" w:x="1419" w:y="6408" w:anchorLock="1"/>
        <w:ind w:left="-1418"/>
        <w:rPr>
          <w:color w:val="auto"/>
        </w:rPr>
      </w:pPr>
    </w:p>
    <w:p w14:paraId="648628B8">
      <w:pPr>
        <w:pStyle w:val="147"/>
        <w:framePr w:w="9639" w:h="6974" w:hRule="exact" w:wrap="around" w:vAnchor="page" w:hAnchor="page" w:x="1419" w:y="6408" w:anchorLock="1"/>
        <w:textAlignment w:val="bottom"/>
        <w:rPr>
          <w:rFonts w:eastAsia="黑体"/>
          <w:color w:val="auto"/>
          <w:szCs w:val="28"/>
        </w:rPr>
      </w:pPr>
      <w:r>
        <w:rPr>
          <w:rFonts w:eastAsia="黑体"/>
          <w:color w:val="auto"/>
          <w:szCs w:val="28"/>
        </w:rPr>
        <w:fldChar w:fldCharType="begin">
          <w:ffData>
            <w:name w:val="ESTD_NAME"/>
            <w:enabled/>
            <w:calcOnExit w:val="0"/>
            <w:textInput>
              <w:default w:val="Code of practice for the safe use of tower crane in power engineering construction"/>
            </w:textInput>
          </w:ffData>
        </w:fldChar>
      </w:r>
      <w:bookmarkStart w:id="3" w:name="ESTD_NAME"/>
      <w:r>
        <w:rPr>
          <w:rFonts w:eastAsia="黑体"/>
          <w:color w:val="auto"/>
          <w:szCs w:val="28"/>
        </w:rPr>
        <w:instrText xml:space="preserve"> FORMTEXT </w:instrText>
      </w:r>
      <w:r>
        <w:rPr>
          <w:rFonts w:eastAsia="黑体"/>
          <w:color w:val="auto"/>
          <w:szCs w:val="28"/>
        </w:rPr>
        <w:fldChar w:fldCharType="separate"/>
      </w:r>
      <w:r>
        <w:rPr>
          <w:rFonts w:eastAsia="黑体"/>
          <w:color w:val="auto"/>
          <w:szCs w:val="28"/>
        </w:rPr>
        <w:t>Code of practice for the safe use of tower crane in power engineering construction</w:t>
      </w:r>
      <w:r>
        <w:rPr>
          <w:rFonts w:eastAsia="黑体"/>
          <w:color w:val="auto"/>
          <w:szCs w:val="28"/>
        </w:rPr>
        <w:fldChar w:fldCharType="end"/>
      </w:r>
      <w:bookmarkEnd w:id="3"/>
    </w:p>
    <w:p w14:paraId="09D50180">
      <w:pPr>
        <w:framePr w:w="9639" w:h="6974" w:hRule="exact" w:wrap="around" w:vAnchor="page" w:hAnchor="page" w:x="1419" w:y="6408" w:anchorLock="1"/>
        <w:spacing w:line="760" w:lineRule="exact"/>
        <w:ind w:left="-1418"/>
        <w:rPr>
          <w:color w:val="auto"/>
        </w:rPr>
      </w:pPr>
    </w:p>
    <w:p w14:paraId="4BA73922">
      <w:pPr>
        <w:pStyle w:val="147"/>
        <w:framePr w:w="9639" w:h="6974" w:hRule="exact" w:wrap="around" w:vAnchor="page" w:hAnchor="page" w:x="1419" w:y="6408" w:anchorLock="1"/>
        <w:textAlignment w:val="bottom"/>
        <w:rPr>
          <w:rFonts w:eastAsia="黑体"/>
          <w:color w:val="auto"/>
          <w:szCs w:val="28"/>
        </w:rPr>
      </w:pPr>
    </w:p>
    <w:p w14:paraId="69479894">
      <w:pPr>
        <w:pStyle w:val="147"/>
        <w:framePr w:w="9639" w:h="6974" w:hRule="exact" w:wrap="around" w:vAnchor="page" w:hAnchor="page" w:x="1419" w:y="6408" w:anchorLock="1"/>
        <w:spacing w:before="440"/>
        <w:textAlignment w:val="bottom"/>
        <w:rPr>
          <w:color w:val="auto"/>
          <w:sz w:val="24"/>
          <w:szCs w:val="28"/>
        </w:rPr>
      </w:pPr>
      <w:bookmarkStart w:id="4" w:name="下拉1"/>
      <w:r>
        <w:rPr>
          <w:rFonts w:hint="eastAsia"/>
          <w:color w:val="auto"/>
          <w:sz w:val="24"/>
          <w:szCs w:val="28"/>
        </w:rPr>
        <w:t>（征求意见稿）</w:t>
      </w:r>
      <w:bookmarkEnd w:id="4"/>
    </w:p>
    <w:p w14:paraId="7AB54DB0">
      <w:pPr>
        <w:pStyle w:val="147"/>
        <w:framePr w:w="9639" w:h="6974" w:hRule="exact" w:wrap="around" w:vAnchor="page" w:hAnchor="page" w:x="1419" w:y="6408" w:anchorLock="1"/>
        <w:spacing w:before="720" w:beforeLines="300" w:after="72" w:afterLines="30" w:line="240" w:lineRule="auto"/>
        <w:textAlignment w:val="bottom"/>
        <w:rPr>
          <w:b/>
          <w:color w:val="auto"/>
          <w:sz w:val="21"/>
          <w:szCs w:val="28"/>
        </w:rPr>
      </w:pPr>
      <w:bookmarkStart w:id="5" w:name="下拉2"/>
      <w:r>
        <w:rPr>
          <w:b/>
          <w:color w:val="auto"/>
          <w:sz w:val="21"/>
          <w:szCs w:val="28"/>
        </w:rPr>
        <w:fldChar w:fldCharType="begin">
          <w:ffData>
            <w:name w:val="下拉2"/>
            <w:enabled/>
            <w:calcOnExit w:val="0"/>
            <w:ddList>
              <w:listEntry w:val=" "/>
              <w:listEntry w:val="在提交反馈意见时，请将您知道的相关专利连同支持性文件一并附上。"/>
            </w:ddList>
          </w:ffData>
        </w:fldChar>
      </w:r>
      <w:r>
        <w:rPr>
          <w:b/>
          <w:color w:val="auto"/>
          <w:sz w:val="21"/>
          <w:szCs w:val="28"/>
        </w:rPr>
        <w:instrText xml:space="preserve">FORMDROPDOWN</w:instrText>
      </w:r>
      <w:r>
        <w:rPr>
          <w:b/>
          <w:color w:val="auto"/>
          <w:sz w:val="21"/>
          <w:szCs w:val="28"/>
        </w:rPr>
        <w:fldChar w:fldCharType="separate"/>
      </w:r>
      <w:r>
        <w:rPr>
          <w:b/>
          <w:color w:val="auto"/>
          <w:sz w:val="21"/>
          <w:szCs w:val="28"/>
        </w:rPr>
        <w:fldChar w:fldCharType="end"/>
      </w:r>
      <w:bookmarkEnd w:id="5"/>
    </w:p>
    <w:p w14:paraId="187256AC">
      <w:pPr>
        <w:pStyle w:val="215"/>
        <w:framePr w:wrap="around" w:y="14176"/>
        <w:rPr>
          <w:color w:val="auto"/>
        </w:rPr>
      </w:pPr>
      <w:r>
        <w:rPr>
          <w:rFonts w:ascii="黑体"/>
          <w:color w:val="auto"/>
        </w:rPr>
        <w:fldChar w:fldCharType="begin">
          <w:ffData>
            <w:name w:val="PLSH_DATE_Y"/>
            <w:enabled/>
            <w:calcOnExit w:val="0"/>
            <w:textInput>
              <w:default w:val="20XX"/>
              <w:maxLength w:val="4"/>
            </w:textInput>
          </w:ffData>
        </w:fldChar>
      </w:r>
      <w:bookmarkStart w:id="6" w:name="PLSH_DATE_Y"/>
      <w:r>
        <w:rPr>
          <w:rFonts w:ascii="黑体"/>
          <w:color w:val="auto"/>
        </w:rPr>
        <w:instrText xml:space="preserve"> FORMTEXT </w:instrText>
      </w:r>
      <w:r>
        <w:rPr>
          <w:rFonts w:ascii="黑体"/>
          <w:color w:val="auto"/>
        </w:rPr>
        <w:fldChar w:fldCharType="separate"/>
      </w:r>
      <w:r>
        <w:rPr>
          <w:rFonts w:ascii="黑体"/>
          <w:color w:val="auto"/>
        </w:rPr>
        <w:t>20XX</w:t>
      </w:r>
      <w:r>
        <w:rPr>
          <w:rFonts w:ascii="黑体"/>
          <w:color w:val="auto"/>
        </w:rPr>
        <w:fldChar w:fldCharType="end"/>
      </w:r>
      <w:bookmarkEnd w:id="6"/>
      <w:r>
        <w:rPr>
          <w:color w:val="auto"/>
        </w:rPr>
        <w:t xml:space="preserve"> </w:t>
      </w:r>
      <w:r>
        <w:rPr>
          <w:rFonts w:ascii="黑体"/>
          <w:color w:val="auto"/>
        </w:rPr>
        <w:t>-</w:t>
      </w:r>
      <w:r>
        <w:rPr>
          <w:color w:val="auto"/>
        </w:rPr>
        <w:t xml:space="preserve"> </w:t>
      </w:r>
      <w:r>
        <w:rPr>
          <w:rFonts w:ascii="黑体"/>
          <w:color w:val="auto"/>
        </w:rPr>
        <w:fldChar w:fldCharType="begin">
          <w:ffData>
            <w:name w:val="PLSH_DATE_M"/>
            <w:enabled/>
            <w:calcOnExit w:val="0"/>
            <w:textInput>
              <w:default w:val="XX"/>
              <w:maxLength w:val="2"/>
            </w:textInput>
          </w:ffData>
        </w:fldChar>
      </w:r>
      <w:bookmarkStart w:id="7" w:name="PLSH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7"/>
      <w:r>
        <w:rPr>
          <w:color w:val="auto"/>
        </w:rPr>
        <w:t xml:space="preserve"> </w:t>
      </w:r>
      <w:r>
        <w:rPr>
          <w:rFonts w:ascii="黑体"/>
          <w:color w:val="auto"/>
        </w:rPr>
        <w:t>-</w:t>
      </w:r>
      <w:r>
        <w:rPr>
          <w:color w:val="auto"/>
        </w:rPr>
        <w:t xml:space="preserve"> </w:t>
      </w:r>
      <w:r>
        <w:rPr>
          <w:rFonts w:ascii="黑体"/>
          <w:color w:val="auto"/>
        </w:rPr>
        <w:fldChar w:fldCharType="begin">
          <w:ffData>
            <w:name w:val="PLSH_DATE_D"/>
            <w:enabled/>
            <w:calcOnExit w:val="0"/>
            <w:textInput>
              <w:default w:val="XX"/>
              <w:maxLength w:val="2"/>
            </w:textInput>
          </w:ffData>
        </w:fldChar>
      </w:r>
      <w:bookmarkStart w:id="8" w:name="PLSH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8"/>
      <w:r>
        <w:rPr>
          <w:rFonts w:hint="eastAsia"/>
          <w:color w:val="auto"/>
        </w:rPr>
        <w:t>发布</w:t>
      </w:r>
    </w:p>
    <w:p w14:paraId="7573B02A">
      <w:pPr>
        <w:pStyle w:val="216"/>
        <w:framePr w:wrap="around" w:y="14176"/>
        <w:rPr>
          <w:color w:val="auto"/>
        </w:rPr>
      </w:pPr>
      <w:r>
        <w:rPr>
          <w:rFonts w:ascii="黑体"/>
          <w:color w:val="auto"/>
        </w:rPr>
        <w:fldChar w:fldCharType="begin">
          <w:ffData>
            <w:name w:val="CROT_DATE_Y"/>
            <w:enabled/>
            <w:calcOnExit w:val="0"/>
            <w:textInput>
              <w:default w:val="XXXX"/>
              <w:maxLength w:val="4"/>
            </w:textInput>
          </w:ffData>
        </w:fldChar>
      </w:r>
      <w:bookmarkStart w:id="9" w:name="CROT_DATE_Y"/>
      <w:r>
        <w:rPr>
          <w:rFonts w:ascii="黑体"/>
          <w:color w:val="auto"/>
        </w:rPr>
        <w:instrText xml:space="preserve"> FORMTEXT </w:instrText>
      </w:r>
      <w:r>
        <w:rPr>
          <w:rFonts w:ascii="黑体"/>
          <w:color w:val="auto"/>
        </w:rPr>
        <w:fldChar w:fldCharType="separate"/>
      </w:r>
      <w:r>
        <w:rPr>
          <w:rFonts w:ascii="黑体"/>
          <w:color w:val="auto"/>
        </w:rPr>
        <w:t>XXXX</w:t>
      </w:r>
      <w:r>
        <w:rPr>
          <w:rFonts w:ascii="黑体"/>
          <w:color w:val="auto"/>
        </w:rPr>
        <w:fldChar w:fldCharType="end"/>
      </w:r>
      <w:bookmarkEnd w:id="9"/>
      <w:r>
        <w:rPr>
          <w:color w:val="auto"/>
        </w:rPr>
        <w:t xml:space="preserve"> </w:t>
      </w:r>
      <w:r>
        <w:rPr>
          <w:rFonts w:ascii="黑体"/>
          <w:color w:val="auto"/>
        </w:rPr>
        <w:t>-</w:t>
      </w:r>
      <w:r>
        <w:rPr>
          <w:color w:val="auto"/>
        </w:rPr>
        <w:t xml:space="preserve"> </w:t>
      </w:r>
      <w:r>
        <w:rPr>
          <w:rFonts w:ascii="黑体"/>
          <w:color w:val="auto"/>
        </w:rPr>
        <w:fldChar w:fldCharType="begin">
          <w:ffData>
            <w:name w:val="CROT_DATE_M"/>
            <w:enabled/>
            <w:calcOnExit w:val="0"/>
            <w:textInput>
              <w:default w:val="XX"/>
              <w:maxLength w:val="2"/>
            </w:textInput>
          </w:ffData>
        </w:fldChar>
      </w:r>
      <w:bookmarkStart w:id="10" w:name="CROT_DATE_M"/>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0"/>
      <w:r>
        <w:rPr>
          <w:color w:val="auto"/>
        </w:rPr>
        <w:t xml:space="preserve"> </w:t>
      </w:r>
      <w:r>
        <w:rPr>
          <w:rFonts w:ascii="黑体"/>
          <w:color w:val="auto"/>
        </w:rPr>
        <w:t>-</w:t>
      </w:r>
      <w:r>
        <w:rPr>
          <w:color w:val="auto"/>
        </w:rPr>
        <w:t xml:space="preserve"> </w:t>
      </w:r>
      <w:r>
        <w:rPr>
          <w:rFonts w:ascii="黑体"/>
          <w:color w:val="auto"/>
        </w:rPr>
        <w:fldChar w:fldCharType="begin">
          <w:ffData>
            <w:name w:val="CROT_DATE_D"/>
            <w:enabled/>
            <w:calcOnExit w:val="0"/>
            <w:textInput>
              <w:default w:val="XX"/>
              <w:maxLength w:val="2"/>
            </w:textInput>
          </w:ffData>
        </w:fldChar>
      </w:r>
      <w:bookmarkStart w:id="11" w:name="CROT_DATE_D"/>
      <w:r>
        <w:rPr>
          <w:rFonts w:ascii="黑体"/>
          <w:color w:val="auto"/>
        </w:rPr>
        <w:instrText xml:space="preserve"> FORMTEXT </w:instrText>
      </w:r>
      <w:r>
        <w:rPr>
          <w:rFonts w:ascii="黑体"/>
          <w:color w:val="auto"/>
        </w:rPr>
        <w:fldChar w:fldCharType="separate"/>
      </w:r>
      <w:r>
        <w:rPr>
          <w:rFonts w:ascii="黑体"/>
          <w:color w:val="auto"/>
        </w:rPr>
        <w:t>XX</w:t>
      </w:r>
      <w:r>
        <w:rPr>
          <w:rFonts w:ascii="黑体"/>
          <w:color w:val="auto"/>
        </w:rPr>
        <w:fldChar w:fldCharType="end"/>
      </w:r>
      <w:bookmarkEnd w:id="11"/>
      <w:r>
        <w:rPr>
          <w:rFonts w:hint="eastAsia"/>
          <w:color w:val="auto"/>
        </w:rPr>
        <w:t>实施</w:t>
      </w:r>
    </w:p>
    <w:p w14:paraId="723A377C">
      <w:pPr>
        <w:pStyle w:val="173"/>
        <w:framePr w:h="584" w:hRule="exact" w:hSpace="181" w:vSpace="181" w:wrap="around" w:y="14800"/>
        <w:rPr>
          <w:rFonts w:hint="eastAsia" w:hAnsi="黑体"/>
          <w:color w:val="auto"/>
        </w:rPr>
      </w:pPr>
      <w:r>
        <w:rPr>
          <w:rFonts w:hAnsi="黑体"/>
          <w:color w:val="auto"/>
          <w:w w:val="100"/>
          <w:sz w:val="28"/>
        </w:rPr>
        <w:fldChar w:fldCharType="begin">
          <w:ffData>
            <w:name w:val="fm"/>
            <w:enabled/>
            <w:calcOnExit w:val="0"/>
            <w:textInput/>
          </w:ffData>
        </w:fldChar>
      </w:r>
      <w:bookmarkStart w:id="12" w:name="fm"/>
      <w:r>
        <w:rPr>
          <w:rFonts w:hAnsi="黑体"/>
          <w:color w:val="auto"/>
          <w:w w:val="100"/>
          <w:sz w:val="28"/>
        </w:rPr>
        <w:instrText xml:space="preserve"> FORMTEXT </w:instrText>
      </w:r>
      <w:r>
        <w:rPr>
          <w:rFonts w:hAnsi="黑体"/>
          <w:color w:val="auto"/>
          <w:w w:val="100"/>
          <w:sz w:val="28"/>
        </w:rPr>
        <w:fldChar w:fldCharType="separate"/>
      </w:r>
      <w:r>
        <w:rPr>
          <w:rFonts w:hint="eastAsia" w:hAnsi="黑体"/>
          <w:color w:val="auto"/>
          <w:w w:val="100"/>
          <w:sz w:val="28"/>
        </w:rPr>
        <w:t>中国电力建设企业协会</w:t>
      </w:r>
      <w:r>
        <w:rPr>
          <w:rFonts w:hAnsi="黑体"/>
          <w:color w:val="auto"/>
          <w:w w:val="100"/>
          <w:sz w:val="28"/>
        </w:rPr>
        <w:fldChar w:fldCharType="end"/>
      </w:r>
      <w:bookmarkEnd w:id="12"/>
      <w:r>
        <w:rPr>
          <w:rFonts w:ascii="Times New Roman"/>
          <w:color w:val="auto"/>
          <w:w w:val="100"/>
          <w:sz w:val="28"/>
        </w:rPr>
        <w:t>  </w:t>
      </w:r>
      <w:r>
        <w:rPr>
          <w:rStyle w:val="251"/>
          <w:rFonts w:hint="eastAsia" w:hAnsi="黑体"/>
          <w:color w:val="auto"/>
          <w:position w:val="0"/>
        </w:rPr>
        <w:t>发</w:t>
      </w:r>
      <w:r>
        <w:rPr>
          <w:rStyle w:val="251"/>
          <w:rFonts w:hint="eastAsia" w:hAnsi="黑体"/>
          <w:color w:val="auto"/>
          <w:spacing w:val="0"/>
          <w:position w:val="0"/>
        </w:rPr>
        <w:t>布</w:t>
      </w:r>
    </w:p>
    <w:p w14:paraId="3E6F968B">
      <w:pPr>
        <w:rPr>
          <w:rFonts w:hint="eastAsia" w:ascii="宋体" w:hAnsi="宋体"/>
          <w:color w:val="auto"/>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color w:val="auto"/>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9EF2E22">
      <w:pPr>
        <w:pStyle w:val="113"/>
        <w:spacing w:after="360"/>
        <w:rPr>
          <w:color w:val="auto"/>
        </w:rPr>
      </w:pPr>
      <w:bookmarkStart w:id="13" w:name="BookMark1"/>
      <w:bookmarkStart w:id="14" w:name="_Toc179748219"/>
      <w:bookmarkStart w:id="15" w:name="_Toc180146087"/>
      <w:r>
        <w:rPr>
          <w:rFonts w:hint="eastAsia"/>
          <w:color w:val="auto"/>
          <w:spacing w:val="320"/>
        </w:rPr>
        <w:t>目</w:t>
      </w:r>
      <w:r>
        <w:rPr>
          <w:rFonts w:hint="eastAsia"/>
          <w:color w:val="auto"/>
        </w:rPr>
        <w:t>次</w:t>
      </w:r>
    </w:p>
    <w:p w14:paraId="47C9ADCF">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TOC \o "1-1" \h \t "标准文件_一级条标题,2,标准文件_附录一级条标题,2," </w:instrText>
      </w:r>
      <w:r>
        <w:rPr>
          <w:color w:val="auto"/>
        </w:rPr>
        <w:fldChar w:fldCharType="separate"/>
      </w:r>
      <w:r>
        <w:rPr>
          <w:color w:val="auto"/>
        </w:rPr>
        <w:fldChar w:fldCharType="begin"/>
      </w:r>
      <w:r>
        <w:rPr>
          <w:color w:val="auto"/>
        </w:rPr>
        <w:instrText xml:space="preserve"> HYPERLINK \l "_Toc197422412" </w:instrText>
      </w:r>
      <w:r>
        <w:rPr>
          <w:color w:val="auto"/>
        </w:rPr>
        <w:fldChar w:fldCharType="separate"/>
      </w:r>
      <w:r>
        <w:rPr>
          <w:rStyle w:val="48"/>
          <w:rFonts w:hint="eastAsia"/>
          <w:color w:val="auto"/>
          <w:spacing w:val="320"/>
        </w:rPr>
        <w:t>前</w:t>
      </w:r>
      <w:r>
        <w:rPr>
          <w:rStyle w:val="48"/>
          <w:rFonts w:hint="eastAsia"/>
          <w:color w:val="auto"/>
        </w:rPr>
        <w:t>言</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_Toc197422412 \h</w:instrText>
      </w:r>
      <w:r>
        <w:rPr>
          <w:rFonts w:hint="eastAsia"/>
          <w:color w:val="auto"/>
        </w:rPr>
        <w:instrText xml:space="preserve"> </w:instrText>
      </w:r>
      <w:r>
        <w:rPr>
          <w:rFonts w:hint="eastAsia"/>
          <w:color w:val="auto"/>
        </w:rPr>
        <w:fldChar w:fldCharType="separate"/>
      </w:r>
      <w:r>
        <w:rPr>
          <w:color w:val="auto"/>
        </w:rPr>
        <w:t>III</w:t>
      </w:r>
      <w:r>
        <w:rPr>
          <w:rFonts w:hint="eastAsia"/>
          <w:color w:val="auto"/>
        </w:rPr>
        <w:fldChar w:fldCharType="end"/>
      </w:r>
      <w:r>
        <w:rPr>
          <w:rFonts w:hint="eastAsia"/>
          <w:color w:val="auto"/>
        </w:rPr>
        <w:fldChar w:fldCharType="end"/>
      </w:r>
    </w:p>
    <w:p w14:paraId="1F1DC7C7">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"_Toc197422413" </w:instrText>
      </w:r>
      <w:r>
        <w:rPr>
          <w:color w:val="auto"/>
        </w:rPr>
        <w:fldChar w:fldCharType="separate"/>
      </w:r>
      <w:r>
        <w:rPr>
          <w:rStyle w:val="48"/>
          <w:rFonts w:hint="eastAsia"/>
          <w:color w:val="auto"/>
        </w:rPr>
        <w:t>1 范围</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_Toc197422413 \h</w:instrText>
      </w:r>
      <w:r>
        <w:rPr>
          <w:rFonts w:hint="eastAsia"/>
          <w:color w:val="auto"/>
        </w:rPr>
        <w:instrText xml:space="preserve"> </w:instrText>
      </w:r>
      <w:r>
        <w:rPr>
          <w:rFonts w:hint="eastAsia"/>
          <w:color w:val="auto"/>
        </w:rPr>
        <w:fldChar w:fldCharType="separate"/>
      </w:r>
      <w:r>
        <w:rPr>
          <w:color w:val="auto"/>
        </w:rPr>
        <w:t>4</w:t>
      </w:r>
      <w:r>
        <w:rPr>
          <w:rFonts w:hint="eastAsia"/>
          <w:color w:val="auto"/>
        </w:rPr>
        <w:fldChar w:fldCharType="end"/>
      </w:r>
      <w:r>
        <w:rPr>
          <w:rFonts w:hint="eastAsia"/>
          <w:color w:val="auto"/>
        </w:rPr>
        <w:fldChar w:fldCharType="end"/>
      </w:r>
    </w:p>
    <w:p w14:paraId="5485CE25">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"_Toc197422414" </w:instrText>
      </w:r>
      <w:r>
        <w:rPr>
          <w:color w:val="auto"/>
        </w:rPr>
        <w:fldChar w:fldCharType="separate"/>
      </w:r>
      <w:r>
        <w:rPr>
          <w:rStyle w:val="48"/>
          <w:rFonts w:hint="eastAsia"/>
          <w:color w:val="auto"/>
        </w:rPr>
        <w:t>2 规范性引用文件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_Toc197422414 \h</w:instrText>
      </w:r>
      <w:r>
        <w:rPr>
          <w:rFonts w:hint="eastAsia"/>
          <w:color w:val="auto"/>
        </w:rPr>
        <w:instrText xml:space="preserve"> </w:instrText>
      </w:r>
      <w:r>
        <w:rPr>
          <w:rFonts w:hint="eastAsia"/>
          <w:color w:val="auto"/>
        </w:rPr>
        <w:fldChar w:fldCharType="separate"/>
      </w:r>
      <w:r>
        <w:rPr>
          <w:color w:val="auto"/>
        </w:rPr>
        <w:t>4</w:t>
      </w:r>
      <w:r>
        <w:rPr>
          <w:rFonts w:hint="eastAsia"/>
          <w:color w:val="auto"/>
        </w:rPr>
        <w:fldChar w:fldCharType="end"/>
      </w:r>
      <w:r>
        <w:rPr>
          <w:rFonts w:hint="eastAsia"/>
          <w:color w:val="auto"/>
        </w:rPr>
        <w:fldChar w:fldCharType="end"/>
      </w:r>
    </w:p>
    <w:p w14:paraId="2C424BC4">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"_Toc197422415" </w:instrText>
      </w:r>
      <w:r>
        <w:rPr>
          <w:color w:val="auto"/>
        </w:rPr>
        <w:fldChar w:fldCharType="separate"/>
      </w:r>
      <w:r>
        <w:rPr>
          <w:rStyle w:val="48"/>
          <w:rFonts w:hint="eastAsia"/>
          <w:color w:val="auto"/>
        </w:rPr>
        <w:t>3 术语和定义</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_Toc197422415 \h</w:instrText>
      </w:r>
      <w:r>
        <w:rPr>
          <w:rFonts w:hint="eastAsia"/>
          <w:color w:val="auto"/>
        </w:rPr>
        <w:instrText xml:space="preserve"> </w:instrText>
      </w:r>
      <w:r>
        <w:rPr>
          <w:rFonts w:hint="eastAsia"/>
          <w:color w:val="auto"/>
        </w:rPr>
        <w:fldChar w:fldCharType="separate"/>
      </w:r>
      <w:r>
        <w:rPr>
          <w:color w:val="auto"/>
        </w:rPr>
        <w:t>4</w:t>
      </w:r>
      <w:r>
        <w:rPr>
          <w:rFonts w:hint="eastAsia"/>
          <w:color w:val="auto"/>
        </w:rPr>
        <w:fldChar w:fldCharType="end"/>
      </w:r>
      <w:r>
        <w:rPr>
          <w:rFonts w:hint="eastAsia"/>
          <w:color w:val="auto"/>
        </w:rPr>
        <w:fldChar w:fldCharType="end"/>
      </w:r>
    </w:p>
    <w:p w14:paraId="06616E61">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"_Toc197422416" </w:instrText>
      </w:r>
      <w:r>
        <w:rPr>
          <w:color w:val="auto"/>
        </w:rPr>
        <w:fldChar w:fldCharType="separate"/>
      </w:r>
      <w:r>
        <w:rPr>
          <w:rStyle w:val="48"/>
          <w:rFonts w:hint="eastAsia"/>
          <w:color w:val="auto"/>
        </w:rPr>
        <w:t>4 总体要求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_Toc197422416 \h</w:instrText>
      </w:r>
      <w:r>
        <w:rPr>
          <w:rFonts w:hint="eastAsia"/>
          <w:color w:val="auto"/>
        </w:rPr>
        <w:instrText xml:space="preserve"> </w:instrText>
      </w:r>
      <w:r>
        <w:rPr>
          <w:rFonts w:hint="eastAsia"/>
          <w:color w:val="auto"/>
        </w:rPr>
        <w:fldChar w:fldCharType="separate"/>
      </w:r>
      <w:r>
        <w:rPr>
          <w:color w:val="auto"/>
        </w:rPr>
        <w:t>5</w:t>
      </w:r>
      <w:r>
        <w:rPr>
          <w:rFonts w:hint="eastAsia"/>
          <w:color w:val="auto"/>
        </w:rPr>
        <w:fldChar w:fldCharType="end"/>
      </w:r>
      <w:r>
        <w:rPr>
          <w:rFonts w:hint="eastAsia"/>
          <w:color w:val="auto"/>
        </w:rPr>
        <w:fldChar w:fldCharType="end"/>
      </w:r>
    </w:p>
    <w:p w14:paraId="62D44059">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"_Toc197422417" </w:instrText>
      </w:r>
      <w:r>
        <w:rPr>
          <w:color w:val="auto"/>
        </w:rPr>
        <w:fldChar w:fldCharType="separate"/>
      </w:r>
      <w:r>
        <w:rPr>
          <w:rStyle w:val="48"/>
          <w:rFonts w:hint="eastAsia"/>
          <w:color w:val="auto"/>
          <w14:scene3d w14:prst="orthographicFront">
            <w14:lightRig w14:rig="threePt" w14:dir="t">
              <w14:rot w14:lat="0" w14:lon="0" w14:rev="0"/>
            </w14:lightRig>
          </w14:scene3d>
        </w:rPr>
        <w:t>4.1</w:t>
      </w:r>
      <w:r>
        <w:rPr>
          <w:rStyle w:val="48"/>
          <w:rFonts w:hint="eastAsia"/>
          <w:color w:val="auto"/>
        </w:rPr>
        <w:t xml:space="preserve"> 安装、使用和租赁单位</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_Toc197422417 \h</w:instrText>
      </w:r>
      <w:r>
        <w:rPr>
          <w:rFonts w:hint="eastAsia"/>
          <w:color w:val="auto"/>
        </w:rPr>
        <w:instrText xml:space="preserve"> </w:instrText>
      </w:r>
      <w:r>
        <w:rPr>
          <w:rFonts w:hint="eastAsia"/>
          <w:color w:val="auto"/>
        </w:rPr>
        <w:fldChar w:fldCharType="separate"/>
      </w:r>
      <w:r>
        <w:rPr>
          <w:color w:val="auto"/>
        </w:rPr>
        <w:t>5</w:t>
      </w:r>
      <w:r>
        <w:rPr>
          <w:rFonts w:hint="eastAsia"/>
          <w:color w:val="auto"/>
        </w:rPr>
        <w:fldChar w:fldCharType="end"/>
      </w:r>
      <w:r>
        <w:rPr>
          <w:rFonts w:hint="eastAsia"/>
          <w:color w:val="auto"/>
        </w:rPr>
        <w:fldChar w:fldCharType="end"/>
      </w:r>
    </w:p>
    <w:p w14:paraId="03B5909E">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"_Toc197422418" </w:instrText>
      </w:r>
      <w:r>
        <w:rPr>
          <w:color w:val="auto"/>
        </w:rPr>
        <w:fldChar w:fldCharType="separate"/>
      </w:r>
      <w:r>
        <w:rPr>
          <w:rStyle w:val="48"/>
          <w:rFonts w:hint="eastAsia"/>
          <w:color w:val="auto"/>
          <w14:scene3d w14:prst="orthographicFront">
            <w14:lightRig w14:rig="threePt" w14:dir="t">
              <w14:rot w14:lat="0" w14:lon="0" w14:rev="0"/>
            </w14:lightRig>
          </w14:scene3d>
        </w:rPr>
        <w:t>4.2</w:t>
      </w:r>
      <w:r>
        <w:rPr>
          <w:rStyle w:val="48"/>
          <w:rFonts w:hint="eastAsia"/>
          <w:color w:val="auto"/>
        </w:rPr>
        <w:t xml:space="preserve"> 人员</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_Toc197422418 \h</w:instrText>
      </w:r>
      <w:r>
        <w:rPr>
          <w:rFonts w:hint="eastAsia"/>
          <w:color w:val="auto"/>
        </w:rPr>
        <w:instrText xml:space="preserve"> </w:instrText>
      </w:r>
      <w:r>
        <w:rPr>
          <w:rFonts w:hint="eastAsia"/>
          <w:color w:val="auto"/>
        </w:rPr>
        <w:fldChar w:fldCharType="separate"/>
      </w:r>
      <w:r>
        <w:rPr>
          <w:color w:val="auto"/>
        </w:rPr>
        <w:t>6</w:t>
      </w:r>
      <w:r>
        <w:rPr>
          <w:rFonts w:hint="eastAsia"/>
          <w:color w:val="auto"/>
        </w:rPr>
        <w:fldChar w:fldCharType="end"/>
      </w:r>
      <w:r>
        <w:rPr>
          <w:rFonts w:hint="eastAsia"/>
          <w:color w:val="auto"/>
        </w:rPr>
        <w:fldChar w:fldCharType="end"/>
      </w:r>
    </w:p>
    <w:p w14:paraId="6779C1A8">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"_Toc197422419" </w:instrText>
      </w:r>
      <w:r>
        <w:rPr>
          <w:color w:val="auto"/>
        </w:rPr>
        <w:fldChar w:fldCharType="separate"/>
      </w:r>
      <w:r>
        <w:rPr>
          <w:rStyle w:val="48"/>
          <w:rFonts w:hint="eastAsia"/>
          <w:color w:val="auto"/>
          <w14:scene3d w14:prst="orthographicFront">
            <w14:lightRig w14:rig="threePt" w14:dir="t">
              <w14:rot w14:lat="0" w14:lon="0" w14:rev="0"/>
            </w14:lightRig>
          </w14:scene3d>
        </w:rPr>
        <w:t>4.3</w:t>
      </w:r>
      <w:r>
        <w:rPr>
          <w:rStyle w:val="48"/>
          <w:rFonts w:hint="eastAsia"/>
          <w:color w:val="auto"/>
        </w:rPr>
        <w:t xml:space="preserve"> 专项施工方案</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_Toc197422419 \h</w:instrText>
      </w:r>
      <w:r>
        <w:rPr>
          <w:rFonts w:hint="eastAsia"/>
          <w:color w:val="auto"/>
        </w:rPr>
        <w:instrText xml:space="preserve"> </w:instrText>
      </w:r>
      <w:r>
        <w:rPr>
          <w:rFonts w:hint="eastAsia"/>
          <w:color w:val="auto"/>
        </w:rPr>
        <w:fldChar w:fldCharType="separate"/>
      </w:r>
      <w:r>
        <w:rPr>
          <w:color w:val="auto"/>
        </w:rPr>
        <w:t>6</w:t>
      </w:r>
      <w:r>
        <w:rPr>
          <w:rFonts w:hint="eastAsia"/>
          <w:color w:val="auto"/>
        </w:rPr>
        <w:fldChar w:fldCharType="end"/>
      </w:r>
      <w:r>
        <w:rPr>
          <w:rFonts w:hint="eastAsia"/>
          <w:color w:val="auto"/>
        </w:rPr>
        <w:fldChar w:fldCharType="end"/>
      </w:r>
    </w:p>
    <w:p w14:paraId="45073614">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"_Toc197422420" </w:instrText>
      </w:r>
      <w:r>
        <w:rPr>
          <w:color w:val="auto"/>
        </w:rPr>
        <w:fldChar w:fldCharType="separate"/>
      </w:r>
      <w:r>
        <w:rPr>
          <w:rStyle w:val="48"/>
          <w:rFonts w:hint="eastAsia"/>
          <w:color w:val="auto"/>
          <w14:scene3d w14:prst="orthographicFront">
            <w14:lightRig w14:rig="threePt" w14:dir="t">
              <w14:rot w14:lat="0" w14:lon="0" w14:rev="0"/>
            </w14:lightRig>
          </w14:scene3d>
        </w:rPr>
        <w:t>4.4</w:t>
      </w:r>
      <w:r>
        <w:rPr>
          <w:rStyle w:val="48"/>
          <w:rFonts w:hint="eastAsia"/>
          <w:color w:val="auto"/>
        </w:rPr>
        <w:t xml:space="preserve"> 档案</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_Toc197422420 \h</w:instrText>
      </w:r>
      <w:r>
        <w:rPr>
          <w:rFonts w:hint="eastAsia"/>
          <w:color w:val="auto"/>
        </w:rPr>
        <w:instrText xml:space="preserve"> </w:instrText>
      </w:r>
      <w:r>
        <w:rPr>
          <w:rFonts w:hint="eastAsia"/>
          <w:color w:val="auto"/>
        </w:rPr>
        <w:fldChar w:fldCharType="separate"/>
      </w:r>
      <w:r>
        <w:rPr>
          <w:color w:val="auto"/>
        </w:rPr>
        <w:t>6</w:t>
      </w:r>
      <w:r>
        <w:rPr>
          <w:rFonts w:hint="eastAsia"/>
          <w:color w:val="auto"/>
        </w:rPr>
        <w:fldChar w:fldCharType="end"/>
      </w:r>
      <w:r>
        <w:rPr>
          <w:rFonts w:hint="eastAsia"/>
          <w:color w:val="auto"/>
        </w:rPr>
        <w:fldChar w:fldCharType="end"/>
      </w:r>
    </w:p>
    <w:p w14:paraId="40B27442">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"_Toc197422421" </w:instrText>
      </w:r>
      <w:r>
        <w:rPr>
          <w:color w:val="auto"/>
        </w:rPr>
        <w:fldChar w:fldCharType="separate"/>
      </w:r>
      <w:r>
        <w:rPr>
          <w:rStyle w:val="48"/>
          <w:rFonts w:hint="eastAsia"/>
          <w:color w:val="auto"/>
          <w14:scene3d w14:prst="orthographicFront">
            <w14:lightRig w14:rig="threePt" w14:dir="t">
              <w14:rot w14:lat="0" w14:lon="0" w14:rev="0"/>
            </w14:lightRig>
          </w14:scene3d>
        </w:rPr>
        <w:t>4.5</w:t>
      </w:r>
      <w:r>
        <w:rPr>
          <w:rStyle w:val="48"/>
          <w:rFonts w:hint="eastAsia"/>
          <w:color w:val="auto"/>
        </w:rPr>
        <w:t xml:space="preserve"> 其它</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_Toc197422421 \h</w:instrText>
      </w:r>
      <w:r>
        <w:rPr>
          <w:rFonts w:hint="eastAsia"/>
          <w:color w:val="auto"/>
        </w:rPr>
        <w:instrText xml:space="preserve"> </w:instrText>
      </w:r>
      <w:r>
        <w:rPr>
          <w:rFonts w:hint="eastAsia"/>
          <w:color w:val="auto"/>
        </w:rPr>
        <w:fldChar w:fldCharType="separate"/>
      </w:r>
      <w:r>
        <w:rPr>
          <w:color w:val="auto"/>
        </w:rPr>
        <w:t>6</w:t>
      </w:r>
      <w:r>
        <w:rPr>
          <w:rFonts w:hint="eastAsia"/>
          <w:color w:val="auto"/>
        </w:rPr>
        <w:fldChar w:fldCharType="end"/>
      </w:r>
      <w:r>
        <w:rPr>
          <w:rFonts w:hint="eastAsia"/>
          <w:color w:val="auto"/>
        </w:rPr>
        <w:fldChar w:fldCharType="end"/>
      </w:r>
    </w:p>
    <w:p w14:paraId="1922DD66">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"_Toc197422422" </w:instrText>
      </w:r>
      <w:r>
        <w:rPr>
          <w:color w:val="auto"/>
        </w:rPr>
        <w:fldChar w:fldCharType="separate"/>
      </w:r>
      <w:r>
        <w:rPr>
          <w:rStyle w:val="48"/>
          <w:rFonts w:hint="eastAsia"/>
          <w:color w:val="auto"/>
        </w:rPr>
        <w:t>5 入场验收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_Toc197422422 \h</w:instrText>
      </w:r>
      <w:r>
        <w:rPr>
          <w:rFonts w:hint="eastAsia"/>
          <w:color w:val="auto"/>
        </w:rPr>
        <w:instrText xml:space="preserve"> </w:instrText>
      </w:r>
      <w:r>
        <w:rPr>
          <w:rFonts w:hint="eastAsia"/>
          <w:color w:val="auto"/>
        </w:rPr>
        <w:fldChar w:fldCharType="separate"/>
      </w:r>
      <w:r>
        <w:rPr>
          <w:color w:val="auto"/>
        </w:rPr>
        <w:t>6</w:t>
      </w:r>
      <w:r>
        <w:rPr>
          <w:rFonts w:hint="eastAsia"/>
          <w:color w:val="auto"/>
        </w:rPr>
        <w:fldChar w:fldCharType="end"/>
      </w:r>
      <w:r>
        <w:rPr>
          <w:rFonts w:hint="eastAsia"/>
          <w:color w:val="auto"/>
        </w:rPr>
        <w:fldChar w:fldCharType="end"/>
      </w:r>
    </w:p>
    <w:p w14:paraId="6994483A">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"_Toc197422423" </w:instrText>
      </w:r>
      <w:r>
        <w:rPr>
          <w:color w:val="auto"/>
        </w:rPr>
        <w:fldChar w:fldCharType="separate"/>
      </w:r>
      <w:r>
        <w:rPr>
          <w:rStyle w:val="48"/>
          <w:rFonts w:hint="eastAsia"/>
          <w:color w:val="auto"/>
          <w14:scene3d w14:prst="orthographicFront">
            <w14:lightRig w14:rig="threePt" w14:dir="t">
              <w14:rot w14:lat="0" w14:lon="0" w14:rev="0"/>
            </w14:lightRig>
          </w14:scene3d>
        </w:rPr>
        <w:t>5.1</w:t>
      </w:r>
      <w:r>
        <w:rPr>
          <w:rStyle w:val="48"/>
          <w:rFonts w:hint="eastAsia"/>
          <w:color w:val="auto"/>
        </w:rPr>
        <w:t xml:space="preserve"> 验收组织</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_Toc197422423 \h</w:instrText>
      </w:r>
      <w:r>
        <w:rPr>
          <w:rFonts w:hint="eastAsia"/>
          <w:color w:val="auto"/>
        </w:rPr>
        <w:instrText xml:space="preserve"> </w:instrText>
      </w:r>
      <w:r>
        <w:rPr>
          <w:rFonts w:hint="eastAsia"/>
          <w:color w:val="auto"/>
        </w:rPr>
        <w:fldChar w:fldCharType="separate"/>
      </w:r>
      <w:r>
        <w:rPr>
          <w:color w:val="auto"/>
        </w:rPr>
        <w:t>6</w:t>
      </w:r>
      <w:r>
        <w:rPr>
          <w:rFonts w:hint="eastAsia"/>
          <w:color w:val="auto"/>
        </w:rPr>
        <w:fldChar w:fldCharType="end"/>
      </w:r>
      <w:r>
        <w:rPr>
          <w:rFonts w:hint="eastAsia"/>
          <w:color w:val="auto"/>
        </w:rPr>
        <w:fldChar w:fldCharType="end"/>
      </w:r>
    </w:p>
    <w:p w14:paraId="78A3BF6B">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"_Toc197422424" </w:instrText>
      </w:r>
      <w:r>
        <w:rPr>
          <w:color w:val="auto"/>
        </w:rPr>
        <w:fldChar w:fldCharType="separate"/>
      </w:r>
      <w:r>
        <w:rPr>
          <w:rStyle w:val="48"/>
          <w:rFonts w:hint="eastAsia"/>
          <w:color w:val="auto"/>
          <w14:scene3d w14:prst="orthographicFront">
            <w14:lightRig w14:rig="threePt" w14:dir="t">
              <w14:rot w14:lat="0" w14:lon="0" w14:rev="0"/>
            </w14:lightRig>
          </w14:scene3d>
        </w:rPr>
        <w:t>5.2</w:t>
      </w:r>
      <w:r>
        <w:rPr>
          <w:rStyle w:val="48"/>
          <w:rFonts w:hint="eastAsia"/>
          <w:color w:val="auto"/>
        </w:rPr>
        <w:t xml:space="preserve"> 资料验收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_Toc197422424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3CF370B8">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"_Toc197422425" </w:instrText>
      </w:r>
      <w:r>
        <w:rPr>
          <w:color w:val="auto"/>
        </w:rPr>
        <w:fldChar w:fldCharType="separate"/>
      </w:r>
      <w:r>
        <w:rPr>
          <w:rStyle w:val="48"/>
          <w:rFonts w:hint="eastAsia"/>
          <w:color w:val="auto"/>
          <w14:scene3d w14:prst="orthographicFront">
            <w14:lightRig w14:rig="threePt" w14:dir="t">
              <w14:rot w14:lat="0" w14:lon="0" w14:rev="0"/>
            </w14:lightRig>
          </w14:scene3d>
        </w:rPr>
        <w:t>5.3</w:t>
      </w:r>
      <w:r>
        <w:rPr>
          <w:rStyle w:val="48"/>
          <w:rFonts w:hint="eastAsia"/>
          <w:color w:val="auto"/>
        </w:rPr>
        <w:t xml:space="preserve"> 现场验收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_Toc197422425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62381EA1">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"_Toc197422426" </w:instrText>
      </w:r>
      <w:r>
        <w:rPr>
          <w:color w:val="auto"/>
        </w:rPr>
        <w:fldChar w:fldCharType="separate"/>
      </w:r>
      <w:r>
        <w:rPr>
          <w:rStyle w:val="48"/>
          <w:rFonts w:hint="eastAsia"/>
          <w:color w:val="auto"/>
          <w14:scene3d w14:prst="orthographicFront">
            <w14:lightRig w14:rig="threePt" w14:dir="t">
              <w14:rot w14:lat="0" w14:lon="0" w14:rev="0"/>
            </w14:lightRig>
          </w14:scene3d>
        </w:rPr>
        <w:t>5.4</w:t>
      </w:r>
      <w:r>
        <w:rPr>
          <w:rStyle w:val="48"/>
          <w:rFonts w:hint="eastAsia"/>
          <w:color w:val="auto"/>
        </w:rPr>
        <w:t xml:space="preserve"> 其它</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_Toc197422426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1DFBF3E3">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"_Toc197422427" </w:instrText>
      </w:r>
      <w:r>
        <w:rPr>
          <w:color w:val="auto"/>
        </w:rPr>
        <w:fldChar w:fldCharType="separate"/>
      </w:r>
      <w:r>
        <w:rPr>
          <w:rStyle w:val="48"/>
          <w:rFonts w:hint="eastAsia"/>
          <w:color w:val="auto"/>
        </w:rPr>
        <w:t>6 安装与拆卸</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_Toc197422427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65C8066E">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"_Toc197422428" </w:instrText>
      </w:r>
      <w:r>
        <w:rPr>
          <w:color w:val="auto"/>
        </w:rPr>
        <w:fldChar w:fldCharType="separate"/>
      </w:r>
      <w:r>
        <w:rPr>
          <w:rStyle w:val="48"/>
          <w:rFonts w:hint="eastAsia"/>
          <w:color w:val="auto"/>
          <w14:scene3d w14:prst="orthographicFront">
            <w14:lightRig w14:rig="threePt" w14:dir="t">
              <w14:rot w14:lat="0" w14:lon="0" w14:rev="0"/>
            </w14:lightRig>
          </w14:scene3d>
        </w:rPr>
        <w:t>6.1</w:t>
      </w:r>
      <w:r>
        <w:rPr>
          <w:rStyle w:val="48"/>
          <w:rFonts w:hint="eastAsia"/>
          <w:color w:val="auto"/>
        </w:rPr>
        <w:t xml:space="preserve"> 选型</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_Toc197422428 \h</w:instrText>
      </w:r>
      <w:r>
        <w:rPr>
          <w:rFonts w:hint="eastAsia"/>
          <w:color w:val="auto"/>
        </w:rPr>
        <w:instrText xml:space="preserve"> </w:instrText>
      </w:r>
      <w:r>
        <w:rPr>
          <w:rFonts w:hint="eastAsia"/>
          <w:color w:val="auto"/>
        </w:rPr>
        <w:fldChar w:fldCharType="separate"/>
      </w:r>
      <w:r>
        <w:rPr>
          <w:color w:val="auto"/>
        </w:rPr>
        <w:t>7</w:t>
      </w:r>
      <w:r>
        <w:rPr>
          <w:rFonts w:hint="eastAsia"/>
          <w:color w:val="auto"/>
        </w:rPr>
        <w:fldChar w:fldCharType="end"/>
      </w:r>
      <w:r>
        <w:rPr>
          <w:rFonts w:hint="eastAsia"/>
          <w:color w:val="auto"/>
        </w:rPr>
        <w:fldChar w:fldCharType="end"/>
      </w:r>
    </w:p>
    <w:p w14:paraId="45ABA84A">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"_Toc197422429" </w:instrText>
      </w:r>
      <w:r>
        <w:rPr>
          <w:color w:val="auto"/>
        </w:rPr>
        <w:fldChar w:fldCharType="separate"/>
      </w:r>
      <w:r>
        <w:rPr>
          <w:rStyle w:val="48"/>
          <w:rFonts w:hint="eastAsia"/>
          <w:color w:val="auto"/>
          <w14:scene3d w14:prst="orthographicFront">
            <w14:lightRig w14:rig="threePt" w14:dir="t">
              <w14:rot w14:lat="0" w14:lon="0" w14:rev="0"/>
            </w14:lightRig>
          </w14:scene3d>
        </w:rPr>
        <w:t>6.2</w:t>
      </w:r>
      <w:r>
        <w:rPr>
          <w:rStyle w:val="48"/>
          <w:rFonts w:hint="eastAsia"/>
          <w:color w:val="auto"/>
        </w:rPr>
        <w:t xml:space="preserve"> 安装选址与环境要求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_Toc197422429 \h</w:instrText>
      </w:r>
      <w:r>
        <w:rPr>
          <w:rFonts w:hint="eastAsia"/>
          <w:color w:val="auto"/>
        </w:rPr>
        <w:instrText xml:space="preserve"> </w:instrText>
      </w:r>
      <w:r>
        <w:rPr>
          <w:rFonts w:hint="eastAsia"/>
          <w:color w:val="auto"/>
        </w:rPr>
        <w:fldChar w:fldCharType="separate"/>
      </w:r>
      <w:r>
        <w:rPr>
          <w:color w:val="auto"/>
        </w:rPr>
        <w:t>8</w:t>
      </w:r>
      <w:r>
        <w:rPr>
          <w:rFonts w:hint="eastAsia"/>
          <w:color w:val="auto"/>
        </w:rPr>
        <w:fldChar w:fldCharType="end"/>
      </w:r>
      <w:r>
        <w:rPr>
          <w:rFonts w:hint="eastAsia"/>
          <w:color w:val="auto"/>
        </w:rPr>
        <w:fldChar w:fldCharType="end"/>
      </w:r>
    </w:p>
    <w:p w14:paraId="65640229">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"_Toc197422430" </w:instrText>
      </w:r>
      <w:r>
        <w:rPr>
          <w:color w:val="auto"/>
        </w:rPr>
        <w:fldChar w:fldCharType="separate"/>
      </w:r>
      <w:r>
        <w:rPr>
          <w:rStyle w:val="48"/>
          <w:rFonts w:hint="eastAsia"/>
          <w:color w:val="auto"/>
          <w14:scene3d w14:prst="orthographicFront">
            <w14:lightRig w14:rig="threePt" w14:dir="t">
              <w14:rot w14:lat="0" w14:lon="0" w14:rev="0"/>
            </w14:lightRig>
          </w14:scene3d>
        </w:rPr>
        <w:t>6.3</w:t>
      </w:r>
      <w:r>
        <w:rPr>
          <w:rStyle w:val="48"/>
          <w:rFonts w:hint="eastAsia"/>
          <w:color w:val="auto"/>
        </w:rPr>
        <w:t xml:space="preserve"> 基础要求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_Toc197422430 \h</w:instrText>
      </w:r>
      <w:r>
        <w:rPr>
          <w:rFonts w:hint="eastAsia"/>
          <w:color w:val="auto"/>
        </w:rPr>
        <w:instrText xml:space="preserve"> </w:instrText>
      </w:r>
      <w:r>
        <w:rPr>
          <w:rFonts w:hint="eastAsia"/>
          <w:color w:val="auto"/>
        </w:rPr>
        <w:fldChar w:fldCharType="separate"/>
      </w:r>
      <w:r>
        <w:rPr>
          <w:color w:val="auto"/>
        </w:rPr>
        <w:t>9</w:t>
      </w:r>
      <w:r>
        <w:rPr>
          <w:rFonts w:hint="eastAsia"/>
          <w:color w:val="auto"/>
        </w:rPr>
        <w:fldChar w:fldCharType="end"/>
      </w:r>
      <w:r>
        <w:rPr>
          <w:rFonts w:hint="eastAsia"/>
          <w:color w:val="auto"/>
        </w:rPr>
        <w:fldChar w:fldCharType="end"/>
      </w:r>
    </w:p>
    <w:p w14:paraId="48B3D295">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"_Toc197422431" </w:instrText>
      </w:r>
      <w:r>
        <w:rPr>
          <w:color w:val="auto"/>
        </w:rPr>
        <w:fldChar w:fldCharType="separate"/>
      </w:r>
      <w:r>
        <w:rPr>
          <w:rStyle w:val="48"/>
          <w:rFonts w:hint="eastAsia"/>
          <w:color w:val="auto"/>
          <w14:scene3d w14:prst="orthographicFront">
            <w14:lightRig w14:rig="threePt" w14:dir="t">
              <w14:rot w14:lat="0" w14:lon="0" w14:rev="0"/>
            </w14:lightRig>
          </w14:scene3d>
        </w:rPr>
        <w:t>6.4</w:t>
      </w:r>
      <w:r>
        <w:rPr>
          <w:rStyle w:val="48"/>
          <w:rFonts w:hint="eastAsia"/>
          <w:color w:val="auto"/>
        </w:rPr>
        <w:t xml:space="preserve"> 安装与拆卸作业</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_Toc197422431 \h</w:instrText>
      </w:r>
      <w:r>
        <w:rPr>
          <w:rFonts w:hint="eastAsia"/>
          <w:color w:val="auto"/>
        </w:rPr>
        <w:instrText xml:space="preserve"> </w:instrText>
      </w:r>
      <w:r>
        <w:rPr>
          <w:rFonts w:hint="eastAsia"/>
          <w:color w:val="auto"/>
        </w:rPr>
        <w:fldChar w:fldCharType="separate"/>
      </w:r>
      <w:r>
        <w:rPr>
          <w:color w:val="auto"/>
        </w:rPr>
        <w:t>10</w:t>
      </w:r>
      <w:r>
        <w:rPr>
          <w:rFonts w:hint="eastAsia"/>
          <w:color w:val="auto"/>
        </w:rPr>
        <w:fldChar w:fldCharType="end"/>
      </w:r>
      <w:r>
        <w:rPr>
          <w:rFonts w:hint="eastAsia"/>
          <w:color w:val="auto"/>
        </w:rPr>
        <w:fldChar w:fldCharType="end"/>
      </w:r>
    </w:p>
    <w:p w14:paraId="35A2895A">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"_Toc197422432" </w:instrText>
      </w:r>
      <w:r>
        <w:rPr>
          <w:color w:val="auto"/>
        </w:rPr>
        <w:fldChar w:fldCharType="separate"/>
      </w:r>
      <w:r>
        <w:rPr>
          <w:rStyle w:val="48"/>
          <w:rFonts w:hint="eastAsia"/>
          <w:color w:val="auto"/>
          <w14:scene3d w14:prst="orthographicFront">
            <w14:lightRig w14:rig="threePt" w14:dir="t">
              <w14:rot w14:lat="0" w14:lon="0" w14:rev="0"/>
            </w14:lightRig>
          </w14:scene3d>
        </w:rPr>
        <w:t>6.5</w:t>
      </w:r>
      <w:r>
        <w:rPr>
          <w:rStyle w:val="48"/>
          <w:rFonts w:hint="eastAsia"/>
          <w:color w:val="auto"/>
        </w:rPr>
        <w:t xml:space="preserve"> 爬升与附着</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_Toc197422432 \h</w:instrText>
      </w:r>
      <w:r>
        <w:rPr>
          <w:rFonts w:hint="eastAsia"/>
          <w:color w:val="auto"/>
        </w:rPr>
        <w:instrText xml:space="preserve"> </w:instrText>
      </w:r>
      <w:r>
        <w:rPr>
          <w:rFonts w:hint="eastAsia"/>
          <w:color w:val="auto"/>
        </w:rPr>
        <w:fldChar w:fldCharType="separate"/>
      </w:r>
      <w:r>
        <w:rPr>
          <w:color w:val="auto"/>
        </w:rPr>
        <w:t>11</w:t>
      </w:r>
      <w:r>
        <w:rPr>
          <w:rFonts w:hint="eastAsia"/>
          <w:color w:val="auto"/>
        </w:rPr>
        <w:fldChar w:fldCharType="end"/>
      </w:r>
      <w:r>
        <w:rPr>
          <w:rFonts w:hint="eastAsia"/>
          <w:color w:val="auto"/>
        </w:rPr>
        <w:fldChar w:fldCharType="end"/>
      </w:r>
    </w:p>
    <w:p w14:paraId="377C18C3">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"_Toc197422433" </w:instrText>
      </w:r>
      <w:r>
        <w:rPr>
          <w:color w:val="auto"/>
        </w:rPr>
        <w:fldChar w:fldCharType="separate"/>
      </w:r>
      <w:r>
        <w:rPr>
          <w:rStyle w:val="48"/>
          <w:rFonts w:hint="eastAsia"/>
          <w:color w:val="auto"/>
        </w:rPr>
        <w:t>7 使用</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_Toc197422433 \h</w:instrText>
      </w:r>
      <w:r>
        <w:rPr>
          <w:rFonts w:hint="eastAsia"/>
          <w:color w:val="auto"/>
        </w:rPr>
        <w:instrText xml:space="preserve"> </w:instrText>
      </w:r>
      <w:r>
        <w:rPr>
          <w:rFonts w:hint="eastAsia"/>
          <w:color w:val="auto"/>
        </w:rPr>
        <w:fldChar w:fldCharType="separate"/>
      </w:r>
      <w:r>
        <w:rPr>
          <w:color w:val="auto"/>
        </w:rPr>
        <w:t>14</w:t>
      </w:r>
      <w:r>
        <w:rPr>
          <w:rFonts w:hint="eastAsia"/>
          <w:color w:val="auto"/>
        </w:rPr>
        <w:fldChar w:fldCharType="end"/>
      </w:r>
      <w:r>
        <w:rPr>
          <w:rFonts w:hint="eastAsia"/>
          <w:color w:val="auto"/>
        </w:rPr>
        <w:fldChar w:fldCharType="end"/>
      </w:r>
    </w:p>
    <w:p w14:paraId="2ECECD3A">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"_Toc197422434" </w:instrText>
      </w:r>
      <w:r>
        <w:rPr>
          <w:color w:val="auto"/>
        </w:rPr>
        <w:fldChar w:fldCharType="separate"/>
      </w:r>
      <w:r>
        <w:rPr>
          <w:rStyle w:val="48"/>
          <w:rFonts w:hint="eastAsia"/>
          <w:color w:val="auto"/>
          <w14:scene3d w14:prst="orthographicFront">
            <w14:lightRig w14:rig="threePt" w14:dir="t">
              <w14:rot w14:lat="0" w14:lon="0" w14:rev="0"/>
            </w14:lightRig>
          </w14:scene3d>
        </w:rPr>
        <w:t>7.1</w:t>
      </w:r>
      <w:r>
        <w:rPr>
          <w:rStyle w:val="48"/>
          <w:rFonts w:hint="eastAsia"/>
          <w:color w:val="auto"/>
        </w:rPr>
        <w:t xml:space="preserve"> 一般规定</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_Toc197422434 \h</w:instrText>
      </w:r>
      <w:r>
        <w:rPr>
          <w:rFonts w:hint="eastAsia"/>
          <w:color w:val="auto"/>
        </w:rPr>
        <w:instrText xml:space="preserve"> </w:instrText>
      </w:r>
      <w:r>
        <w:rPr>
          <w:rFonts w:hint="eastAsia"/>
          <w:color w:val="auto"/>
        </w:rPr>
        <w:fldChar w:fldCharType="separate"/>
      </w:r>
      <w:r>
        <w:rPr>
          <w:color w:val="auto"/>
        </w:rPr>
        <w:t>14</w:t>
      </w:r>
      <w:r>
        <w:rPr>
          <w:rFonts w:hint="eastAsia"/>
          <w:color w:val="auto"/>
        </w:rPr>
        <w:fldChar w:fldCharType="end"/>
      </w:r>
      <w:r>
        <w:rPr>
          <w:rFonts w:hint="eastAsia"/>
          <w:color w:val="auto"/>
        </w:rPr>
        <w:fldChar w:fldCharType="end"/>
      </w:r>
    </w:p>
    <w:p w14:paraId="4EA4027C">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"_Toc197422435" </w:instrText>
      </w:r>
      <w:r>
        <w:rPr>
          <w:color w:val="auto"/>
        </w:rPr>
        <w:fldChar w:fldCharType="separate"/>
      </w:r>
      <w:r>
        <w:rPr>
          <w:rStyle w:val="48"/>
          <w:rFonts w:hint="eastAsia"/>
          <w:color w:val="auto"/>
          <w14:scene3d w14:prst="orthographicFront">
            <w14:lightRig w14:rig="threePt" w14:dir="t">
              <w14:rot w14:lat="0" w14:lon="0" w14:rev="0"/>
            </w14:lightRig>
          </w14:scene3d>
        </w:rPr>
        <w:t>7.2</w:t>
      </w:r>
      <w:r>
        <w:rPr>
          <w:rStyle w:val="48"/>
          <w:rFonts w:hint="eastAsia"/>
          <w:color w:val="auto"/>
        </w:rPr>
        <w:t xml:space="preserve"> 作业前准备</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_Toc197422435 \h</w:instrText>
      </w:r>
      <w:r>
        <w:rPr>
          <w:rFonts w:hint="eastAsia"/>
          <w:color w:val="auto"/>
        </w:rPr>
        <w:instrText xml:space="preserve"> </w:instrText>
      </w:r>
      <w:r>
        <w:rPr>
          <w:rFonts w:hint="eastAsia"/>
          <w:color w:val="auto"/>
        </w:rPr>
        <w:fldChar w:fldCharType="separate"/>
      </w:r>
      <w:r>
        <w:rPr>
          <w:color w:val="auto"/>
        </w:rPr>
        <w:t>14</w:t>
      </w:r>
      <w:r>
        <w:rPr>
          <w:rFonts w:hint="eastAsia"/>
          <w:color w:val="auto"/>
        </w:rPr>
        <w:fldChar w:fldCharType="end"/>
      </w:r>
      <w:r>
        <w:rPr>
          <w:rFonts w:hint="eastAsia"/>
          <w:color w:val="auto"/>
        </w:rPr>
        <w:fldChar w:fldCharType="end"/>
      </w:r>
    </w:p>
    <w:p w14:paraId="050035C7">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"_Toc197422436" </w:instrText>
      </w:r>
      <w:r>
        <w:rPr>
          <w:color w:val="auto"/>
        </w:rPr>
        <w:fldChar w:fldCharType="separate"/>
      </w:r>
      <w:r>
        <w:rPr>
          <w:rStyle w:val="48"/>
          <w:rFonts w:hint="eastAsia"/>
          <w:color w:val="auto"/>
          <w14:scene3d w14:prst="orthographicFront">
            <w14:lightRig w14:rig="threePt" w14:dir="t">
              <w14:rot w14:lat="0" w14:lon="0" w14:rev="0"/>
            </w14:lightRig>
          </w14:scene3d>
        </w:rPr>
        <w:t>7.3</w:t>
      </w:r>
      <w:r>
        <w:rPr>
          <w:rStyle w:val="48"/>
          <w:rFonts w:hint="eastAsia"/>
          <w:color w:val="auto"/>
        </w:rPr>
        <w:t xml:space="preserve"> 作业</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_Toc197422436 \h</w:instrText>
      </w:r>
      <w:r>
        <w:rPr>
          <w:rFonts w:hint="eastAsia"/>
          <w:color w:val="auto"/>
        </w:rPr>
        <w:instrText xml:space="preserve"> </w:instrText>
      </w:r>
      <w:r>
        <w:rPr>
          <w:rFonts w:hint="eastAsia"/>
          <w:color w:val="auto"/>
        </w:rPr>
        <w:fldChar w:fldCharType="separate"/>
      </w:r>
      <w:r>
        <w:rPr>
          <w:color w:val="auto"/>
        </w:rPr>
        <w:t>14</w:t>
      </w:r>
      <w:r>
        <w:rPr>
          <w:rFonts w:hint="eastAsia"/>
          <w:color w:val="auto"/>
        </w:rPr>
        <w:fldChar w:fldCharType="end"/>
      </w:r>
      <w:r>
        <w:rPr>
          <w:rFonts w:hint="eastAsia"/>
          <w:color w:val="auto"/>
        </w:rPr>
        <w:fldChar w:fldCharType="end"/>
      </w:r>
    </w:p>
    <w:p w14:paraId="741BC7E4">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"_Toc197422437" </w:instrText>
      </w:r>
      <w:r>
        <w:rPr>
          <w:color w:val="auto"/>
        </w:rPr>
        <w:fldChar w:fldCharType="separate"/>
      </w:r>
      <w:r>
        <w:rPr>
          <w:rStyle w:val="48"/>
          <w:rFonts w:hint="eastAsia"/>
          <w:color w:val="auto"/>
          <w14:scene3d w14:prst="orthographicFront">
            <w14:lightRig w14:rig="threePt" w14:dir="t">
              <w14:rot w14:lat="0" w14:lon="0" w14:rev="0"/>
            </w14:lightRig>
          </w14:scene3d>
        </w:rPr>
        <w:t>7.4</w:t>
      </w:r>
      <w:r>
        <w:rPr>
          <w:rStyle w:val="48"/>
          <w:rFonts w:hint="eastAsia"/>
          <w:color w:val="auto"/>
        </w:rPr>
        <w:t xml:space="preserve"> 交接班</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_Toc197422437 \h</w:instrText>
      </w:r>
      <w:r>
        <w:rPr>
          <w:rFonts w:hint="eastAsia"/>
          <w:color w:val="auto"/>
        </w:rPr>
        <w:instrText xml:space="preserve"> </w:instrText>
      </w:r>
      <w:r>
        <w:rPr>
          <w:rFonts w:hint="eastAsia"/>
          <w:color w:val="auto"/>
        </w:rPr>
        <w:fldChar w:fldCharType="separate"/>
      </w:r>
      <w:r>
        <w:rPr>
          <w:color w:val="auto"/>
        </w:rPr>
        <w:t>15</w:t>
      </w:r>
      <w:r>
        <w:rPr>
          <w:rFonts w:hint="eastAsia"/>
          <w:color w:val="auto"/>
        </w:rPr>
        <w:fldChar w:fldCharType="end"/>
      </w:r>
      <w:r>
        <w:rPr>
          <w:rFonts w:hint="eastAsia"/>
          <w:color w:val="auto"/>
        </w:rPr>
        <w:fldChar w:fldCharType="end"/>
      </w:r>
    </w:p>
    <w:p w14:paraId="68D0634C">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"_Toc197422438" </w:instrText>
      </w:r>
      <w:r>
        <w:rPr>
          <w:color w:val="auto"/>
        </w:rPr>
        <w:fldChar w:fldCharType="separate"/>
      </w:r>
      <w:r>
        <w:rPr>
          <w:rStyle w:val="48"/>
          <w:rFonts w:hint="eastAsia"/>
          <w:color w:val="auto"/>
        </w:rPr>
        <w:t>8 专项安全技术措施</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_Toc197422438 \h</w:instrText>
      </w:r>
      <w:r>
        <w:rPr>
          <w:rFonts w:hint="eastAsia"/>
          <w:color w:val="auto"/>
        </w:rPr>
        <w:instrText xml:space="preserve"> </w:instrText>
      </w:r>
      <w:r>
        <w:rPr>
          <w:rFonts w:hint="eastAsia"/>
          <w:color w:val="auto"/>
        </w:rPr>
        <w:fldChar w:fldCharType="separate"/>
      </w:r>
      <w:r>
        <w:rPr>
          <w:color w:val="auto"/>
        </w:rPr>
        <w:t>17</w:t>
      </w:r>
      <w:r>
        <w:rPr>
          <w:rFonts w:hint="eastAsia"/>
          <w:color w:val="auto"/>
        </w:rPr>
        <w:fldChar w:fldCharType="end"/>
      </w:r>
      <w:r>
        <w:rPr>
          <w:rFonts w:hint="eastAsia"/>
          <w:color w:val="auto"/>
        </w:rPr>
        <w:fldChar w:fldCharType="end"/>
      </w:r>
    </w:p>
    <w:p w14:paraId="1D7E42FD">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"_Toc197422439" </w:instrText>
      </w:r>
      <w:r>
        <w:rPr>
          <w:color w:val="auto"/>
        </w:rPr>
        <w:fldChar w:fldCharType="separate"/>
      </w:r>
      <w:r>
        <w:rPr>
          <w:rStyle w:val="48"/>
          <w:rFonts w:hint="eastAsia"/>
          <w:color w:val="auto"/>
          <w14:scene3d w14:prst="orthographicFront">
            <w14:lightRig w14:rig="threePt" w14:dir="t">
              <w14:rot w14:lat="0" w14:lon="0" w14:rev="0"/>
            </w14:lightRig>
          </w14:scene3d>
        </w:rPr>
        <w:t>8.1</w:t>
      </w:r>
      <w:r>
        <w:rPr>
          <w:rStyle w:val="48"/>
          <w:rFonts w:hint="eastAsia"/>
          <w:color w:val="auto"/>
        </w:rPr>
        <w:t xml:space="preserve"> 特殊环境管理要求</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_Toc197422439 \h</w:instrText>
      </w:r>
      <w:r>
        <w:rPr>
          <w:rFonts w:hint="eastAsia"/>
          <w:color w:val="auto"/>
        </w:rPr>
        <w:instrText xml:space="preserve"> </w:instrText>
      </w:r>
      <w:r>
        <w:rPr>
          <w:rFonts w:hint="eastAsia"/>
          <w:color w:val="auto"/>
        </w:rPr>
        <w:fldChar w:fldCharType="separate"/>
      </w:r>
      <w:r>
        <w:rPr>
          <w:color w:val="auto"/>
        </w:rPr>
        <w:t>17</w:t>
      </w:r>
      <w:r>
        <w:rPr>
          <w:rFonts w:hint="eastAsia"/>
          <w:color w:val="auto"/>
        </w:rPr>
        <w:fldChar w:fldCharType="end"/>
      </w:r>
      <w:r>
        <w:rPr>
          <w:rFonts w:hint="eastAsia"/>
          <w:color w:val="auto"/>
        </w:rPr>
        <w:fldChar w:fldCharType="end"/>
      </w:r>
    </w:p>
    <w:p w14:paraId="0FDC985D">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"_Toc197422440" </w:instrText>
      </w:r>
      <w:r>
        <w:rPr>
          <w:color w:val="auto"/>
        </w:rPr>
        <w:fldChar w:fldCharType="separate"/>
      </w:r>
      <w:r>
        <w:rPr>
          <w:rStyle w:val="48"/>
          <w:rFonts w:hint="eastAsia"/>
          <w:color w:val="auto"/>
          <w14:scene3d w14:prst="orthographicFront">
            <w14:lightRig w14:rig="threePt" w14:dir="t">
              <w14:rot w14:lat="0" w14:lon="0" w14:rev="0"/>
            </w14:lightRig>
          </w14:scene3d>
        </w:rPr>
        <w:t>8.2</w:t>
      </w:r>
      <w:r>
        <w:rPr>
          <w:rStyle w:val="48"/>
          <w:rFonts w:hint="eastAsia"/>
          <w:color w:val="auto"/>
        </w:rPr>
        <w:t xml:space="preserve"> 防台风措施</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_Toc197422440 \h</w:instrText>
      </w:r>
      <w:r>
        <w:rPr>
          <w:rFonts w:hint="eastAsia"/>
          <w:color w:val="auto"/>
        </w:rPr>
        <w:instrText xml:space="preserve"> </w:instrText>
      </w:r>
      <w:r>
        <w:rPr>
          <w:rFonts w:hint="eastAsia"/>
          <w:color w:val="auto"/>
        </w:rPr>
        <w:fldChar w:fldCharType="separate"/>
      </w:r>
      <w:r>
        <w:rPr>
          <w:color w:val="auto"/>
        </w:rPr>
        <w:t>18</w:t>
      </w:r>
      <w:r>
        <w:rPr>
          <w:rFonts w:hint="eastAsia"/>
          <w:color w:val="auto"/>
        </w:rPr>
        <w:fldChar w:fldCharType="end"/>
      </w:r>
      <w:r>
        <w:rPr>
          <w:rFonts w:hint="eastAsia"/>
          <w:color w:val="auto"/>
        </w:rPr>
        <w:fldChar w:fldCharType="end"/>
      </w:r>
    </w:p>
    <w:p w14:paraId="1CCDE0F5">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"_Toc197422441" </w:instrText>
      </w:r>
      <w:r>
        <w:rPr>
          <w:color w:val="auto"/>
        </w:rPr>
        <w:fldChar w:fldCharType="separate"/>
      </w:r>
      <w:r>
        <w:rPr>
          <w:rStyle w:val="48"/>
          <w:rFonts w:hint="eastAsia"/>
          <w:color w:val="auto"/>
          <w14:scene3d w14:prst="orthographicFront">
            <w14:lightRig w14:rig="threePt" w14:dir="t">
              <w14:rot w14:lat="0" w14:lon="0" w14:rev="0"/>
            </w14:lightRig>
          </w14:scene3d>
        </w:rPr>
        <w:t>8.3</w:t>
      </w:r>
      <w:r>
        <w:rPr>
          <w:rStyle w:val="48"/>
          <w:rFonts w:hint="eastAsia"/>
          <w:color w:val="auto"/>
        </w:rPr>
        <w:t xml:space="preserve"> 防碰撞措施</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_Toc197422441 \h</w:instrText>
      </w:r>
      <w:r>
        <w:rPr>
          <w:rFonts w:hint="eastAsia"/>
          <w:color w:val="auto"/>
        </w:rPr>
        <w:instrText xml:space="preserve"> </w:instrText>
      </w:r>
      <w:r>
        <w:rPr>
          <w:rFonts w:hint="eastAsia"/>
          <w:color w:val="auto"/>
        </w:rPr>
        <w:fldChar w:fldCharType="separate"/>
      </w:r>
      <w:r>
        <w:rPr>
          <w:color w:val="auto"/>
        </w:rPr>
        <w:t>18</w:t>
      </w:r>
      <w:r>
        <w:rPr>
          <w:rFonts w:hint="eastAsia"/>
          <w:color w:val="auto"/>
        </w:rPr>
        <w:fldChar w:fldCharType="end"/>
      </w:r>
      <w:r>
        <w:rPr>
          <w:rFonts w:hint="eastAsia"/>
          <w:color w:val="auto"/>
        </w:rPr>
        <w:fldChar w:fldCharType="end"/>
      </w:r>
    </w:p>
    <w:p w14:paraId="213BE12F">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"_Toc197422442" </w:instrText>
      </w:r>
      <w:r>
        <w:rPr>
          <w:color w:val="auto"/>
        </w:rPr>
        <w:fldChar w:fldCharType="separate"/>
      </w:r>
      <w:r>
        <w:rPr>
          <w:rStyle w:val="48"/>
          <w:rFonts w:hint="eastAsia"/>
          <w:color w:val="auto"/>
          <w14:scene3d w14:prst="orthographicFront">
            <w14:lightRig w14:rig="threePt" w14:dir="t">
              <w14:rot w14:lat="0" w14:lon="0" w14:rev="0"/>
            </w14:lightRig>
          </w14:scene3d>
        </w:rPr>
        <w:t>8.4</w:t>
      </w:r>
      <w:r>
        <w:rPr>
          <w:rStyle w:val="48"/>
          <w:rFonts w:hint="eastAsia"/>
          <w:color w:val="auto"/>
        </w:rPr>
        <w:t xml:space="preserve"> 防雷电措施</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_Toc197422442 \h</w:instrText>
      </w:r>
      <w:r>
        <w:rPr>
          <w:rFonts w:hint="eastAsia"/>
          <w:color w:val="auto"/>
        </w:rPr>
        <w:instrText xml:space="preserve"> </w:instrText>
      </w:r>
      <w:r>
        <w:rPr>
          <w:rFonts w:hint="eastAsia"/>
          <w:color w:val="auto"/>
        </w:rPr>
        <w:fldChar w:fldCharType="separate"/>
      </w:r>
      <w:r>
        <w:rPr>
          <w:color w:val="auto"/>
        </w:rPr>
        <w:t>19</w:t>
      </w:r>
      <w:r>
        <w:rPr>
          <w:rFonts w:hint="eastAsia"/>
          <w:color w:val="auto"/>
        </w:rPr>
        <w:fldChar w:fldCharType="end"/>
      </w:r>
      <w:r>
        <w:rPr>
          <w:rFonts w:hint="eastAsia"/>
          <w:color w:val="auto"/>
        </w:rPr>
        <w:fldChar w:fldCharType="end"/>
      </w:r>
    </w:p>
    <w:p w14:paraId="113A9B2C">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"_Toc197422443" </w:instrText>
      </w:r>
      <w:r>
        <w:rPr>
          <w:color w:val="auto"/>
        </w:rPr>
        <w:fldChar w:fldCharType="separate"/>
      </w:r>
      <w:r>
        <w:rPr>
          <w:rStyle w:val="48"/>
          <w:rFonts w:hint="eastAsia"/>
          <w:color w:val="auto"/>
          <w14:scene3d w14:prst="orthographicFront">
            <w14:lightRig w14:rig="threePt" w14:dir="t">
              <w14:rot w14:lat="0" w14:lon="0" w14:rev="0"/>
            </w14:lightRig>
          </w14:scene3d>
        </w:rPr>
        <w:t>8.5</w:t>
      </w:r>
      <w:r>
        <w:rPr>
          <w:rStyle w:val="48"/>
          <w:rFonts w:hint="eastAsia"/>
          <w:color w:val="auto"/>
        </w:rPr>
        <w:t xml:space="preserve"> 安全应急处置措施</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_Toc197422443 \h</w:instrText>
      </w:r>
      <w:r>
        <w:rPr>
          <w:rFonts w:hint="eastAsia"/>
          <w:color w:val="auto"/>
        </w:rPr>
        <w:instrText xml:space="preserve"> </w:instrText>
      </w:r>
      <w:r>
        <w:rPr>
          <w:rFonts w:hint="eastAsia"/>
          <w:color w:val="auto"/>
        </w:rPr>
        <w:fldChar w:fldCharType="separate"/>
      </w:r>
      <w:r>
        <w:rPr>
          <w:color w:val="auto"/>
        </w:rPr>
        <w:t>19</w:t>
      </w:r>
      <w:r>
        <w:rPr>
          <w:rFonts w:hint="eastAsia"/>
          <w:color w:val="auto"/>
        </w:rPr>
        <w:fldChar w:fldCharType="end"/>
      </w:r>
      <w:r>
        <w:rPr>
          <w:rFonts w:hint="eastAsia"/>
          <w:color w:val="auto"/>
        </w:rPr>
        <w:fldChar w:fldCharType="end"/>
      </w:r>
    </w:p>
    <w:p w14:paraId="105FAB52">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"_Toc197422444" </w:instrText>
      </w:r>
      <w:r>
        <w:rPr>
          <w:color w:val="auto"/>
        </w:rPr>
        <w:fldChar w:fldCharType="separate"/>
      </w:r>
      <w:r>
        <w:rPr>
          <w:rStyle w:val="48"/>
          <w:rFonts w:hint="eastAsia"/>
          <w:color w:val="auto"/>
        </w:rPr>
        <w:t>9 运输和贮存</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_Toc197422444 \h</w:instrText>
      </w:r>
      <w:r>
        <w:rPr>
          <w:rFonts w:hint="eastAsia"/>
          <w:color w:val="auto"/>
        </w:rPr>
        <w:instrText xml:space="preserve"> </w:instrText>
      </w:r>
      <w:r>
        <w:rPr>
          <w:rFonts w:hint="eastAsia"/>
          <w:color w:val="auto"/>
        </w:rPr>
        <w:fldChar w:fldCharType="separate"/>
      </w:r>
      <w:r>
        <w:rPr>
          <w:color w:val="auto"/>
        </w:rPr>
        <w:t>19</w:t>
      </w:r>
      <w:r>
        <w:rPr>
          <w:rFonts w:hint="eastAsia"/>
          <w:color w:val="auto"/>
        </w:rPr>
        <w:fldChar w:fldCharType="end"/>
      </w:r>
      <w:r>
        <w:rPr>
          <w:rFonts w:hint="eastAsia"/>
          <w:color w:val="auto"/>
        </w:rPr>
        <w:fldChar w:fldCharType="end"/>
      </w:r>
    </w:p>
    <w:p w14:paraId="413C3571">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"_Toc197422445" </w:instrText>
      </w:r>
      <w:r>
        <w:rPr>
          <w:color w:val="auto"/>
        </w:rPr>
        <w:fldChar w:fldCharType="separate"/>
      </w:r>
      <w:r>
        <w:rPr>
          <w:rStyle w:val="48"/>
          <w:rFonts w:hint="eastAsia"/>
          <w:color w:val="auto"/>
          <w14:scene3d w14:prst="orthographicFront">
            <w14:lightRig w14:rig="threePt" w14:dir="t">
              <w14:rot w14:lat="0" w14:lon="0" w14:rev="0"/>
            </w14:lightRig>
          </w14:scene3d>
        </w:rPr>
        <w:t>9.1</w:t>
      </w:r>
      <w:r>
        <w:rPr>
          <w:rStyle w:val="48"/>
          <w:rFonts w:hint="eastAsia"/>
          <w:color w:val="auto"/>
        </w:rPr>
        <w:t xml:space="preserve"> 运输</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_Toc197422445 \h</w:instrText>
      </w:r>
      <w:r>
        <w:rPr>
          <w:rFonts w:hint="eastAsia"/>
          <w:color w:val="auto"/>
        </w:rPr>
        <w:instrText xml:space="preserve"> </w:instrText>
      </w:r>
      <w:r>
        <w:rPr>
          <w:rFonts w:hint="eastAsia"/>
          <w:color w:val="auto"/>
        </w:rPr>
        <w:fldChar w:fldCharType="separate"/>
      </w:r>
      <w:r>
        <w:rPr>
          <w:color w:val="auto"/>
        </w:rPr>
        <w:t>19</w:t>
      </w:r>
      <w:r>
        <w:rPr>
          <w:rFonts w:hint="eastAsia"/>
          <w:color w:val="auto"/>
        </w:rPr>
        <w:fldChar w:fldCharType="end"/>
      </w:r>
      <w:r>
        <w:rPr>
          <w:rFonts w:hint="eastAsia"/>
          <w:color w:val="auto"/>
        </w:rPr>
        <w:fldChar w:fldCharType="end"/>
      </w:r>
    </w:p>
    <w:p w14:paraId="3DDB02EC">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"_Toc197422446" </w:instrText>
      </w:r>
      <w:r>
        <w:rPr>
          <w:color w:val="auto"/>
        </w:rPr>
        <w:fldChar w:fldCharType="separate"/>
      </w:r>
      <w:r>
        <w:rPr>
          <w:rStyle w:val="48"/>
          <w:rFonts w:hint="eastAsia"/>
          <w:color w:val="auto"/>
          <w14:scene3d w14:prst="orthographicFront">
            <w14:lightRig w14:rig="threePt" w14:dir="t">
              <w14:rot w14:lat="0" w14:lon="0" w14:rev="0"/>
            </w14:lightRig>
          </w14:scene3d>
        </w:rPr>
        <w:t>9.2</w:t>
      </w:r>
      <w:r>
        <w:rPr>
          <w:rStyle w:val="48"/>
          <w:rFonts w:hint="eastAsia"/>
          <w:color w:val="auto"/>
        </w:rPr>
        <w:t xml:space="preserve"> 贮存</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_Toc197422446 \h</w:instrText>
      </w:r>
      <w:r>
        <w:rPr>
          <w:rFonts w:hint="eastAsia"/>
          <w:color w:val="auto"/>
        </w:rPr>
        <w:instrText xml:space="preserve"> </w:instrText>
      </w:r>
      <w:r>
        <w:rPr>
          <w:rFonts w:hint="eastAsia"/>
          <w:color w:val="auto"/>
        </w:rPr>
        <w:fldChar w:fldCharType="separate"/>
      </w:r>
      <w:r>
        <w:rPr>
          <w:color w:val="auto"/>
        </w:rPr>
        <w:t>20</w:t>
      </w:r>
      <w:r>
        <w:rPr>
          <w:rFonts w:hint="eastAsia"/>
          <w:color w:val="auto"/>
        </w:rPr>
        <w:fldChar w:fldCharType="end"/>
      </w:r>
      <w:r>
        <w:rPr>
          <w:rFonts w:hint="eastAsia"/>
          <w:color w:val="auto"/>
        </w:rPr>
        <w:fldChar w:fldCharType="end"/>
      </w:r>
    </w:p>
    <w:p w14:paraId="160BED88">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"_Toc197422447" </w:instrText>
      </w:r>
      <w:r>
        <w:rPr>
          <w:color w:val="auto"/>
        </w:rPr>
        <w:fldChar w:fldCharType="separate"/>
      </w:r>
      <w:r>
        <w:rPr>
          <w:rStyle w:val="48"/>
          <w:rFonts w:hint="eastAsia"/>
          <w:color w:val="auto"/>
        </w:rPr>
        <w:t>10 绿色节能和智能操作</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_Toc197422447 \h</w:instrText>
      </w:r>
      <w:r>
        <w:rPr>
          <w:rFonts w:hint="eastAsia"/>
          <w:color w:val="auto"/>
        </w:rPr>
        <w:instrText xml:space="preserve"> </w:instrText>
      </w:r>
      <w:r>
        <w:rPr>
          <w:rFonts w:hint="eastAsia"/>
          <w:color w:val="auto"/>
        </w:rPr>
        <w:fldChar w:fldCharType="separate"/>
      </w:r>
      <w:r>
        <w:rPr>
          <w:color w:val="auto"/>
        </w:rPr>
        <w:t>20</w:t>
      </w:r>
      <w:r>
        <w:rPr>
          <w:rFonts w:hint="eastAsia"/>
          <w:color w:val="auto"/>
        </w:rPr>
        <w:fldChar w:fldCharType="end"/>
      </w:r>
      <w:r>
        <w:rPr>
          <w:rFonts w:hint="eastAsia"/>
          <w:color w:val="auto"/>
        </w:rPr>
        <w:fldChar w:fldCharType="end"/>
      </w:r>
    </w:p>
    <w:p w14:paraId="62A42D0E">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"_Toc197422448" </w:instrText>
      </w:r>
      <w:r>
        <w:rPr>
          <w:color w:val="auto"/>
        </w:rPr>
        <w:fldChar w:fldCharType="separate"/>
      </w:r>
      <w:r>
        <w:rPr>
          <w:rStyle w:val="48"/>
          <w:rFonts w:hint="eastAsia"/>
          <w:color w:val="auto"/>
          <w14:scene3d w14:prst="orthographicFront">
            <w14:lightRig w14:rig="threePt" w14:dir="t">
              <w14:rot w14:lat="0" w14:lon="0" w14:rev="0"/>
            </w14:lightRig>
          </w14:scene3d>
        </w:rPr>
        <w:t>10.1</w:t>
      </w:r>
      <w:r>
        <w:rPr>
          <w:rStyle w:val="48"/>
          <w:rFonts w:hint="eastAsia"/>
          <w:color w:val="auto"/>
        </w:rPr>
        <w:t xml:space="preserve"> 绿色节能</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_Toc197422448 \h</w:instrText>
      </w:r>
      <w:r>
        <w:rPr>
          <w:rFonts w:hint="eastAsia"/>
          <w:color w:val="auto"/>
        </w:rPr>
        <w:instrText xml:space="preserve"> </w:instrText>
      </w:r>
      <w:r>
        <w:rPr>
          <w:rFonts w:hint="eastAsia"/>
          <w:color w:val="auto"/>
        </w:rPr>
        <w:fldChar w:fldCharType="separate"/>
      </w:r>
      <w:r>
        <w:rPr>
          <w:color w:val="auto"/>
        </w:rPr>
        <w:t>20</w:t>
      </w:r>
      <w:r>
        <w:rPr>
          <w:rFonts w:hint="eastAsia"/>
          <w:color w:val="auto"/>
        </w:rPr>
        <w:fldChar w:fldCharType="end"/>
      </w:r>
      <w:r>
        <w:rPr>
          <w:rFonts w:hint="eastAsia"/>
          <w:color w:val="auto"/>
        </w:rPr>
        <w:fldChar w:fldCharType="end"/>
      </w:r>
    </w:p>
    <w:p w14:paraId="4F616A32">
      <w:pPr>
        <w:pStyle w:val="32"/>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"_Toc197422449" </w:instrText>
      </w:r>
      <w:r>
        <w:rPr>
          <w:color w:val="auto"/>
        </w:rPr>
        <w:fldChar w:fldCharType="separate"/>
      </w:r>
      <w:r>
        <w:rPr>
          <w:rStyle w:val="48"/>
          <w:rFonts w:hint="eastAsia"/>
          <w:color w:val="auto"/>
          <w14:scene3d w14:prst="orthographicFront">
            <w14:lightRig w14:rig="threePt" w14:dir="t">
              <w14:rot w14:lat="0" w14:lon="0" w14:rev="0"/>
            </w14:lightRig>
          </w14:scene3d>
        </w:rPr>
        <w:t>10.2</w:t>
      </w:r>
      <w:r>
        <w:rPr>
          <w:rStyle w:val="48"/>
          <w:rFonts w:hint="eastAsia"/>
          <w:color w:val="auto"/>
        </w:rPr>
        <w:t xml:space="preserve"> 智能操作</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_Toc197422449 \h</w:instrText>
      </w:r>
      <w:r>
        <w:rPr>
          <w:rFonts w:hint="eastAsia"/>
          <w:color w:val="auto"/>
        </w:rPr>
        <w:instrText xml:space="preserve"> </w:instrText>
      </w:r>
      <w:r>
        <w:rPr>
          <w:rFonts w:hint="eastAsia"/>
          <w:color w:val="auto"/>
        </w:rPr>
        <w:fldChar w:fldCharType="separate"/>
      </w:r>
      <w:r>
        <w:rPr>
          <w:color w:val="auto"/>
        </w:rPr>
        <w:t>20</w:t>
      </w:r>
      <w:r>
        <w:rPr>
          <w:rFonts w:hint="eastAsia"/>
          <w:color w:val="auto"/>
        </w:rPr>
        <w:fldChar w:fldCharType="end"/>
      </w:r>
      <w:r>
        <w:rPr>
          <w:rFonts w:hint="eastAsia"/>
          <w:color w:val="auto"/>
        </w:rPr>
        <w:fldChar w:fldCharType="end"/>
      </w:r>
    </w:p>
    <w:p w14:paraId="6733E085">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"_Toc197422450" </w:instrText>
      </w:r>
      <w:r>
        <w:rPr>
          <w:color w:val="auto"/>
        </w:rPr>
        <w:fldChar w:fldCharType="separate"/>
      </w:r>
      <w:r>
        <w:rPr>
          <w:rStyle w:val="48"/>
          <w:rFonts w:hint="eastAsia"/>
          <w:color w:val="auto"/>
          <w:spacing w:val="100"/>
        </w:rPr>
        <w:t>附录A</w:t>
      </w:r>
      <w:r>
        <w:rPr>
          <w:rStyle w:val="48"/>
          <w:rFonts w:hint="eastAsia"/>
          <w:color w:val="auto"/>
        </w:rPr>
        <w:t xml:space="preserve"> （资料性） 塔机入场验收表</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_Toc197422450 \h</w:instrText>
      </w:r>
      <w:r>
        <w:rPr>
          <w:rFonts w:hint="eastAsia"/>
          <w:color w:val="auto"/>
        </w:rPr>
        <w:instrText xml:space="preserve"> </w:instrText>
      </w:r>
      <w:r>
        <w:rPr>
          <w:rFonts w:hint="eastAsia"/>
          <w:color w:val="auto"/>
        </w:rPr>
        <w:fldChar w:fldCharType="separate"/>
      </w:r>
      <w:r>
        <w:rPr>
          <w:color w:val="auto"/>
        </w:rPr>
        <w:t>21</w:t>
      </w:r>
      <w:r>
        <w:rPr>
          <w:rFonts w:hint="eastAsia"/>
          <w:color w:val="auto"/>
        </w:rPr>
        <w:fldChar w:fldCharType="end"/>
      </w:r>
      <w:r>
        <w:rPr>
          <w:rFonts w:hint="eastAsia"/>
          <w:color w:val="auto"/>
        </w:rPr>
        <w:fldChar w:fldCharType="end"/>
      </w:r>
    </w:p>
    <w:p w14:paraId="4C393EC9">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"_Toc197422451" </w:instrText>
      </w:r>
      <w:r>
        <w:rPr>
          <w:color w:val="auto"/>
        </w:rPr>
        <w:fldChar w:fldCharType="separate"/>
      </w:r>
      <w:r>
        <w:rPr>
          <w:rStyle w:val="48"/>
          <w:rFonts w:hint="eastAsia"/>
          <w:color w:val="auto"/>
          <w:spacing w:val="100"/>
        </w:rPr>
        <w:t>附录B</w:t>
      </w:r>
      <w:r>
        <w:rPr>
          <w:rStyle w:val="48"/>
          <w:rFonts w:hint="eastAsia"/>
          <w:color w:val="auto"/>
        </w:rPr>
        <w:t xml:space="preserve"> （资料性） 塔机基础验收表</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_Toc197422451 \h</w:instrText>
      </w:r>
      <w:r>
        <w:rPr>
          <w:rFonts w:hint="eastAsia"/>
          <w:color w:val="auto"/>
        </w:rPr>
        <w:instrText xml:space="preserve"> </w:instrText>
      </w:r>
      <w:r>
        <w:rPr>
          <w:rFonts w:hint="eastAsia"/>
          <w:color w:val="auto"/>
        </w:rPr>
        <w:fldChar w:fldCharType="separate"/>
      </w:r>
      <w:r>
        <w:rPr>
          <w:color w:val="auto"/>
        </w:rPr>
        <w:t>22</w:t>
      </w:r>
      <w:r>
        <w:rPr>
          <w:rFonts w:hint="eastAsia"/>
          <w:color w:val="auto"/>
        </w:rPr>
        <w:fldChar w:fldCharType="end"/>
      </w:r>
      <w:r>
        <w:rPr>
          <w:rFonts w:hint="eastAsia"/>
          <w:color w:val="auto"/>
        </w:rPr>
        <w:fldChar w:fldCharType="end"/>
      </w:r>
    </w:p>
    <w:p w14:paraId="4B2A7125">
      <w:pPr>
        <w:pStyle w:val="26"/>
        <w:tabs>
          <w:tab w:val="right" w:leader="dot" w:pos="9344"/>
        </w:tabs>
        <w:rPr>
          <w:rFonts w:hint="eastAsia" w:asciiTheme="minorHAnsi" w:hAnsiTheme="minorHAnsi" w:eastAsiaTheme="minorEastAsia" w:cstheme="minorBidi"/>
          <w:color w:val="auto"/>
          <w:sz w:val="22"/>
          <w:szCs w:val="24"/>
          <w14:ligatures w14:val="standardContextual"/>
        </w:rPr>
      </w:pPr>
      <w:r>
        <w:rPr>
          <w:color w:val="auto"/>
        </w:rPr>
        <w:fldChar w:fldCharType="begin"/>
      </w:r>
      <w:r>
        <w:rPr>
          <w:color w:val="auto"/>
        </w:rPr>
        <w:instrText xml:space="preserve"> HYPERLINK \l "_Toc197422452" </w:instrText>
      </w:r>
      <w:r>
        <w:rPr>
          <w:color w:val="auto"/>
        </w:rPr>
        <w:fldChar w:fldCharType="separate"/>
      </w:r>
      <w:r>
        <w:rPr>
          <w:rStyle w:val="48"/>
          <w:rFonts w:hint="eastAsia"/>
          <w:color w:val="auto"/>
          <w:spacing w:val="100"/>
        </w:rPr>
        <w:t>附录C</w:t>
      </w:r>
      <w:r>
        <w:rPr>
          <w:rStyle w:val="48"/>
          <w:rFonts w:hint="eastAsia"/>
          <w:color w:val="auto"/>
        </w:rPr>
        <w:t xml:space="preserve"> （资料性） 塔机附着装置安装收表</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_Toc197422452 \h</w:instrText>
      </w:r>
      <w:r>
        <w:rPr>
          <w:rFonts w:hint="eastAsia"/>
          <w:color w:val="auto"/>
        </w:rPr>
        <w:instrText xml:space="preserve"> </w:instrText>
      </w:r>
      <w:r>
        <w:rPr>
          <w:rFonts w:hint="eastAsia"/>
          <w:color w:val="auto"/>
        </w:rPr>
        <w:fldChar w:fldCharType="separate"/>
      </w:r>
      <w:r>
        <w:rPr>
          <w:color w:val="auto"/>
        </w:rPr>
        <w:t>25</w:t>
      </w:r>
      <w:r>
        <w:rPr>
          <w:rFonts w:hint="eastAsia"/>
          <w:color w:val="auto"/>
        </w:rPr>
        <w:fldChar w:fldCharType="end"/>
      </w:r>
      <w:r>
        <w:rPr>
          <w:rFonts w:hint="eastAsia"/>
          <w:color w:val="auto"/>
        </w:rPr>
        <w:fldChar w:fldCharType="end"/>
      </w:r>
    </w:p>
    <w:p w14:paraId="36438743">
      <w:pPr>
        <w:pStyle w:val="113"/>
        <w:spacing w:after="360"/>
        <w:rPr>
          <w:color w:val="auto"/>
        </w:rPr>
      </w:pPr>
      <w:r>
        <w:rPr>
          <w:color w:val="auto"/>
        </w:rPr>
        <w:fldChar w:fldCharType="end"/>
      </w:r>
    </w:p>
    <w:p w14:paraId="57A8E19E">
      <w:pPr>
        <w:rPr>
          <w:color w:val="auto"/>
        </w:rPr>
      </w:pPr>
    </w:p>
    <w:p w14:paraId="04E440CB">
      <w:pPr>
        <w:rPr>
          <w:color w:val="auto"/>
        </w:rPr>
      </w:pPr>
    </w:p>
    <w:p w14:paraId="43966FC8">
      <w:pPr>
        <w:rPr>
          <w:color w:val="auto"/>
        </w:rPr>
      </w:pPr>
    </w:p>
    <w:p w14:paraId="7D4B22CB">
      <w:pPr>
        <w:rPr>
          <w:color w:val="auto"/>
        </w:rPr>
      </w:pPr>
    </w:p>
    <w:p w14:paraId="4682CF77">
      <w:pPr>
        <w:rPr>
          <w:color w:val="auto"/>
        </w:rPr>
      </w:pPr>
    </w:p>
    <w:p w14:paraId="235DDCAD">
      <w:pPr>
        <w:rPr>
          <w:color w:val="auto"/>
        </w:rPr>
      </w:pPr>
    </w:p>
    <w:p w14:paraId="62E7A785">
      <w:pPr>
        <w:tabs>
          <w:tab w:val="left" w:pos="2938"/>
        </w:tabs>
        <w:jc w:val="left"/>
        <w:rPr>
          <w:color w:val="auto"/>
        </w:rPr>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rPr>
          <w:rFonts w:hint="eastAsia"/>
          <w:color w:val="auto"/>
        </w:rPr>
        <w:tab/>
      </w:r>
    </w:p>
    <w:bookmarkEnd w:id="13"/>
    <w:p w14:paraId="6C128EE0">
      <w:pPr>
        <w:pStyle w:val="111"/>
        <w:spacing w:before="900" w:after="360"/>
        <w:ind w:left="0" w:firstLine="0"/>
        <w:rPr>
          <w:color w:val="auto"/>
        </w:rPr>
      </w:pPr>
      <w:bookmarkStart w:id="16" w:name="_Toc197422412"/>
      <w:bookmarkStart w:id="17" w:name="BookMark2"/>
      <w:r>
        <w:rPr>
          <w:rFonts w:hint="eastAsia"/>
          <w:color w:val="auto"/>
          <w:spacing w:val="320"/>
        </w:rPr>
        <w:t>前</w:t>
      </w:r>
      <w:r>
        <w:rPr>
          <w:rFonts w:hint="eastAsia"/>
          <w:color w:val="auto"/>
        </w:rPr>
        <w:t>言</w:t>
      </w:r>
      <w:bookmarkEnd w:id="14"/>
      <w:bookmarkEnd w:id="15"/>
      <w:bookmarkEnd w:id="16"/>
    </w:p>
    <w:p w14:paraId="1F00275B">
      <w:pPr>
        <w:pStyle w:val="78"/>
        <w:ind w:firstLine="420"/>
        <w:rPr>
          <w:color w:val="auto"/>
        </w:rPr>
      </w:pPr>
      <w:r>
        <w:rPr>
          <w:rFonts w:hint="eastAsia"/>
          <w:color w:val="auto"/>
        </w:rPr>
        <w:t>本文件根据《关于印发2024年第二批中国电力建设企业协会团体标准制定计划的通知》（中电建协〔2024〕302 号）的要求，由中国电力建设企业协会施工机械专业委员会组织制定。</w:t>
      </w:r>
    </w:p>
    <w:p w14:paraId="63F28AD3">
      <w:pPr>
        <w:pStyle w:val="78"/>
        <w:ind w:firstLine="420"/>
        <w:rPr>
          <w:color w:val="auto"/>
        </w:rPr>
      </w:pPr>
      <w:r>
        <w:rPr>
          <w:rFonts w:hint="eastAsia"/>
          <w:color w:val="auto"/>
        </w:rPr>
        <w:t>本文件按照GB/T 1.1—2020《标准化工作导则  第1部分：标准化文件的结构和起草规则》的规定起草。</w:t>
      </w:r>
    </w:p>
    <w:p w14:paraId="6AC4A667">
      <w:pPr>
        <w:pStyle w:val="78"/>
        <w:ind w:firstLine="420"/>
        <w:rPr>
          <w:color w:val="auto"/>
        </w:rPr>
      </w:pPr>
      <w:r>
        <w:rPr>
          <w:rFonts w:hint="eastAsia"/>
          <w:color w:val="auto"/>
        </w:rPr>
        <w:t>请注意本文件的某些内容可能涉及专利。本文件的发布机构不承担识别专利的责任。</w:t>
      </w:r>
    </w:p>
    <w:p w14:paraId="1530B0E3">
      <w:pPr>
        <w:pStyle w:val="78"/>
        <w:ind w:firstLine="420"/>
        <w:rPr>
          <w:color w:val="auto"/>
        </w:rPr>
      </w:pPr>
      <w:r>
        <w:rPr>
          <w:rFonts w:hint="eastAsia"/>
          <w:color w:val="auto"/>
        </w:rPr>
        <w:t>本文件由中国电力建设企业协会施工机械专业委员会提出。</w:t>
      </w:r>
    </w:p>
    <w:p w14:paraId="07FEA47F">
      <w:pPr>
        <w:pStyle w:val="78"/>
        <w:ind w:firstLine="420"/>
        <w:rPr>
          <w:color w:val="auto"/>
        </w:rPr>
      </w:pPr>
      <w:r>
        <w:rPr>
          <w:rFonts w:hint="eastAsia"/>
          <w:color w:val="auto"/>
        </w:rPr>
        <w:t>本文件由中国电力建设企业协会归口并解释。</w:t>
      </w:r>
    </w:p>
    <w:p w14:paraId="4EF9602C">
      <w:pPr>
        <w:pStyle w:val="78"/>
        <w:ind w:firstLine="420"/>
        <w:rPr>
          <w:color w:val="auto"/>
        </w:rPr>
      </w:pPr>
      <w:r>
        <w:rPr>
          <w:rFonts w:hint="eastAsia"/>
          <w:color w:val="auto"/>
        </w:rPr>
        <w:t xml:space="preserve">本文件主要起草单位： </w:t>
      </w:r>
      <w:bookmarkStart w:id="136" w:name="_GoBack"/>
      <w:bookmarkEnd w:id="136"/>
    </w:p>
    <w:p w14:paraId="4FEB4F20">
      <w:pPr>
        <w:pStyle w:val="78"/>
        <w:ind w:firstLine="420"/>
        <w:rPr>
          <w:color w:val="auto"/>
        </w:rPr>
      </w:pPr>
      <w:r>
        <w:rPr>
          <w:rFonts w:hint="eastAsia"/>
          <w:color w:val="auto"/>
        </w:rPr>
        <w:t>本文件参加起草单位：</w:t>
      </w:r>
    </w:p>
    <w:p w14:paraId="114761FC">
      <w:pPr>
        <w:pStyle w:val="78"/>
        <w:ind w:firstLine="420"/>
        <w:rPr>
          <w:color w:val="auto"/>
        </w:rPr>
      </w:pPr>
      <w:r>
        <w:rPr>
          <w:rFonts w:hint="eastAsia"/>
          <w:color w:val="auto"/>
        </w:rPr>
        <w:t xml:space="preserve">本文件主要起草人： </w:t>
      </w:r>
    </w:p>
    <w:p w14:paraId="7A86AE7A">
      <w:pPr>
        <w:pStyle w:val="78"/>
        <w:ind w:firstLine="420"/>
        <w:rPr>
          <w:color w:val="auto"/>
        </w:rPr>
      </w:pPr>
    </w:p>
    <w:p w14:paraId="1BE0656D">
      <w:pPr>
        <w:pStyle w:val="78"/>
        <w:ind w:firstLine="420"/>
        <w:rPr>
          <w:color w:val="auto"/>
        </w:rPr>
      </w:pPr>
      <w:r>
        <w:rPr>
          <w:rFonts w:hint="eastAsia"/>
          <w:color w:val="auto"/>
        </w:rPr>
        <w:t>本文件主要审查人：</w:t>
      </w:r>
    </w:p>
    <w:p w14:paraId="0A9FB7AE">
      <w:pPr>
        <w:pStyle w:val="78"/>
        <w:ind w:firstLine="420"/>
        <w:rPr>
          <w:color w:val="auto"/>
        </w:rPr>
      </w:pPr>
    </w:p>
    <w:p w14:paraId="2C5640B7">
      <w:pPr>
        <w:pStyle w:val="78"/>
        <w:ind w:firstLine="420"/>
        <w:rPr>
          <w:color w:val="auto"/>
        </w:rPr>
      </w:pPr>
      <w:r>
        <w:rPr>
          <w:rFonts w:hint="eastAsia"/>
          <w:color w:val="auto"/>
        </w:rPr>
        <w:t>本文件为首次制定。</w:t>
      </w:r>
    </w:p>
    <w:p w14:paraId="03FD704B">
      <w:pPr>
        <w:pStyle w:val="78"/>
        <w:ind w:firstLine="420"/>
        <w:rPr>
          <w:color w:val="auto"/>
        </w:rPr>
      </w:pPr>
    </w:p>
    <w:p w14:paraId="2CC9AF7C">
      <w:pPr>
        <w:pStyle w:val="78"/>
        <w:ind w:firstLine="420"/>
        <w:rPr>
          <w:color w:val="auto"/>
        </w:rPr>
      </w:pPr>
      <w:r>
        <w:rPr>
          <w:rFonts w:hint="eastAsia"/>
          <w:color w:val="auto"/>
        </w:rPr>
        <w:t>本文件在执行过程中的意见或建议反馈至中国电力建设企业协会（北京市丰台区西四环南路35号中都科技大厦3层，100166）。</w:t>
      </w:r>
    </w:p>
    <w:p w14:paraId="505DF167">
      <w:pPr>
        <w:pStyle w:val="78"/>
        <w:ind w:firstLine="420"/>
        <w:rPr>
          <w:color w:val="auto"/>
        </w:rPr>
        <w:sectPr>
          <w:pgSz w:w="11906" w:h="16838"/>
          <w:pgMar w:top="1928" w:right="1134" w:bottom="1134" w:left="1134" w:header="1418" w:footer="1134" w:gutter="284"/>
          <w:pgNumType w:fmt="upperRoman"/>
          <w:cols w:space="425" w:num="1"/>
          <w:formProt w:val="0"/>
          <w:docGrid w:linePitch="312" w:charSpace="0"/>
        </w:sectPr>
      </w:pPr>
    </w:p>
    <w:bookmarkEnd w:id="17"/>
    <w:p w14:paraId="3F02CF97">
      <w:pPr>
        <w:spacing w:line="20" w:lineRule="exact"/>
        <w:jc w:val="center"/>
        <w:rPr>
          <w:rFonts w:hint="eastAsia" w:ascii="黑体" w:hAnsi="黑体" w:eastAsia="黑体"/>
          <w:color w:val="auto"/>
          <w:sz w:val="32"/>
          <w:szCs w:val="32"/>
        </w:rPr>
      </w:pPr>
      <w:bookmarkStart w:id="18" w:name="BookMark4"/>
    </w:p>
    <w:p w14:paraId="69E29F28">
      <w:pPr>
        <w:spacing w:line="20" w:lineRule="exact"/>
        <w:jc w:val="center"/>
        <w:rPr>
          <w:rFonts w:hint="eastAsia" w:ascii="黑体" w:hAnsi="黑体" w:eastAsia="黑体"/>
          <w:color w:val="auto"/>
          <w:sz w:val="32"/>
          <w:szCs w:val="32"/>
        </w:rPr>
      </w:pPr>
    </w:p>
    <w:sdt>
      <w:sdtPr>
        <w:rPr>
          <w:color w:val="auto"/>
        </w:rPr>
        <w:tag w:val="NEW_STAND_NAME"/>
        <w:id w:val="595910757"/>
        <w:lock w:val="sdtLocked"/>
        <w:placeholder>
          <w:docPart w:val="2A8B4E53FFDE42688B6350DDA1905DA3"/>
        </w:placeholder>
      </w:sdtPr>
      <w:sdtEndPr>
        <w:rPr>
          <w:color w:val="auto"/>
        </w:rPr>
      </w:sdtEndPr>
      <w:sdtContent>
        <w:p w14:paraId="3600B06D">
          <w:pPr>
            <w:pStyle w:val="199"/>
            <w:spacing w:before="2" w:beforeLines="1" w:after="528" w:afterLines="220"/>
            <w:rPr>
              <w:rFonts w:hint="eastAsia"/>
              <w:color w:val="auto"/>
            </w:rPr>
          </w:pPr>
          <w:bookmarkStart w:id="19" w:name="NEW_STAND_NAME"/>
          <w:r>
            <w:rPr>
              <w:rFonts w:hint="eastAsia"/>
              <w:color w:val="auto"/>
            </w:rPr>
            <w:t>电力建设塔式起重机安全使用规程</w:t>
          </w:r>
        </w:p>
      </w:sdtContent>
    </w:sdt>
    <w:bookmarkEnd w:id="19"/>
    <w:p w14:paraId="537D18D8">
      <w:pPr>
        <w:pStyle w:val="126"/>
        <w:spacing w:before="240" w:after="240"/>
        <w:ind w:left="0"/>
        <w:rPr>
          <w:color w:val="auto"/>
        </w:rPr>
      </w:pPr>
      <w:bookmarkStart w:id="20" w:name="_Toc26986771"/>
      <w:bookmarkStart w:id="21" w:name="_Toc180146088"/>
      <w:bookmarkStart w:id="22" w:name="_Toc24884218"/>
      <w:bookmarkStart w:id="23" w:name="_Toc24884211"/>
      <w:bookmarkStart w:id="24" w:name="_Toc17233325"/>
      <w:bookmarkStart w:id="25" w:name="_Toc197422413"/>
      <w:bookmarkStart w:id="26" w:name="_Toc26718930"/>
      <w:bookmarkStart w:id="27" w:name="_Toc179748220"/>
      <w:bookmarkStart w:id="28" w:name="_Toc26648465"/>
      <w:bookmarkStart w:id="29" w:name="_Toc97192964"/>
      <w:bookmarkStart w:id="30" w:name="_Toc17233333"/>
      <w:bookmarkStart w:id="31" w:name="_Toc26986530"/>
      <w:r>
        <w:rPr>
          <w:rFonts w:hint="eastAsia"/>
          <w:color w:val="auto"/>
        </w:rPr>
        <w:t>范围</w:t>
      </w:r>
      <w:bookmarkEnd w:id="20"/>
      <w:bookmarkEnd w:id="21"/>
      <w:bookmarkEnd w:id="22"/>
      <w:bookmarkEnd w:id="23"/>
      <w:bookmarkEnd w:id="24"/>
      <w:bookmarkEnd w:id="25"/>
      <w:bookmarkEnd w:id="26"/>
      <w:bookmarkEnd w:id="27"/>
      <w:bookmarkEnd w:id="28"/>
      <w:bookmarkEnd w:id="29"/>
      <w:bookmarkEnd w:id="30"/>
      <w:bookmarkEnd w:id="31"/>
    </w:p>
    <w:p w14:paraId="012EE8BF">
      <w:pPr>
        <w:pStyle w:val="78"/>
        <w:spacing w:after="0"/>
        <w:ind w:firstLine="420"/>
        <w:rPr>
          <w:color w:val="auto"/>
        </w:rPr>
      </w:pPr>
      <w:bookmarkStart w:id="32" w:name="_Toc17233334"/>
      <w:bookmarkStart w:id="33" w:name="_Toc26648466"/>
      <w:bookmarkStart w:id="34" w:name="_Toc24884212"/>
      <w:bookmarkStart w:id="35" w:name="_Toc24884219"/>
      <w:bookmarkStart w:id="36" w:name="_Toc17233326"/>
      <w:r>
        <w:rPr>
          <w:rFonts w:hint="eastAsia"/>
          <w:color w:val="auto"/>
        </w:rPr>
        <w:t>本文件规定了电力建设工程中塔式起重机（以下简称塔机）在项目入场验收、安装与拆卸、作业、专项安全技术措施、运输和贮存、绿色节能和智能操作等方面安全使用的相关要求。</w:t>
      </w:r>
    </w:p>
    <w:p w14:paraId="7FA3856E">
      <w:pPr>
        <w:pStyle w:val="78"/>
        <w:spacing w:after="0"/>
        <w:ind w:firstLine="420"/>
        <w:rPr>
          <w:color w:val="auto"/>
        </w:rPr>
      </w:pPr>
      <w:r>
        <w:rPr>
          <w:rFonts w:hint="eastAsia"/>
          <w:color w:val="auto"/>
        </w:rPr>
        <w:t>本文件适用于电力建设新建、改建、扩建、检修和拆除工程中组装式塔机的安全使用，其他类型的塔机参照执行。</w:t>
      </w:r>
    </w:p>
    <w:bookmarkEnd w:id="32"/>
    <w:bookmarkEnd w:id="33"/>
    <w:bookmarkEnd w:id="34"/>
    <w:bookmarkEnd w:id="35"/>
    <w:bookmarkEnd w:id="36"/>
    <w:p w14:paraId="3F42C6F2">
      <w:pPr>
        <w:pStyle w:val="126"/>
        <w:spacing w:before="240" w:after="240"/>
        <w:ind w:left="0"/>
        <w:rPr>
          <w:color w:val="auto"/>
        </w:rPr>
      </w:pPr>
      <w:bookmarkStart w:id="37" w:name="_Toc26718931"/>
      <w:bookmarkStart w:id="38" w:name="_Toc26986531"/>
      <w:bookmarkStart w:id="39" w:name="_Toc26986772"/>
      <w:bookmarkStart w:id="40" w:name="_Toc97192965"/>
      <w:bookmarkStart w:id="41" w:name="_Toc197422414"/>
      <w:bookmarkStart w:id="42" w:name="_Toc180146089"/>
      <w:bookmarkStart w:id="43" w:name="_Toc179748221"/>
      <w:bookmarkStart w:id="44" w:name="_Toc179748222"/>
      <w:bookmarkStart w:id="45" w:name="_Toc97192966"/>
      <w:r>
        <w:rPr>
          <w:rFonts w:hint="eastAsia"/>
          <w:color w:val="auto"/>
        </w:rPr>
        <w:t>规范性引用文件</w:t>
      </w:r>
      <w:bookmarkEnd w:id="37"/>
      <w:bookmarkEnd w:id="38"/>
      <w:bookmarkEnd w:id="39"/>
      <w:bookmarkEnd w:id="40"/>
      <w:bookmarkEnd w:id="41"/>
      <w:bookmarkEnd w:id="42"/>
      <w:bookmarkEnd w:id="43"/>
    </w:p>
    <w:sdt>
      <w:sdtPr>
        <w:rPr>
          <w:rFonts w:hint="eastAsia"/>
          <w:color w:val="auto"/>
        </w:rPr>
        <w:id w:val="715848253"/>
        <w:placeholder>
          <w:docPart w:val="48BF37026A304D108E9FBB0E25F148C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rPr>
      </w:sdtEndPr>
      <w:sdtContent>
        <w:p w14:paraId="7FD70C33">
          <w:pPr>
            <w:pStyle w:val="78"/>
            <w:ind w:firstLine="420"/>
            <w:rPr>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7FBFC02">
      <w:pPr>
        <w:pStyle w:val="78"/>
        <w:spacing w:after="0"/>
        <w:ind w:firstLine="420"/>
        <w:rPr>
          <w:color w:val="auto"/>
        </w:rPr>
      </w:pPr>
      <w:bookmarkStart w:id="46" w:name="_Toc180146090"/>
      <w:r>
        <w:rPr>
          <w:rFonts w:hint="eastAsia"/>
          <w:color w:val="auto"/>
        </w:rPr>
        <w:t xml:space="preserve">GB/T 5031-2019  塔式起重机 </w:t>
      </w:r>
    </w:p>
    <w:p w14:paraId="18FFBFC1">
      <w:pPr>
        <w:pStyle w:val="78"/>
        <w:spacing w:after="0"/>
        <w:ind w:firstLine="420"/>
        <w:rPr>
          <w:color w:val="auto"/>
        </w:rPr>
      </w:pPr>
      <w:r>
        <w:rPr>
          <w:rFonts w:hint="eastAsia"/>
          <w:color w:val="auto"/>
        </w:rPr>
        <w:t>GB 5144-2006  塔式起重机安全规程</w:t>
      </w:r>
    </w:p>
    <w:p w14:paraId="266C1FAA">
      <w:pPr>
        <w:pStyle w:val="78"/>
        <w:spacing w:after="0"/>
        <w:ind w:firstLine="420"/>
        <w:rPr>
          <w:color w:val="auto"/>
        </w:rPr>
      </w:pPr>
      <w:r>
        <w:rPr>
          <w:rFonts w:hint="eastAsia"/>
          <w:color w:val="auto"/>
        </w:rPr>
        <w:t>GB/T 6067.1  起重机械安全规程 第1部分：总则</w:t>
      </w:r>
    </w:p>
    <w:p w14:paraId="1D077A5A">
      <w:pPr>
        <w:pStyle w:val="78"/>
        <w:spacing w:after="0"/>
        <w:ind w:firstLine="420"/>
        <w:rPr>
          <w:color w:val="auto"/>
        </w:rPr>
      </w:pPr>
      <w:r>
        <w:rPr>
          <w:rFonts w:hint="eastAsia"/>
          <w:color w:val="auto"/>
        </w:rPr>
        <w:t>GB/T 6974.3  起重机 术语 第3部分：塔式起重机</w:t>
      </w:r>
    </w:p>
    <w:p w14:paraId="42ED8E03">
      <w:pPr>
        <w:pStyle w:val="78"/>
        <w:spacing w:after="0"/>
        <w:ind w:firstLine="420"/>
        <w:rPr>
          <w:color w:val="auto"/>
        </w:rPr>
      </w:pPr>
      <w:r>
        <w:rPr>
          <w:rFonts w:hint="eastAsia"/>
          <w:color w:val="auto"/>
        </w:rPr>
        <w:t>GB/T 23723.3  起重机 安全使用 第3部分：塔式起重机</w:t>
      </w:r>
    </w:p>
    <w:p w14:paraId="2E6DCF39">
      <w:pPr>
        <w:pStyle w:val="78"/>
        <w:spacing w:after="0"/>
        <w:ind w:firstLine="420"/>
        <w:rPr>
          <w:color w:val="auto"/>
        </w:rPr>
      </w:pPr>
      <w:r>
        <w:rPr>
          <w:rFonts w:hint="eastAsia"/>
          <w:color w:val="auto"/>
        </w:rPr>
        <w:t>GB/T 26471-2023  塔式起重机 安装、拆卸与爬升规则</w:t>
      </w:r>
    </w:p>
    <w:p w14:paraId="45B39825">
      <w:pPr>
        <w:pStyle w:val="78"/>
        <w:spacing w:after="0"/>
        <w:ind w:firstLine="420"/>
        <w:rPr>
          <w:color w:val="auto"/>
        </w:rPr>
      </w:pPr>
      <w:r>
        <w:rPr>
          <w:rFonts w:hint="eastAsia"/>
          <w:color w:val="auto"/>
        </w:rPr>
        <w:t>GB/T 28758  起重机 检查人员的资格要求</w:t>
      </w:r>
    </w:p>
    <w:p w14:paraId="15E0A680">
      <w:pPr>
        <w:pStyle w:val="78"/>
        <w:spacing w:after="0"/>
        <w:ind w:firstLine="420"/>
        <w:rPr>
          <w:color w:val="auto"/>
        </w:rPr>
      </w:pPr>
      <w:r>
        <w:rPr>
          <w:rFonts w:hint="eastAsia"/>
          <w:color w:val="auto"/>
        </w:rPr>
        <w:t>GB/T 31052.1-2014  起重机械  检查与维护规程 第1部分：总则</w:t>
      </w:r>
    </w:p>
    <w:p w14:paraId="666034EB">
      <w:pPr>
        <w:pStyle w:val="78"/>
        <w:spacing w:after="0"/>
        <w:ind w:firstLine="420"/>
        <w:rPr>
          <w:color w:val="auto"/>
        </w:rPr>
      </w:pPr>
      <w:r>
        <w:rPr>
          <w:rFonts w:hint="eastAsia"/>
          <w:color w:val="auto"/>
        </w:rPr>
        <w:t>GB/T 31052.3-2016  起重机械  检查与维护规程 第3部分：塔式起重机</w:t>
      </w:r>
    </w:p>
    <w:p w14:paraId="13DB12F6">
      <w:pPr>
        <w:pStyle w:val="78"/>
        <w:spacing w:after="0"/>
        <w:ind w:firstLine="420"/>
        <w:rPr>
          <w:color w:val="auto"/>
        </w:rPr>
      </w:pPr>
      <w:r>
        <w:rPr>
          <w:rFonts w:hint="eastAsia"/>
          <w:color w:val="auto"/>
        </w:rPr>
        <w:t>GB 50007  建筑地基基础设计规范</w:t>
      </w:r>
    </w:p>
    <w:p w14:paraId="567316F2">
      <w:pPr>
        <w:pStyle w:val="78"/>
        <w:spacing w:after="0"/>
        <w:ind w:firstLine="420"/>
        <w:rPr>
          <w:color w:val="auto"/>
        </w:rPr>
      </w:pPr>
      <w:r>
        <w:rPr>
          <w:rFonts w:hint="eastAsia"/>
          <w:color w:val="auto"/>
        </w:rPr>
        <w:t>GB 50330  建筑边坡工程技术规范</w:t>
      </w:r>
    </w:p>
    <w:p w14:paraId="184428DE">
      <w:pPr>
        <w:pStyle w:val="78"/>
        <w:spacing w:after="0"/>
        <w:ind w:firstLine="420"/>
        <w:rPr>
          <w:color w:val="auto"/>
        </w:rPr>
      </w:pPr>
      <w:r>
        <w:rPr>
          <w:rFonts w:hint="eastAsia"/>
          <w:color w:val="auto"/>
        </w:rPr>
        <w:t>JGJ/T 187  塔式起重机混凝土基础工程技术规程</w:t>
      </w:r>
    </w:p>
    <w:p w14:paraId="09E09628">
      <w:pPr>
        <w:pStyle w:val="78"/>
        <w:spacing w:after="0"/>
        <w:ind w:firstLine="420"/>
        <w:rPr>
          <w:color w:val="auto"/>
        </w:rPr>
      </w:pPr>
      <w:r>
        <w:rPr>
          <w:rFonts w:hint="eastAsia"/>
          <w:color w:val="auto"/>
        </w:rPr>
        <w:t>JGJ 94  建筑桩基技术规范</w:t>
      </w:r>
    </w:p>
    <w:p w14:paraId="07ED3747">
      <w:pPr>
        <w:pStyle w:val="78"/>
        <w:spacing w:after="0"/>
        <w:ind w:firstLine="420"/>
        <w:rPr>
          <w:color w:val="auto"/>
        </w:rPr>
      </w:pPr>
      <w:r>
        <w:rPr>
          <w:rFonts w:hint="eastAsia"/>
          <w:color w:val="auto"/>
        </w:rPr>
        <w:t>NB/T 10096  电力建设工程施工安全管理导则</w:t>
      </w:r>
    </w:p>
    <w:p w14:paraId="326E61DB">
      <w:pPr>
        <w:pStyle w:val="78"/>
        <w:spacing w:after="0"/>
        <w:ind w:firstLine="420"/>
        <w:rPr>
          <w:color w:val="auto"/>
        </w:rPr>
      </w:pPr>
      <w:r>
        <w:rPr>
          <w:rFonts w:hint="eastAsia"/>
          <w:color w:val="auto"/>
        </w:rPr>
        <w:t>T/CEC 210-2019  火电工程大型起重机械安全管理导则</w:t>
      </w:r>
    </w:p>
    <w:p w14:paraId="4FACD7D6">
      <w:pPr>
        <w:pStyle w:val="126"/>
        <w:spacing w:before="240" w:after="240"/>
        <w:ind w:left="0"/>
        <w:rPr>
          <w:color w:val="auto"/>
        </w:rPr>
      </w:pPr>
      <w:bookmarkStart w:id="47" w:name="_Toc197422415"/>
      <w:r>
        <w:rPr>
          <w:rFonts w:hint="eastAsia"/>
          <w:color w:val="auto"/>
          <w:szCs w:val="21"/>
        </w:rPr>
        <w:t>术语和定义</w:t>
      </w:r>
      <w:bookmarkEnd w:id="44"/>
      <w:bookmarkEnd w:id="45"/>
      <w:bookmarkEnd w:id="46"/>
      <w:bookmarkEnd w:id="47"/>
    </w:p>
    <w:sdt>
      <w:sdtPr>
        <w:rPr>
          <w:color w:val="auto"/>
        </w:rPr>
        <w:id w:val="-1909835108"/>
        <w:placeholder>
          <w:docPart w:val="D5F7AADE5BB745B5A7BE32F684B4BDD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rPr>
      </w:sdtEndPr>
      <w:sdtContent>
        <w:p w14:paraId="34E11F4F">
          <w:pPr>
            <w:pStyle w:val="78"/>
            <w:ind w:firstLine="420"/>
            <w:rPr>
              <w:color w:val="auto"/>
            </w:rPr>
          </w:pPr>
          <w:bookmarkStart w:id="48" w:name="_Toc26986532"/>
          <w:bookmarkEnd w:id="48"/>
          <w:r>
            <w:rPr>
              <w:rFonts w:hint="eastAsia"/>
              <w:color w:val="auto"/>
            </w:rPr>
            <w:t>GB/T 6974.3、GB/T 5031-2019、GB/T 31052.3、GB/T 26471-2023界定的以及下列术语和定义适用于本文件</w:t>
          </w:r>
          <w:r>
            <w:rPr>
              <w:color w:val="auto"/>
            </w:rPr>
            <w:t>。</w:t>
          </w:r>
        </w:p>
      </w:sdtContent>
    </w:sdt>
    <w:p w14:paraId="3B7AE920">
      <w:pPr>
        <w:pStyle w:val="245"/>
        <w:ind w:left="420" w:hanging="420" w:hangingChars="200"/>
        <w:rPr>
          <w:rFonts w:hint="eastAsia" w:ascii="黑体" w:hAnsi="黑体" w:eastAsia="黑体"/>
          <w:color w:val="auto"/>
        </w:rPr>
      </w:pPr>
    </w:p>
    <w:p w14:paraId="754E38C7">
      <w:pPr>
        <w:pStyle w:val="78"/>
        <w:ind w:firstLine="420"/>
        <w:rPr>
          <w:rFonts w:hint="eastAsia" w:ascii="黑体" w:hAnsi="黑体" w:eastAsia="黑体"/>
          <w:color w:val="auto"/>
        </w:rPr>
      </w:pPr>
      <w:r>
        <w:rPr>
          <w:rFonts w:hint="eastAsia" w:ascii="黑体" w:hAnsi="黑体" w:eastAsia="黑体"/>
          <w:color w:val="auto"/>
        </w:rPr>
        <w:t>电力建设工程 electric power construction project</w:t>
      </w:r>
    </w:p>
    <w:p w14:paraId="54E5276C">
      <w:pPr>
        <w:pStyle w:val="78"/>
        <w:ind w:firstLine="420"/>
        <w:rPr>
          <w:color w:val="auto"/>
        </w:rPr>
      </w:pPr>
      <w:r>
        <w:rPr>
          <w:rFonts w:hint="eastAsia"/>
          <w:color w:val="auto"/>
        </w:rPr>
        <w:t>火电、水电、核电(除核岛外)、新能源发电（包含风力、太阳能、生物质等）、储能等发电建设工程和输变电等电网建设工程。</w:t>
      </w:r>
    </w:p>
    <w:p w14:paraId="76264142">
      <w:pPr>
        <w:pStyle w:val="245"/>
        <w:ind w:left="420" w:hanging="420" w:hangingChars="200"/>
        <w:rPr>
          <w:rFonts w:hint="eastAsia" w:ascii="黑体" w:hAnsi="黑体" w:eastAsia="黑体"/>
          <w:color w:val="auto"/>
        </w:rPr>
      </w:pPr>
    </w:p>
    <w:p w14:paraId="34A277D0">
      <w:pPr>
        <w:pStyle w:val="245"/>
        <w:numPr>
          <w:ilvl w:val="0"/>
          <w:numId w:val="0"/>
        </w:numPr>
        <w:ind w:left="420"/>
        <w:rPr>
          <w:color w:val="auto"/>
        </w:rPr>
      </w:pPr>
      <w:r>
        <w:rPr>
          <w:rFonts w:hint="eastAsia" w:ascii="黑体" w:hAnsi="黑体" w:eastAsia="黑体"/>
          <w:color w:val="auto"/>
        </w:rPr>
        <w:t>独立起升高度　</w:t>
      </w:r>
      <w:r>
        <w:rPr>
          <w:rFonts w:ascii="黑体" w:hAnsi="黑体" w:eastAsia="黑体"/>
          <w:color w:val="auto"/>
        </w:rPr>
        <w:t>non-tie-in load-lifting height</w:t>
      </w:r>
      <w:r>
        <w:rPr>
          <w:rFonts w:ascii="黑体" w:hAnsi="黑体" w:eastAsia="黑体"/>
          <w:color w:val="auto"/>
        </w:rPr>
        <w:br w:type="textWrapping"/>
      </w:r>
      <w:r>
        <w:rPr>
          <w:rFonts w:hint="eastAsia"/>
          <w:color w:val="auto"/>
        </w:rPr>
        <w:t>塔机运行或固定独立状态时，空载、塔身处于最大高度、吊钩处于最小幅度的最大允许高度处，吊</w:t>
      </w:r>
    </w:p>
    <w:p w14:paraId="57DB43B2">
      <w:pPr>
        <w:pStyle w:val="78"/>
        <w:ind w:firstLine="0" w:firstLineChars="0"/>
        <w:rPr>
          <w:color w:val="auto"/>
        </w:rPr>
      </w:pPr>
      <w:r>
        <w:rPr>
          <w:rFonts w:hint="eastAsia"/>
          <w:color w:val="auto"/>
        </w:rPr>
        <w:t>钩支承面对塔机基准面的最大垂直距离。</w:t>
      </w:r>
    </w:p>
    <w:p w14:paraId="11C0FB67">
      <w:pPr>
        <w:pStyle w:val="202"/>
        <w:rPr>
          <w:color w:val="auto"/>
        </w:rPr>
      </w:pPr>
      <w:r>
        <w:rPr>
          <w:rFonts w:hint="eastAsia"/>
          <w:color w:val="auto"/>
        </w:rPr>
        <w:t>对动臂变幅塔机,起升高度分为最大幅度时起升高度和最小幅度时起升高度。</w:t>
      </w:r>
    </w:p>
    <w:p w14:paraId="33795BEF">
      <w:pPr>
        <w:pStyle w:val="202"/>
        <w:rPr>
          <w:color w:val="auto"/>
        </w:rPr>
      </w:pPr>
      <w:r>
        <w:rPr>
          <w:rFonts w:hint="eastAsia"/>
          <w:color w:val="auto"/>
        </w:rPr>
        <w:t>对固定式塔机为基础上表面,对轨道运行式塔机基准面为轨顶，支腿式塔机为路基箱上表面。</w:t>
      </w:r>
    </w:p>
    <w:p w14:paraId="51C8BE88">
      <w:pPr>
        <w:pStyle w:val="245"/>
        <w:numPr>
          <w:ilvl w:val="0"/>
          <w:numId w:val="0"/>
        </w:numPr>
        <w:ind w:left="420"/>
        <w:rPr>
          <w:color w:val="auto"/>
        </w:rPr>
      </w:pPr>
      <w:r>
        <w:rPr>
          <w:rFonts w:hint="eastAsia"/>
          <w:color w:val="auto"/>
        </w:rPr>
        <w:t>[来源：GB/T 5031-2019，3.5]。</w:t>
      </w:r>
    </w:p>
    <w:p w14:paraId="1D425807">
      <w:pPr>
        <w:pStyle w:val="245"/>
        <w:ind w:left="420" w:hanging="420" w:hangingChars="200"/>
        <w:rPr>
          <w:rFonts w:hint="eastAsia" w:ascii="黑体" w:hAnsi="黑体" w:eastAsia="黑体"/>
          <w:color w:val="auto"/>
        </w:rPr>
      </w:pPr>
    </w:p>
    <w:p w14:paraId="1537B83F">
      <w:pPr>
        <w:pStyle w:val="245"/>
        <w:numPr>
          <w:ilvl w:val="0"/>
          <w:numId w:val="0"/>
        </w:numPr>
        <w:ind w:left="420"/>
        <w:rPr>
          <w:color w:val="auto"/>
        </w:rPr>
      </w:pPr>
      <w:r>
        <w:rPr>
          <w:rFonts w:hint="eastAsia" w:ascii="黑体" w:hAnsi="黑体" w:eastAsia="黑体"/>
          <w:color w:val="auto"/>
        </w:rPr>
        <w:t>施工单位　</w:t>
      </w:r>
      <w:r>
        <w:rPr>
          <w:rFonts w:ascii="黑体" w:hAnsi="黑体" w:eastAsia="黑体"/>
          <w:color w:val="auto"/>
        </w:rPr>
        <w:t>construction unit</w:t>
      </w:r>
      <w:r>
        <w:rPr>
          <w:rFonts w:ascii="黑体" w:hAnsi="黑体" w:eastAsia="黑体"/>
          <w:color w:val="auto"/>
        </w:rPr>
        <w:br w:type="textWrapping"/>
      </w:r>
      <w:r>
        <w:rPr>
          <w:rFonts w:hint="eastAsia"/>
          <w:color w:val="auto"/>
        </w:rPr>
        <w:t>具有相应的资质等级，具备国家规定的安全生产条件，取得安全生产许可证，在许可的范围内从</w:t>
      </w:r>
    </w:p>
    <w:p w14:paraId="15A4091A">
      <w:pPr>
        <w:pStyle w:val="245"/>
        <w:numPr>
          <w:ilvl w:val="0"/>
          <w:numId w:val="0"/>
        </w:numPr>
        <w:rPr>
          <w:color w:val="auto"/>
        </w:rPr>
      </w:pPr>
      <w:r>
        <w:rPr>
          <w:rFonts w:hint="eastAsia"/>
          <w:color w:val="auto"/>
        </w:rPr>
        <w:t>事电力建设工程施工活动的单位。</w:t>
      </w:r>
    </w:p>
    <w:p w14:paraId="50FDF779">
      <w:pPr>
        <w:pStyle w:val="245"/>
        <w:numPr>
          <w:ilvl w:val="0"/>
          <w:numId w:val="0"/>
        </w:numPr>
        <w:ind w:left="420"/>
        <w:rPr>
          <w:color w:val="auto"/>
        </w:rPr>
      </w:pPr>
      <w:r>
        <w:rPr>
          <w:rFonts w:hint="eastAsia"/>
          <w:color w:val="auto"/>
        </w:rPr>
        <w:t>[来源：T/CEC 210-2019，3.5]。</w:t>
      </w:r>
    </w:p>
    <w:p w14:paraId="3A0BAC4F">
      <w:pPr>
        <w:pStyle w:val="245"/>
        <w:ind w:left="420" w:hanging="420" w:hangingChars="200"/>
        <w:rPr>
          <w:color w:val="auto"/>
        </w:rPr>
      </w:pPr>
    </w:p>
    <w:p w14:paraId="6CDE13E2">
      <w:pPr>
        <w:pStyle w:val="245"/>
        <w:numPr>
          <w:ilvl w:val="0"/>
          <w:numId w:val="0"/>
        </w:numPr>
        <w:ind w:left="420"/>
        <w:rPr>
          <w:color w:val="auto"/>
        </w:rPr>
      </w:pPr>
      <w:r>
        <w:rPr>
          <w:rFonts w:hint="eastAsia" w:ascii="黑体" w:hAnsi="黑体" w:eastAsia="黑体" w:cs="宋体"/>
          <w:color w:val="auto"/>
          <w:szCs w:val="21"/>
        </w:rPr>
        <w:t>安装单位</w:t>
      </w:r>
      <w:r>
        <w:rPr>
          <w:rFonts w:hint="eastAsia" w:ascii="黑体" w:hAnsi="黑体" w:eastAsia="黑体"/>
          <w:color w:val="auto"/>
        </w:rPr>
        <w:t>　</w:t>
      </w:r>
      <w:r>
        <w:rPr>
          <w:rFonts w:ascii="黑体" w:hAnsi="黑体" w:eastAsia="黑体"/>
          <w:color w:val="auto"/>
        </w:rPr>
        <w:t>installation unit</w:t>
      </w:r>
      <w:r>
        <w:rPr>
          <w:rFonts w:ascii="黑体" w:hAnsi="黑体" w:eastAsia="黑体"/>
          <w:color w:val="auto"/>
        </w:rPr>
        <w:br w:type="textWrapping"/>
      </w:r>
      <w:r>
        <w:rPr>
          <w:rFonts w:hint="eastAsia"/>
          <w:color w:val="auto"/>
        </w:rPr>
        <w:t>具有相应的特种设备（起重机械）安装许可证或起重设备安装工程专业承包资质，在许可的范围</w:t>
      </w:r>
    </w:p>
    <w:p w14:paraId="1EADC65B">
      <w:pPr>
        <w:pStyle w:val="245"/>
        <w:numPr>
          <w:ilvl w:val="0"/>
          <w:numId w:val="0"/>
        </w:numPr>
        <w:rPr>
          <w:color w:val="auto"/>
        </w:rPr>
      </w:pPr>
      <w:r>
        <w:rPr>
          <w:rFonts w:hint="eastAsia"/>
          <w:color w:val="auto"/>
        </w:rPr>
        <w:t>内从事起重机械安装、拆卸的单位。</w:t>
      </w:r>
    </w:p>
    <w:p w14:paraId="0B9F5147">
      <w:pPr>
        <w:pStyle w:val="245"/>
        <w:numPr>
          <w:ilvl w:val="0"/>
          <w:numId w:val="0"/>
        </w:numPr>
        <w:ind w:left="420"/>
        <w:rPr>
          <w:color w:val="auto"/>
        </w:rPr>
      </w:pPr>
      <w:r>
        <w:rPr>
          <w:rFonts w:hint="eastAsia"/>
          <w:color w:val="auto"/>
        </w:rPr>
        <w:t>[来源：T/CEC 210-2019,3.6，有修改]。</w:t>
      </w:r>
    </w:p>
    <w:p w14:paraId="79FDB774">
      <w:pPr>
        <w:pStyle w:val="245"/>
        <w:ind w:left="420" w:hanging="420" w:hangingChars="200"/>
        <w:rPr>
          <w:color w:val="auto"/>
        </w:rPr>
      </w:pPr>
    </w:p>
    <w:p w14:paraId="1573D2DB">
      <w:pPr>
        <w:pStyle w:val="245"/>
        <w:numPr>
          <w:ilvl w:val="0"/>
          <w:numId w:val="0"/>
        </w:numPr>
        <w:ind w:left="420"/>
        <w:rPr>
          <w:color w:val="auto"/>
        </w:rPr>
      </w:pPr>
      <w:r>
        <w:rPr>
          <w:rFonts w:hint="eastAsia" w:ascii="黑体" w:hAnsi="黑体" w:eastAsia="黑体"/>
          <w:color w:val="auto"/>
        </w:rPr>
        <w:t>使用单位　</w:t>
      </w:r>
      <w:r>
        <w:rPr>
          <w:rFonts w:ascii="黑体" w:hAnsi="黑体" w:eastAsia="黑体"/>
          <w:color w:val="auto"/>
        </w:rPr>
        <w:t>using unit</w:t>
      </w:r>
      <w:r>
        <w:rPr>
          <w:rFonts w:ascii="黑体" w:hAnsi="黑体" w:eastAsia="黑体"/>
          <w:color w:val="auto"/>
        </w:rPr>
        <w:br w:type="textWrapping"/>
      </w:r>
      <w:r>
        <w:rPr>
          <w:rFonts w:hint="eastAsia"/>
          <w:color w:val="auto"/>
        </w:rPr>
        <w:t>具有特种设备使用管理权的单位或者具有完全民事能力的自然人。</w:t>
      </w:r>
    </w:p>
    <w:p w14:paraId="176CDCD3">
      <w:pPr>
        <w:pStyle w:val="78"/>
        <w:ind w:firstLine="420"/>
        <w:rPr>
          <w:color w:val="auto"/>
        </w:rPr>
      </w:pPr>
      <w:r>
        <w:rPr>
          <w:rFonts w:hint="eastAsia"/>
          <w:color w:val="auto"/>
        </w:rPr>
        <w:t xml:space="preserve">注：对于属于市场监督管理总局监管的起重机械，一般是指特种设备的产权单位（产权所有人），也可以是产权单位通过符合法律规定的合同关系确立的特种设备实际使用管理者。法律另有规定或者当事人合同约定的，从其规定或约定。 </w:t>
      </w:r>
    </w:p>
    <w:p w14:paraId="46604625">
      <w:pPr>
        <w:pStyle w:val="245"/>
        <w:numPr>
          <w:ilvl w:val="0"/>
          <w:numId w:val="0"/>
        </w:numPr>
        <w:ind w:firstLine="420" w:firstLineChars="200"/>
        <w:rPr>
          <w:color w:val="auto"/>
        </w:rPr>
      </w:pPr>
      <w:r>
        <w:rPr>
          <w:rFonts w:hint="eastAsia"/>
          <w:color w:val="auto"/>
        </w:rPr>
        <w:t>对于属于住房和城乡建设部监管的建筑起重机械，是指使用建筑起重机械的施工单位。</w:t>
      </w:r>
    </w:p>
    <w:p w14:paraId="766FDBD2">
      <w:pPr>
        <w:pStyle w:val="245"/>
        <w:numPr>
          <w:ilvl w:val="0"/>
          <w:numId w:val="0"/>
        </w:numPr>
        <w:ind w:left="420"/>
        <w:rPr>
          <w:color w:val="auto"/>
        </w:rPr>
      </w:pPr>
      <w:r>
        <w:rPr>
          <w:rFonts w:hint="eastAsia"/>
          <w:color w:val="auto"/>
        </w:rPr>
        <w:t>[来源：T/CEC 210-2019，3.7，有修改]</w:t>
      </w:r>
      <w:bookmarkStart w:id="49" w:name="_Hlk195188992"/>
      <w:r>
        <w:rPr>
          <w:rFonts w:hint="eastAsia"/>
          <w:color w:val="auto"/>
        </w:rPr>
        <w:t>。</w:t>
      </w:r>
      <w:bookmarkEnd w:id="49"/>
    </w:p>
    <w:p w14:paraId="3C50F416">
      <w:pPr>
        <w:pStyle w:val="245"/>
        <w:ind w:left="420" w:hanging="420" w:hangingChars="200"/>
        <w:rPr>
          <w:color w:val="auto"/>
        </w:rPr>
      </w:pPr>
    </w:p>
    <w:p w14:paraId="08B0BFF2">
      <w:pPr>
        <w:pStyle w:val="245"/>
        <w:numPr>
          <w:ilvl w:val="0"/>
          <w:numId w:val="0"/>
        </w:numPr>
        <w:ind w:left="420"/>
        <w:rPr>
          <w:color w:val="auto"/>
        </w:rPr>
      </w:pPr>
      <w:r>
        <w:rPr>
          <w:rFonts w:hint="eastAsia" w:ascii="黑体" w:hAnsi="黑体" w:eastAsia="黑体" w:cs="宋体"/>
          <w:color w:val="auto"/>
          <w:szCs w:val="21"/>
        </w:rPr>
        <w:t>特种设备作业人员</w:t>
      </w:r>
      <w:r>
        <w:rPr>
          <w:rFonts w:hint="eastAsia" w:ascii="黑体" w:hAnsi="黑体" w:eastAsia="黑体"/>
          <w:color w:val="auto"/>
        </w:rPr>
        <w:t>　</w:t>
      </w:r>
      <w:r>
        <w:rPr>
          <w:rFonts w:ascii="黑体" w:hAnsi="黑体" w:eastAsia="黑体"/>
          <w:color w:val="auto"/>
        </w:rPr>
        <w:t>operators of special equipment</w:t>
      </w:r>
      <w:r>
        <w:rPr>
          <w:rFonts w:ascii="黑体" w:hAnsi="黑体" w:eastAsia="黑体"/>
          <w:color w:val="auto"/>
        </w:rPr>
        <w:br w:type="textWrapping"/>
      </w:r>
      <w:r>
        <w:rPr>
          <w:rFonts w:hint="eastAsia"/>
          <w:color w:val="auto"/>
        </w:rPr>
        <w:t>锅炉、压力容器（含气瓶）、压力管道、电梯、起重机械、客运索道、大型游乐设施、场（厂）内</w:t>
      </w:r>
    </w:p>
    <w:p w14:paraId="7FC0531E">
      <w:pPr>
        <w:pStyle w:val="245"/>
        <w:numPr>
          <w:ilvl w:val="0"/>
          <w:numId w:val="0"/>
        </w:numPr>
        <w:rPr>
          <w:color w:val="auto"/>
        </w:rPr>
      </w:pPr>
      <w:r>
        <w:rPr>
          <w:rFonts w:hint="eastAsia"/>
          <w:color w:val="auto"/>
        </w:rPr>
        <w:t>专用机动车辆等特种设备的作业人员及其相关管理人员。</w:t>
      </w:r>
    </w:p>
    <w:p w14:paraId="1041AC8C">
      <w:pPr>
        <w:pStyle w:val="245"/>
        <w:numPr>
          <w:ilvl w:val="0"/>
          <w:numId w:val="0"/>
        </w:numPr>
        <w:ind w:left="420"/>
        <w:rPr>
          <w:color w:val="auto"/>
        </w:rPr>
      </w:pPr>
      <w:r>
        <w:rPr>
          <w:rFonts w:hint="eastAsia"/>
          <w:color w:val="auto"/>
        </w:rPr>
        <w:t>注：特种设备作业人员作业种类与项目目录由市场监督管理总局统一发布。</w:t>
      </w:r>
    </w:p>
    <w:p w14:paraId="42853A12">
      <w:pPr>
        <w:pStyle w:val="245"/>
        <w:numPr>
          <w:ilvl w:val="0"/>
          <w:numId w:val="0"/>
        </w:numPr>
        <w:ind w:left="420"/>
        <w:rPr>
          <w:color w:val="auto"/>
        </w:rPr>
      </w:pPr>
      <w:r>
        <w:rPr>
          <w:rFonts w:hint="eastAsia"/>
          <w:color w:val="auto"/>
        </w:rPr>
        <w:t>[来源：</w:t>
      </w:r>
      <w:bookmarkStart w:id="50" w:name="OLE_LINK1"/>
      <w:r>
        <w:rPr>
          <w:rFonts w:hint="eastAsia"/>
          <w:color w:val="auto"/>
        </w:rPr>
        <w:t>T/CEC 210-2019</w:t>
      </w:r>
      <w:bookmarkEnd w:id="50"/>
      <w:r>
        <w:rPr>
          <w:rFonts w:hint="eastAsia"/>
          <w:color w:val="auto"/>
        </w:rPr>
        <w:t>，3.8，有修改]。</w:t>
      </w:r>
    </w:p>
    <w:p w14:paraId="0C119BC2">
      <w:pPr>
        <w:pStyle w:val="245"/>
        <w:ind w:left="420" w:hanging="420" w:hangingChars="200"/>
        <w:rPr>
          <w:color w:val="auto"/>
        </w:rPr>
      </w:pPr>
    </w:p>
    <w:p w14:paraId="1A912570">
      <w:pPr>
        <w:pStyle w:val="245"/>
        <w:numPr>
          <w:ilvl w:val="0"/>
          <w:numId w:val="0"/>
        </w:numPr>
        <w:ind w:left="420"/>
        <w:rPr>
          <w:color w:val="auto"/>
        </w:rPr>
      </w:pPr>
      <w:r>
        <w:rPr>
          <w:rFonts w:hint="eastAsia" w:ascii="黑体" w:hAnsi="黑体" w:eastAsia="黑体"/>
          <w:color w:val="auto"/>
        </w:rPr>
        <w:t xml:space="preserve">移装 </w:t>
      </w:r>
      <w:r>
        <w:rPr>
          <w:rFonts w:ascii="黑体" w:hAnsi="黑体" w:eastAsia="黑体"/>
          <w:color w:val="auto"/>
        </w:rPr>
        <w:t>re-erection</w:t>
      </w:r>
      <w:r>
        <w:rPr>
          <w:rFonts w:ascii="黑体" w:hAnsi="黑体" w:eastAsia="黑体"/>
          <w:color w:val="auto"/>
        </w:rPr>
        <w:br w:type="textWrapping"/>
      </w:r>
      <w:r>
        <w:rPr>
          <w:rFonts w:hint="eastAsia"/>
          <w:color w:val="auto"/>
        </w:rPr>
        <w:t>塔机从一个使用场地拆卸、检查维护、运输到另一使用场地再安装架设的全过程。</w:t>
      </w:r>
    </w:p>
    <w:p w14:paraId="4D5609DC">
      <w:pPr>
        <w:pStyle w:val="245"/>
        <w:numPr>
          <w:ilvl w:val="0"/>
          <w:numId w:val="0"/>
        </w:numPr>
        <w:ind w:left="420"/>
        <w:rPr>
          <w:color w:val="auto"/>
        </w:rPr>
      </w:pPr>
      <w:r>
        <w:rPr>
          <w:rFonts w:hint="eastAsia"/>
          <w:color w:val="auto"/>
        </w:rPr>
        <w:t>[来源：GB/T 31052.3-2016，3.1，有修改] 。</w:t>
      </w:r>
    </w:p>
    <w:p w14:paraId="78C52465">
      <w:pPr>
        <w:pStyle w:val="245"/>
        <w:ind w:left="420" w:hanging="420" w:hangingChars="200"/>
        <w:rPr>
          <w:color w:val="auto"/>
        </w:rPr>
      </w:pPr>
    </w:p>
    <w:p w14:paraId="3E1230FA">
      <w:pPr>
        <w:pStyle w:val="245"/>
        <w:numPr>
          <w:ilvl w:val="0"/>
          <w:numId w:val="0"/>
        </w:numPr>
        <w:ind w:left="420"/>
        <w:rPr>
          <w:color w:val="auto"/>
        </w:rPr>
      </w:pPr>
      <w:r>
        <w:rPr>
          <w:rFonts w:hint="eastAsia" w:ascii="黑体" w:hAnsi="黑体" w:eastAsia="黑体"/>
          <w:color w:val="auto"/>
        </w:rPr>
        <w:t>入场验收 a</w:t>
      </w:r>
      <w:r>
        <w:rPr>
          <w:rFonts w:ascii="黑体" w:hAnsi="黑体" w:eastAsia="黑体"/>
          <w:color w:val="auto"/>
        </w:rPr>
        <w:t>dmission acceptanc</w:t>
      </w:r>
      <w:r>
        <w:rPr>
          <w:rFonts w:ascii="黑体" w:hAnsi="黑体" w:eastAsia="黑体"/>
          <w:color w:val="auto"/>
        </w:rPr>
        <w:br w:type="textWrapping"/>
      </w:r>
      <w:r>
        <w:rPr>
          <w:rFonts w:hint="eastAsia"/>
          <w:color w:val="auto"/>
        </w:rPr>
        <w:t>塔机进入工程项目时对其部件外观、金属机构、重要零部件、资质文件等进行的全面检查和接收。</w:t>
      </w:r>
    </w:p>
    <w:p w14:paraId="5AEDAB14">
      <w:pPr>
        <w:pStyle w:val="245"/>
        <w:ind w:left="420" w:hanging="420" w:hangingChars="200"/>
        <w:rPr>
          <w:color w:val="auto"/>
        </w:rPr>
      </w:pPr>
    </w:p>
    <w:p w14:paraId="6AC90A4F">
      <w:pPr>
        <w:pStyle w:val="245"/>
        <w:numPr>
          <w:ilvl w:val="0"/>
          <w:numId w:val="0"/>
        </w:numPr>
        <w:ind w:left="420"/>
        <w:rPr>
          <w:color w:val="auto"/>
        </w:rPr>
      </w:pPr>
      <w:r>
        <w:rPr>
          <w:rFonts w:hint="eastAsia" w:ascii="黑体" w:hAnsi="黑体" w:eastAsia="黑体"/>
          <w:color w:val="auto"/>
        </w:rPr>
        <w:t xml:space="preserve">保养 </w:t>
      </w:r>
      <w:r>
        <w:rPr>
          <w:rFonts w:ascii="黑体" w:hAnsi="黑体" w:eastAsia="黑体"/>
          <w:color w:val="auto"/>
        </w:rPr>
        <w:t>preventing maintenance</w:t>
      </w:r>
      <w:r>
        <w:rPr>
          <w:rFonts w:ascii="黑体" w:hAnsi="黑体" w:eastAsia="黑体"/>
          <w:color w:val="auto"/>
        </w:rPr>
        <w:br w:type="textWrapping"/>
      </w:r>
      <w:r>
        <w:rPr>
          <w:rFonts w:hint="eastAsia"/>
          <w:color w:val="auto"/>
        </w:rPr>
        <w:t>为保证起重机正常及安全运行,而按计划所进行的必要的作业,包括：清洁、润滑、紧固、调整、防</w:t>
      </w:r>
    </w:p>
    <w:p w14:paraId="3D9D760E">
      <w:pPr>
        <w:pStyle w:val="245"/>
        <w:numPr>
          <w:ilvl w:val="0"/>
          <w:numId w:val="0"/>
        </w:numPr>
        <w:rPr>
          <w:color w:val="auto"/>
        </w:rPr>
      </w:pPr>
      <w:r>
        <w:rPr>
          <w:rFonts w:hint="eastAsia"/>
          <w:color w:val="auto"/>
        </w:rPr>
        <w:t>腐等。</w:t>
      </w:r>
    </w:p>
    <w:p w14:paraId="5CC6CC94">
      <w:pPr>
        <w:pStyle w:val="245"/>
        <w:numPr>
          <w:ilvl w:val="0"/>
          <w:numId w:val="0"/>
        </w:numPr>
        <w:ind w:left="420"/>
        <w:rPr>
          <w:color w:val="auto"/>
        </w:rPr>
      </w:pPr>
      <w:r>
        <w:rPr>
          <w:rFonts w:hint="eastAsia"/>
          <w:color w:val="auto"/>
        </w:rPr>
        <w:t>[来源：GB/T 31052.3-2016，3.6]。</w:t>
      </w:r>
    </w:p>
    <w:p w14:paraId="51A32D45">
      <w:pPr>
        <w:pStyle w:val="245"/>
        <w:ind w:left="420" w:hanging="420" w:hangingChars="200"/>
        <w:rPr>
          <w:color w:val="auto"/>
        </w:rPr>
      </w:pPr>
    </w:p>
    <w:p w14:paraId="7C0C924B">
      <w:pPr>
        <w:pStyle w:val="245"/>
        <w:numPr>
          <w:ilvl w:val="0"/>
          <w:numId w:val="0"/>
        </w:numPr>
        <w:ind w:left="420"/>
        <w:rPr>
          <w:rFonts w:hint="eastAsia" w:ascii="黑体" w:hAnsi="黑体" w:eastAsia="黑体"/>
          <w:color w:val="auto"/>
        </w:rPr>
      </w:pPr>
      <w:r>
        <w:rPr>
          <w:rFonts w:hint="eastAsia" w:ascii="黑体" w:hAnsi="黑体" w:eastAsia="黑体"/>
          <w:color w:val="auto"/>
        </w:rPr>
        <w:t xml:space="preserve">修理 </w:t>
      </w:r>
      <w:r>
        <w:rPr>
          <w:rFonts w:ascii="黑体" w:hAnsi="黑体" w:eastAsia="黑体"/>
          <w:color w:val="auto"/>
        </w:rPr>
        <w:t>repair</w:t>
      </w:r>
    </w:p>
    <w:p w14:paraId="09554C79">
      <w:pPr>
        <w:pStyle w:val="245"/>
        <w:numPr>
          <w:ilvl w:val="0"/>
          <w:numId w:val="0"/>
        </w:numPr>
        <w:ind w:firstLine="420" w:firstLineChars="200"/>
        <w:rPr>
          <w:color w:val="auto"/>
        </w:rPr>
      </w:pPr>
      <w:r>
        <w:rPr>
          <w:rFonts w:hint="eastAsia"/>
          <w:color w:val="auto"/>
        </w:rPr>
        <w:t>针对日常的或不正常的原因而造成影响起重机正常工作的设备损坏及故障等,通过修理或更换受损的零部件,使设备功能得到恢复的一系列工作。</w:t>
      </w:r>
    </w:p>
    <w:p w14:paraId="28636FF0">
      <w:pPr>
        <w:pStyle w:val="245"/>
        <w:numPr>
          <w:ilvl w:val="0"/>
          <w:numId w:val="0"/>
        </w:numPr>
        <w:ind w:left="420"/>
        <w:rPr>
          <w:color w:val="auto"/>
        </w:rPr>
      </w:pPr>
      <w:r>
        <w:rPr>
          <w:rFonts w:hint="eastAsia"/>
          <w:color w:val="auto"/>
        </w:rPr>
        <w:t>[来源：GB/T 31052.3-2016，3.7]。</w:t>
      </w:r>
    </w:p>
    <w:p w14:paraId="09CA0396">
      <w:pPr>
        <w:pStyle w:val="126"/>
        <w:spacing w:before="240" w:after="240"/>
        <w:ind w:left="0"/>
        <w:rPr>
          <w:color w:val="auto"/>
          <w:szCs w:val="21"/>
        </w:rPr>
      </w:pPr>
      <w:bookmarkStart w:id="51" w:name="_Toc197422416"/>
      <w:bookmarkStart w:id="52" w:name="_Hlk501038686"/>
      <w:r>
        <w:rPr>
          <w:rFonts w:hint="eastAsia"/>
          <w:color w:val="auto"/>
          <w:szCs w:val="21"/>
        </w:rPr>
        <w:t>总体要求</w:t>
      </w:r>
      <w:bookmarkEnd w:id="51"/>
    </w:p>
    <w:p w14:paraId="25F84A37">
      <w:pPr>
        <w:pStyle w:val="127"/>
        <w:spacing w:before="120" w:after="120"/>
        <w:rPr>
          <w:color w:val="auto"/>
        </w:rPr>
      </w:pPr>
      <w:bookmarkStart w:id="53" w:name="_Toc197422417"/>
      <w:r>
        <w:rPr>
          <w:rFonts w:hint="eastAsia"/>
          <w:color w:val="auto"/>
        </w:rPr>
        <w:t>安装、使用和租赁单位</w:t>
      </w:r>
      <w:bookmarkEnd w:id="53"/>
    </w:p>
    <w:p w14:paraId="4143E6B7">
      <w:pPr>
        <w:pStyle w:val="187"/>
        <w:rPr>
          <w:color w:val="auto"/>
        </w:rPr>
      </w:pPr>
      <w:r>
        <w:rPr>
          <w:rFonts w:hint="eastAsia"/>
          <w:color w:val="auto"/>
        </w:rPr>
        <w:t>塔机安全使用工作应当坚持安全第一、预防为主、节能环保、综合治理的原则，建立“企业负责、职工参与、行业自律、政府监管、社会监督”的管理机制。</w:t>
      </w:r>
    </w:p>
    <w:p w14:paraId="64F6BFF0">
      <w:pPr>
        <w:pStyle w:val="187"/>
        <w:rPr>
          <w:color w:val="auto"/>
        </w:rPr>
      </w:pPr>
      <w:r>
        <w:rPr>
          <w:rFonts w:hint="eastAsia"/>
          <w:color w:val="auto"/>
        </w:rPr>
        <w:t>塔机安装、使用、租赁等单位应落实安全生产主体责任，建立安全生产责任制，建立健全安全生产保证体系和监督体系，健全安全管理规章制度，保障安全生产投入，加强安全教育培训，推进安全生产标准化建设，依靠科学管理和技术进步，提高塔机安全管理水平。</w:t>
      </w:r>
    </w:p>
    <w:p w14:paraId="692E42A3">
      <w:pPr>
        <w:pStyle w:val="187"/>
        <w:rPr>
          <w:color w:val="auto"/>
        </w:rPr>
      </w:pPr>
      <w:r>
        <w:rPr>
          <w:rFonts w:hint="eastAsia"/>
          <w:color w:val="auto"/>
        </w:rPr>
        <w:t>塔机使用单位应当建立健全塔机安全和节能责任制度，加强安全和节能管理，确保塔机使用安全，符合节能和绿色施工要求。</w:t>
      </w:r>
    </w:p>
    <w:p w14:paraId="2EBF48FF">
      <w:pPr>
        <w:pStyle w:val="187"/>
        <w:rPr>
          <w:color w:val="auto"/>
        </w:rPr>
      </w:pPr>
      <w:r>
        <w:rPr>
          <w:rFonts w:hint="eastAsia"/>
          <w:color w:val="auto"/>
        </w:rPr>
        <w:t>塔机安装、使用、租赁等单位及其主要负责人对其安装、使用的塔机安全负责。</w:t>
      </w:r>
    </w:p>
    <w:p w14:paraId="7B603A0C">
      <w:pPr>
        <w:pStyle w:val="187"/>
        <w:rPr>
          <w:color w:val="auto"/>
        </w:rPr>
      </w:pPr>
      <w:r>
        <w:rPr>
          <w:rFonts w:hint="eastAsia"/>
          <w:color w:val="auto"/>
        </w:rPr>
        <w:t>塔机安装单位应取得安装许可资质。</w:t>
      </w:r>
    </w:p>
    <w:p w14:paraId="359FCF47">
      <w:pPr>
        <w:pStyle w:val="78"/>
        <w:spacing w:after="0"/>
        <w:ind w:firstLine="420"/>
        <w:rPr>
          <w:color w:val="auto"/>
        </w:rPr>
      </w:pPr>
      <w:r>
        <w:rPr>
          <w:rFonts w:hint="eastAsia"/>
          <w:color w:val="auto"/>
        </w:rPr>
        <w:t>适用于市场监督管理总局监管的塔机，安装单位具备相应的特种设备(起重机械)安装许可证。</w:t>
      </w:r>
    </w:p>
    <w:p w14:paraId="4EDFA671">
      <w:pPr>
        <w:pStyle w:val="78"/>
        <w:spacing w:after="0"/>
        <w:ind w:firstLine="420"/>
        <w:rPr>
          <w:color w:val="auto"/>
        </w:rPr>
      </w:pPr>
      <w:r>
        <w:rPr>
          <w:rFonts w:hint="eastAsia"/>
          <w:color w:val="auto"/>
        </w:rPr>
        <w:t>适用于</w:t>
      </w:r>
      <w:bookmarkStart w:id="54" w:name="_Hlk195102260"/>
      <w:r>
        <w:rPr>
          <w:rFonts w:hint="eastAsia"/>
          <w:color w:val="auto"/>
        </w:rPr>
        <w:t>住房和城乡建设部</w:t>
      </w:r>
      <w:bookmarkEnd w:id="54"/>
      <w:r>
        <w:rPr>
          <w:rFonts w:hint="eastAsia"/>
          <w:color w:val="auto"/>
        </w:rPr>
        <w:t>监管的塔机，安装单位具备相应的起重设备安装工程专业承包资质和建筑施工企业安全生产许可证，在许可的范围内从事塔机安装、拆卸以及爬升工作。</w:t>
      </w:r>
    </w:p>
    <w:p w14:paraId="75011A1C">
      <w:pPr>
        <w:pStyle w:val="187"/>
        <w:rPr>
          <w:color w:val="auto"/>
        </w:rPr>
      </w:pPr>
      <w:r>
        <w:rPr>
          <w:rFonts w:hint="eastAsia"/>
          <w:color w:val="auto"/>
        </w:rPr>
        <w:t>塔机改造应委托原制造单位或有相应资质的单位。</w:t>
      </w:r>
    </w:p>
    <w:p w14:paraId="465394F0">
      <w:pPr>
        <w:pStyle w:val="127"/>
        <w:spacing w:before="120" w:after="120"/>
        <w:rPr>
          <w:color w:val="auto"/>
        </w:rPr>
      </w:pPr>
      <w:bookmarkStart w:id="55" w:name="_Toc197422418"/>
      <w:r>
        <w:rPr>
          <w:rFonts w:hint="eastAsia"/>
          <w:color w:val="auto"/>
        </w:rPr>
        <w:t>人员</w:t>
      </w:r>
      <w:bookmarkEnd w:id="55"/>
    </w:p>
    <w:p w14:paraId="0F85A344">
      <w:pPr>
        <w:pStyle w:val="187"/>
        <w:rPr>
          <w:color w:val="auto"/>
        </w:rPr>
      </w:pPr>
      <w:r>
        <w:rPr>
          <w:rFonts w:hint="eastAsia"/>
          <w:color w:val="auto"/>
        </w:rPr>
        <w:t>塔机特种设备作业人员和特种作业人员应按照国家有关规定经过专门的安全作业培训，取得特种设备作业人员证、特种作业操作证、建筑施工特种作业人员操作资格证，方可从事相应的作业。</w:t>
      </w:r>
    </w:p>
    <w:p w14:paraId="14D526A5">
      <w:pPr>
        <w:pStyle w:val="78"/>
        <w:spacing w:after="0"/>
        <w:ind w:firstLine="420"/>
        <w:rPr>
          <w:color w:val="auto"/>
        </w:rPr>
      </w:pPr>
      <w:r>
        <w:rPr>
          <w:rFonts w:hint="eastAsia"/>
          <w:color w:val="auto"/>
        </w:rPr>
        <w:t>适用于市场监督管理总局监管的塔机，用人单位应当聘(雇)用取得特种设备作业人员证的人员从事相关管理和作业工作。</w:t>
      </w:r>
    </w:p>
    <w:p w14:paraId="50385198">
      <w:pPr>
        <w:pStyle w:val="78"/>
        <w:spacing w:after="0"/>
        <w:ind w:firstLine="420"/>
        <w:rPr>
          <w:color w:val="auto"/>
        </w:rPr>
      </w:pPr>
      <w:r>
        <w:rPr>
          <w:rFonts w:hint="eastAsia"/>
          <w:color w:val="auto"/>
        </w:rPr>
        <w:t>适用于住房和城乡建设部监管的塔机，建筑施工特种作业人员应经建设主管部门考核合格，取得建筑施工特种作业人员操作资格证书。</w:t>
      </w:r>
    </w:p>
    <w:p w14:paraId="1B9F2344">
      <w:pPr>
        <w:pStyle w:val="187"/>
        <w:rPr>
          <w:color w:val="auto"/>
        </w:rPr>
      </w:pPr>
      <w:r>
        <w:rPr>
          <w:rFonts w:hint="eastAsia"/>
          <w:color w:val="auto"/>
        </w:rPr>
        <w:t>特种设备作业人员、特种作业人员和建筑施工特种作业人员</w:t>
      </w:r>
      <w:bookmarkStart w:id="56" w:name="_Hlk197439353"/>
      <w:r>
        <w:rPr>
          <w:rFonts w:hint="eastAsia"/>
          <w:color w:val="auto"/>
        </w:rPr>
        <w:t>资格证书应在有效期内，且符合GB/T 6067.1的规定要求</w:t>
      </w:r>
      <w:bookmarkEnd w:id="56"/>
      <w:r>
        <w:rPr>
          <w:rFonts w:hint="eastAsia"/>
          <w:color w:val="auto"/>
        </w:rPr>
        <w:t>，</w:t>
      </w:r>
      <w:bookmarkStart w:id="57" w:name="_Hlk197439315"/>
      <w:r>
        <w:rPr>
          <w:rFonts w:hint="eastAsia"/>
          <w:color w:val="auto"/>
        </w:rPr>
        <w:t>经用人单位的法定代表人或其授权人雇(聘)用后，方可在许可范围内作业。</w:t>
      </w:r>
      <w:bookmarkEnd w:id="57"/>
    </w:p>
    <w:p w14:paraId="4318A286">
      <w:pPr>
        <w:pStyle w:val="187"/>
        <w:rPr>
          <w:color w:val="auto"/>
        </w:rPr>
      </w:pPr>
      <w:r>
        <w:rPr>
          <w:rFonts w:hint="eastAsia"/>
          <w:color w:val="auto"/>
        </w:rPr>
        <w:t>检查人员和维护人员应符合 GB/T 23723.3、GB/T 28758 的要求并具有相应的资格或经培训合格。</w:t>
      </w:r>
    </w:p>
    <w:p w14:paraId="231FB8B6">
      <w:pPr>
        <w:pStyle w:val="127"/>
        <w:spacing w:before="120" w:after="120"/>
        <w:rPr>
          <w:color w:val="auto"/>
        </w:rPr>
      </w:pPr>
      <w:bookmarkStart w:id="58" w:name="_Toc197422419"/>
      <w:r>
        <w:rPr>
          <w:rFonts w:hint="eastAsia"/>
          <w:color w:val="auto"/>
        </w:rPr>
        <w:t>专项施工方案</w:t>
      </w:r>
      <w:bookmarkEnd w:id="58"/>
    </w:p>
    <w:p w14:paraId="12FDE347">
      <w:pPr>
        <w:pStyle w:val="187"/>
        <w:rPr>
          <w:color w:val="auto"/>
        </w:rPr>
      </w:pPr>
      <w:r>
        <w:rPr>
          <w:rFonts w:hint="eastAsia"/>
          <w:color w:val="auto"/>
        </w:rPr>
        <w:t>塔机安装与拆卸前，安装单位应编制专项施工方案，指导作业人员实施安装与拆卸作业。塔机自身的安装、拆卸都属于</w:t>
      </w:r>
      <w:bookmarkStart w:id="59" w:name="_Hlk197445094"/>
      <w:r>
        <w:rPr>
          <w:rFonts w:hint="eastAsia"/>
          <w:color w:val="auto"/>
        </w:rPr>
        <w:t>危险性较大的分部分项工程，</w:t>
      </w:r>
      <w:bookmarkEnd w:id="59"/>
      <w:r>
        <w:rPr>
          <w:rFonts w:hint="eastAsia"/>
          <w:color w:val="auto"/>
        </w:rPr>
        <w:t>起重量600kN及以上或搭设总高度200m及以上塔机</w:t>
      </w:r>
      <w:bookmarkStart w:id="60" w:name="_Hlk197445157"/>
      <w:r>
        <w:rPr>
          <w:rFonts w:hint="eastAsia"/>
          <w:color w:val="auto"/>
        </w:rPr>
        <w:t>或搭设基础标高在200m及上的安装、拆卸工程都属于超过一定规模的危险性较大的分部分项工程。专项施工方案内容及审批程序应符合NB/T 10096要求。</w:t>
      </w:r>
    </w:p>
    <w:bookmarkEnd w:id="60"/>
    <w:p w14:paraId="3104E75F">
      <w:pPr>
        <w:pStyle w:val="78"/>
        <w:spacing w:after="0"/>
        <w:ind w:firstLine="420"/>
        <w:rPr>
          <w:color w:val="auto"/>
        </w:rPr>
      </w:pPr>
      <w:bookmarkStart w:id="61" w:name="_Hlk197445239"/>
      <w:r>
        <w:rPr>
          <w:rFonts w:hint="eastAsia"/>
          <w:color w:val="auto"/>
        </w:rPr>
        <w:t>适用于住房和城乡建设部监管的塔机，专项施工方案内容参照《危险性较大的分部分项工程专项施工方案编制指南》（建办质〔2021〕48 号）文件要求，审批程序应符合《危险性较大的分部分项工程安全管理规定》（住房和城乡建设部令第37号）要求。</w:t>
      </w:r>
    </w:p>
    <w:bookmarkEnd w:id="61"/>
    <w:p w14:paraId="242CF36B">
      <w:pPr>
        <w:pStyle w:val="187"/>
        <w:rPr>
          <w:color w:val="auto"/>
        </w:rPr>
      </w:pPr>
      <w:r>
        <w:rPr>
          <w:rFonts w:hint="eastAsia"/>
          <w:color w:val="auto"/>
        </w:rPr>
        <w:t>受台风影响的地区塔机安装、拆卸和使用，专项施工方案应有防台风预案内容。</w:t>
      </w:r>
    </w:p>
    <w:p w14:paraId="6B83036B">
      <w:pPr>
        <w:pStyle w:val="127"/>
        <w:spacing w:before="120" w:after="120"/>
        <w:rPr>
          <w:color w:val="auto"/>
        </w:rPr>
      </w:pPr>
      <w:bookmarkStart w:id="62" w:name="_Toc197422420"/>
      <w:r>
        <w:rPr>
          <w:rFonts w:hint="eastAsia"/>
          <w:color w:val="auto"/>
        </w:rPr>
        <w:t>档案</w:t>
      </w:r>
      <w:bookmarkEnd w:id="62"/>
    </w:p>
    <w:p w14:paraId="1C271EE1">
      <w:pPr>
        <w:pStyle w:val="187"/>
        <w:rPr>
          <w:color w:val="auto"/>
        </w:rPr>
      </w:pPr>
      <w:bookmarkStart w:id="63" w:name="_Hlk197445321"/>
      <w:r>
        <w:rPr>
          <w:rFonts w:hint="eastAsia"/>
          <w:color w:val="auto"/>
        </w:rPr>
        <w:t>使用单位应逐台建立并保存塔机安全与节能技术档案，档案内容至少应包括：</w:t>
      </w:r>
    </w:p>
    <w:bookmarkEnd w:id="63"/>
    <w:p w14:paraId="23D84CB8">
      <w:pPr>
        <w:pStyle w:val="196"/>
        <w:spacing w:after="0"/>
        <w:rPr>
          <w:color w:val="auto"/>
        </w:rPr>
      </w:pPr>
      <w:bookmarkStart w:id="64" w:name="_Hlk197445342"/>
      <w:r>
        <w:rPr>
          <w:rFonts w:hint="eastAsia"/>
          <w:color w:val="auto"/>
        </w:rPr>
        <w:t>使用登记证；</w:t>
      </w:r>
    </w:p>
    <w:p w14:paraId="3C04046A">
      <w:pPr>
        <w:pStyle w:val="196"/>
        <w:spacing w:after="0"/>
        <w:rPr>
          <w:color w:val="auto"/>
        </w:rPr>
      </w:pPr>
      <w:r>
        <w:rPr>
          <w:rFonts w:hint="eastAsia"/>
          <w:color w:val="auto"/>
        </w:rPr>
        <w:t>设计、制造技术资料和文件；</w:t>
      </w:r>
    </w:p>
    <w:p w14:paraId="012A1A9F">
      <w:pPr>
        <w:pStyle w:val="196"/>
        <w:spacing w:after="0"/>
        <w:rPr>
          <w:color w:val="auto"/>
        </w:rPr>
      </w:pPr>
      <w:r>
        <w:rPr>
          <w:rFonts w:hint="eastAsia"/>
          <w:color w:val="auto"/>
        </w:rPr>
        <w:t>安装、大修、改造的方案、记录及报告；</w:t>
      </w:r>
    </w:p>
    <w:p w14:paraId="474BFD82">
      <w:pPr>
        <w:pStyle w:val="196"/>
        <w:spacing w:after="0"/>
        <w:rPr>
          <w:color w:val="auto"/>
        </w:rPr>
      </w:pPr>
      <w:r>
        <w:rPr>
          <w:rFonts w:hint="eastAsia"/>
          <w:color w:val="auto"/>
        </w:rPr>
        <w:t>日常使用状况记录；</w:t>
      </w:r>
    </w:p>
    <w:p w14:paraId="49494376">
      <w:pPr>
        <w:pStyle w:val="196"/>
        <w:spacing w:after="0"/>
        <w:rPr>
          <w:color w:val="auto"/>
        </w:rPr>
      </w:pPr>
      <w:r>
        <w:rPr>
          <w:rFonts w:hint="eastAsia"/>
          <w:color w:val="auto"/>
        </w:rPr>
        <w:t>定期检查记录和报告；</w:t>
      </w:r>
    </w:p>
    <w:p w14:paraId="1AADE601">
      <w:pPr>
        <w:pStyle w:val="196"/>
        <w:spacing w:after="0"/>
        <w:rPr>
          <w:color w:val="auto"/>
        </w:rPr>
      </w:pPr>
      <w:r>
        <w:rPr>
          <w:rFonts w:hint="eastAsia"/>
          <w:color w:val="auto"/>
        </w:rPr>
        <w:t>运行故障和事故记录及事故处理报告；</w:t>
      </w:r>
    </w:p>
    <w:p w14:paraId="1C5D6991">
      <w:pPr>
        <w:pStyle w:val="196"/>
        <w:spacing w:after="0"/>
        <w:rPr>
          <w:color w:val="auto"/>
        </w:rPr>
      </w:pPr>
      <w:r>
        <w:rPr>
          <w:rFonts w:hint="eastAsia"/>
          <w:color w:val="auto"/>
        </w:rPr>
        <w:t>安全附件和安全保护装置、仪器仪表维护保养、校验记录和报告；</w:t>
      </w:r>
    </w:p>
    <w:p w14:paraId="46A791CD">
      <w:pPr>
        <w:pStyle w:val="196"/>
        <w:spacing w:after="0"/>
        <w:rPr>
          <w:color w:val="auto"/>
        </w:rPr>
      </w:pPr>
      <w:r>
        <w:rPr>
          <w:rFonts w:hint="eastAsia"/>
          <w:color w:val="auto"/>
        </w:rPr>
        <w:t>与塔机安全有关的评估报告。</w:t>
      </w:r>
    </w:p>
    <w:bookmarkEnd w:id="64"/>
    <w:p w14:paraId="2591532B">
      <w:pPr>
        <w:pStyle w:val="127"/>
        <w:spacing w:before="120" w:after="120"/>
        <w:rPr>
          <w:color w:val="auto"/>
        </w:rPr>
      </w:pPr>
      <w:bookmarkStart w:id="65" w:name="_Toc197422421"/>
      <w:r>
        <w:rPr>
          <w:rFonts w:hint="eastAsia"/>
          <w:color w:val="auto"/>
        </w:rPr>
        <w:t>其它</w:t>
      </w:r>
      <w:bookmarkEnd w:id="65"/>
    </w:p>
    <w:p w14:paraId="53306F76">
      <w:pPr>
        <w:pStyle w:val="78"/>
        <w:ind w:firstLine="420"/>
        <w:rPr>
          <w:color w:val="auto"/>
        </w:rPr>
      </w:pPr>
      <w:r>
        <w:rPr>
          <w:rFonts w:hint="eastAsia"/>
          <w:color w:val="auto"/>
        </w:rPr>
        <w:t>塔机安全使用管理除应符合本文件外，尚应执行起重机械法律法规、部门规章、安全技术规范及相关标准。</w:t>
      </w:r>
    </w:p>
    <w:p w14:paraId="0430EFB7">
      <w:pPr>
        <w:pStyle w:val="126"/>
        <w:spacing w:before="240" w:after="240"/>
        <w:ind w:left="0"/>
        <w:rPr>
          <w:color w:val="auto"/>
        </w:rPr>
      </w:pPr>
      <w:bookmarkStart w:id="66" w:name="_Toc197422422"/>
      <w:r>
        <w:rPr>
          <w:rFonts w:hint="eastAsia"/>
          <w:color w:val="auto"/>
        </w:rPr>
        <w:t>入场验收</w:t>
      </w:r>
      <w:bookmarkEnd w:id="66"/>
    </w:p>
    <w:p w14:paraId="6468FDE5">
      <w:pPr>
        <w:pStyle w:val="127"/>
        <w:spacing w:before="120" w:after="120"/>
        <w:rPr>
          <w:color w:val="auto"/>
        </w:rPr>
      </w:pPr>
      <w:bookmarkStart w:id="67" w:name="_Toc180146095"/>
      <w:bookmarkStart w:id="68" w:name="_Toc179748224"/>
      <w:bookmarkStart w:id="69" w:name="_Toc197422423"/>
      <w:bookmarkStart w:id="70" w:name="_Hlk173075048"/>
      <w:r>
        <w:rPr>
          <w:rFonts w:hint="eastAsia"/>
          <w:color w:val="auto"/>
        </w:rPr>
        <w:t>验收组织</w:t>
      </w:r>
      <w:bookmarkEnd w:id="67"/>
      <w:bookmarkEnd w:id="68"/>
      <w:bookmarkEnd w:id="69"/>
    </w:p>
    <w:p w14:paraId="2AE11FCC">
      <w:pPr>
        <w:pStyle w:val="187"/>
        <w:rPr>
          <w:color w:val="auto"/>
        </w:rPr>
      </w:pPr>
      <w:r>
        <w:rPr>
          <w:rFonts w:hint="eastAsia"/>
          <w:color w:val="auto"/>
        </w:rPr>
        <w:t>塔机入场验收由施工单位组织，并填写塔机入场验收表（见附录A）。</w:t>
      </w:r>
    </w:p>
    <w:p w14:paraId="198D9447">
      <w:pPr>
        <w:pStyle w:val="187"/>
        <w:rPr>
          <w:color w:val="auto"/>
        </w:rPr>
      </w:pPr>
      <w:r>
        <w:rPr>
          <w:rFonts w:hint="eastAsia"/>
          <w:color w:val="auto"/>
        </w:rPr>
        <w:t>租赁的塔机进场时，由施工单位组织对塔机安全技术状况以及5.2规定的资料等进行检查验收，符合要求才能准予进场。</w:t>
      </w:r>
    </w:p>
    <w:p w14:paraId="677E1FFD">
      <w:pPr>
        <w:pStyle w:val="187"/>
        <w:rPr>
          <w:color w:val="auto"/>
        </w:rPr>
      </w:pPr>
      <w:r>
        <w:rPr>
          <w:rFonts w:hint="eastAsia"/>
          <w:color w:val="auto"/>
        </w:rPr>
        <w:t>实行工程总承包的，工程总承包单位应对施工单位的塔机入厂检验情况进行审查，并报送监理单位统一进行审核确认。</w:t>
      </w:r>
    </w:p>
    <w:p w14:paraId="6C9E0F97">
      <w:pPr>
        <w:pStyle w:val="187"/>
        <w:rPr>
          <w:color w:val="auto"/>
        </w:rPr>
      </w:pPr>
      <w:r>
        <w:rPr>
          <w:rFonts w:hint="eastAsia"/>
          <w:color w:val="auto"/>
        </w:rPr>
        <w:t>监理单位应对进场塔机的基本状况进行检查，编制基本情况报告，并报建设单位备案。</w:t>
      </w:r>
    </w:p>
    <w:p w14:paraId="06C8F62A">
      <w:pPr>
        <w:pStyle w:val="127"/>
        <w:spacing w:before="120" w:after="120"/>
        <w:rPr>
          <w:color w:val="auto"/>
        </w:rPr>
      </w:pPr>
      <w:bookmarkStart w:id="71" w:name="_Toc197422424"/>
      <w:r>
        <w:rPr>
          <w:rFonts w:hint="eastAsia"/>
          <w:color w:val="auto"/>
        </w:rPr>
        <w:t>资料验收</w:t>
      </w:r>
      <w:bookmarkEnd w:id="71"/>
    </w:p>
    <w:p w14:paraId="669868B8">
      <w:pPr>
        <w:pStyle w:val="78"/>
        <w:ind w:firstLine="420"/>
        <w:rPr>
          <w:color w:val="auto"/>
        </w:rPr>
      </w:pPr>
      <w:r>
        <w:rPr>
          <w:rFonts w:hint="eastAsia"/>
          <w:color w:val="auto"/>
        </w:rPr>
        <w:t>塔机入场前，应验收安全技术规范要求的设计文件、生产许可证和型式试验合格证、产品质量合格证明、安装及使用维护保养说明书、使用登记证、安装单位资质、特种设备作业人员、特种作业人员及相关人员资格等技术资料和文件。</w:t>
      </w:r>
      <w:r>
        <w:rPr>
          <w:rFonts w:hint="eastAsia"/>
          <w:color w:val="auto"/>
        </w:rPr>
        <w:t>对于房屋建筑和市政基础设施工程的塔机还应有产权备案证明。</w:t>
      </w:r>
    </w:p>
    <w:p w14:paraId="7FF65546">
      <w:pPr>
        <w:pStyle w:val="127"/>
        <w:spacing w:before="120" w:after="120"/>
        <w:rPr>
          <w:color w:val="auto"/>
        </w:rPr>
      </w:pPr>
      <w:bookmarkStart w:id="72" w:name="_Toc197422425"/>
      <w:r>
        <w:rPr>
          <w:rFonts w:hint="eastAsia"/>
          <w:color w:val="auto"/>
        </w:rPr>
        <w:t>现场验收</w:t>
      </w:r>
      <w:bookmarkEnd w:id="72"/>
    </w:p>
    <w:p w14:paraId="283256FE">
      <w:pPr>
        <w:pStyle w:val="187"/>
        <w:rPr>
          <w:color w:val="auto"/>
        </w:rPr>
      </w:pPr>
      <w:r>
        <w:rPr>
          <w:rFonts w:hint="eastAsia"/>
          <w:color w:val="auto"/>
        </w:rPr>
        <w:t>塔机到达现场，应对照零部件清单，核对零部件、安全装置及视频监控系统等是否齐全并符合出厂配置要求。零部件、安全装置有缺损的，应告知塔机产权单位补齐、更换。塔机的标准节、臂架、拉杆、塔顶等主要结构件应设有可追溯制造日期的永久性标志。</w:t>
      </w:r>
    </w:p>
    <w:p w14:paraId="2E400BCA">
      <w:pPr>
        <w:pStyle w:val="187"/>
        <w:rPr>
          <w:color w:val="auto"/>
        </w:rPr>
      </w:pPr>
      <w:r>
        <w:rPr>
          <w:rFonts w:hint="eastAsia"/>
          <w:color w:val="auto"/>
        </w:rPr>
        <w:t>对结构件进行检查，若发现结构件有可见裂纹、严重锈蚀、整体或局部塑性变形，连接销轴（孔）有严重磨损变形以及焊缝开焊、裂纹的情形时，应进行修复。</w:t>
      </w:r>
    </w:p>
    <w:p w14:paraId="6A112317">
      <w:pPr>
        <w:pStyle w:val="187"/>
        <w:rPr>
          <w:color w:val="auto"/>
        </w:rPr>
      </w:pPr>
      <w:r>
        <w:rPr>
          <w:rFonts w:hint="eastAsia"/>
          <w:color w:val="auto"/>
        </w:rPr>
        <w:t>基础预埋件外观几何尺寸等主要参数应符合说明书要求。</w:t>
      </w:r>
    </w:p>
    <w:p w14:paraId="2E7C19F9">
      <w:pPr>
        <w:pStyle w:val="127"/>
        <w:spacing w:before="120" w:after="0" w:afterLines="0"/>
        <w:rPr>
          <w:color w:val="auto"/>
        </w:rPr>
      </w:pPr>
      <w:bookmarkStart w:id="73" w:name="_Toc197422426"/>
      <w:r>
        <w:rPr>
          <w:rFonts w:hint="eastAsia"/>
          <w:color w:val="auto"/>
        </w:rPr>
        <w:t>其它</w:t>
      </w:r>
      <w:bookmarkEnd w:id="73"/>
    </w:p>
    <w:p w14:paraId="69FD3F85">
      <w:pPr>
        <w:pStyle w:val="187"/>
        <w:rPr>
          <w:color w:val="auto"/>
        </w:rPr>
      </w:pPr>
      <w:r>
        <w:rPr>
          <w:rFonts w:hint="eastAsia"/>
          <w:color w:val="auto"/>
        </w:rPr>
        <w:t>使用单位外租塔机时，宜到外租塔机所在场地进行初次验收，塔机进场后再次组织验收。</w:t>
      </w:r>
    </w:p>
    <w:p w14:paraId="337AB7E5">
      <w:pPr>
        <w:pStyle w:val="187"/>
        <w:rPr>
          <w:color w:val="auto"/>
        </w:rPr>
      </w:pPr>
      <w:r>
        <w:rPr>
          <w:rFonts w:hint="eastAsia"/>
          <w:color w:val="auto"/>
        </w:rPr>
        <w:t>新购塔机首次入场时，使用单位应协同安装单位与塔机制造单位三方共同验收。</w:t>
      </w:r>
    </w:p>
    <w:p w14:paraId="05ED9939">
      <w:pPr>
        <w:pStyle w:val="187"/>
        <w:rPr>
          <w:color w:val="auto"/>
        </w:rPr>
      </w:pPr>
      <w:r>
        <w:rPr>
          <w:rFonts w:hint="eastAsia"/>
          <w:color w:val="auto"/>
        </w:rPr>
        <w:t>特殊环境条件下（高寒、高温、高原、高盐雾等）使用的塔机应与制造厂家联系按相关规定进行验收。</w:t>
      </w:r>
    </w:p>
    <w:p w14:paraId="071BC8B2">
      <w:pPr>
        <w:pStyle w:val="187"/>
        <w:rPr>
          <w:color w:val="auto"/>
        </w:rPr>
      </w:pPr>
      <w:r>
        <w:rPr>
          <w:rFonts w:hint="eastAsia"/>
          <w:color w:val="auto"/>
        </w:rPr>
        <w:t>有下列情况之一的塔机不应入场使用：</w:t>
      </w:r>
    </w:p>
    <w:p w14:paraId="4FEF15DA">
      <w:pPr>
        <w:pStyle w:val="114"/>
        <w:spacing w:after="0"/>
        <w:ind w:firstLine="420" w:firstLineChars="200"/>
        <w:rPr>
          <w:color w:val="auto"/>
        </w:rPr>
      </w:pPr>
      <w:r>
        <w:rPr>
          <w:rFonts w:hint="eastAsia"/>
          <w:color w:val="auto"/>
        </w:rPr>
        <w:tab/>
      </w:r>
      <w:r>
        <w:rPr>
          <w:rFonts w:hint="eastAsia"/>
          <w:color w:val="auto"/>
        </w:rPr>
        <w:t>国家明令淘汰的产品；</w:t>
      </w:r>
    </w:p>
    <w:p w14:paraId="22262716">
      <w:pPr>
        <w:pStyle w:val="114"/>
        <w:spacing w:after="0"/>
        <w:ind w:firstLine="420"/>
        <w:rPr>
          <w:color w:val="auto"/>
        </w:rPr>
      </w:pPr>
      <w:r>
        <w:rPr>
          <w:rFonts w:hint="eastAsia"/>
          <w:color w:val="auto"/>
        </w:rPr>
        <w:t>超过规定使用年限经评估不合格的产品；</w:t>
      </w:r>
    </w:p>
    <w:p w14:paraId="2CB63722">
      <w:pPr>
        <w:pStyle w:val="114"/>
        <w:spacing w:after="0"/>
        <w:ind w:firstLine="420"/>
        <w:rPr>
          <w:color w:val="auto"/>
        </w:rPr>
      </w:pPr>
      <w:r>
        <w:rPr>
          <w:rFonts w:hint="eastAsia"/>
          <w:color w:val="auto"/>
        </w:rPr>
        <w:t>不符合国家现行相关标准的产品；</w:t>
      </w:r>
    </w:p>
    <w:p w14:paraId="656DD968">
      <w:pPr>
        <w:pStyle w:val="114"/>
        <w:spacing w:after="0"/>
        <w:ind w:firstLine="420"/>
        <w:rPr>
          <w:color w:val="auto"/>
        </w:rPr>
      </w:pPr>
      <w:r>
        <w:rPr>
          <w:rFonts w:hint="eastAsia"/>
          <w:color w:val="auto"/>
        </w:rPr>
        <w:t>没有完整安全技术档案的产品；</w:t>
      </w:r>
    </w:p>
    <w:p w14:paraId="423A649D">
      <w:pPr>
        <w:pStyle w:val="114"/>
        <w:spacing w:after="0"/>
        <w:ind w:firstLine="420"/>
        <w:rPr>
          <w:color w:val="auto"/>
        </w:rPr>
      </w:pPr>
      <w:r>
        <w:rPr>
          <w:rFonts w:hint="eastAsia"/>
          <w:color w:val="auto"/>
        </w:rPr>
        <w:t>没有齐全有效的安全保护装置的产品。</w:t>
      </w:r>
    </w:p>
    <w:p w14:paraId="5532C236">
      <w:pPr>
        <w:pStyle w:val="126"/>
        <w:spacing w:before="240" w:after="240"/>
        <w:ind w:left="0"/>
        <w:rPr>
          <w:color w:val="auto"/>
        </w:rPr>
      </w:pPr>
      <w:bookmarkStart w:id="74" w:name="_Toc197422427"/>
      <w:r>
        <w:rPr>
          <w:rFonts w:hint="eastAsia"/>
          <w:color w:val="auto"/>
        </w:rPr>
        <w:t>安装与拆卸</w:t>
      </w:r>
      <w:bookmarkEnd w:id="74"/>
    </w:p>
    <w:p w14:paraId="17517008">
      <w:pPr>
        <w:pStyle w:val="127"/>
        <w:spacing w:before="120" w:after="120"/>
        <w:rPr>
          <w:color w:val="auto"/>
        </w:rPr>
      </w:pPr>
      <w:bookmarkStart w:id="75" w:name="_Toc197422428"/>
      <w:r>
        <w:rPr>
          <w:rFonts w:hint="eastAsia"/>
          <w:color w:val="auto"/>
        </w:rPr>
        <w:t>选型</w:t>
      </w:r>
      <w:bookmarkEnd w:id="75"/>
    </w:p>
    <w:p w14:paraId="2A43914A">
      <w:pPr>
        <w:pStyle w:val="187"/>
        <w:rPr>
          <w:color w:val="auto"/>
        </w:rPr>
      </w:pPr>
      <w:r>
        <w:rPr>
          <w:rFonts w:hint="eastAsia"/>
          <w:color w:val="auto"/>
        </w:rPr>
        <w:t>施工单位应根据塔机的载荷状态和施工现场工作环境，选择适应使用条件要求的塔机。</w:t>
      </w:r>
    </w:p>
    <w:p w14:paraId="7D298810">
      <w:pPr>
        <w:pStyle w:val="187"/>
        <w:rPr>
          <w:color w:val="auto"/>
        </w:rPr>
      </w:pPr>
      <w:r>
        <w:rPr>
          <w:rFonts w:hint="eastAsia"/>
          <w:color w:val="auto"/>
        </w:rPr>
        <w:t>选用塔机应考虑下列内容：</w:t>
      </w:r>
    </w:p>
    <w:p w14:paraId="3D55D941">
      <w:pPr>
        <w:pStyle w:val="196"/>
        <w:numPr>
          <w:ilvl w:val="0"/>
          <w:numId w:val="32"/>
        </w:numPr>
        <w:spacing w:after="0"/>
        <w:rPr>
          <w:color w:val="auto"/>
        </w:rPr>
      </w:pPr>
      <w:r>
        <w:rPr>
          <w:rFonts w:hint="eastAsia"/>
          <w:color w:val="auto"/>
        </w:rPr>
        <w:t>起重量、幅度、起升高度、起重力矩；</w:t>
      </w:r>
    </w:p>
    <w:p w14:paraId="217C6DCE">
      <w:pPr>
        <w:pStyle w:val="196"/>
        <w:numPr>
          <w:ilvl w:val="0"/>
          <w:numId w:val="32"/>
        </w:numPr>
        <w:spacing w:after="0"/>
        <w:rPr>
          <w:color w:val="auto"/>
        </w:rPr>
      </w:pPr>
      <w:r>
        <w:rPr>
          <w:rFonts w:hint="eastAsia"/>
          <w:color w:val="auto"/>
        </w:rPr>
        <w:t>工作速度、工作区域；</w:t>
      </w:r>
    </w:p>
    <w:p w14:paraId="3D8D2D7C">
      <w:pPr>
        <w:pStyle w:val="196"/>
        <w:numPr>
          <w:ilvl w:val="0"/>
          <w:numId w:val="32"/>
        </w:numPr>
        <w:spacing w:after="0"/>
        <w:rPr>
          <w:color w:val="auto"/>
        </w:rPr>
      </w:pPr>
      <w:r>
        <w:rPr>
          <w:rFonts w:hint="eastAsia"/>
          <w:color w:val="auto"/>
        </w:rPr>
        <w:t>整机工作级别、结构件零部件工作级别、机构工作级别；</w:t>
      </w:r>
    </w:p>
    <w:p w14:paraId="6C16C9FB">
      <w:pPr>
        <w:pStyle w:val="196"/>
        <w:numPr>
          <w:ilvl w:val="0"/>
          <w:numId w:val="32"/>
        </w:numPr>
        <w:spacing w:after="0"/>
        <w:rPr>
          <w:color w:val="auto"/>
        </w:rPr>
      </w:pPr>
      <w:r>
        <w:rPr>
          <w:rFonts w:hint="eastAsia"/>
          <w:color w:val="auto"/>
        </w:rPr>
        <w:t>塔身独立高度、附着间距、附着以上悬空高度；</w:t>
      </w:r>
    </w:p>
    <w:p w14:paraId="414F9D84">
      <w:pPr>
        <w:pStyle w:val="196"/>
        <w:numPr>
          <w:ilvl w:val="0"/>
          <w:numId w:val="32"/>
        </w:numPr>
        <w:spacing w:after="0"/>
        <w:rPr>
          <w:color w:val="auto"/>
        </w:rPr>
      </w:pPr>
      <w:r>
        <w:rPr>
          <w:rFonts w:hint="eastAsia"/>
          <w:color w:val="auto"/>
        </w:rPr>
        <w:t>场地和环境条件（温度、湿度、海拔、风力、腐蚀性、易燃易爆等）或现有建筑物（如烟囱、锅炉房、主厂房、电除尘、冷却塔）形成的障碍；</w:t>
      </w:r>
    </w:p>
    <w:p w14:paraId="265AAA32">
      <w:pPr>
        <w:pStyle w:val="196"/>
        <w:numPr>
          <w:ilvl w:val="0"/>
          <w:numId w:val="32"/>
        </w:numPr>
        <w:spacing w:after="0"/>
        <w:rPr>
          <w:color w:val="auto"/>
        </w:rPr>
      </w:pPr>
      <w:r>
        <w:rPr>
          <w:rFonts w:hint="eastAsia"/>
          <w:color w:val="auto"/>
        </w:rPr>
        <w:t>塔机的通道、安装、运行、操作和拆卸所需用的空间；</w:t>
      </w:r>
    </w:p>
    <w:p w14:paraId="7F400073">
      <w:pPr>
        <w:pStyle w:val="196"/>
        <w:numPr>
          <w:ilvl w:val="0"/>
          <w:numId w:val="32"/>
        </w:numPr>
        <w:spacing w:after="0"/>
        <w:rPr>
          <w:color w:val="auto"/>
        </w:rPr>
      </w:pPr>
      <w:r>
        <w:rPr>
          <w:rFonts w:hint="eastAsia"/>
          <w:color w:val="auto"/>
        </w:rPr>
        <w:t>附着条件；</w:t>
      </w:r>
    </w:p>
    <w:p w14:paraId="555E3622">
      <w:pPr>
        <w:pStyle w:val="196"/>
        <w:numPr>
          <w:ilvl w:val="0"/>
          <w:numId w:val="32"/>
        </w:numPr>
        <w:spacing w:after="0"/>
        <w:rPr>
          <w:color w:val="auto"/>
        </w:rPr>
      </w:pPr>
      <w:r>
        <w:rPr>
          <w:rFonts w:hint="eastAsia"/>
          <w:color w:val="auto"/>
        </w:rPr>
        <w:t>塔机使用效率（动臂变幅、小车变幅）和经济性对比；</w:t>
      </w:r>
    </w:p>
    <w:p w14:paraId="1A4FA805">
      <w:pPr>
        <w:pStyle w:val="196"/>
        <w:numPr>
          <w:ilvl w:val="0"/>
          <w:numId w:val="32"/>
        </w:numPr>
        <w:spacing w:after="0"/>
        <w:rPr>
          <w:color w:val="auto"/>
        </w:rPr>
      </w:pPr>
      <w:r>
        <w:rPr>
          <w:rFonts w:hint="eastAsia"/>
          <w:color w:val="auto"/>
        </w:rPr>
        <w:t>其他特殊操作要求或强制性规定。</w:t>
      </w:r>
    </w:p>
    <w:p w14:paraId="7CED9058">
      <w:pPr>
        <w:pStyle w:val="187"/>
        <w:rPr>
          <w:color w:val="auto"/>
        </w:rPr>
      </w:pPr>
      <w:r>
        <w:rPr>
          <w:rFonts w:hint="eastAsia"/>
          <w:color w:val="auto"/>
        </w:rPr>
        <w:t>塔机在选型时应选择节能型产品，在动力系统、控制系统等方面采用先进节能技术。</w:t>
      </w:r>
    </w:p>
    <w:p w14:paraId="40C77994">
      <w:pPr>
        <w:pStyle w:val="187"/>
        <w:rPr>
          <w:color w:val="auto"/>
        </w:rPr>
      </w:pPr>
      <w:bookmarkStart w:id="76" w:name="_Hlk197683963"/>
      <w:r>
        <w:rPr>
          <w:rFonts w:hint="eastAsia"/>
          <w:color w:val="auto"/>
        </w:rPr>
        <w:t>在受台风影响地区使用的塔机，应根据当地气象资料或现场相关单位的要求确定塔机需满足的防台风等级。</w:t>
      </w:r>
      <w:bookmarkEnd w:id="76"/>
      <w:r>
        <w:rPr>
          <w:rFonts w:hint="eastAsia"/>
          <w:color w:val="auto"/>
        </w:rPr>
        <w:t>塔机基础设计及计算所需的基础载荷参数应由塔机制造单位根据台风等级提供。</w:t>
      </w:r>
    </w:p>
    <w:p w14:paraId="3F8FF51D">
      <w:pPr>
        <w:pStyle w:val="127"/>
        <w:spacing w:before="120" w:after="120"/>
        <w:rPr>
          <w:color w:val="auto"/>
        </w:rPr>
      </w:pPr>
      <w:bookmarkStart w:id="77" w:name="_Toc197422429"/>
      <w:r>
        <w:rPr>
          <w:rFonts w:hint="eastAsia"/>
          <w:color w:val="auto"/>
        </w:rPr>
        <w:t>安装选址与环境要求</w:t>
      </w:r>
      <w:bookmarkEnd w:id="77"/>
    </w:p>
    <w:p w14:paraId="10BB24EB">
      <w:pPr>
        <w:pStyle w:val="187"/>
        <w:rPr>
          <w:color w:val="auto"/>
        </w:rPr>
      </w:pPr>
      <w:r>
        <w:rPr>
          <w:rFonts w:hint="eastAsia"/>
          <w:color w:val="auto"/>
        </w:rPr>
        <w:t>塔机架设和运行时应避开周边障碍物且对周边不造成影响,包括附近建筑物、其他起重机、场内道路等。在塔机及其吊物不能避开这类障碍时，必要时应增加抗干扰、防碰撞保护措施。</w:t>
      </w:r>
    </w:p>
    <w:p w14:paraId="7683F481">
      <w:pPr>
        <w:pStyle w:val="187"/>
        <w:rPr>
          <w:color w:val="auto"/>
        </w:rPr>
      </w:pPr>
      <w:r>
        <w:rPr>
          <w:rFonts w:hAnsi="宋体" w:cs="宋体"/>
          <w:color w:val="auto"/>
          <w:szCs w:val="21"/>
        </w:rPr>
        <w:t>塔机安装位置的选择应</w:t>
      </w:r>
      <w:bookmarkStart w:id="78" w:name="_Hlk193377571"/>
      <w:r>
        <w:rPr>
          <w:rFonts w:hAnsi="宋体" w:cs="宋体"/>
          <w:color w:val="auto"/>
          <w:szCs w:val="21"/>
        </w:rPr>
        <w:t>考虑所有影响其安全操作的因素</w:t>
      </w:r>
      <w:r>
        <w:rPr>
          <w:rFonts w:hint="eastAsia" w:hAnsi="宋体" w:cs="宋体"/>
          <w:color w:val="auto"/>
          <w:szCs w:val="21"/>
        </w:rPr>
        <w:t>，至少应包括以下方面：</w:t>
      </w:r>
      <w:bookmarkEnd w:id="78"/>
    </w:p>
    <w:p w14:paraId="3F47EE5A">
      <w:pPr>
        <w:pStyle w:val="196"/>
        <w:numPr>
          <w:ilvl w:val="0"/>
          <w:numId w:val="33"/>
        </w:numPr>
        <w:spacing w:after="0"/>
        <w:rPr>
          <w:color w:val="auto"/>
        </w:rPr>
      </w:pPr>
      <w:bookmarkStart w:id="79" w:name="_Hlk193377623"/>
      <w:r>
        <w:rPr>
          <w:rFonts w:hint="eastAsia"/>
          <w:color w:val="auto"/>
        </w:rPr>
        <w:t>吊装覆盖范围满足要求，并能吊装覆盖范围内的设备和材料；</w:t>
      </w:r>
    </w:p>
    <w:p w14:paraId="458FC557">
      <w:pPr>
        <w:pStyle w:val="196"/>
        <w:numPr>
          <w:ilvl w:val="0"/>
          <w:numId w:val="33"/>
        </w:numPr>
        <w:spacing w:after="0"/>
        <w:rPr>
          <w:color w:val="auto"/>
        </w:rPr>
      </w:pPr>
      <w:r>
        <w:rPr>
          <w:rFonts w:hint="eastAsia"/>
          <w:color w:val="auto"/>
        </w:rPr>
        <w:t>承载基础和附着条件；</w:t>
      </w:r>
    </w:p>
    <w:p w14:paraId="379281DC">
      <w:pPr>
        <w:pStyle w:val="196"/>
        <w:numPr>
          <w:ilvl w:val="0"/>
          <w:numId w:val="33"/>
        </w:numPr>
        <w:spacing w:after="0"/>
        <w:rPr>
          <w:color w:val="auto"/>
        </w:rPr>
      </w:pPr>
      <w:r>
        <w:rPr>
          <w:rFonts w:hint="eastAsia"/>
          <w:color w:val="auto"/>
        </w:rPr>
        <w:t>现场和附近的其他危险因素；</w:t>
      </w:r>
    </w:p>
    <w:p w14:paraId="0A8C93F1">
      <w:pPr>
        <w:pStyle w:val="196"/>
        <w:numPr>
          <w:ilvl w:val="0"/>
          <w:numId w:val="33"/>
        </w:numPr>
        <w:spacing w:after="0"/>
        <w:rPr>
          <w:color w:val="auto"/>
        </w:rPr>
      </w:pPr>
      <w:r>
        <w:rPr>
          <w:rFonts w:hint="eastAsia"/>
          <w:color w:val="auto"/>
        </w:rPr>
        <w:t>在工作和非工作状态下风力的影响；</w:t>
      </w:r>
    </w:p>
    <w:p w14:paraId="4E142ECF">
      <w:pPr>
        <w:pStyle w:val="196"/>
        <w:numPr>
          <w:ilvl w:val="0"/>
          <w:numId w:val="33"/>
        </w:numPr>
        <w:spacing w:after="0"/>
        <w:rPr>
          <w:color w:val="auto"/>
        </w:rPr>
      </w:pPr>
      <w:r>
        <w:rPr>
          <w:rFonts w:hint="eastAsia"/>
          <w:color w:val="auto"/>
        </w:rPr>
        <w:t>安装拆卸空间、运输通道的影响；</w:t>
      </w:r>
      <w:r>
        <w:rPr>
          <w:color w:val="auto"/>
        </w:rPr>
        <w:t xml:space="preserve"> </w:t>
      </w:r>
    </w:p>
    <w:p w14:paraId="7754A61E">
      <w:pPr>
        <w:pStyle w:val="196"/>
        <w:numPr>
          <w:ilvl w:val="0"/>
          <w:numId w:val="33"/>
        </w:numPr>
        <w:spacing w:after="0"/>
        <w:rPr>
          <w:color w:val="auto"/>
        </w:rPr>
      </w:pPr>
      <w:r>
        <w:rPr>
          <w:rFonts w:hint="eastAsia"/>
          <w:color w:val="auto"/>
        </w:rPr>
        <w:t>安装和拆卸时辅助机械的站位要求、爬升时臂架锁定的方向；</w:t>
      </w:r>
      <w:r>
        <w:rPr>
          <w:color w:val="auto"/>
        </w:rPr>
        <w:t xml:space="preserve"> </w:t>
      </w:r>
    </w:p>
    <w:p w14:paraId="0575D4D3">
      <w:pPr>
        <w:pStyle w:val="196"/>
        <w:numPr>
          <w:ilvl w:val="0"/>
          <w:numId w:val="33"/>
        </w:numPr>
        <w:spacing w:after="0"/>
        <w:rPr>
          <w:color w:val="auto"/>
        </w:rPr>
      </w:pPr>
      <w:r>
        <w:rPr>
          <w:rFonts w:hint="eastAsia"/>
          <w:color w:val="auto"/>
        </w:rPr>
        <w:t>安装、使用和拆卸时可能倒塌覆盖的范围内不应设置有临时建筑</w:t>
      </w:r>
      <w:bookmarkEnd w:id="79"/>
      <w:r>
        <w:rPr>
          <w:rFonts w:hint="eastAsia"/>
          <w:color w:val="auto"/>
        </w:rPr>
        <w:t>；</w:t>
      </w:r>
      <w:r>
        <w:rPr>
          <w:color w:val="auto"/>
        </w:rPr>
        <w:t xml:space="preserve"> </w:t>
      </w:r>
    </w:p>
    <w:p w14:paraId="147242F3">
      <w:pPr>
        <w:pStyle w:val="196"/>
        <w:numPr>
          <w:ilvl w:val="0"/>
          <w:numId w:val="33"/>
        </w:numPr>
        <w:spacing w:after="0"/>
        <w:rPr>
          <w:color w:val="auto"/>
        </w:rPr>
      </w:pPr>
      <w:r>
        <w:rPr>
          <w:rFonts w:hint="eastAsia"/>
          <w:color w:val="auto"/>
        </w:rPr>
        <w:t>基础周边是否有深基坑、与周边其他起重机械间距及高度错层。</w:t>
      </w:r>
    </w:p>
    <w:p w14:paraId="7E7F22C4">
      <w:pPr>
        <w:pStyle w:val="187"/>
        <w:rPr>
          <w:rFonts w:hint="eastAsia" w:hAnsi="宋体" w:cs="宋体"/>
          <w:color w:val="auto"/>
          <w:szCs w:val="21"/>
        </w:rPr>
      </w:pPr>
      <w:r>
        <w:rPr>
          <w:rFonts w:hint="eastAsia" w:hAnsi="宋体" w:cs="宋体"/>
          <w:color w:val="auto"/>
          <w:szCs w:val="21"/>
        </w:rPr>
        <w:t>对于传统火力发电厂使用的塔机，应着重考虑以下因素：</w:t>
      </w:r>
    </w:p>
    <w:p w14:paraId="6E65A5C6">
      <w:pPr>
        <w:pStyle w:val="196"/>
        <w:numPr>
          <w:ilvl w:val="0"/>
          <w:numId w:val="34"/>
        </w:numPr>
        <w:spacing w:after="0"/>
        <w:rPr>
          <w:color w:val="auto"/>
        </w:rPr>
      </w:pPr>
      <w:r>
        <w:rPr>
          <w:rFonts w:hint="eastAsia"/>
          <w:color w:val="auto"/>
        </w:rPr>
        <w:t>锅炉区域使用塔机基础应避开受热面管排运输通道，避开疏水扩容器基础、渣仓基础。拆卸时塔机平衡臂与锅炉正式电梯井钢结构应保持安全距离。</w:t>
      </w:r>
    </w:p>
    <w:p w14:paraId="4C957E69">
      <w:pPr>
        <w:pStyle w:val="196"/>
        <w:numPr>
          <w:ilvl w:val="0"/>
          <w:numId w:val="34"/>
        </w:numPr>
        <w:spacing w:after="0"/>
        <w:rPr>
          <w:color w:val="auto"/>
        </w:rPr>
      </w:pPr>
      <w:r>
        <w:rPr>
          <w:rFonts w:hint="eastAsia"/>
          <w:color w:val="auto"/>
        </w:rPr>
        <w:t>塔机基础标高及锅炉钢结构立柱高度和节点的相对位置，根据使用说明书要求设置附着层数、附着标高及附着位置。</w:t>
      </w:r>
    </w:p>
    <w:p w14:paraId="1E1F6820">
      <w:pPr>
        <w:pStyle w:val="196"/>
        <w:numPr>
          <w:ilvl w:val="0"/>
          <w:numId w:val="34"/>
        </w:numPr>
        <w:spacing w:after="0"/>
        <w:rPr>
          <w:color w:val="auto"/>
        </w:rPr>
      </w:pPr>
      <w:r>
        <w:rPr>
          <w:rFonts w:hint="eastAsia"/>
          <w:color w:val="auto"/>
        </w:rPr>
        <w:t>主厂房区域使用塔机应避开变压器的进出线、厂内循环水管和电缆沟涵。同时应避免与锅炉钢架房发生干涉，在特殊防风条件下具备自由回转能力；塔机的附着装置应与主厂房结构同步设计同步施工。</w:t>
      </w:r>
    </w:p>
    <w:p w14:paraId="35EA4F45">
      <w:pPr>
        <w:pStyle w:val="196"/>
        <w:numPr>
          <w:ilvl w:val="0"/>
          <w:numId w:val="34"/>
        </w:numPr>
        <w:spacing w:after="0"/>
        <w:rPr>
          <w:color w:val="auto"/>
        </w:rPr>
      </w:pPr>
      <w:r>
        <w:rPr>
          <w:rFonts w:hint="eastAsia"/>
          <w:color w:val="auto"/>
        </w:rPr>
        <w:t>电除尘安装用塔机安装位置应避免塔机与烟囱、锅炉炉后脱硝设备、脱硫吸收塔等设备发生干涉。宜选用独立起升高度较高的塔机。</w:t>
      </w:r>
    </w:p>
    <w:p w14:paraId="78EFD404">
      <w:pPr>
        <w:pStyle w:val="187"/>
        <w:rPr>
          <w:color w:val="auto"/>
        </w:rPr>
      </w:pPr>
      <w:bookmarkStart w:id="80" w:name="_Hlk193377887"/>
      <w:r>
        <w:rPr>
          <w:rFonts w:hint="eastAsia"/>
          <w:color w:val="auto"/>
        </w:rPr>
        <w:t>塔机基础下方或周边区域如存在地下设施等影响因素应采取措施使避开，否则，应采取安全保护措施。</w:t>
      </w:r>
      <w:bookmarkEnd w:id="80"/>
    </w:p>
    <w:p w14:paraId="23A5A85F">
      <w:pPr>
        <w:pStyle w:val="187"/>
        <w:rPr>
          <w:color w:val="auto"/>
        </w:rPr>
      </w:pPr>
      <w:r>
        <w:rPr>
          <w:rFonts w:hint="eastAsia"/>
          <w:color w:val="auto"/>
        </w:rPr>
        <w:t>塔机的尾部与周围建筑物及其外围施工设施之间的安全距离不小于0.6m。</w:t>
      </w:r>
    </w:p>
    <w:p w14:paraId="2539155C">
      <w:pPr>
        <w:pStyle w:val="78"/>
        <w:spacing w:after="0"/>
        <w:ind w:firstLine="420"/>
        <w:rPr>
          <w:color w:val="auto"/>
        </w:rPr>
      </w:pPr>
      <w:r>
        <w:rPr>
          <w:rFonts w:hint="eastAsia"/>
          <w:color w:val="auto"/>
        </w:rPr>
        <w:t>如果塔机周围的建筑物、施工设施等不低于塔机的起重臂或平衡臂，则其与塔机起重臂或平衡臂最外端之间的水平距离不应小于2m；</w:t>
      </w:r>
    </w:p>
    <w:p w14:paraId="19F543E4">
      <w:pPr>
        <w:pStyle w:val="78"/>
        <w:spacing w:after="0"/>
        <w:ind w:firstLine="420"/>
        <w:rPr>
          <w:color w:val="auto"/>
        </w:rPr>
      </w:pPr>
      <w:r>
        <w:rPr>
          <w:rFonts w:hint="eastAsia"/>
          <w:color w:val="auto"/>
        </w:rPr>
        <w:t>如果塔机周围的建筑物、施工设施等低于塔机起重臂和平衡臂且在其回转半径覆盖的范围内，则塔机升至最高点的吊钩和平衡重的最低部位与这些建筑物和施工设施最高部位之间的垂直距离不应小于2m。</w:t>
      </w:r>
    </w:p>
    <w:p w14:paraId="713A30A8">
      <w:pPr>
        <w:pStyle w:val="187"/>
        <w:rPr>
          <w:color w:val="auto"/>
        </w:rPr>
      </w:pPr>
      <w:r>
        <w:rPr>
          <w:rFonts w:hint="eastAsia"/>
          <w:color w:val="auto"/>
        </w:rPr>
        <w:t>当群塔作业时，起重臂回转半径作业区域重叠的塔机之间应符合下列要求：</w:t>
      </w:r>
    </w:p>
    <w:p w14:paraId="60698B06">
      <w:pPr>
        <w:pStyle w:val="196"/>
        <w:numPr>
          <w:ilvl w:val="0"/>
          <w:numId w:val="35"/>
        </w:numPr>
        <w:spacing w:after="0"/>
        <w:rPr>
          <w:color w:val="auto"/>
        </w:rPr>
      </w:pPr>
      <w:r>
        <w:rPr>
          <w:rFonts w:hint="eastAsia"/>
          <w:color w:val="auto"/>
        </w:rPr>
        <w:t>处于低位塔机的起重臂端部与另一台塔机的塔身（包括爬升架等部件）之间至少有2m 的距离;</w:t>
      </w:r>
    </w:p>
    <w:p w14:paraId="4C0757E5">
      <w:pPr>
        <w:pStyle w:val="196"/>
        <w:numPr>
          <w:ilvl w:val="0"/>
          <w:numId w:val="35"/>
        </w:numPr>
        <w:spacing w:after="0"/>
        <w:rPr>
          <w:color w:val="auto"/>
        </w:rPr>
      </w:pPr>
      <w:r>
        <w:rPr>
          <w:rFonts w:hint="eastAsia"/>
          <w:color w:val="auto"/>
        </w:rPr>
        <w:t xml:space="preserve">处于高位的塔机的最低位置的部件(吊钩升至最高点或平衡重的最低部位)与低位塔机中处于最高位置部件之间的垂直距离不得小于2 m。 </w:t>
      </w:r>
    </w:p>
    <w:p w14:paraId="50C3C98D">
      <w:pPr>
        <w:pStyle w:val="187"/>
        <w:rPr>
          <w:color w:val="auto"/>
        </w:rPr>
      </w:pPr>
      <w:r>
        <w:rPr>
          <w:rFonts w:hint="eastAsia"/>
          <w:color w:val="auto"/>
        </w:rPr>
        <w:t>有架空输电线的环境时,塔机的任何部位与输电线的安全距离,应符合表1的规定。如因条件限制不能保证表1中的安全距离,应与有关部门协商,并采取安全防护措施后方可安装。</w:t>
      </w:r>
    </w:p>
    <w:p w14:paraId="02180C81">
      <w:pPr>
        <w:pStyle w:val="134"/>
        <w:spacing w:before="120" w:after="120"/>
        <w:rPr>
          <w:color w:val="auto"/>
        </w:rPr>
      </w:pPr>
      <w:r>
        <w:rPr>
          <w:rFonts w:hint="eastAsia"/>
          <w:color w:val="auto"/>
        </w:rPr>
        <w:t>塔机与输电线的最小安全距离</w:t>
      </w:r>
    </w:p>
    <w:tbl>
      <w:tblPr>
        <w:tblStyle w:val="298"/>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2"/>
        <w:gridCol w:w="783"/>
        <w:gridCol w:w="726"/>
        <w:gridCol w:w="888"/>
        <w:gridCol w:w="737"/>
        <w:gridCol w:w="645"/>
        <w:gridCol w:w="715"/>
        <w:gridCol w:w="703"/>
        <w:gridCol w:w="715"/>
        <w:gridCol w:w="726"/>
      </w:tblGrid>
      <w:tr w14:paraId="464D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882" w:type="dxa"/>
            <w:vAlign w:val="center"/>
          </w:tcPr>
          <w:p w14:paraId="6FA46203">
            <w:pPr>
              <w:pStyle w:val="270"/>
              <w:spacing w:after="0"/>
              <w:jc w:val="center"/>
              <w:rPr>
                <w:rFonts w:hint="eastAsia"/>
                <w:color w:val="auto"/>
              </w:rPr>
            </w:pPr>
            <w:r>
              <w:rPr>
                <w:rFonts w:hint="eastAsia"/>
                <w:color w:val="auto"/>
              </w:rPr>
              <w:t>输电线路电压</w:t>
            </w:r>
          </w:p>
          <w:p w14:paraId="1051134B">
            <w:pPr>
              <w:pStyle w:val="270"/>
              <w:spacing w:after="0"/>
              <w:jc w:val="center"/>
              <w:rPr>
                <w:rFonts w:hint="eastAsia"/>
                <w:color w:val="auto"/>
              </w:rPr>
            </w:pPr>
            <w:r>
              <w:rPr>
                <w:rFonts w:hint="eastAsia"/>
                <w:color w:val="auto"/>
              </w:rPr>
              <w:t>kV</w:t>
            </w:r>
          </w:p>
        </w:tc>
        <w:tc>
          <w:tcPr>
            <w:tcW w:w="783" w:type="dxa"/>
            <w:vAlign w:val="center"/>
          </w:tcPr>
          <w:p w14:paraId="115DD494">
            <w:pPr>
              <w:pStyle w:val="270"/>
              <w:spacing w:after="0"/>
              <w:jc w:val="center"/>
              <w:rPr>
                <w:rFonts w:hint="eastAsia"/>
                <w:color w:val="auto"/>
              </w:rPr>
            </w:pPr>
            <w:r>
              <w:rPr>
                <w:rFonts w:hint="eastAsia"/>
                <w:color w:val="auto"/>
              </w:rPr>
              <w:t>＜1</w:t>
            </w:r>
          </w:p>
        </w:tc>
        <w:tc>
          <w:tcPr>
            <w:tcW w:w="726" w:type="dxa"/>
            <w:vAlign w:val="center"/>
          </w:tcPr>
          <w:p w14:paraId="57B0EB4F">
            <w:pPr>
              <w:pStyle w:val="270"/>
              <w:spacing w:after="0"/>
              <w:jc w:val="center"/>
              <w:rPr>
                <w:rFonts w:hint="eastAsia"/>
                <w:color w:val="auto"/>
              </w:rPr>
            </w:pPr>
            <w:r>
              <w:rPr>
                <w:rFonts w:hint="eastAsia"/>
                <w:color w:val="auto"/>
              </w:rPr>
              <w:t>1～20</w:t>
            </w:r>
          </w:p>
        </w:tc>
        <w:tc>
          <w:tcPr>
            <w:tcW w:w="888" w:type="dxa"/>
            <w:vAlign w:val="center"/>
          </w:tcPr>
          <w:p w14:paraId="394022B8">
            <w:pPr>
              <w:pStyle w:val="270"/>
              <w:spacing w:after="0"/>
              <w:jc w:val="center"/>
              <w:rPr>
                <w:rFonts w:hint="eastAsia"/>
                <w:color w:val="auto"/>
              </w:rPr>
            </w:pPr>
            <w:r>
              <w:rPr>
                <w:rFonts w:hint="eastAsia"/>
                <w:color w:val="auto"/>
              </w:rPr>
              <w:t>35～110</w:t>
            </w:r>
          </w:p>
        </w:tc>
        <w:tc>
          <w:tcPr>
            <w:tcW w:w="737" w:type="dxa"/>
            <w:vAlign w:val="center"/>
          </w:tcPr>
          <w:p w14:paraId="6C80D1B2">
            <w:pPr>
              <w:pStyle w:val="270"/>
              <w:spacing w:after="0"/>
              <w:jc w:val="center"/>
              <w:rPr>
                <w:rFonts w:hint="eastAsia"/>
                <w:color w:val="auto"/>
              </w:rPr>
            </w:pPr>
            <w:r>
              <w:rPr>
                <w:rFonts w:hint="eastAsia"/>
                <w:color w:val="auto"/>
              </w:rPr>
              <w:t>154</w:t>
            </w:r>
          </w:p>
        </w:tc>
        <w:tc>
          <w:tcPr>
            <w:tcW w:w="645" w:type="dxa"/>
            <w:vAlign w:val="center"/>
          </w:tcPr>
          <w:p w14:paraId="24F9863D">
            <w:pPr>
              <w:pStyle w:val="270"/>
              <w:spacing w:after="0"/>
              <w:jc w:val="center"/>
              <w:rPr>
                <w:rFonts w:hint="eastAsia"/>
                <w:color w:val="auto"/>
              </w:rPr>
            </w:pPr>
            <w:r>
              <w:rPr>
                <w:rFonts w:hint="eastAsia"/>
                <w:color w:val="auto"/>
              </w:rPr>
              <w:t>220</w:t>
            </w:r>
          </w:p>
        </w:tc>
        <w:tc>
          <w:tcPr>
            <w:tcW w:w="715" w:type="dxa"/>
            <w:vAlign w:val="center"/>
          </w:tcPr>
          <w:p w14:paraId="139F8D48">
            <w:pPr>
              <w:pStyle w:val="270"/>
              <w:spacing w:after="0"/>
              <w:jc w:val="center"/>
              <w:rPr>
                <w:rFonts w:hint="eastAsia"/>
                <w:color w:val="auto"/>
              </w:rPr>
            </w:pPr>
            <w:r>
              <w:rPr>
                <w:rFonts w:hint="eastAsia"/>
                <w:color w:val="auto"/>
              </w:rPr>
              <w:t>330</w:t>
            </w:r>
          </w:p>
        </w:tc>
        <w:tc>
          <w:tcPr>
            <w:tcW w:w="703" w:type="dxa"/>
            <w:vAlign w:val="center"/>
          </w:tcPr>
          <w:p w14:paraId="6AFBC2B1">
            <w:pPr>
              <w:pStyle w:val="270"/>
              <w:spacing w:after="0"/>
              <w:jc w:val="center"/>
              <w:rPr>
                <w:rFonts w:hint="eastAsia"/>
                <w:color w:val="auto"/>
              </w:rPr>
            </w:pPr>
            <w:r>
              <w:rPr>
                <w:rFonts w:hint="eastAsia"/>
                <w:color w:val="auto"/>
              </w:rPr>
              <w:t>500</w:t>
            </w:r>
          </w:p>
        </w:tc>
        <w:tc>
          <w:tcPr>
            <w:tcW w:w="715" w:type="dxa"/>
            <w:vAlign w:val="center"/>
          </w:tcPr>
          <w:p w14:paraId="576901B3">
            <w:pPr>
              <w:pStyle w:val="270"/>
              <w:spacing w:after="0"/>
              <w:jc w:val="center"/>
              <w:rPr>
                <w:rFonts w:hint="eastAsia"/>
                <w:color w:val="auto"/>
              </w:rPr>
            </w:pPr>
            <w:r>
              <w:rPr>
                <w:rFonts w:hint="eastAsia"/>
                <w:color w:val="auto"/>
              </w:rPr>
              <w:t>750</w:t>
            </w:r>
          </w:p>
        </w:tc>
        <w:tc>
          <w:tcPr>
            <w:tcW w:w="726" w:type="dxa"/>
            <w:vAlign w:val="center"/>
          </w:tcPr>
          <w:p w14:paraId="7273248A">
            <w:pPr>
              <w:pStyle w:val="270"/>
              <w:spacing w:after="0"/>
              <w:jc w:val="center"/>
              <w:rPr>
                <w:rFonts w:hint="eastAsia"/>
                <w:color w:val="auto"/>
              </w:rPr>
            </w:pPr>
            <w:r>
              <w:rPr>
                <w:rFonts w:hint="eastAsia"/>
                <w:color w:val="auto"/>
              </w:rPr>
              <w:t>1000</w:t>
            </w:r>
          </w:p>
        </w:tc>
      </w:tr>
      <w:tr w14:paraId="0D1A3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882" w:type="dxa"/>
            <w:vAlign w:val="center"/>
          </w:tcPr>
          <w:p w14:paraId="2CFD7368">
            <w:pPr>
              <w:pStyle w:val="270"/>
              <w:spacing w:after="0"/>
              <w:jc w:val="center"/>
              <w:rPr>
                <w:rFonts w:hint="eastAsia"/>
                <w:color w:val="auto"/>
              </w:rPr>
            </w:pPr>
            <w:r>
              <w:rPr>
                <w:rFonts w:hint="eastAsia"/>
                <w:color w:val="auto"/>
              </w:rPr>
              <w:t>最小安全距离</w:t>
            </w:r>
          </w:p>
          <w:p w14:paraId="124124DE">
            <w:pPr>
              <w:pStyle w:val="270"/>
              <w:spacing w:after="0"/>
              <w:jc w:val="center"/>
              <w:rPr>
                <w:rFonts w:hint="eastAsia"/>
                <w:color w:val="auto"/>
              </w:rPr>
            </w:pPr>
            <w:r>
              <w:rPr>
                <w:rFonts w:hint="eastAsia"/>
                <w:color w:val="auto"/>
              </w:rPr>
              <w:t>m</w:t>
            </w:r>
          </w:p>
        </w:tc>
        <w:tc>
          <w:tcPr>
            <w:tcW w:w="783" w:type="dxa"/>
            <w:vAlign w:val="center"/>
          </w:tcPr>
          <w:p w14:paraId="68300215">
            <w:pPr>
              <w:pStyle w:val="270"/>
              <w:spacing w:after="0"/>
              <w:jc w:val="center"/>
              <w:rPr>
                <w:rFonts w:hint="eastAsia"/>
                <w:color w:val="auto"/>
              </w:rPr>
            </w:pPr>
            <w:r>
              <w:rPr>
                <w:rFonts w:hint="eastAsia"/>
                <w:color w:val="auto"/>
              </w:rPr>
              <w:t>1.50</w:t>
            </w:r>
          </w:p>
        </w:tc>
        <w:tc>
          <w:tcPr>
            <w:tcW w:w="726" w:type="dxa"/>
            <w:vAlign w:val="center"/>
          </w:tcPr>
          <w:p w14:paraId="14CCCAA1">
            <w:pPr>
              <w:pStyle w:val="270"/>
              <w:spacing w:after="0"/>
              <w:jc w:val="center"/>
              <w:rPr>
                <w:rFonts w:hint="eastAsia"/>
                <w:color w:val="auto"/>
              </w:rPr>
            </w:pPr>
            <w:r>
              <w:rPr>
                <w:rFonts w:hint="eastAsia"/>
                <w:color w:val="auto"/>
              </w:rPr>
              <w:t>2.00</w:t>
            </w:r>
          </w:p>
        </w:tc>
        <w:tc>
          <w:tcPr>
            <w:tcW w:w="888" w:type="dxa"/>
            <w:vAlign w:val="center"/>
          </w:tcPr>
          <w:p w14:paraId="0F8644A7">
            <w:pPr>
              <w:pStyle w:val="270"/>
              <w:spacing w:after="0"/>
              <w:jc w:val="center"/>
              <w:rPr>
                <w:rFonts w:hint="eastAsia"/>
                <w:color w:val="auto"/>
              </w:rPr>
            </w:pPr>
            <w:r>
              <w:rPr>
                <w:rFonts w:hint="eastAsia"/>
                <w:color w:val="auto"/>
              </w:rPr>
              <w:t>4.00</w:t>
            </w:r>
          </w:p>
        </w:tc>
        <w:tc>
          <w:tcPr>
            <w:tcW w:w="737" w:type="dxa"/>
            <w:vAlign w:val="center"/>
          </w:tcPr>
          <w:p w14:paraId="2D047D0E">
            <w:pPr>
              <w:pStyle w:val="270"/>
              <w:spacing w:after="0"/>
              <w:jc w:val="center"/>
              <w:rPr>
                <w:rFonts w:hint="eastAsia"/>
                <w:color w:val="auto"/>
              </w:rPr>
            </w:pPr>
            <w:r>
              <w:rPr>
                <w:rFonts w:hint="eastAsia"/>
                <w:color w:val="auto"/>
              </w:rPr>
              <w:t>5.00</w:t>
            </w:r>
          </w:p>
        </w:tc>
        <w:tc>
          <w:tcPr>
            <w:tcW w:w="645" w:type="dxa"/>
            <w:vAlign w:val="center"/>
          </w:tcPr>
          <w:p w14:paraId="203E5961">
            <w:pPr>
              <w:pStyle w:val="270"/>
              <w:spacing w:after="0"/>
              <w:jc w:val="center"/>
              <w:rPr>
                <w:rFonts w:hint="eastAsia"/>
                <w:color w:val="auto"/>
              </w:rPr>
            </w:pPr>
            <w:r>
              <w:rPr>
                <w:rFonts w:hint="eastAsia"/>
                <w:color w:val="auto"/>
              </w:rPr>
              <w:t>6.00</w:t>
            </w:r>
          </w:p>
        </w:tc>
        <w:tc>
          <w:tcPr>
            <w:tcW w:w="715" w:type="dxa"/>
            <w:vAlign w:val="center"/>
          </w:tcPr>
          <w:p w14:paraId="12F7A92B">
            <w:pPr>
              <w:pStyle w:val="270"/>
              <w:spacing w:after="0"/>
              <w:jc w:val="center"/>
              <w:rPr>
                <w:rFonts w:hint="eastAsia"/>
                <w:color w:val="auto"/>
              </w:rPr>
            </w:pPr>
            <w:r>
              <w:rPr>
                <w:rFonts w:hint="eastAsia"/>
                <w:color w:val="auto"/>
              </w:rPr>
              <w:t>7.00</w:t>
            </w:r>
          </w:p>
        </w:tc>
        <w:tc>
          <w:tcPr>
            <w:tcW w:w="703" w:type="dxa"/>
            <w:vAlign w:val="center"/>
          </w:tcPr>
          <w:p w14:paraId="4221A2AC">
            <w:pPr>
              <w:pStyle w:val="270"/>
              <w:spacing w:after="0"/>
              <w:jc w:val="center"/>
              <w:rPr>
                <w:rFonts w:hint="eastAsia"/>
                <w:color w:val="auto"/>
              </w:rPr>
            </w:pPr>
            <w:r>
              <w:rPr>
                <w:rFonts w:hint="eastAsia"/>
                <w:color w:val="auto"/>
              </w:rPr>
              <w:t>8.00</w:t>
            </w:r>
          </w:p>
        </w:tc>
        <w:tc>
          <w:tcPr>
            <w:tcW w:w="715" w:type="dxa"/>
            <w:vAlign w:val="center"/>
          </w:tcPr>
          <w:p w14:paraId="1F6A8856">
            <w:pPr>
              <w:pStyle w:val="270"/>
              <w:spacing w:after="0"/>
              <w:jc w:val="center"/>
              <w:rPr>
                <w:rFonts w:hint="eastAsia"/>
                <w:color w:val="auto"/>
              </w:rPr>
            </w:pPr>
            <w:r>
              <w:rPr>
                <w:rFonts w:hint="eastAsia"/>
                <w:color w:val="auto"/>
              </w:rPr>
              <w:t>11.00</w:t>
            </w:r>
          </w:p>
        </w:tc>
        <w:tc>
          <w:tcPr>
            <w:tcW w:w="726" w:type="dxa"/>
            <w:vAlign w:val="center"/>
          </w:tcPr>
          <w:p w14:paraId="54FD1BA4">
            <w:pPr>
              <w:pStyle w:val="270"/>
              <w:spacing w:after="0"/>
              <w:jc w:val="center"/>
              <w:rPr>
                <w:rFonts w:hint="eastAsia"/>
                <w:color w:val="auto"/>
              </w:rPr>
            </w:pPr>
            <w:r>
              <w:rPr>
                <w:rFonts w:hint="eastAsia"/>
                <w:color w:val="auto"/>
              </w:rPr>
              <w:t>13.00</w:t>
            </w:r>
          </w:p>
        </w:tc>
      </w:tr>
      <w:tr w14:paraId="30D6E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8520" w:type="dxa"/>
            <w:gridSpan w:val="10"/>
            <w:vAlign w:val="center"/>
          </w:tcPr>
          <w:p w14:paraId="41FA0D24">
            <w:pPr>
              <w:adjustRightInd/>
              <w:spacing w:after="165" w:line="240" w:lineRule="exact"/>
              <w:ind w:left="420" w:leftChars="200" w:firstLine="18" w:firstLineChars="10"/>
              <w:jc w:val="left"/>
              <w:rPr>
                <w:rFonts w:hint="eastAsia" w:hAnsi="宋体" w:cs="宋体"/>
                <w:color w:val="auto"/>
                <w:sz w:val="18"/>
                <w:szCs w:val="18"/>
              </w:rPr>
            </w:pPr>
            <w:r>
              <w:rPr>
                <w:rFonts w:hint="eastAsia" w:ascii="宋体" w:hAnsi="宋体" w:cs="宋体"/>
                <w:b/>
                <w:bCs/>
                <w:color w:val="auto"/>
                <w:sz w:val="18"/>
                <w:szCs w:val="18"/>
              </w:rPr>
              <w:t xml:space="preserve">注1: </w:t>
            </w:r>
            <w:r>
              <w:rPr>
                <w:rFonts w:hint="eastAsia" w:ascii="宋体" w:hAnsi="宋体" w:cs="宋体"/>
                <w:color w:val="auto"/>
                <w:sz w:val="18"/>
                <w:szCs w:val="18"/>
              </w:rPr>
              <w:t>750kV电压等级的数据是按海拔2000m校正的，其他电压等级数据是按照海拔1000m校正的。</w:t>
            </w:r>
            <w:r>
              <w:rPr>
                <w:rFonts w:hint="eastAsia" w:ascii="宋体" w:hAnsi="宋体" w:cs="宋体"/>
                <w:b/>
                <w:bCs/>
                <w:color w:val="auto"/>
                <w:sz w:val="18"/>
                <w:szCs w:val="18"/>
              </w:rPr>
              <w:t>注2：</w:t>
            </w:r>
            <w:r>
              <w:rPr>
                <w:rFonts w:hint="eastAsia" w:ascii="宋体" w:hAnsi="宋体" w:cs="宋体"/>
                <w:color w:val="auto"/>
                <w:sz w:val="18"/>
                <w:szCs w:val="18"/>
              </w:rPr>
              <w:t>表中未列电压等级按高一档电压等级的安全距离执行。</w:t>
            </w:r>
          </w:p>
        </w:tc>
      </w:tr>
    </w:tbl>
    <w:p w14:paraId="3EE10759">
      <w:pPr>
        <w:pStyle w:val="78"/>
        <w:ind w:firstLine="0" w:firstLineChars="0"/>
        <w:rPr>
          <w:rFonts w:hint="eastAsia"/>
          <w:color w:val="auto"/>
        </w:rPr>
      </w:pPr>
    </w:p>
    <w:p w14:paraId="59E3C73C">
      <w:pPr>
        <w:pStyle w:val="78"/>
        <w:ind w:firstLine="420"/>
        <w:rPr>
          <w:color w:val="auto"/>
        </w:rPr>
      </w:pPr>
      <w:r>
        <w:rPr>
          <w:rFonts w:hint="eastAsia"/>
          <w:color w:val="auto"/>
        </w:rPr>
        <w:t>当塔机进入到架空电线和电缆的预定距离之内时,安装在塔机上的防触电安全装置可发出有效的警报。但不能因为配有这种装置而忽视塔机的安全工作制度。</w:t>
      </w:r>
    </w:p>
    <w:p w14:paraId="125F23D6">
      <w:pPr>
        <w:pStyle w:val="187"/>
        <w:rPr>
          <w:color w:val="auto"/>
        </w:rPr>
      </w:pPr>
      <w:r>
        <w:rPr>
          <w:rFonts w:hint="eastAsia"/>
          <w:color w:val="auto"/>
        </w:rPr>
        <w:t>塔机在航空站/飞机场和航线附近安装使用时,应向相关部门通报并获得许可。</w:t>
      </w:r>
    </w:p>
    <w:p w14:paraId="66EE96D1">
      <w:pPr>
        <w:pStyle w:val="187"/>
        <w:rPr>
          <w:color w:val="auto"/>
        </w:rPr>
      </w:pPr>
      <w:r>
        <w:rPr>
          <w:rFonts w:hint="eastAsia"/>
          <w:color w:val="auto"/>
        </w:rPr>
        <w:t>塔机在强磁场区域(如电视发射台、发射塔、雷达站附近等)安装使用时,应采取保护措施以防止塔机运行切割磁力线发电而对人员造成伤害,并应确认磁场不会对塔机控制系统造成影响。</w:t>
      </w:r>
    </w:p>
    <w:p w14:paraId="6A1CB41A">
      <w:pPr>
        <w:pStyle w:val="127"/>
        <w:spacing w:before="120" w:after="120"/>
        <w:rPr>
          <w:color w:val="auto"/>
        </w:rPr>
      </w:pPr>
      <w:bookmarkStart w:id="81" w:name="_Toc197422430"/>
      <w:r>
        <w:rPr>
          <w:rFonts w:hint="eastAsia"/>
          <w:color w:val="auto"/>
        </w:rPr>
        <w:t>基础要求</w:t>
      </w:r>
      <w:bookmarkEnd w:id="81"/>
      <w:r>
        <w:rPr>
          <w:rFonts w:hint="eastAsia"/>
          <w:color w:val="auto"/>
        </w:rPr>
        <w:t xml:space="preserve">  </w:t>
      </w:r>
    </w:p>
    <w:p w14:paraId="6A364407">
      <w:pPr>
        <w:pStyle w:val="87"/>
        <w:spacing w:before="120" w:after="120"/>
        <w:rPr>
          <w:color w:val="auto"/>
        </w:rPr>
      </w:pPr>
      <w:r>
        <w:rPr>
          <w:rFonts w:hint="eastAsia"/>
          <w:color w:val="auto"/>
        </w:rPr>
        <w:t>一般要求</w:t>
      </w:r>
    </w:p>
    <w:p w14:paraId="3EDCA0AD">
      <w:pPr>
        <w:pStyle w:val="186"/>
        <w:rPr>
          <w:color w:val="auto"/>
        </w:rPr>
      </w:pPr>
      <w:r>
        <w:rPr>
          <w:rFonts w:hint="eastAsia"/>
          <w:color w:val="auto"/>
        </w:rPr>
        <w:t>塔机的基础形式应根据工程地质情况、现场条件、塔机说明书要求等确定。地基承载力达不到说明书要求时，应另行设计基础或采取其他措施（如换填夯实、打桩等），并符合相关规定。</w:t>
      </w:r>
    </w:p>
    <w:p w14:paraId="310CE869">
      <w:pPr>
        <w:pStyle w:val="186"/>
        <w:rPr>
          <w:color w:val="auto"/>
        </w:rPr>
      </w:pPr>
      <w:r>
        <w:rPr>
          <w:rFonts w:hint="eastAsia"/>
          <w:color w:val="auto"/>
        </w:rPr>
        <w:t>塔机基础的设计及计算应满足GB 50007、JGJ/T 187和JGJ 94等标准中的相关规定。</w:t>
      </w:r>
    </w:p>
    <w:p w14:paraId="573CDCA2">
      <w:pPr>
        <w:pStyle w:val="186"/>
        <w:rPr>
          <w:color w:val="auto"/>
        </w:rPr>
      </w:pPr>
      <w:r>
        <w:rPr>
          <w:rFonts w:hint="eastAsia"/>
          <w:color w:val="auto"/>
        </w:rPr>
        <w:t>塔机基础与建筑基础存在干涉需设计异形基础时，应由具备相关资质的设计单位进行设计和计算。</w:t>
      </w:r>
    </w:p>
    <w:p w14:paraId="54E9208C">
      <w:pPr>
        <w:pStyle w:val="186"/>
        <w:rPr>
          <w:color w:val="auto"/>
        </w:rPr>
      </w:pPr>
      <w:r>
        <w:rPr>
          <w:rFonts w:hint="eastAsia"/>
          <w:color w:val="auto"/>
        </w:rPr>
        <w:t>塔机基础上表面宜略高或与地面平齐，若低于地面应布置集水坑，及时排水。</w:t>
      </w:r>
    </w:p>
    <w:p w14:paraId="0E9271B4">
      <w:pPr>
        <w:pStyle w:val="186"/>
        <w:rPr>
          <w:color w:val="auto"/>
        </w:rPr>
      </w:pPr>
      <w:r>
        <w:rPr>
          <w:rFonts w:hint="eastAsia"/>
          <w:color w:val="auto"/>
        </w:rPr>
        <w:t>当基础底标高接近稳定边坡坡底或基坑底部并符合下列要求之一时，可不进行地基稳定性验算，否则应根据GB 50007和GB 50330进行边坡稳定性分析。</w:t>
      </w:r>
    </w:p>
    <w:p w14:paraId="2320CDE0">
      <w:pPr>
        <w:pStyle w:val="196"/>
        <w:numPr>
          <w:ilvl w:val="0"/>
          <w:numId w:val="36"/>
        </w:numPr>
        <w:spacing w:after="0"/>
        <w:rPr>
          <w:color w:val="auto"/>
        </w:rPr>
      </w:pPr>
      <w:r>
        <w:rPr>
          <w:rFonts w:hint="eastAsia"/>
          <w:color w:val="auto"/>
        </w:rPr>
        <w:t>基础地面外边缘线至坡顶的水平距离不小于2.0m，基础地面至坡（坑）底竖向距离不大于1.0m，基底地基承载力特征值不小于130kPa，且其下无软弱下卧层。</w:t>
      </w:r>
    </w:p>
    <w:p w14:paraId="3C86C8CA">
      <w:pPr>
        <w:pStyle w:val="196"/>
        <w:numPr>
          <w:ilvl w:val="0"/>
          <w:numId w:val="36"/>
        </w:numPr>
        <w:spacing w:after="0"/>
        <w:rPr>
          <w:color w:val="auto"/>
        </w:rPr>
      </w:pPr>
      <w:r>
        <w:rPr>
          <w:rFonts w:hint="eastAsia"/>
          <w:color w:val="auto"/>
        </w:rPr>
        <w:t>采用桩基础。</w:t>
      </w:r>
    </w:p>
    <w:p w14:paraId="19D1D2FD">
      <w:pPr>
        <w:pStyle w:val="186"/>
        <w:widowControl w:val="0"/>
        <w:topLinePunct/>
        <w:jc w:val="left"/>
        <w:rPr>
          <w:color w:val="auto"/>
        </w:rPr>
      </w:pPr>
      <w:r>
        <w:rPr>
          <w:rFonts w:hint="eastAsia"/>
          <w:color w:val="auto"/>
        </w:rPr>
        <w:t>塔机基础应设置接地装置，接地电阻应不大于4Ω。采用多处接地时，接地电阻应不大于10Ω。</w:t>
      </w:r>
    </w:p>
    <w:p w14:paraId="2197F314">
      <w:pPr>
        <w:pStyle w:val="186"/>
        <w:rPr>
          <w:color w:val="auto"/>
        </w:rPr>
      </w:pPr>
      <w:r>
        <w:rPr>
          <w:rFonts w:hint="eastAsia"/>
          <w:color w:val="auto"/>
        </w:rPr>
        <w:t>塔机安装完成后，应在基础顶面设置防护装置和安全通道。</w:t>
      </w:r>
    </w:p>
    <w:p w14:paraId="5D54FE76">
      <w:pPr>
        <w:pStyle w:val="87"/>
        <w:spacing w:before="120" w:after="120"/>
        <w:rPr>
          <w:color w:val="auto"/>
        </w:rPr>
      </w:pPr>
      <w:r>
        <w:rPr>
          <w:rFonts w:hint="eastAsia"/>
          <w:color w:val="auto"/>
        </w:rPr>
        <w:t>固定基础</w:t>
      </w:r>
    </w:p>
    <w:p w14:paraId="20B2D78D">
      <w:pPr>
        <w:pStyle w:val="186"/>
        <w:rPr>
          <w:color w:val="auto"/>
        </w:rPr>
      </w:pPr>
      <w:r>
        <w:rPr>
          <w:rFonts w:hint="eastAsia"/>
          <w:color w:val="auto"/>
        </w:rPr>
        <w:t>采用固定基础安装时，固定基础的尺寸应满足塔机工作状态和非工作状态稳定要求以及地基承载能力的要求。</w:t>
      </w:r>
    </w:p>
    <w:p w14:paraId="0803F82B">
      <w:pPr>
        <w:pStyle w:val="186"/>
        <w:rPr>
          <w:color w:val="auto"/>
        </w:rPr>
      </w:pPr>
      <w:r>
        <w:rPr>
          <w:rFonts w:hint="eastAsia"/>
          <w:color w:val="auto"/>
        </w:rPr>
        <w:t>基础预埋件（包括固定支腿、预埋节和地脚螺栓等）埋入深度应符合说明书或设计文件的要求。</w:t>
      </w:r>
    </w:p>
    <w:p w14:paraId="1B544917">
      <w:pPr>
        <w:pStyle w:val="186"/>
        <w:rPr>
          <w:color w:val="auto"/>
        </w:rPr>
      </w:pPr>
      <w:r>
        <w:rPr>
          <w:rFonts w:hint="eastAsia"/>
          <w:color w:val="auto"/>
        </w:rPr>
        <w:t>非整体的预埋件宜与定位框或标准节连接后进行安装，预埋件应稳固，预埋件水平度应符合说明书或规范要求。安装时不得剪断、减少预埋件周围钢筋。</w:t>
      </w:r>
    </w:p>
    <w:p w14:paraId="0B84A511">
      <w:pPr>
        <w:pStyle w:val="186"/>
        <w:rPr>
          <w:color w:val="auto"/>
        </w:rPr>
      </w:pPr>
      <w:r>
        <w:rPr>
          <w:rFonts w:hint="eastAsia"/>
          <w:color w:val="auto"/>
        </w:rPr>
        <w:t>基础钢筋绑扎及预埋件安装后，应按设计要求由使用单位、安装单位、监理单位等联合检查验收，并做好隐蔽工程验收记录，验收合格后方可浇筑混凝土，振捣混凝土过程中不得使预埋件发生偏斜或移位。</w:t>
      </w:r>
    </w:p>
    <w:p w14:paraId="7ABD2901">
      <w:pPr>
        <w:pStyle w:val="186"/>
        <w:rPr>
          <w:color w:val="auto"/>
        </w:rPr>
      </w:pPr>
      <w:r>
        <w:rPr>
          <w:rFonts w:hint="eastAsia"/>
          <w:color w:val="auto"/>
        </w:rPr>
        <w:t>基础混凝土浇筑完成后应复测预埋件水平度，如超出说明书、设计方案或规范的要求，应联系塔机制造单位制定解决方案。</w:t>
      </w:r>
    </w:p>
    <w:p w14:paraId="45DB1588">
      <w:pPr>
        <w:pStyle w:val="186"/>
        <w:rPr>
          <w:color w:val="auto"/>
        </w:rPr>
      </w:pPr>
      <w:r>
        <w:rPr>
          <w:rFonts w:hint="eastAsia"/>
          <w:color w:val="auto"/>
        </w:rPr>
        <w:t>塔机安装时基础混凝土强度应达到设计值的80%及以上，塔机运行时基础混凝土强度应达到设计值的100%。</w:t>
      </w:r>
    </w:p>
    <w:p w14:paraId="00D5DA27">
      <w:pPr>
        <w:pStyle w:val="186"/>
        <w:rPr>
          <w:color w:val="auto"/>
        </w:rPr>
      </w:pPr>
      <w:r>
        <w:rPr>
          <w:rFonts w:hint="eastAsia"/>
          <w:color w:val="auto"/>
        </w:rPr>
        <w:t>风电安装用塔机支腿垫块的基础区域需夯实处理，地耐力及每块区域水平度、相邻区域中心的高低差等应符合说明书要求。</w:t>
      </w:r>
    </w:p>
    <w:p w14:paraId="271EB22E">
      <w:pPr>
        <w:pStyle w:val="87"/>
        <w:spacing w:before="120" w:after="120"/>
        <w:rPr>
          <w:color w:val="auto"/>
        </w:rPr>
      </w:pPr>
      <w:r>
        <w:rPr>
          <w:rFonts w:hint="eastAsia"/>
          <w:color w:val="auto"/>
        </w:rPr>
        <w:t>轨道基础</w:t>
      </w:r>
    </w:p>
    <w:p w14:paraId="5FA66866">
      <w:pPr>
        <w:pStyle w:val="186"/>
        <w:rPr>
          <w:color w:val="auto"/>
        </w:rPr>
      </w:pPr>
      <w:r>
        <w:rPr>
          <w:rFonts w:hint="eastAsia"/>
          <w:color w:val="auto"/>
        </w:rPr>
        <w:t>轨道铺设可选择混凝土浇筑基础、碎石基础或钢构件基础，轨道选用和铺设应符合塔机使用说明书和GB 5144-2006中10.8的要求。</w:t>
      </w:r>
    </w:p>
    <w:p w14:paraId="0E0006A8">
      <w:pPr>
        <w:pStyle w:val="186"/>
        <w:rPr>
          <w:color w:val="auto"/>
        </w:rPr>
      </w:pPr>
      <w:r>
        <w:rPr>
          <w:rFonts w:hint="eastAsia"/>
          <w:color w:val="auto"/>
        </w:rPr>
        <w:t>当轨道铺设在地下建筑物(如暗沟、地下埋管等)的上面时，应采取加固措施。</w:t>
      </w:r>
    </w:p>
    <w:p w14:paraId="320C24E9">
      <w:pPr>
        <w:pStyle w:val="186"/>
        <w:rPr>
          <w:color w:val="auto"/>
        </w:rPr>
      </w:pPr>
      <w:r>
        <w:rPr>
          <w:rFonts w:hint="eastAsia"/>
          <w:color w:val="auto"/>
        </w:rPr>
        <w:t>碎石基础铺设前的路面应按设计要求压实，碎石基础应整平捣实，轨枕之间应填满碎石。</w:t>
      </w:r>
    </w:p>
    <w:p w14:paraId="16F0DC3C">
      <w:pPr>
        <w:pStyle w:val="186"/>
        <w:rPr>
          <w:color w:val="auto"/>
        </w:rPr>
      </w:pPr>
      <w:r>
        <w:rPr>
          <w:rFonts w:hint="eastAsia"/>
          <w:color w:val="auto"/>
        </w:rPr>
        <w:t>碎石基础的碎石粒径应为20</w:t>
      </w:r>
      <w:r>
        <w:rPr>
          <w:rFonts w:hint="eastAsia" w:hAnsi="宋体"/>
          <w:color w:val="auto"/>
        </w:rPr>
        <w:t>～</w:t>
      </w:r>
      <w:r>
        <w:rPr>
          <w:rFonts w:hint="eastAsia"/>
          <w:color w:val="auto"/>
        </w:rPr>
        <w:t>40mm，含土、沙量不大于20%，以保证对路基排水透气和摩擦力的要求。</w:t>
      </w:r>
    </w:p>
    <w:p w14:paraId="313D9841">
      <w:pPr>
        <w:pStyle w:val="186"/>
        <w:rPr>
          <w:color w:val="auto"/>
        </w:rPr>
      </w:pPr>
      <w:r>
        <w:rPr>
          <w:rFonts w:hint="eastAsia"/>
          <w:color w:val="auto"/>
        </w:rPr>
        <w:t>轨道之间的区域不应用于储存物料或作为往返、穿越工地的道路。</w:t>
      </w:r>
    </w:p>
    <w:p w14:paraId="2306C0C5">
      <w:pPr>
        <w:pStyle w:val="186"/>
        <w:rPr>
          <w:color w:val="auto"/>
        </w:rPr>
      </w:pPr>
      <w:r>
        <w:rPr>
          <w:rFonts w:hint="eastAsia"/>
          <w:color w:val="auto"/>
        </w:rPr>
        <w:t>在距轨道两端钢轨不小于2m处，应安装可靠的防止塔机出轨的止挡装置，止挡装置应符合以下要求：</w:t>
      </w:r>
    </w:p>
    <w:p w14:paraId="551E0029">
      <w:pPr>
        <w:pStyle w:val="196"/>
        <w:numPr>
          <w:ilvl w:val="0"/>
          <w:numId w:val="37"/>
        </w:numPr>
        <w:spacing w:after="0" w:line="240" w:lineRule="auto"/>
        <w:rPr>
          <w:color w:val="auto"/>
        </w:rPr>
      </w:pPr>
      <w:r>
        <w:rPr>
          <w:rFonts w:hint="eastAsia"/>
          <w:color w:val="auto"/>
        </w:rPr>
        <w:t>有足够的强度。</w:t>
      </w:r>
    </w:p>
    <w:p w14:paraId="7AF90061">
      <w:pPr>
        <w:pStyle w:val="196"/>
        <w:numPr>
          <w:ilvl w:val="0"/>
          <w:numId w:val="37"/>
        </w:numPr>
        <w:spacing w:after="0" w:line="240" w:lineRule="auto"/>
        <w:rPr>
          <w:color w:val="auto"/>
        </w:rPr>
      </w:pPr>
      <w:r>
        <w:rPr>
          <w:rFonts w:hint="eastAsia"/>
          <w:color w:val="auto"/>
        </w:rPr>
        <w:t>高度不小于行走轮直径的2/3。</w:t>
      </w:r>
    </w:p>
    <w:p w14:paraId="3D908120">
      <w:pPr>
        <w:pStyle w:val="196"/>
        <w:numPr>
          <w:ilvl w:val="0"/>
          <w:numId w:val="37"/>
        </w:numPr>
        <w:spacing w:after="0" w:line="240" w:lineRule="auto"/>
        <w:rPr>
          <w:color w:val="auto"/>
        </w:rPr>
      </w:pPr>
      <w:r>
        <w:rPr>
          <w:rFonts w:hint="eastAsia"/>
          <w:color w:val="auto"/>
        </w:rPr>
        <w:t>应有一定的缓冲作用。</w:t>
      </w:r>
    </w:p>
    <w:p w14:paraId="6BB67413">
      <w:pPr>
        <w:pStyle w:val="196"/>
        <w:numPr>
          <w:ilvl w:val="0"/>
          <w:numId w:val="37"/>
        </w:numPr>
        <w:spacing w:after="0" w:line="240" w:lineRule="auto"/>
        <w:rPr>
          <w:color w:val="auto"/>
        </w:rPr>
      </w:pPr>
      <w:r>
        <w:rPr>
          <w:rFonts w:hint="eastAsia"/>
          <w:color w:val="auto"/>
        </w:rPr>
        <w:t>保证塔机与两边轨道同步接触。</w:t>
      </w:r>
    </w:p>
    <w:p w14:paraId="518FF9BB">
      <w:pPr>
        <w:pStyle w:val="186"/>
        <w:spacing w:line="240" w:lineRule="auto"/>
        <w:rPr>
          <w:color w:val="auto"/>
        </w:rPr>
      </w:pPr>
      <w:r>
        <w:rPr>
          <w:rFonts w:hint="eastAsia"/>
          <w:color w:val="auto"/>
        </w:rPr>
        <w:t>轨道接地装置应符合GB 50169 的规定。</w:t>
      </w:r>
    </w:p>
    <w:p w14:paraId="1B6C6C74">
      <w:pPr>
        <w:pStyle w:val="87"/>
        <w:spacing w:before="120" w:after="120"/>
        <w:rPr>
          <w:color w:val="auto"/>
        </w:rPr>
      </w:pPr>
      <w:r>
        <w:rPr>
          <w:rFonts w:hint="eastAsia"/>
          <w:color w:val="auto"/>
        </w:rPr>
        <w:t xml:space="preserve">特殊基础 </w:t>
      </w:r>
    </w:p>
    <w:p w14:paraId="298958BC">
      <w:pPr>
        <w:pStyle w:val="186"/>
        <w:rPr>
          <w:color w:val="auto"/>
        </w:rPr>
      </w:pPr>
      <w:r>
        <w:rPr>
          <w:rFonts w:hint="eastAsia"/>
          <w:color w:val="auto"/>
        </w:rPr>
        <w:t>当塔机安装在钢结构平台等特殊基础时，该基础应由专业工程师设计并经塔机制造单位和钢结构设计单位确认，能满足塔机使用要求。</w:t>
      </w:r>
    </w:p>
    <w:p w14:paraId="151DFFCA">
      <w:pPr>
        <w:pStyle w:val="127"/>
        <w:spacing w:before="120" w:after="120"/>
        <w:rPr>
          <w:color w:val="auto"/>
        </w:rPr>
      </w:pPr>
      <w:bookmarkStart w:id="82" w:name="_Toc197422431"/>
      <w:r>
        <w:rPr>
          <w:rFonts w:hint="eastAsia"/>
          <w:color w:val="auto"/>
        </w:rPr>
        <w:t>安装与拆卸作业</w:t>
      </w:r>
      <w:bookmarkEnd w:id="82"/>
      <w:r>
        <w:rPr>
          <w:rFonts w:hint="eastAsia"/>
          <w:color w:val="auto"/>
        </w:rPr>
        <w:t xml:space="preserve">  </w:t>
      </w:r>
    </w:p>
    <w:p w14:paraId="3AEA938B">
      <w:pPr>
        <w:pStyle w:val="87"/>
        <w:spacing w:before="120" w:after="120"/>
        <w:rPr>
          <w:color w:val="auto"/>
        </w:rPr>
      </w:pPr>
      <w:r>
        <w:rPr>
          <w:rFonts w:hint="eastAsia"/>
          <w:color w:val="auto"/>
        </w:rPr>
        <w:t>安装（拆卸）前告知</w:t>
      </w:r>
    </w:p>
    <w:p w14:paraId="542B06F3">
      <w:pPr>
        <w:pStyle w:val="78"/>
        <w:spacing w:after="0" w:line="240" w:lineRule="auto"/>
        <w:ind w:firstLine="420"/>
        <w:rPr>
          <w:color w:val="auto"/>
        </w:rPr>
      </w:pPr>
      <w:r>
        <w:rPr>
          <w:rFonts w:hint="eastAsia"/>
          <w:color w:val="auto"/>
        </w:rPr>
        <w:t>塔机安装前应办理告知手续，申请特种设备检验并受理。</w:t>
      </w:r>
    </w:p>
    <w:p w14:paraId="11B66EBF">
      <w:pPr>
        <w:pStyle w:val="196"/>
        <w:numPr>
          <w:ilvl w:val="0"/>
          <w:numId w:val="38"/>
        </w:numPr>
        <w:spacing w:after="0" w:line="240" w:lineRule="auto"/>
        <w:rPr>
          <w:color w:val="auto"/>
        </w:rPr>
      </w:pPr>
      <w:r>
        <w:rPr>
          <w:rFonts w:hint="eastAsia"/>
          <w:color w:val="auto"/>
        </w:rPr>
        <w:t xml:space="preserve">适用于市场监督管理总局监管的塔机，安装单位应在安装前将塔机安装资料书面告知直辖市或设区的市级人民政府负责特种设备安全监督管理的部门。 </w:t>
      </w:r>
    </w:p>
    <w:p w14:paraId="1EC36064">
      <w:pPr>
        <w:pStyle w:val="196"/>
        <w:numPr>
          <w:ilvl w:val="0"/>
          <w:numId w:val="38"/>
        </w:numPr>
        <w:spacing w:after="0" w:line="240" w:lineRule="auto"/>
        <w:rPr>
          <w:color w:val="auto"/>
        </w:rPr>
      </w:pPr>
      <w:r>
        <w:rPr>
          <w:rFonts w:hint="eastAsia"/>
          <w:color w:val="auto"/>
        </w:rPr>
        <w:t>适用于住房和城乡建设部监管的塔机，安装单位将塔机安装资料报施工总承包单位和监理单位审核后，书面告知工程所在地县级以上地方人民政府建设主管部门。塔机拆卸前应办理告知手续。</w:t>
      </w:r>
    </w:p>
    <w:p w14:paraId="4855AF59">
      <w:pPr>
        <w:pStyle w:val="87"/>
        <w:spacing w:before="120" w:after="120"/>
        <w:rPr>
          <w:color w:val="auto"/>
        </w:rPr>
      </w:pPr>
      <w:r>
        <w:rPr>
          <w:rFonts w:hint="eastAsia"/>
          <w:color w:val="auto"/>
        </w:rPr>
        <w:t>安装、拆卸前准备</w:t>
      </w:r>
    </w:p>
    <w:p w14:paraId="202DEF8E">
      <w:pPr>
        <w:pStyle w:val="186"/>
        <w:rPr>
          <w:color w:val="auto"/>
        </w:rPr>
      </w:pPr>
      <w:r>
        <w:rPr>
          <w:rFonts w:hint="eastAsia"/>
          <w:color w:val="auto"/>
        </w:rPr>
        <w:t>安装与拆卸应编制施工计划并应严格过程监督管理,施工计划的制定计划应由有经验的管理人员制定。</w:t>
      </w:r>
    </w:p>
    <w:p w14:paraId="1E7596FB">
      <w:pPr>
        <w:pStyle w:val="186"/>
        <w:spacing w:line="240" w:lineRule="auto"/>
        <w:rPr>
          <w:color w:val="auto"/>
        </w:rPr>
      </w:pPr>
    </w:p>
    <w:p w14:paraId="1A34CD10">
      <w:pPr>
        <w:pStyle w:val="186"/>
        <w:spacing w:line="240" w:lineRule="auto"/>
        <w:rPr>
          <w:color w:val="auto"/>
        </w:rPr>
      </w:pPr>
      <w:r>
        <w:rPr>
          <w:rFonts w:hint="eastAsia"/>
          <w:color w:val="auto"/>
        </w:rPr>
        <w:t>对外委托安装、拆卸塔机，使用单位应和安装单位签订施工合同和安全协议，明确双方的安全责任。</w:t>
      </w:r>
    </w:p>
    <w:p w14:paraId="76ABAF95">
      <w:pPr>
        <w:pStyle w:val="186"/>
        <w:spacing w:line="240" w:lineRule="auto"/>
        <w:rPr>
          <w:color w:val="auto"/>
        </w:rPr>
      </w:pPr>
      <w:r>
        <w:rPr>
          <w:rFonts w:hint="eastAsia"/>
          <w:color w:val="auto"/>
        </w:rPr>
        <w:t>安装、拆卸前安装单位应对塔机进行全面检查、维护和保养；如发现缺陷项应整改完成，验收合格，并留存整改记录。</w:t>
      </w:r>
    </w:p>
    <w:p w14:paraId="337BDFFD">
      <w:pPr>
        <w:pStyle w:val="186"/>
        <w:spacing w:line="240" w:lineRule="auto"/>
        <w:rPr>
          <w:color w:val="auto"/>
        </w:rPr>
      </w:pPr>
      <w:r>
        <w:rPr>
          <w:rFonts w:hint="eastAsia"/>
          <w:color w:val="auto"/>
        </w:rPr>
        <w:t>安装前应对塔机安装基础(包括轨道等)进行验收检查。</w:t>
      </w:r>
    </w:p>
    <w:p w14:paraId="324CC64D">
      <w:pPr>
        <w:pStyle w:val="186"/>
        <w:spacing w:line="240" w:lineRule="auto"/>
        <w:rPr>
          <w:color w:val="auto"/>
        </w:rPr>
      </w:pPr>
      <w:r>
        <w:rPr>
          <w:rFonts w:hint="eastAsia"/>
          <w:color w:val="auto"/>
        </w:rPr>
        <w:t>安装、拆卸前应按照专项施工方案对作业条件包括人员资质、作业场地、工机具等进行检查确认并做好记录。</w:t>
      </w:r>
    </w:p>
    <w:p w14:paraId="46604633">
      <w:pPr>
        <w:pStyle w:val="186"/>
        <w:spacing w:line="240" w:lineRule="auto"/>
        <w:rPr>
          <w:color w:val="auto"/>
        </w:rPr>
      </w:pPr>
      <w:r>
        <w:rPr>
          <w:rFonts w:hint="eastAsia"/>
          <w:color w:val="auto"/>
        </w:rPr>
        <w:t>安装、拆卸前编制人员或技术负责人应向现场管理人员和作业人员进行安全技术交底，做到分工明确、职责清楚。</w:t>
      </w:r>
    </w:p>
    <w:p w14:paraId="7671DE47">
      <w:pPr>
        <w:pStyle w:val="186"/>
        <w:spacing w:line="240" w:lineRule="auto"/>
        <w:rPr>
          <w:color w:val="auto"/>
        </w:rPr>
      </w:pPr>
      <w:r>
        <w:rPr>
          <w:rFonts w:hint="eastAsia"/>
          <w:color w:val="auto"/>
        </w:rPr>
        <w:t>安装、拆卸作业范围内场地应进行清理，设置明显警戒线、警示标志，按要求设置危大工程标识牌，安排专人进行现场监管。</w:t>
      </w:r>
    </w:p>
    <w:p w14:paraId="09693C23">
      <w:pPr>
        <w:pStyle w:val="186"/>
        <w:spacing w:line="240" w:lineRule="auto"/>
        <w:rPr>
          <w:color w:val="auto"/>
        </w:rPr>
      </w:pPr>
      <w:r>
        <w:rPr>
          <w:rFonts w:hint="eastAsia"/>
          <w:color w:val="auto"/>
        </w:rPr>
        <w:t>拆卸前应对塔机部件及其他电气设备进行标记，以有利后续安装。</w:t>
      </w:r>
    </w:p>
    <w:p w14:paraId="2534C563">
      <w:pPr>
        <w:pStyle w:val="87"/>
        <w:spacing w:before="120" w:after="120"/>
        <w:rPr>
          <w:color w:val="auto"/>
        </w:rPr>
      </w:pPr>
      <w:r>
        <w:rPr>
          <w:rFonts w:hint="eastAsia"/>
          <w:color w:val="auto"/>
        </w:rPr>
        <w:t>基本架设高度的安装</w:t>
      </w:r>
    </w:p>
    <w:p w14:paraId="7485230E">
      <w:pPr>
        <w:pStyle w:val="186"/>
        <w:rPr>
          <w:color w:val="auto"/>
        </w:rPr>
      </w:pPr>
      <w:r>
        <w:rPr>
          <w:rFonts w:hint="eastAsia"/>
          <w:color w:val="auto"/>
        </w:rPr>
        <w:t>安装应严格按照专项施工方案步骤有序进行，并对整个过程做详细记录，相关管理人员应进行现场监督，不得离开现场。</w:t>
      </w:r>
    </w:p>
    <w:p w14:paraId="329EC3DA">
      <w:pPr>
        <w:pStyle w:val="186"/>
        <w:rPr>
          <w:color w:val="auto"/>
        </w:rPr>
      </w:pPr>
      <w:r>
        <w:rPr>
          <w:rFonts w:hint="eastAsia"/>
          <w:color w:val="auto"/>
        </w:rPr>
        <w:t>对于支腿固定式（或压重式）塔机需进行支腿组合安装，安装后与标准节连接面水平度应满足说明书要求。有压重的在安装平衡臂或起重臂前应将压重安装到位。</w:t>
      </w:r>
    </w:p>
    <w:p w14:paraId="0FCC4E1A">
      <w:pPr>
        <w:pStyle w:val="186"/>
        <w:rPr>
          <w:color w:val="auto"/>
        </w:rPr>
      </w:pPr>
      <w:r>
        <w:rPr>
          <w:rFonts w:hint="eastAsia"/>
          <w:color w:val="auto"/>
        </w:rPr>
        <w:t>基础节的安装方向应按照塔机爬升时起重臂架锁定的方向进行调整。</w:t>
      </w:r>
    </w:p>
    <w:p w14:paraId="2BDCEEFF">
      <w:pPr>
        <w:pStyle w:val="186"/>
        <w:rPr>
          <w:color w:val="auto"/>
        </w:rPr>
      </w:pPr>
      <w:r>
        <w:rPr>
          <w:rFonts w:hint="eastAsia"/>
          <w:color w:val="auto"/>
        </w:rPr>
        <w:t>现场组合的塔身标准节、爬升架等应按说明书要求进行组合并验收合格。</w:t>
      </w:r>
    </w:p>
    <w:p w14:paraId="55C98547">
      <w:pPr>
        <w:pStyle w:val="186"/>
        <w:rPr>
          <w:color w:val="auto"/>
        </w:rPr>
      </w:pPr>
      <w:r>
        <w:rPr>
          <w:rFonts w:hint="eastAsia"/>
          <w:color w:val="auto"/>
        </w:rPr>
        <w:t>塔身安装时，基础节、加强节、标准节等应按专项施工方案进行塔身组合，不应交换顺序，位置正确。</w:t>
      </w:r>
    </w:p>
    <w:p w14:paraId="2F0ACA10">
      <w:pPr>
        <w:pStyle w:val="186"/>
        <w:rPr>
          <w:color w:val="auto"/>
        </w:rPr>
      </w:pPr>
      <w:r>
        <w:rPr>
          <w:rFonts w:hint="eastAsia"/>
          <w:color w:val="auto"/>
        </w:rPr>
        <w:t>回转支座分开安装时，应做好回转支承安装接触面的防护，检查回转支承连接螺栓，对不符合要求的高强螺栓进行更换，并按说明书要求进行紧固，拧紧力矩达到说明书要求。</w:t>
      </w:r>
    </w:p>
    <w:p w14:paraId="4BF69669">
      <w:pPr>
        <w:pStyle w:val="186"/>
        <w:rPr>
          <w:color w:val="auto"/>
        </w:rPr>
      </w:pPr>
      <w:r>
        <w:rPr>
          <w:rFonts w:hint="eastAsia"/>
          <w:color w:val="auto"/>
        </w:rPr>
        <w:t>平衡臂、起重臂安装前，应检查其连接销轴、定位板、定位销等是否连接牢固、可靠。应将安装在其上的部件可靠紧固，在两端设置溜绳，并按说明书提供的数据设置吊点。</w:t>
      </w:r>
    </w:p>
    <w:p w14:paraId="4DF528BD">
      <w:pPr>
        <w:pStyle w:val="186"/>
        <w:numPr>
          <w:ilvl w:val="0"/>
          <w:numId w:val="0"/>
        </w:numPr>
        <w:ind w:firstLine="420"/>
        <w:rPr>
          <w:color w:val="auto"/>
        </w:rPr>
      </w:pPr>
      <w:r>
        <w:rPr>
          <w:rFonts w:hint="eastAsia"/>
          <w:color w:val="auto"/>
        </w:rPr>
        <w:t>塔机起重臂及平衡臂安装有两种方式：</w:t>
      </w:r>
    </w:p>
    <w:p w14:paraId="5128B865">
      <w:pPr>
        <w:pStyle w:val="186"/>
        <w:numPr>
          <w:ilvl w:val="0"/>
          <w:numId w:val="0"/>
        </w:numPr>
        <w:ind w:firstLine="420"/>
        <w:rPr>
          <w:color w:val="auto"/>
        </w:rPr>
      </w:pPr>
      <w:r>
        <w:rPr>
          <w:rFonts w:hint="eastAsia"/>
          <w:color w:val="auto"/>
        </w:rPr>
        <w:t>a)  起重臂、平衡臂整体吊装时，应按照说明书要求在指定场地进行组装，带有的拉杆应同步安装，臂节及拉杆应严格按照说明书要求按顺序组装。小车变幅式塔机同步安装变幅小车并将变幅小车固定在起重臂指定位置。起重臂、平衡臂整体吊装前应计算组件重心位置，宜采用单机或双机抬吊就位。</w:t>
      </w:r>
    </w:p>
    <w:p w14:paraId="2236DD73">
      <w:pPr>
        <w:pStyle w:val="186"/>
        <w:numPr>
          <w:ilvl w:val="0"/>
          <w:numId w:val="0"/>
        </w:numPr>
        <w:ind w:firstLine="420"/>
        <w:rPr>
          <w:color w:val="auto"/>
        </w:rPr>
      </w:pPr>
      <w:r>
        <w:rPr>
          <w:rFonts w:hint="eastAsia"/>
          <w:color w:val="auto"/>
        </w:rPr>
        <w:t>b)  起重臂、平衡臂分节安装时，应按照说明书要求及顺序分节吊装就位。起重臂吊装完成后穿绕变幅、起升钢丝绳。</w:t>
      </w:r>
    </w:p>
    <w:p w14:paraId="2DDA47B1">
      <w:pPr>
        <w:pStyle w:val="186"/>
        <w:rPr>
          <w:color w:val="auto"/>
        </w:rPr>
      </w:pPr>
      <w:r>
        <w:rPr>
          <w:rFonts w:hint="eastAsia"/>
          <w:color w:val="auto"/>
        </w:rPr>
        <w:t>塔机平衡重的数量、重量、位置、安装顺序及起重臂的安装应符合说明书要求，平衡重安装应牢固可靠；因不同组合臂长造成配重数量变化，配重位置空缺的部位应采取防护措施。</w:t>
      </w:r>
    </w:p>
    <w:p w14:paraId="29FD0CA5">
      <w:pPr>
        <w:pStyle w:val="186"/>
        <w:rPr>
          <w:color w:val="auto"/>
        </w:rPr>
      </w:pPr>
      <w:r>
        <w:rPr>
          <w:rFonts w:hint="eastAsia"/>
          <w:color w:val="auto"/>
        </w:rPr>
        <w:t>安装障碍灯、风速仪、视频监控系统等应进行调试验收。</w:t>
      </w:r>
    </w:p>
    <w:p w14:paraId="6BDAEA62">
      <w:pPr>
        <w:pStyle w:val="186"/>
        <w:rPr>
          <w:color w:val="auto"/>
        </w:rPr>
      </w:pPr>
      <w:r>
        <w:rPr>
          <w:rFonts w:hint="eastAsia"/>
          <w:color w:val="auto"/>
        </w:rPr>
        <w:t>各部件之间的连接件和防松元件应齐备并连接可靠。连接件及其防松防脱件不应代用。</w:t>
      </w:r>
    </w:p>
    <w:p w14:paraId="485EA6A4">
      <w:pPr>
        <w:pStyle w:val="186"/>
        <w:rPr>
          <w:color w:val="auto"/>
        </w:rPr>
      </w:pPr>
      <w:r>
        <w:rPr>
          <w:rFonts w:hint="eastAsia"/>
          <w:color w:val="auto"/>
        </w:rPr>
        <w:t>安装后电气系统的接线、调试，应符合 GB 5144-2006第8章和说明书的要求。</w:t>
      </w:r>
    </w:p>
    <w:p w14:paraId="722BB0ED">
      <w:pPr>
        <w:pStyle w:val="186"/>
        <w:rPr>
          <w:color w:val="auto"/>
        </w:rPr>
      </w:pPr>
      <w:r>
        <w:rPr>
          <w:rFonts w:hint="eastAsia"/>
          <w:color w:val="auto"/>
        </w:rPr>
        <w:t>安装后工作机构、钢丝绳固定及排绳的检查调试，应符合 GB 5144-2006第5章和说明书的要求。</w:t>
      </w:r>
    </w:p>
    <w:p w14:paraId="112F5BA7">
      <w:pPr>
        <w:pStyle w:val="186"/>
        <w:rPr>
          <w:color w:val="auto"/>
        </w:rPr>
      </w:pPr>
      <w:r>
        <w:rPr>
          <w:rFonts w:hint="eastAsia"/>
          <w:color w:val="auto"/>
        </w:rPr>
        <w:t>塔机的液压系统应按照说明书要求连接管路并检查调试。</w:t>
      </w:r>
    </w:p>
    <w:p w14:paraId="60DBCA57">
      <w:pPr>
        <w:pStyle w:val="186"/>
        <w:rPr>
          <w:color w:val="auto"/>
        </w:rPr>
      </w:pPr>
      <w:r>
        <w:rPr>
          <w:rFonts w:hint="eastAsia"/>
          <w:color w:val="auto"/>
        </w:rPr>
        <w:t>安装作业因遇特殊情况不能连续进行时，应将已安装的部位固定牢靠并达到安全状态，经检查确认无隐患后，方可停止作业。</w:t>
      </w:r>
    </w:p>
    <w:p w14:paraId="6AEE600B">
      <w:pPr>
        <w:pStyle w:val="186"/>
        <w:rPr>
          <w:color w:val="auto"/>
        </w:rPr>
      </w:pPr>
      <w:r>
        <w:rPr>
          <w:rFonts w:hint="eastAsia"/>
          <w:color w:val="auto"/>
        </w:rPr>
        <w:t>安装完毕后，应及时清理塔机平台上的辅助用具和杂物。</w:t>
      </w:r>
      <w:r>
        <w:rPr>
          <w:color w:val="auto"/>
        </w:rPr>
        <w:t xml:space="preserve"> </w:t>
      </w:r>
    </w:p>
    <w:p w14:paraId="55E76A2D">
      <w:pPr>
        <w:pStyle w:val="87"/>
        <w:spacing w:before="120" w:after="120"/>
        <w:rPr>
          <w:color w:val="auto"/>
        </w:rPr>
      </w:pPr>
      <w:r>
        <w:rPr>
          <w:rFonts w:hint="eastAsia"/>
          <w:color w:val="auto"/>
        </w:rPr>
        <w:t>安装后的检查与验收</w:t>
      </w:r>
    </w:p>
    <w:p w14:paraId="29E114A5">
      <w:pPr>
        <w:pStyle w:val="186"/>
        <w:rPr>
          <w:color w:val="auto"/>
        </w:rPr>
      </w:pPr>
      <w:r>
        <w:rPr>
          <w:rFonts w:hint="eastAsia"/>
          <w:color w:val="auto"/>
        </w:rPr>
        <w:t>塔机基本架设高度完成后进行爬升前安装单位应组织按照GB 5144的规定对整机进行检查。</w:t>
      </w:r>
    </w:p>
    <w:p w14:paraId="3AE1BEAE">
      <w:pPr>
        <w:pStyle w:val="186"/>
        <w:rPr>
          <w:color w:val="auto"/>
        </w:rPr>
      </w:pPr>
      <w:r>
        <w:rPr>
          <w:rFonts w:hint="eastAsia"/>
          <w:color w:val="auto"/>
        </w:rPr>
        <w:t>塔机整机安装完成后，使用单位应组织安装单位、监理单位等进行验收，填写自检记录报告，按照GB/T 5031的规定进行检查和试验。在额定载荷作用下，塔机起重臂根部连接处的水平静位移应当不大于1.34H/100。（H为最大独立状态下起重臂根部连接处至塔机基准面的垂直距离，m。）</w:t>
      </w:r>
    </w:p>
    <w:p w14:paraId="015CF0A8">
      <w:pPr>
        <w:pStyle w:val="186"/>
        <w:rPr>
          <w:color w:val="auto"/>
        </w:rPr>
      </w:pPr>
      <w:r>
        <w:rPr>
          <w:rFonts w:hint="eastAsia"/>
          <w:color w:val="auto"/>
        </w:rPr>
        <w:t>塔机试验时，至少应满足以下条件。</w:t>
      </w:r>
    </w:p>
    <w:p w14:paraId="65890F88">
      <w:pPr>
        <w:pStyle w:val="196"/>
        <w:numPr>
          <w:ilvl w:val="0"/>
          <w:numId w:val="39"/>
        </w:numPr>
        <w:spacing w:after="0"/>
        <w:ind w:firstLine="0"/>
        <w:rPr>
          <w:color w:val="auto"/>
        </w:rPr>
      </w:pPr>
      <w:r>
        <w:rPr>
          <w:rFonts w:hint="eastAsia"/>
          <w:color w:val="auto"/>
        </w:rPr>
        <w:t>试验环境满足塔机的工作条件；</w:t>
      </w:r>
    </w:p>
    <w:p w14:paraId="5625BE94">
      <w:pPr>
        <w:pStyle w:val="196"/>
        <w:numPr>
          <w:ilvl w:val="0"/>
          <w:numId w:val="39"/>
        </w:numPr>
        <w:spacing w:after="0"/>
        <w:ind w:firstLine="0"/>
        <w:rPr>
          <w:color w:val="auto"/>
        </w:rPr>
      </w:pPr>
      <w:r>
        <w:rPr>
          <w:rFonts w:hint="eastAsia"/>
          <w:color w:val="auto"/>
        </w:rPr>
        <w:t>试验载荷误差不超过±1%；</w:t>
      </w:r>
    </w:p>
    <w:p w14:paraId="010D27D5">
      <w:pPr>
        <w:pStyle w:val="196"/>
        <w:numPr>
          <w:ilvl w:val="0"/>
          <w:numId w:val="39"/>
        </w:numPr>
        <w:spacing w:after="0"/>
        <w:ind w:firstLine="0"/>
        <w:rPr>
          <w:color w:val="auto"/>
        </w:rPr>
      </w:pPr>
      <w:r>
        <w:rPr>
          <w:rFonts w:hint="eastAsia"/>
          <w:color w:val="auto"/>
        </w:rPr>
        <w:t>风速不大于8.3m/s,除另有规定外，塔机不处于最不利风作用的方位上；</w:t>
      </w:r>
    </w:p>
    <w:p w14:paraId="70BDD7B7">
      <w:pPr>
        <w:pStyle w:val="196"/>
        <w:numPr>
          <w:ilvl w:val="0"/>
          <w:numId w:val="39"/>
        </w:numPr>
        <w:spacing w:after="0"/>
        <w:ind w:firstLine="0"/>
        <w:rPr>
          <w:color w:val="auto"/>
        </w:rPr>
      </w:pPr>
      <w:r>
        <w:rPr>
          <w:rFonts w:hint="eastAsia"/>
          <w:color w:val="auto"/>
        </w:rPr>
        <w:t>试验场所没有影响塔机正常工作的障碍物，且设置防止无关人员或车辆进入试验区域的       警示标志。</w:t>
      </w:r>
    </w:p>
    <w:p w14:paraId="3E09704F">
      <w:pPr>
        <w:pStyle w:val="186"/>
        <w:rPr>
          <w:color w:val="auto"/>
        </w:rPr>
      </w:pPr>
      <w:r>
        <w:rPr>
          <w:rFonts w:hint="eastAsia"/>
          <w:color w:val="auto"/>
        </w:rPr>
        <w:t>塔机安装完成验收后，安装单位向使用单位进行安全使用说明并办理交接手续。</w:t>
      </w:r>
    </w:p>
    <w:p w14:paraId="0B264A37">
      <w:pPr>
        <w:pStyle w:val="186"/>
        <w:rPr>
          <w:color w:val="auto"/>
        </w:rPr>
      </w:pPr>
      <w:r>
        <w:rPr>
          <w:rFonts w:hint="eastAsia"/>
          <w:color w:val="auto"/>
        </w:rPr>
        <w:t>使用登记证办理：</w:t>
      </w:r>
    </w:p>
    <w:p w14:paraId="56F9C658">
      <w:pPr>
        <w:pStyle w:val="186"/>
        <w:numPr>
          <w:ilvl w:val="0"/>
          <w:numId w:val="0"/>
        </w:numPr>
        <w:ind w:left="1050" w:leftChars="400" w:hanging="210" w:hangingChars="100"/>
        <w:rPr>
          <w:color w:val="auto"/>
        </w:rPr>
      </w:pPr>
      <w:r>
        <w:rPr>
          <w:rFonts w:hint="eastAsia"/>
          <w:color w:val="auto"/>
        </w:rPr>
        <w:t>a) 适用于市场监督管理总局监管的塔机，使用单位应在首次安装或发生产权变更后，塔机投入使用前或者投入使用后30日内，向塔机所在地的直辖市或设区的市的特种设备监管部门办理使用登记，取得使用登记证书，登记标志应当置于塔机的显著位置；</w:t>
      </w:r>
    </w:p>
    <w:p w14:paraId="473AF7CF">
      <w:pPr>
        <w:pStyle w:val="186"/>
        <w:numPr>
          <w:ilvl w:val="0"/>
          <w:numId w:val="0"/>
        </w:numPr>
        <w:ind w:left="1050" w:leftChars="400" w:hanging="210" w:hangingChars="100"/>
        <w:rPr>
          <w:color w:val="auto"/>
        </w:rPr>
      </w:pPr>
      <w:r>
        <w:rPr>
          <w:rFonts w:hint="eastAsia"/>
          <w:color w:val="auto"/>
        </w:rPr>
        <w:t>b) 适用于住房和城乡建设部监管的塔机，使用单位应当自安装验收合格之日起30日内，向工程所在地县级以上地方人民政府建设主管部门办理建筑起重机械使用登记，登记标志应当置于塔机的显著位置。</w:t>
      </w:r>
    </w:p>
    <w:p w14:paraId="3C4191DF">
      <w:pPr>
        <w:pStyle w:val="127"/>
        <w:spacing w:before="120" w:after="120"/>
        <w:rPr>
          <w:color w:val="auto"/>
        </w:rPr>
      </w:pPr>
      <w:bookmarkStart w:id="83" w:name="_Toc197422432"/>
      <w:r>
        <w:rPr>
          <w:rFonts w:hint="eastAsia"/>
          <w:color w:val="auto"/>
        </w:rPr>
        <w:t>爬升与附着</w:t>
      </w:r>
      <w:bookmarkEnd w:id="83"/>
      <w:r>
        <w:rPr>
          <w:rFonts w:hint="eastAsia"/>
          <w:color w:val="auto"/>
        </w:rPr>
        <w:t xml:space="preserve">  </w:t>
      </w:r>
    </w:p>
    <w:p w14:paraId="3A85F167">
      <w:pPr>
        <w:pStyle w:val="87"/>
        <w:spacing w:before="120" w:after="120"/>
        <w:rPr>
          <w:color w:val="auto"/>
        </w:rPr>
      </w:pPr>
      <w:r>
        <w:rPr>
          <w:rFonts w:hint="eastAsia"/>
          <w:color w:val="auto"/>
        </w:rPr>
        <w:t>一般要求</w:t>
      </w:r>
    </w:p>
    <w:p w14:paraId="3F8ACAA5">
      <w:pPr>
        <w:pStyle w:val="186"/>
        <w:rPr>
          <w:color w:val="auto"/>
        </w:rPr>
      </w:pPr>
      <w:r>
        <w:rPr>
          <w:rFonts w:hint="eastAsia"/>
          <w:color w:val="auto"/>
        </w:rPr>
        <w:t>塔机爬升与附着作业，应委托原安装单位或具备相应资质的安装单位按照专项施工方案实施，作业前应履行安全技术交底手续。</w:t>
      </w:r>
    </w:p>
    <w:p w14:paraId="4A8CE7B2">
      <w:pPr>
        <w:pStyle w:val="186"/>
        <w:rPr>
          <w:color w:val="auto"/>
        </w:rPr>
      </w:pPr>
      <w:r>
        <w:rPr>
          <w:rFonts w:hint="eastAsia"/>
          <w:color w:val="auto"/>
        </w:rPr>
        <w:t>塔机爬升加（降）节应进行检查，且符合下列规定：</w:t>
      </w:r>
    </w:p>
    <w:p w14:paraId="1AA163A5">
      <w:pPr>
        <w:pStyle w:val="186"/>
        <w:numPr>
          <w:ilvl w:val="0"/>
          <w:numId w:val="0"/>
        </w:numPr>
        <w:ind w:firstLine="840" w:firstLineChars="400"/>
        <w:rPr>
          <w:color w:val="auto"/>
        </w:rPr>
      </w:pPr>
      <w:r>
        <w:rPr>
          <w:rFonts w:hint="eastAsia"/>
          <w:color w:val="auto"/>
        </w:rPr>
        <w:t>a）爬升系统应完好；</w:t>
      </w:r>
    </w:p>
    <w:p w14:paraId="3C786B76">
      <w:pPr>
        <w:pStyle w:val="186"/>
        <w:numPr>
          <w:ilvl w:val="0"/>
          <w:numId w:val="0"/>
        </w:numPr>
        <w:ind w:firstLine="840" w:firstLineChars="400"/>
        <w:rPr>
          <w:color w:val="auto"/>
        </w:rPr>
      </w:pPr>
      <w:r>
        <w:rPr>
          <w:rFonts w:hint="eastAsia"/>
          <w:color w:val="auto"/>
        </w:rPr>
        <w:t>b）结构件应完好；</w:t>
      </w:r>
    </w:p>
    <w:p w14:paraId="72BF6262">
      <w:pPr>
        <w:pStyle w:val="186"/>
        <w:numPr>
          <w:ilvl w:val="0"/>
          <w:numId w:val="0"/>
        </w:numPr>
        <w:ind w:firstLine="840" w:firstLineChars="400"/>
        <w:rPr>
          <w:color w:val="auto"/>
        </w:rPr>
      </w:pPr>
      <w:r>
        <w:rPr>
          <w:rFonts w:hint="eastAsia"/>
          <w:color w:val="auto"/>
        </w:rPr>
        <w:t>c）爬升前，塔机下支座与爬升架应可靠连接；</w:t>
      </w:r>
    </w:p>
    <w:p w14:paraId="332E459C">
      <w:pPr>
        <w:pStyle w:val="186"/>
        <w:numPr>
          <w:ilvl w:val="0"/>
          <w:numId w:val="0"/>
        </w:numPr>
        <w:ind w:firstLine="840" w:firstLineChars="400"/>
        <w:rPr>
          <w:color w:val="auto"/>
        </w:rPr>
      </w:pPr>
      <w:r>
        <w:rPr>
          <w:rFonts w:hint="eastAsia"/>
          <w:color w:val="auto"/>
        </w:rPr>
        <w:t>d）爬升前，应确保爬升支撑装置横梁搁置正确，防脱功能应有效；</w:t>
      </w:r>
    </w:p>
    <w:p w14:paraId="11313CD4">
      <w:pPr>
        <w:pStyle w:val="186"/>
        <w:numPr>
          <w:ilvl w:val="0"/>
          <w:numId w:val="0"/>
        </w:numPr>
        <w:ind w:firstLine="840" w:firstLineChars="400"/>
        <w:rPr>
          <w:color w:val="auto"/>
        </w:rPr>
      </w:pPr>
      <w:r>
        <w:rPr>
          <w:rFonts w:hint="eastAsia"/>
          <w:color w:val="auto"/>
        </w:rPr>
        <w:t>e）爬升前，应将塔机配平；爬升过程中，应确保塔机的前后平衡；</w:t>
      </w:r>
    </w:p>
    <w:p w14:paraId="28F74B9C">
      <w:pPr>
        <w:pStyle w:val="186"/>
        <w:numPr>
          <w:ilvl w:val="0"/>
          <w:numId w:val="0"/>
        </w:numPr>
        <w:ind w:firstLine="840" w:firstLineChars="400"/>
        <w:rPr>
          <w:color w:val="auto"/>
        </w:rPr>
      </w:pPr>
      <w:r>
        <w:rPr>
          <w:rFonts w:hint="eastAsia"/>
          <w:color w:val="auto"/>
        </w:rPr>
        <w:t>f）爬升前，爬升架空门处上端临时撑杆应已拆除。</w:t>
      </w:r>
    </w:p>
    <w:p w14:paraId="321C7B29">
      <w:pPr>
        <w:pStyle w:val="186"/>
        <w:numPr>
          <w:ilvl w:val="0"/>
          <w:numId w:val="0"/>
        </w:numPr>
        <w:ind w:firstLine="840" w:firstLineChars="400"/>
        <w:rPr>
          <w:color w:val="auto"/>
        </w:rPr>
      </w:pPr>
      <w:r>
        <w:rPr>
          <w:rFonts w:hint="eastAsia"/>
          <w:color w:val="auto"/>
        </w:rPr>
        <w:t>g）换步支撑装置承载时，应可靠卡入支撑耳板内，应有预定工作位置保持功能或锁定装置。</w:t>
      </w:r>
    </w:p>
    <w:p w14:paraId="09ADA56C">
      <w:pPr>
        <w:pStyle w:val="186"/>
        <w:numPr>
          <w:ilvl w:val="0"/>
          <w:numId w:val="0"/>
        </w:numPr>
        <w:ind w:firstLine="840" w:firstLineChars="400"/>
        <w:rPr>
          <w:color w:val="auto"/>
        </w:rPr>
      </w:pPr>
      <w:r>
        <w:rPr>
          <w:rFonts w:hint="eastAsia"/>
          <w:color w:val="auto"/>
        </w:rPr>
        <w:t>h）爬升加（降）节的顺序，应符合使用说明书的规定；</w:t>
      </w:r>
    </w:p>
    <w:p w14:paraId="65AFC552">
      <w:pPr>
        <w:pStyle w:val="186"/>
        <w:numPr>
          <w:ilvl w:val="0"/>
          <w:numId w:val="0"/>
        </w:numPr>
        <w:ind w:firstLine="840" w:firstLineChars="400"/>
        <w:rPr>
          <w:color w:val="auto"/>
        </w:rPr>
      </w:pPr>
      <w:r>
        <w:rPr>
          <w:rFonts w:hint="eastAsia"/>
          <w:color w:val="auto"/>
        </w:rPr>
        <w:t>i）爬升过程中，不应进行起升、回转、变幅等操作；</w:t>
      </w:r>
    </w:p>
    <w:p w14:paraId="2331D79F">
      <w:pPr>
        <w:pStyle w:val="186"/>
        <w:numPr>
          <w:ilvl w:val="0"/>
          <w:numId w:val="0"/>
        </w:numPr>
        <w:ind w:firstLine="840" w:firstLineChars="400"/>
        <w:rPr>
          <w:color w:val="auto"/>
        </w:rPr>
      </w:pPr>
      <w:r>
        <w:rPr>
          <w:rFonts w:hint="eastAsia"/>
          <w:color w:val="auto"/>
        </w:rPr>
        <w:t>j）爬升结束后，应将标准节或特殊节与回转下支座可靠连接；</w:t>
      </w:r>
    </w:p>
    <w:p w14:paraId="4A29B9C4">
      <w:pPr>
        <w:pStyle w:val="186"/>
        <w:numPr>
          <w:ilvl w:val="0"/>
          <w:numId w:val="0"/>
        </w:numPr>
        <w:ind w:left="210" w:leftChars="100" w:firstLine="630" w:firstLineChars="300"/>
        <w:rPr>
          <w:color w:val="auto"/>
        </w:rPr>
      </w:pPr>
      <w:r>
        <w:rPr>
          <w:rFonts w:hint="eastAsia"/>
          <w:color w:val="auto"/>
        </w:rPr>
        <w:t>k）塔机加节后需进行附着的，应按先装附着装置、后爬升加节的顺序进行，附着装置的位置和支撑点的强度应符合设计要求。</w:t>
      </w:r>
    </w:p>
    <w:p w14:paraId="3DC86739">
      <w:pPr>
        <w:pStyle w:val="186"/>
        <w:rPr>
          <w:color w:val="auto"/>
        </w:rPr>
      </w:pPr>
      <w:r>
        <w:rPr>
          <w:rFonts w:hint="eastAsia"/>
          <w:color w:val="auto"/>
        </w:rPr>
        <w:t>爬升前，检查标准节引进或引出方向应无障碍物，引进梁轨道应无杂物，应能使塔身标准节顺利引进或引出。</w:t>
      </w:r>
    </w:p>
    <w:p w14:paraId="4C2CD970">
      <w:pPr>
        <w:pStyle w:val="186"/>
        <w:rPr>
          <w:color w:val="auto"/>
        </w:rPr>
      </w:pPr>
      <w:r>
        <w:rPr>
          <w:rFonts w:hint="eastAsia"/>
          <w:color w:val="auto"/>
        </w:rPr>
        <w:t>利用外置卷扬机或其他辅助机械提升待安装标准节时，爬升前应对卷扬机或辅助机械安全状况进行确认。</w:t>
      </w:r>
    </w:p>
    <w:p w14:paraId="6F9E6E75">
      <w:pPr>
        <w:pStyle w:val="186"/>
        <w:rPr>
          <w:color w:val="auto"/>
        </w:rPr>
      </w:pPr>
      <w:r>
        <w:rPr>
          <w:rFonts w:hint="eastAsia"/>
          <w:color w:val="auto"/>
        </w:rPr>
        <w:t>爬升前，使塔机处于平衡状态，检查爬升架导向装置应完好，塔身标准节与爬升架导向装置之间的间隙应符合使用说明书的要求。</w:t>
      </w:r>
    </w:p>
    <w:p w14:paraId="2C00775D">
      <w:pPr>
        <w:pStyle w:val="186"/>
        <w:rPr>
          <w:color w:val="auto"/>
        </w:rPr>
      </w:pPr>
      <w:r>
        <w:rPr>
          <w:rFonts w:hint="eastAsia"/>
          <w:color w:val="auto"/>
        </w:rPr>
        <w:t>爬升前，应检查液压爬升系统并进行试验。平衡阀或液压锁与液压油缸之间的连接不应用软管连接，不应有任何泄漏；液压系统溢流阀的调整压力应不大于系统额定工作压力的110%。液压爬升系统试验宜参照GB/T 5031-2019中6.7的规定，在塔机最低安装状态按空载、静态和动态分别进行。</w:t>
      </w:r>
    </w:p>
    <w:p w14:paraId="28F0042D">
      <w:pPr>
        <w:pStyle w:val="186"/>
        <w:rPr>
          <w:color w:val="auto"/>
        </w:rPr>
      </w:pPr>
      <w:r>
        <w:rPr>
          <w:rFonts w:hint="eastAsia"/>
          <w:color w:val="auto"/>
        </w:rPr>
        <w:t>爬升作业前，应检查爬升架支撑装置的防脱功能，应确保锁定装置工作可靠，在加（降）节作业中，塔机未到达稳定支撑状态（塔机回落到安全状态或被换步支撑装置安全支撑）被人工解除锁定前，即使爬升装置有意外卡阻，爬升架支撑装置也不应从支撑处（踏步或爬梯）脱出。</w:t>
      </w:r>
    </w:p>
    <w:p w14:paraId="1ADD0093">
      <w:pPr>
        <w:pStyle w:val="87"/>
        <w:spacing w:before="120" w:after="120"/>
        <w:rPr>
          <w:color w:val="auto"/>
        </w:rPr>
      </w:pPr>
      <w:r>
        <w:rPr>
          <w:rFonts w:hint="eastAsia"/>
          <w:color w:val="auto"/>
        </w:rPr>
        <w:t>爬升作业</w:t>
      </w:r>
    </w:p>
    <w:p w14:paraId="2B6BD328">
      <w:pPr>
        <w:pStyle w:val="186"/>
        <w:rPr>
          <w:color w:val="auto"/>
        </w:rPr>
      </w:pPr>
      <w:r>
        <w:rPr>
          <w:rFonts w:hint="eastAsia"/>
          <w:color w:val="auto"/>
        </w:rPr>
        <w:t>爬升加节前，应利用塔机自身或辅助机械设备将待安装的标准节悬挂至引进梁上或放置平台上，不应在爬升架顶起后，往引进梁上或平台上放置标准节。</w:t>
      </w:r>
    </w:p>
    <w:p w14:paraId="62907182">
      <w:pPr>
        <w:pStyle w:val="186"/>
        <w:rPr>
          <w:color w:val="auto"/>
        </w:rPr>
      </w:pPr>
      <w:r>
        <w:rPr>
          <w:rFonts w:hint="eastAsia"/>
          <w:color w:val="auto"/>
        </w:rPr>
        <w:t>爬升加节前，塔机动力电缆应满足爬升加节使用以及固定处完全拆除，爬升降节时应派专人监护电缆整齐落入地面电缆盘内。</w:t>
      </w:r>
    </w:p>
    <w:p w14:paraId="5A5F691C">
      <w:pPr>
        <w:pStyle w:val="186"/>
        <w:rPr>
          <w:color w:val="auto"/>
        </w:rPr>
      </w:pPr>
      <w:r>
        <w:rPr>
          <w:rFonts w:hint="eastAsia"/>
          <w:color w:val="auto"/>
        </w:rPr>
        <w:t>根据使用说明书调整塔机至所需力矩值然后操作液压爬升系统，使回转下支座脱离标准节接触面5～10mm，观察回转下支座与标准节接触面之间的间隙，利用起升或变幅机构微调塔机力矩值，直至前后间隙相等，记录此时平衡力矩值并备案保存。</w:t>
      </w:r>
    </w:p>
    <w:p w14:paraId="19502BB2">
      <w:pPr>
        <w:pStyle w:val="186"/>
        <w:rPr>
          <w:color w:val="auto"/>
        </w:rPr>
      </w:pPr>
      <w:r>
        <w:rPr>
          <w:rFonts w:hint="eastAsia"/>
          <w:color w:val="auto"/>
        </w:rPr>
        <w:t>开始爬升时，回转下支座支腿底部高出标准节上平面约5～10mm时应停止爬升,检查爬升架各导向装置与标准节主弦杆之间的间隙，各侧间隙应均衡。</w:t>
      </w:r>
    </w:p>
    <w:p w14:paraId="33A8FAF2">
      <w:pPr>
        <w:pStyle w:val="186"/>
        <w:rPr>
          <w:color w:val="auto"/>
        </w:rPr>
      </w:pPr>
      <w:r>
        <w:rPr>
          <w:rFonts w:hint="eastAsia"/>
          <w:color w:val="auto"/>
        </w:rPr>
        <w:t>塔机在加（降）节作业时，任一爬升循环中即使爬升油缸的活塞杆全程伸出，塔身上端面至少应比爬升架上排导向滚轮或滑套)中心线高60mm。</w:t>
      </w:r>
    </w:p>
    <w:p w14:paraId="74AFE0FD">
      <w:pPr>
        <w:pStyle w:val="186"/>
        <w:rPr>
          <w:color w:val="auto"/>
        </w:rPr>
      </w:pPr>
      <w:r>
        <w:rPr>
          <w:rFonts w:hint="eastAsia"/>
          <w:color w:val="auto"/>
        </w:rPr>
        <w:t>爬升加（降）节时，爬升横梁、换步撑杆等受力部位应派专人监护，确保各机构平稳、均匀受力。</w:t>
      </w:r>
    </w:p>
    <w:p w14:paraId="1A574A44">
      <w:pPr>
        <w:pStyle w:val="186"/>
        <w:rPr>
          <w:color w:val="auto"/>
        </w:rPr>
      </w:pPr>
      <w:r>
        <w:rPr>
          <w:rFonts w:hint="eastAsia"/>
          <w:color w:val="auto"/>
        </w:rPr>
        <w:t>降节时，引进装置向外引出标准节时，标准节爬升耳板应全部移出爬升架外边缘后方可降节。</w:t>
      </w:r>
    </w:p>
    <w:p w14:paraId="21C8CC07">
      <w:pPr>
        <w:pStyle w:val="186"/>
        <w:rPr>
          <w:color w:val="auto"/>
        </w:rPr>
      </w:pPr>
      <w:r>
        <w:rPr>
          <w:rFonts w:hint="eastAsia"/>
          <w:color w:val="auto"/>
        </w:rPr>
        <w:t>降节时，应保证换步撑杆与标准节爬升耳板有足够的相对运动距离。</w:t>
      </w:r>
    </w:p>
    <w:p w14:paraId="2F47DA4C">
      <w:pPr>
        <w:pStyle w:val="186"/>
        <w:rPr>
          <w:color w:val="auto"/>
        </w:rPr>
      </w:pPr>
      <w:r>
        <w:rPr>
          <w:rFonts w:hint="eastAsia"/>
          <w:color w:val="auto"/>
        </w:rPr>
        <w:t>爬升过程中，应观察动力电缆情况以及爬升架平台与周围构筑物之间的安全距离。</w:t>
      </w:r>
    </w:p>
    <w:p w14:paraId="728E6076">
      <w:pPr>
        <w:pStyle w:val="186"/>
        <w:rPr>
          <w:color w:val="auto"/>
        </w:rPr>
      </w:pPr>
      <w:r>
        <w:rPr>
          <w:rFonts w:hint="eastAsia"/>
          <w:color w:val="auto"/>
        </w:rPr>
        <w:t>爬升过程中不应进行任何吊装作业。</w:t>
      </w:r>
    </w:p>
    <w:p w14:paraId="5B177A50">
      <w:pPr>
        <w:pStyle w:val="186"/>
        <w:rPr>
          <w:color w:val="auto"/>
        </w:rPr>
      </w:pPr>
      <w:r>
        <w:rPr>
          <w:rFonts w:hint="eastAsia"/>
          <w:color w:val="auto"/>
        </w:rPr>
        <w:t>爬升宜保持连续作业，爬升过程中若出现异常，应立即停止爬升作业，采取可靠稳定措施，排除问题后方可恢复爬升作业。</w:t>
      </w:r>
    </w:p>
    <w:p w14:paraId="2EBC3B2F">
      <w:pPr>
        <w:pStyle w:val="186"/>
        <w:rPr>
          <w:color w:val="auto"/>
        </w:rPr>
      </w:pPr>
      <w:r>
        <w:rPr>
          <w:rFonts w:hint="eastAsia"/>
          <w:color w:val="auto"/>
        </w:rPr>
        <w:t>爬升加（降）节结束后，应将塔身标准节与回转下支座可靠连接；塔机正常使用前，应按使用说明书要求将爬升架降至适当位置并连接牢固。</w:t>
      </w:r>
    </w:p>
    <w:p w14:paraId="0637580A">
      <w:pPr>
        <w:pStyle w:val="87"/>
        <w:spacing w:before="120" w:after="120"/>
        <w:rPr>
          <w:color w:val="auto"/>
        </w:rPr>
      </w:pPr>
      <w:r>
        <w:rPr>
          <w:rFonts w:hint="eastAsia"/>
          <w:color w:val="auto"/>
        </w:rPr>
        <w:t xml:space="preserve">附着装置的安装 </w:t>
      </w:r>
    </w:p>
    <w:p w14:paraId="14392292">
      <w:pPr>
        <w:pStyle w:val="186"/>
        <w:rPr>
          <w:color w:val="auto"/>
        </w:rPr>
      </w:pPr>
      <w:r>
        <w:rPr>
          <w:rFonts w:hint="eastAsia"/>
          <w:color w:val="auto"/>
        </w:rPr>
        <w:t>附着装置的专用部件及支护系统应由具备制造资质的单位进行设计制作。</w:t>
      </w:r>
    </w:p>
    <w:p w14:paraId="6EEFF196">
      <w:pPr>
        <w:pStyle w:val="186"/>
        <w:rPr>
          <w:color w:val="auto"/>
        </w:rPr>
      </w:pPr>
      <w:r>
        <w:rPr>
          <w:rFonts w:hint="eastAsia"/>
          <w:color w:val="auto"/>
        </w:rPr>
        <w:t>塔机附着型式及附着位置，应遵守使用说明书的要求；否则，应由塔机制造单位或具有设计能力的单位进行设计。</w:t>
      </w:r>
    </w:p>
    <w:p w14:paraId="0613EA54">
      <w:pPr>
        <w:pStyle w:val="186"/>
        <w:rPr>
          <w:color w:val="auto"/>
        </w:rPr>
      </w:pPr>
      <w:r>
        <w:rPr>
          <w:rFonts w:hint="eastAsia"/>
          <w:color w:val="auto"/>
        </w:rPr>
        <w:t>塔身附着节为加强标准节或采用内撑杆加固方式的，应严格遵守塔机使用说明书要求。</w:t>
      </w:r>
    </w:p>
    <w:p w14:paraId="45113C1B">
      <w:pPr>
        <w:pStyle w:val="186"/>
        <w:rPr>
          <w:color w:val="auto"/>
        </w:rPr>
      </w:pPr>
      <w:r>
        <w:rPr>
          <w:rFonts w:hint="eastAsia"/>
          <w:color w:val="auto"/>
        </w:rPr>
        <w:t>塔机附着在建(构)筑物或钢结构上时，其附着支承处的结构强度应满足使用说明书要求。</w:t>
      </w:r>
    </w:p>
    <w:p w14:paraId="413BBC5D">
      <w:pPr>
        <w:pStyle w:val="186"/>
        <w:rPr>
          <w:color w:val="auto"/>
        </w:rPr>
      </w:pPr>
      <w:r>
        <w:rPr>
          <w:rFonts w:hint="eastAsia"/>
          <w:color w:val="auto"/>
        </w:rPr>
        <w:t>安装前应对附着安装位置进行复测，安装操作平台应满足高处作业的安全要求，不应与待安装的附着装置有干涉。</w:t>
      </w:r>
    </w:p>
    <w:p w14:paraId="2BB60C7C">
      <w:pPr>
        <w:pStyle w:val="186"/>
        <w:rPr>
          <w:color w:val="auto"/>
        </w:rPr>
      </w:pPr>
      <w:r>
        <w:rPr>
          <w:rFonts w:hint="eastAsia"/>
          <w:color w:val="auto"/>
        </w:rPr>
        <w:t>安装前应对附着装置的各结构部件、焊缝、螺栓和销轴等进行检查。</w:t>
      </w:r>
    </w:p>
    <w:p w14:paraId="0209BC94">
      <w:pPr>
        <w:pStyle w:val="186"/>
        <w:widowControl w:val="0"/>
        <w:rPr>
          <w:color w:val="auto"/>
        </w:rPr>
      </w:pPr>
      <w:r>
        <w:rPr>
          <w:rFonts w:hint="eastAsia"/>
          <w:color w:val="auto"/>
        </w:rPr>
        <w:t>安装附着装置时，通过塔机自身的回转、变幅、起吊重物等措施调整塔身垂直度，应先安装相应的附着框和附着连接件，然后安装附着杆。附着框应与塔身固定牢固，附着框沿塔身上下不能移动。</w:t>
      </w:r>
    </w:p>
    <w:p w14:paraId="4A9430D6">
      <w:pPr>
        <w:pStyle w:val="186"/>
        <w:rPr>
          <w:color w:val="auto"/>
        </w:rPr>
      </w:pPr>
      <w:r>
        <w:rPr>
          <w:rFonts w:hint="eastAsia"/>
          <w:color w:val="auto"/>
        </w:rPr>
        <w:t>附着杆宜在其一端设置长度调节装置，其承载能力不应低于撑杆主体承载能力，调整范围不应超出说明书的规定。</w:t>
      </w:r>
    </w:p>
    <w:p w14:paraId="32226EFE">
      <w:pPr>
        <w:pStyle w:val="186"/>
        <w:rPr>
          <w:color w:val="auto"/>
        </w:rPr>
      </w:pPr>
      <w:r>
        <w:rPr>
          <w:rFonts w:hint="eastAsia"/>
          <w:color w:val="auto"/>
        </w:rPr>
        <w:t>附着杆两端宜采用销轴与附着框、附着支座连接，不应采用焊接或螺栓连接。</w:t>
      </w:r>
    </w:p>
    <w:p w14:paraId="6E08CA4E">
      <w:pPr>
        <w:pStyle w:val="186"/>
        <w:rPr>
          <w:color w:val="auto"/>
        </w:rPr>
      </w:pPr>
      <w:r>
        <w:rPr>
          <w:rFonts w:hint="eastAsia"/>
          <w:color w:val="auto"/>
        </w:rPr>
        <w:t>当附着杆与建(构)筑物或钢结构采用抱箍形式连接时，应有防滑移措施。</w:t>
      </w:r>
    </w:p>
    <w:p w14:paraId="62460FD7">
      <w:pPr>
        <w:pStyle w:val="186"/>
        <w:rPr>
          <w:color w:val="auto"/>
        </w:rPr>
      </w:pPr>
      <w:r>
        <w:rPr>
          <w:rFonts w:hint="eastAsia"/>
          <w:color w:val="auto"/>
        </w:rPr>
        <w:t>附着装置安装完成后，宜保证附着框及附着杆中心线在同一高度，若附着杆水平倾斜度超过塔机使用说明书允许的角度偏差时，应联系塔机制造单位进行确认，附着框应有防滑动措施。</w:t>
      </w:r>
    </w:p>
    <w:p w14:paraId="34DA8E89">
      <w:pPr>
        <w:pStyle w:val="186"/>
        <w:rPr>
          <w:color w:val="auto"/>
        </w:rPr>
      </w:pPr>
      <w:r>
        <w:rPr>
          <w:rFonts w:hint="eastAsia"/>
          <w:color w:val="auto"/>
        </w:rPr>
        <w:t>附着杆不应承受其他额外载荷，拼接时应按照塔机制造商提供的施工工艺实施，采用可靠的连接方式并满足其承载力要求。</w:t>
      </w:r>
    </w:p>
    <w:p w14:paraId="3F9AF908">
      <w:pPr>
        <w:pStyle w:val="186"/>
        <w:rPr>
          <w:color w:val="auto"/>
        </w:rPr>
      </w:pPr>
      <w:r>
        <w:rPr>
          <w:rFonts w:hint="eastAsia"/>
          <w:color w:val="auto"/>
        </w:rPr>
        <w:t>在发电厂烟囱、凉水塔及光热塔等建（构）筑物侧安装附着时，应利用高处作业吊篮或搭设作业平台辅助施工，并做好安全措施。</w:t>
      </w:r>
    </w:p>
    <w:p w14:paraId="37508AE3">
      <w:pPr>
        <w:pStyle w:val="186"/>
        <w:rPr>
          <w:color w:val="auto"/>
        </w:rPr>
      </w:pPr>
      <w:r>
        <w:rPr>
          <w:rFonts w:hint="eastAsia"/>
          <w:color w:val="auto"/>
        </w:rPr>
        <w:t>当采用柔性附着方式时，至少应满足如下要求：</w:t>
      </w:r>
    </w:p>
    <w:p w14:paraId="27ECFE48">
      <w:pPr>
        <w:pStyle w:val="196"/>
        <w:numPr>
          <w:ilvl w:val="0"/>
          <w:numId w:val="40"/>
        </w:numPr>
        <w:spacing w:after="0"/>
        <w:rPr>
          <w:color w:val="auto"/>
        </w:rPr>
      </w:pPr>
      <w:r>
        <w:rPr>
          <w:rFonts w:hint="eastAsia"/>
          <w:color w:val="auto"/>
        </w:rPr>
        <w:t>锚固点墙体混凝土强度达到设计强度的95%后方可实施预紧作业；</w:t>
      </w:r>
    </w:p>
    <w:p w14:paraId="49E3E580">
      <w:pPr>
        <w:pStyle w:val="196"/>
        <w:numPr>
          <w:ilvl w:val="0"/>
          <w:numId w:val="40"/>
        </w:numPr>
        <w:spacing w:after="0"/>
        <w:rPr>
          <w:color w:val="auto"/>
        </w:rPr>
      </w:pPr>
      <w:r>
        <w:rPr>
          <w:rFonts w:hint="eastAsia"/>
          <w:color w:val="auto"/>
        </w:rPr>
        <w:t>柔性缆绳安装时应施加适当的张力，以满足塔机稳定性及垂直度要求；</w:t>
      </w:r>
    </w:p>
    <w:p w14:paraId="46E83511">
      <w:pPr>
        <w:pStyle w:val="196"/>
        <w:numPr>
          <w:ilvl w:val="0"/>
          <w:numId w:val="40"/>
        </w:numPr>
        <w:spacing w:after="0"/>
        <w:rPr>
          <w:color w:val="auto"/>
        </w:rPr>
      </w:pPr>
      <w:r>
        <w:rPr>
          <w:rFonts w:hint="eastAsia"/>
          <w:color w:val="auto"/>
        </w:rPr>
        <w:t>采用钢丝绳作为柔性缆绳时，应一端固定，另一端设置张力调节装置；</w:t>
      </w:r>
    </w:p>
    <w:p w14:paraId="5548B7A6">
      <w:pPr>
        <w:pStyle w:val="196"/>
        <w:numPr>
          <w:ilvl w:val="0"/>
          <w:numId w:val="40"/>
        </w:numPr>
        <w:spacing w:after="0"/>
        <w:rPr>
          <w:color w:val="auto"/>
        </w:rPr>
      </w:pPr>
      <w:r>
        <w:rPr>
          <w:rFonts w:hint="eastAsia"/>
          <w:color w:val="auto"/>
        </w:rPr>
        <w:t>柔性附着采用多倍率钢丝绳时，应使用滑轮。钢丝绳滑轮直径应满足下列要求:</w:t>
      </w:r>
    </w:p>
    <w:p w14:paraId="61BA396A">
      <w:pPr>
        <w:pStyle w:val="115"/>
        <w:spacing w:after="0"/>
        <w:ind w:left="851"/>
        <w:rPr>
          <w:color w:val="auto"/>
        </w:rPr>
      </w:pPr>
      <w:r>
        <w:rPr>
          <w:rFonts w:hint="eastAsia"/>
          <w:color w:val="auto"/>
        </w:rPr>
        <w:t xml:space="preserve">采用普通钢丝绳时滑轮的卷绕直径不小于钢丝绳直径的 11.2倍; </w:t>
      </w:r>
    </w:p>
    <w:p w14:paraId="403976BE">
      <w:pPr>
        <w:pStyle w:val="115"/>
        <w:spacing w:after="0"/>
        <w:ind w:left="991" w:leftChars="392" w:hanging="168" w:hangingChars="80"/>
        <w:rPr>
          <w:color w:val="auto"/>
        </w:rPr>
      </w:pPr>
      <w:r>
        <w:rPr>
          <w:rFonts w:hint="eastAsia"/>
          <w:color w:val="auto"/>
        </w:rPr>
        <w:t>采用阻旋转钢丝绳时滑轮卷绕直径不小于钢丝绳直径的 12.5倍。</w:t>
      </w:r>
    </w:p>
    <w:p w14:paraId="778D2BB0">
      <w:pPr>
        <w:pStyle w:val="196"/>
        <w:numPr>
          <w:ilvl w:val="0"/>
          <w:numId w:val="40"/>
        </w:numPr>
        <w:spacing w:after="0"/>
        <w:rPr>
          <w:color w:val="auto"/>
        </w:rPr>
      </w:pPr>
      <w:r>
        <w:rPr>
          <w:rFonts w:hint="eastAsia"/>
          <w:color w:val="auto"/>
        </w:rPr>
        <w:t>应对称施加缆绳张力并随时测量塔身垂直度，直至缆绳张力达到设计值。在安装新一道附着前，应先对前一道附着缆绳进行重新预紧并测量塔身垂直度。</w:t>
      </w:r>
    </w:p>
    <w:p w14:paraId="7DD208E1">
      <w:pPr>
        <w:pStyle w:val="186"/>
        <w:rPr>
          <w:color w:val="auto"/>
        </w:rPr>
      </w:pPr>
      <w:r>
        <w:rPr>
          <w:rFonts w:hint="eastAsia"/>
          <w:color w:val="auto"/>
        </w:rPr>
        <w:t>附着装置安装后，空载、风速不大于3 m/s状态下，最高附着点以下塔身轴心线对水平面的侧向垂直度应不大于2/1000,最高附着点以上塔身轴心线对水平面的侧向垂直度应不大于4/1000。</w:t>
      </w:r>
    </w:p>
    <w:p w14:paraId="7DAB8902">
      <w:pPr>
        <w:pStyle w:val="186"/>
        <w:rPr>
          <w:color w:val="auto"/>
        </w:rPr>
      </w:pPr>
      <w:r>
        <w:rPr>
          <w:rFonts w:hint="eastAsia"/>
          <w:color w:val="auto"/>
        </w:rPr>
        <w:t>附着装置安装后应经安装单位自检合格，使用单位应组织安装单位、施工总承包单位及监理单位等进行验收。</w:t>
      </w:r>
    </w:p>
    <w:p w14:paraId="38B419DF">
      <w:pPr>
        <w:pStyle w:val="186"/>
        <w:rPr>
          <w:color w:val="auto"/>
        </w:rPr>
      </w:pPr>
      <w:r>
        <w:rPr>
          <w:rFonts w:hint="eastAsia"/>
          <w:color w:val="auto"/>
        </w:rPr>
        <w:t>在光热项目集热塔使用的塔机拆卸时不能利用自身拆卸附着装置时，应提前考虑附着装置的拆卸方式。</w:t>
      </w:r>
    </w:p>
    <w:p w14:paraId="70515B7F">
      <w:pPr>
        <w:pStyle w:val="87"/>
        <w:spacing w:before="120" w:after="120"/>
        <w:rPr>
          <w:color w:val="auto"/>
        </w:rPr>
      </w:pPr>
      <w:r>
        <w:rPr>
          <w:rFonts w:hint="eastAsia"/>
          <w:color w:val="auto"/>
        </w:rPr>
        <w:t>拆卸</w:t>
      </w:r>
    </w:p>
    <w:p w14:paraId="7C300F05">
      <w:pPr>
        <w:pStyle w:val="186"/>
        <w:rPr>
          <w:color w:val="auto"/>
        </w:rPr>
      </w:pPr>
      <w:r>
        <w:rPr>
          <w:rFonts w:hint="eastAsia"/>
          <w:color w:val="auto"/>
        </w:rPr>
        <w:t>拆卸应严格按照专项施工方案步骤有序进行，并对整个过程做详细记录，相关管理人员应进行现场监督，不得离开现场。</w:t>
      </w:r>
    </w:p>
    <w:p w14:paraId="5ABD24A2">
      <w:pPr>
        <w:pStyle w:val="186"/>
        <w:rPr>
          <w:color w:val="auto"/>
        </w:rPr>
      </w:pPr>
      <w:r>
        <w:rPr>
          <w:rFonts w:hint="eastAsia"/>
          <w:color w:val="auto"/>
        </w:rPr>
        <w:t>塔机拆卸作业宜连续进行，当遇特殊情况拆卸作业不能继续时，应采取措施保证塔机处于安全状态。</w:t>
      </w:r>
    </w:p>
    <w:p w14:paraId="25333165">
      <w:pPr>
        <w:pStyle w:val="186"/>
        <w:rPr>
          <w:color w:val="auto"/>
        </w:rPr>
      </w:pPr>
      <w:r>
        <w:rPr>
          <w:rFonts w:hint="eastAsia"/>
          <w:color w:val="auto"/>
        </w:rPr>
        <w:t>拆卸过程中,平衡重的数量、重量、位置及平衡臂、起重臂的拆卸程序应符合专项施工方案的要求。</w:t>
      </w:r>
    </w:p>
    <w:p w14:paraId="37FAC1AA">
      <w:pPr>
        <w:pStyle w:val="186"/>
        <w:rPr>
          <w:color w:val="auto"/>
        </w:rPr>
      </w:pPr>
      <w:r>
        <w:rPr>
          <w:rFonts w:hint="eastAsia"/>
          <w:color w:val="auto"/>
        </w:rPr>
        <w:t>拆卸起重臂、平衡臂时，应计算设置好吊点以使其吊装时基本保持水平，并采取措施防止因销轴拆卸引发的摆动和冲击。</w:t>
      </w:r>
    </w:p>
    <w:p w14:paraId="29E465A9">
      <w:pPr>
        <w:pStyle w:val="186"/>
        <w:rPr>
          <w:color w:val="auto"/>
        </w:rPr>
      </w:pPr>
      <w:r>
        <w:rPr>
          <w:rFonts w:hint="eastAsia"/>
          <w:color w:val="auto"/>
        </w:rPr>
        <w:t>拆卸完毕后，应及时拆除辅助设施，清理场地上作业时所用的吊索具、工具等各种零配件和杂物。</w:t>
      </w:r>
    </w:p>
    <w:p w14:paraId="7C5085F6">
      <w:pPr>
        <w:pStyle w:val="186"/>
        <w:rPr>
          <w:rFonts w:hint="eastAsia"/>
          <w:color w:val="auto"/>
        </w:rPr>
      </w:pPr>
      <w:r>
        <w:rPr>
          <w:rFonts w:hint="eastAsia"/>
          <w:color w:val="auto"/>
        </w:rPr>
        <w:t>预埋件不宜二次使用，塔机基础不影响其他设备安装时，割除预埋件上部。如有影响后续设备安装需进行基础破除。</w:t>
      </w:r>
    </w:p>
    <w:p w14:paraId="383038FC">
      <w:pPr>
        <w:pStyle w:val="87"/>
        <w:spacing w:before="120" w:after="120"/>
        <w:rPr>
          <w:color w:val="auto"/>
        </w:rPr>
      </w:pPr>
      <w:r>
        <w:rPr>
          <w:rFonts w:hint="eastAsia"/>
          <w:color w:val="auto"/>
        </w:rPr>
        <w:t>附着装置的拆卸</w:t>
      </w:r>
    </w:p>
    <w:p w14:paraId="2D06F6E3">
      <w:pPr>
        <w:pStyle w:val="186"/>
        <w:rPr>
          <w:color w:val="auto"/>
        </w:rPr>
      </w:pPr>
      <w:r>
        <w:rPr>
          <w:rFonts w:hint="eastAsia"/>
          <w:color w:val="auto"/>
        </w:rPr>
        <w:t>附着装置拆卸前，塔机应先降节至其下一道附着以上塔身悬臂高度符合使用说明书的规定，并应保证其下一道附着装置处于工作状态，方能拆卸该道附着装置。</w:t>
      </w:r>
    </w:p>
    <w:p w14:paraId="7F3A260C">
      <w:pPr>
        <w:pStyle w:val="186"/>
        <w:rPr>
          <w:color w:val="auto"/>
        </w:rPr>
      </w:pPr>
      <w:r>
        <w:rPr>
          <w:rFonts w:hint="eastAsia"/>
          <w:color w:val="auto"/>
        </w:rPr>
        <w:t>拆卸前，通过塔机自身的回转、变幅、起吊重物等措施调整塔身垂直度，使塔机处于平衡状态，然后按附着杆、附着框、附着连接件的顺序依次拆卸各部件。每拆一个部件，应先做好防坠落保护措施后再拆去销轴、螺栓等连接件。</w:t>
      </w:r>
    </w:p>
    <w:p w14:paraId="74D2946A">
      <w:pPr>
        <w:pStyle w:val="186"/>
        <w:rPr>
          <w:color w:val="auto"/>
        </w:rPr>
      </w:pPr>
      <w:r>
        <w:rPr>
          <w:rFonts w:hint="eastAsia"/>
          <w:color w:val="auto"/>
        </w:rPr>
        <w:t>利用塔机自身拆除附着装置时，需采取塔机防晃动冲击措施。</w:t>
      </w:r>
    </w:p>
    <w:p w14:paraId="4D94A2AA">
      <w:pPr>
        <w:pStyle w:val="186"/>
        <w:rPr>
          <w:color w:val="auto"/>
        </w:rPr>
      </w:pPr>
      <w:r>
        <w:rPr>
          <w:rFonts w:hint="eastAsia"/>
          <w:color w:val="auto"/>
        </w:rPr>
        <w:t>不能利用塔机及附着起重机械进行附着拆卸时，需设计专业工具或专项措施进行附着拆除。</w:t>
      </w:r>
    </w:p>
    <w:p w14:paraId="5A312CD9">
      <w:pPr>
        <w:pStyle w:val="186"/>
        <w:rPr>
          <w:color w:val="auto"/>
        </w:rPr>
      </w:pPr>
      <w:r>
        <w:rPr>
          <w:rFonts w:hint="eastAsia"/>
          <w:color w:val="auto"/>
        </w:rPr>
        <w:t>柔性附着拆除时宜采用钢丝绳回收装置。</w:t>
      </w:r>
    </w:p>
    <w:p w14:paraId="2B92598C">
      <w:pPr>
        <w:pStyle w:val="126"/>
        <w:spacing w:before="240" w:after="240"/>
        <w:ind w:left="0"/>
        <w:rPr>
          <w:color w:val="auto"/>
        </w:rPr>
      </w:pPr>
      <w:bookmarkStart w:id="84" w:name="_Toc197422433"/>
      <w:r>
        <w:rPr>
          <w:rFonts w:hint="eastAsia"/>
          <w:color w:val="auto"/>
        </w:rPr>
        <w:t>使用</w:t>
      </w:r>
      <w:bookmarkEnd w:id="84"/>
      <w:r>
        <w:rPr>
          <w:rFonts w:hint="eastAsia"/>
          <w:color w:val="auto"/>
        </w:rPr>
        <w:t xml:space="preserve">  </w:t>
      </w:r>
    </w:p>
    <w:p w14:paraId="28822C19">
      <w:pPr>
        <w:pStyle w:val="127"/>
        <w:spacing w:before="120" w:after="120"/>
        <w:rPr>
          <w:color w:val="auto"/>
        </w:rPr>
      </w:pPr>
      <w:bookmarkStart w:id="85" w:name="_Toc197422434"/>
      <w:r>
        <w:rPr>
          <w:rFonts w:hint="eastAsia"/>
          <w:color w:val="auto"/>
        </w:rPr>
        <w:t>一般规定</w:t>
      </w:r>
      <w:bookmarkEnd w:id="85"/>
    </w:p>
    <w:p w14:paraId="24E28590">
      <w:pPr>
        <w:pStyle w:val="187"/>
        <w:rPr>
          <w:color w:val="auto"/>
        </w:rPr>
      </w:pPr>
      <w:r>
        <w:rPr>
          <w:rFonts w:hint="eastAsia"/>
          <w:color w:val="auto"/>
        </w:rPr>
        <w:t>塔机的工作环境温度、工作电压、工作风速等参数应符合塔机说明书要求。</w:t>
      </w:r>
    </w:p>
    <w:p w14:paraId="212AADEC">
      <w:pPr>
        <w:pStyle w:val="187"/>
        <w:rPr>
          <w:color w:val="auto"/>
        </w:rPr>
      </w:pPr>
      <w:r>
        <w:rPr>
          <w:rFonts w:hint="eastAsia"/>
          <w:color w:val="auto"/>
        </w:rPr>
        <w:t>塔机特种设备操作人员需符合本文件4.2相关要求。</w:t>
      </w:r>
    </w:p>
    <w:p w14:paraId="7D5EEA95">
      <w:pPr>
        <w:pStyle w:val="187"/>
        <w:rPr>
          <w:color w:val="auto"/>
        </w:rPr>
      </w:pPr>
      <w:r>
        <w:rPr>
          <w:rFonts w:hint="eastAsia"/>
          <w:color w:val="auto"/>
        </w:rPr>
        <w:t>塔机司机在任何时候都只服从塔机指挥人员发出的信号，接到停止的信号除外。</w:t>
      </w:r>
    </w:p>
    <w:p w14:paraId="3D5A4AA5">
      <w:pPr>
        <w:pStyle w:val="187"/>
        <w:rPr>
          <w:color w:val="auto"/>
        </w:rPr>
      </w:pPr>
      <w:r>
        <w:rPr>
          <w:rFonts w:hint="eastAsia"/>
          <w:color w:val="auto"/>
        </w:rPr>
        <w:t>塔机使用前，应对相关作业人员进行安全技术交底。</w:t>
      </w:r>
    </w:p>
    <w:p w14:paraId="4BEE60CD">
      <w:pPr>
        <w:pStyle w:val="187"/>
        <w:rPr>
          <w:color w:val="auto"/>
        </w:rPr>
      </w:pPr>
      <w:r>
        <w:rPr>
          <w:rFonts w:hint="eastAsia"/>
          <w:color w:val="auto"/>
        </w:rPr>
        <w:t>人员在塔机上进行检查、维护或进行其他工作时，应事先通知塔机司机，必要时塔机应停止吊装工作。</w:t>
      </w:r>
    </w:p>
    <w:p w14:paraId="13046F8B">
      <w:pPr>
        <w:pStyle w:val="187"/>
        <w:rPr>
          <w:color w:val="auto"/>
        </w:rPr>
      </w:pPr>
      <w:r>
        <w:rPr>
          <w:rFonts w:hint="eastAsia"/>
          <w:color w:val="auto"/>
        </w:rPr>
        <w:t>闲置或停用6个月以上的塔机，应经载荷试验后方可使用。</w:t>
      </w:r>
    </w:p>
    <w:p w14:paraId="2C37DD85">
      <w:pPr>
        <w:pStyle w:val="127"/>
        <w:spacing w:before="120" w:after="120"/>
        <w:rPr>
          <w:color w:val="auto"/>
        </w:rPr>
      </w:pPr>
      <w:bookmarkStart w:id="86" w:name="_Toc197422435"/>
      <w:r>
        <w:rPr>
          <w:rFonts w:hint="eastAsia"/>
          <w:color w:val="auto"/>
        </w:rPr>
        <w:t>作业前准备</w:t>
      </w:r>
      <w:bookmarkEnd w:id="86"/>
    </w:p>
    <w:p w14:paraId="763A0FBB">
      <w:pPr>
        <w:pStyle w:val="187"/>
        <w:rPr>
          <w:color w:val="auto"/>
        </w:rPr>
      </w:pPr>
      <w:r>
        <w:rPr>
          <w:rFonts w:hint="eastAsia"/>
          <w:color w:val="auto"/>
        </w:rPr>
        <w:t>作业前对塔机金属结构、工作机构、驱动控制系统、安全保护装置、附着装置和基础等进行例行检查，应符合塔机技术性能要求。</w:t>
      </w:r>
    </w:p>
    <w:p w14:paraId="2C7A5FA9">
      <w:pPr>
        <w:pStyle w:val="187"/>
        <w:rPr>
          <w:color w:val="auto"/>
        </w:rPr>
      </w:pPr>
      <w:r>
        <w:rPr>
          <w:rFonts w:hint="eastAsia"/>
          <w:color w:val="auto"/>
        </w:rPr>
        <w:t>行走式塔机，作业前应检查轨道及路基安全可靠，轨道上及行走范围内无障碍物，松开夹轨器按规定方法固定牢固。</w:t>
      </w:r>
    </w:p>
    <w:p w14:paraId="6DB4B16E">
      <w:pPr>
        <w:pStyle w:val="187"/>
        <w:rPr>
          <w:color w:val="auto"/>
        </w:rPr>
      </w:pPr>
      <w:r>
        <w:rPr>
          <w:rFonts w:hint="eastAsia"/>
          <w:color w:val="auto"/>
        </w:rPr>
        <w:t>吊索具应在施工前经检查合格，安全系数符合规定后方可使用。</w:t>
      </w:r>
    </w:p>
    <w:p w14:paraId="4807BD66">
      <w:pPr>
        <w:pStyle w:val="187"/>
        <w:rPr>
          <w:color w:val="auto"/>
        </w:rPr>
      </w:pPr>
      <w:r>
        <w:rPr>
          <w:rFonts w:hint="eastAsia"/>
          <w:color w:val="auto"/>
        </w:rPr>
        <w:t xml:space="preserve">在接通电源前,各操作手柄、按钮、开关应处于零位,接通电源后观察各仪表应显示正常。 </w:t>
      </w:r>
    </w:p>
    <w:p w14:paraId="6BF9D662">
      <w:pPr>
        <w:pStyle w:val="187"/>
        <w:rPr>
          <w:color w:val="auto"/>
        </w:rPr>
      </w:pPr>
      <w:r>
        <w:rPr>
          <w:rFonts w:hint="eastAsia"/>
          <w:color w:val="auto"/>
        </w:rPr>
        <w:t>在每一个工作班开始，塔机司机应试验运行机构、制动装置、安全保护装置等所有控制装置。如果控制装置操作不正常，应在塔机运行之前调试和修理。</w:t>
      </w:r>
    </w:p>
    <w:p w14:paraId="6AA24FC1">
      <w:pPr>
        <w:pStyle w:val="187"/>
        <w:rPr>
          <w:color w:val="auto"/>
        </w:rPr>
      </w:pPr>
      <w:r>
        <w:rPr>
          <w:rFonts w:hint="eastAsia" w:hAnsi="宋体" w:cs="Arial"/>
          <w:snapToGrid w:val="0"/>
          <w:color w:val="auto"/>
          <w:szCs w:val="21"/>
        </w:rPr>
        <w:t>正式作业前应进行试吊，特殊复杂场所应进行模拟试吊。</w:t>
      </w:r>
    </w:p>
    <w:p w14:paraId="6FDA9D84">
      <w:pPr>
        <w:pStyle w:val="187"/>
        <w:rPr>
          <w:color w:val="auto"/>
        </w:rPr>
      </w:pPr>
      <w:r>
        <w:rPr>
          <w:rFonts w:hint="eastAsia" w:hAnsi="宋体" w:cs="Arial"/>
          <w:snapToGrid w:val="0"/>
          <w:color w:val="auto"/>
          <w:szCs w:val="21"/>
        </w:rPr>
        <w:t>吊装前，施工单位应做好充分施工准备，吊装通道等作业环境等满足吊装要求。</w:t>
      </w:r>
    </w:p>
    <w:p w14:paraId="30D9BB34">
      <w:pPr>
        <w:pStyle w:val="187"/>
        <w:rPr>
          <w:color w:val="auto"/>
        </w:rPr>
      </w:pPr>
      <w:r>
        <w:rPr>
          <w:rFonts w:hint="eastAsia"/>
          <w:color w:val="auto"/>
        </w:rPr>
        <w:t>倍率转换</w:t>
      </w:r>
    </w:p>
    <w:p w14:paraId="2BEF833F">
      <w:pPr>
        <w:pStyle w:val="196"/>
        <w:numPr>
          <w:ilvl w:val="0"/>
          <w:numId w:val="41"/>
        </w:numPr>
        <w:spacing w:after="0"/>
        <w:rPr>
          <w:color w:val="auto"/>
        </w:rPr>
      </w:pPr>
      <w:r>
        <w:rPr>
          <w:rFonts w:hint="eastAsia"/>
          <w:color w:val="auto"/>
        </w:rPr>
        <w:t>在进行倍率调整时，应按照说明书的要求进行操作，避免误操作导致塔机故障</w:t>
      </w:r>
      <w:r>
        <w:rPr>
          <w:rFonts w:hint="eastAsia" w:hAnsi="宋体" w:cs="宋体"/>
          <w:color w:val="auto"/>
        </w:rPr>
        <w:t>；</w:t>
      </w:r>
    </w:p>
    <w:p w14:paraId="1E8ADB0F">
      <w:pPr>
        <w:pStyle w:val="196"/>
        <w:numPr>
          <w:ilvl w:val="0"/>
          <w:numId w:val="41"/>
        </w:numPr>
        <w:spacing w:after="0"/>
        <w:rPr>
          <w:color w:val="auto"/>
        </w:rPr>
      </w:pPr>
      <w:r>
        <w:rPr>
          <w:rFonts w:hint="eastAsia"/>
          <w:color w:val="auto"/>
        </w:rPr>
        <w:t>在塔机进行倍率更换操作之前，应确保吊钩已经安全地降至距离其所在位置最近的地面或其他水平平面上，并且处于稳定静止状态，以避免在更换倍率过程中发生任何意外移动或碰撞，保障作业的安全进行；</w:t>
      </w:r>
    </w:p>
    <w:p w14:paraId="500299C0">
      <w:pPr>
        <w:pStyle w:val="196"/>
        <w:numPr>
          <w:ilvl w:val="0"/>
          <w:numId w:val="41"/>
        </w:numPr>
        <w:spacing w:after="0"/>
        <w:rPr>
          <w:color w:val="auto"/>
        </w:rPr>
      </w:pPr>
      <w:r>
        <w:rPr>
          <w:rFonts w:hint="eastAsia"/>
          <w:color w:val="auto"/>
        </w:rPr>
        <w:t>调整倍率时应卸载后操作，严禁带载切换；</w:t>
      </w:r>
      <w:r>
        <w:rPr>
          <w:color w:val="auto"/>
        </w:rPr>
        <w:t xml:space="preserve"> </w:t>
      </w:r>
    </w:p>
    <w:p w14:paraId="0ED149A6">
      <w:pPr>
        <w:pStyle w:val="196"/>
        <w:numPr>
          <w:ilvl w:val="0"/>
          <w:numId w:val="41"/>
        </w:numPr>
        <w:spacing w:after="0"/>
        <w:rPr>
          <w:color w:val="auto"/>
        </w:rPr>
      </w:pPr>
      <w:r>
        <w:rPr>
          <w:rFonts w:hint="eastAsia"/>
          <w:color w:val="auto"/>
        </w:rPr>
        <w:t>倍率调整后，必须进行试吊，以确保起重机的稳定性和安全性</w:t>
      </w:r>
      <w:r>
        <w:rPr>
          <w:rFonts w:hint="eastAsia" w:hAnsi="宋体" w:cs="宋体"/>
          <w:color w:val="auto"/>
        </w:rPr>
        <w:t>。</w:t>
      </w:r>
    </w:p>
    <w:p w14:paraId="0E031231">
      <w:pPr>
        <w:pStyle w:val="127"/>
        <w:spacing w:before="120" w:after="120"/>
        <w:rPr>
          <w:color w:val="auto"/>
        </w:rPr>
      </w:pPr>
      <w:bookmarkStart w:id="87" w:name="_Toc197422436"/>
      <w:r>
        <w:rPr>
          <w:rFonts w:hint="eastAsia"/>
          <w:color w:val="auto"/>
        </w:rPr>
        <w:t>作业</w:t>
      </w:r>
      <w:bookmarkEnd w:id="87"/>
    </w:p>
    <w:p w14:paraId="26DD8DB6">
      <w:pPr>
        <w:pStyle w:val="187"/>
        <w:rPr>
          <w:color w:val="auto"/>
        </w:rPr>
      </w:pPr>
      <w:r>
        <w:rPr>
          <w:rFonts w:hint="eastAsia"/>
          <w:color w:val="auto"/>
        </w:rPr>
        <w:t>塔机司机与塔机指挥人员应保持有效可靠沟通。采用无线电通讯设备传输信号时应有应急措施。</w:t>
      </w:r>
    </w:p>
    <w:p w14:paraId="1C924387">
      <w:pPr>
        <w:pStyle w:val="187"/>
        <w:rPr>
          <w:color w:val="auto"/>
        </w:rPr>
      </w:pPr>
      <w:r>
        <w:rPr>
          <w:rFonts w:hint="eastAsia"/>
          <w:color w:val="auto"/>
        </w:rPr>
        <w:t>塔机回转、变幅、行走、起升动作前应示意警示。起吊时应统一指挥，明确指挥信号；当指挥信号不清楚时，不得起吊。</w:t>
      </w:r>
    </w:p>
    <w:p w14:paraId="323565AA">
      <w:pPr>
        <w:pStyle w:val="187"/>
        <w:rPr>
          <w:color w:val="auto"/>
        </w:rPr>
      </w:pPr>
      <w:r>
        <w:rPr>
          <w:rFonts w:hint="eastAsia"/>
          <w:color w:val="auto"/>
        </w:rPr>
        <w:t>作业时速度应平稳，吊物接近就位位置时应低速轻放，不得突然制动或没有停稳时作反方向动作。作业过程中应符合以下要求：</w:t>
      </w:r>
    </w:p>
    <w:p w14:paraId="4589F982">
      <w:pPr>
        <w:pStyle w:val="196"/>
        <w:numPr>
          <w:ilvl w:val="0"/>
          <w:numId w:val="42"/>
        </w:numPr>
        <w:spacing w:after="0"/>
        <w:rPr>
          <w:color w:val="auto"/>
        </w:rPr>
      </w:pPr>
      <w:r>
        <w:rPr>
          <w:rFonts w:hint="eastAsia"/>
          <w:color w:val="auto"/>
        </w:rPr>
        <w:t>在起升过程中，当吊钩滑轮组接近起重臂时，采用低速起升，严防冒顶；</w:t>
      </w:r>
    </w:p>
    <w:p w14:paraId="5935C665">
      <w:pPr>
        <w:pStyle w:val="196"/>
        <w:numPr>
          <w:ilvl w:val="0"/>
          <w:numId w:val="42"/>
        </w:numPr>
        <w:spacing w:after="0"/>
        <w:rPr>
          <w:color w:val="auto"/>
        </w:rPr>
      </w:pPr>
      <w:r>
        <w:rPr>
          <w:rFonts w:hint="eastAsia"/>
          <w:color w:val="auto"/>
        </w:rPr>
        <w:t>当吊物接近就位点时，采用慢速就位；</w:t>
      </w:r>
    </w:p>
    <w:p w14:paraId="7F08E62E">
      <w:pPr>
        <w:pStyle w:val="196"/>
        <w:numPr>
          <w:ilvl w:val="0"/>
          <w:numId w:val="42"/>
        </w:numPr>
        <w:spacing w:after="0"/>
        <w:rPr>
          <w:color w:val="auto"/>
        </w:rPr>
      </w:pPr>
      <w:r>
        <w:rPr>
          <w:rFonts w:hint="eastAsia"/>
          <w:color w:val="auto"/>
        </w:rPr>
        <w:t>行走到接近限位开关时提前减速停车；</w:t>
      </w:r>
    </w:p>
    <w:p w14:paraId="13737C95">
      <w:pPr>
        <w:pStyle w:val="196"/>
        <w:numPr>
          <w:ilvl w:val="0"/>
          <w:numId w:val="42"/>
        </w:numPr>
        <w:spacing w:after="0"/>
        <w:rPr>
          <w:color w:val="auto"/>
        </w:rPr>
      </w:pPr>
      <w:r>
        <w:rPr>
          <w:rFonts w:hint="eastAsia"/>
          <w:color w:val="auto"/>
        </w:rPr>
        <w:t>作业中起吊重物平移时，重物高出其所跨越障碍物的高度不小于</w:t>
      </w:r>
      <w:r>
        <w:rPr>
          <w:color w:val="auto"/>
        </w:rPr>
        <w:t>0.5m</w:t>
      </w:r>
      <w:r>
        <w:rPr>
          <w:rFonts w:hint="eastAsia"/>
          <w:color w:val="auto"/>
        </w:rPr>
        <w:t>；</w:t>
      </w:r>
    </w:p>
    <w:p w14:paraId="507F1BFF">
      <w:pPr>
        <w:pStyle w:val="196"/>
        <w:numPr>
          <w:ilvl w:val="0"/>
          <w:numId w:val="42"/>
        </w:numPr>
        <w:spacing w:after="0"/>
        <w:rPr>
          <w:color w:val="auto"/>
        </w:rPr>
      </w:pPr>
      <w:r>
        <w:rPr>
          <w:rFonts w:hint="eastAsia"/>
          <w:color w:val="auto"/>
        </w:rPr>
        <w:t>当吊物起升离地面100mm-200mm时，应制动检验刹车系统可靠性。</w:t>
      </w:r>
    </w:p>
    <w:p w14:paraId="3761E47F">
      <w:pPr>
        <w:pStyle w:val="187"/>
        <w:rPr>
          <w:color w:val="auto"/>
        </w:rPr>
      </w:pPr>
      <w:r>
        <w:rPr>
          <w:rFonts w:hint="eastAsia"/>
          <w:color w:val="auto"/>
        </w:rPr>
        <w:t xml:space="preserve">塔机力矩限制器、重量限制器、变幅限位器等安全保护装置不得随意调整和拆除，不应用限位装置代替操作机构。 </w:t>
      </w:r>
    </w:p>
    <w:p w14:paraId="4187B454">
      <w:pPr>
        <w:pStyle w:val="187"/>
        <w:rPr>
          <w:color w:val="auto"/>
        </w:rPr>
      </w:pPr>
      <w:r>
        <w:rPr>
          <w:rFonts w:hint="eastAsia"/>
          <w:color w:val="auto"/>
        </w:rPr>
        <w:t>在作业中，应严格按照“十不吊”要求及本文件进行操作，不应违章操作。</w:t>
      </w:r>
    </w:p>
    <w:p w14:paraId="0E1DCC57">
      <w:pPr>
        <w:pStyle w:val="196"/>
        <w:numPr>
          <w:ilvl w:val="0"/>
          <w:numId w:val="43"/>
        </w:numPr>
        <w:spacing w:after="0"/>
        <w:rPr>
          <w:color w:val="auto"/>
        </w:rPr>
      </w:pPr>
      <w:r>
        <w:rPr>
          <w:rFonts w:hint="eastAsia"/>
          <w:color w:val="auto"/>
        </w:rPr>
        <w:t>指挥信号不明确不吊；</w:t>
      </w:r>
    </w:p>
    <w:p w14:paraId="2834E692">
      <w:pPr>
        <w:pStyle w:val="196"/>
        <w:numPr>
          <w:ilvl w:val="0"/>
          <w:numId w:val="43"/>
        </w:numPr>
        <w:spacing w:after="0"/>
        <w:rPr>
          <w:color w:val="auto"/>
        </w:rPr>
      </w:pPr>
      <w:r>
        <w:rPr>
          <w:rFonts w:hint="eastAsia"/>
          <w:color w:val="auto"/>
        </w:rPr>
        <w:t>超载或被吊物质量不明确不吊；</w:t>
      </w:r>
    </w:p>
    <w:p w14:paraId="107E3506">
      <w:pPr>
        <w:pStyle w:val="196"/>
        <w:numPr>
          <w:ilvl w:val="0"/>
          <w:numId w:val="43"/>
        </w:numPr>
        <w:spacing w:after="0"/>
        <w:rPr>
          <w:color w:val="auto"/>
        </w:rPr>
      </w:pPr>
      <w:r>
        <w:rPr>
          <w:rFonts w:hint="eastAsia"/>
          <w:color w:val="auto"/>
        </w:rPr>
        <w:t>歪拉或斜挂重物不吊；</w:t>
      </w:r>
    </w:p>
    <w:p w14:paraId="54C4F3AE">
      <w:pPr>
        <w:pStyle w:val="196"/>
        <w:numPr>
          <w:ilvl w:val="0"/>
          <w:numId w:val="43"/>
        </w:numPr>
        <w:spacing w:after="0"/>
        <w:rPr>
          <w:color w:val="auto"/>
        </w:rPr>
      </w:pPr>
      <w:r>
        <w:rPr>
          <w:rFonts w:hint="eastAsia"/>
          <w:color w:val="auto"/>
        </w:rPr>
        <w:t>光线不足，看不清重物不吊；</w:t>
      </w:r>
    </w:p>
    <w:p w14:paraId="22C54583">
      <w:pPr>
        <w:pStyle w:val="196"/>
        <w:numPr>
          <w:ilvl w:val="0"/>
          <w:numId w:val="43"/>
        </w:numPr>
        <w:spacing w:after="0"/>
        <w:rPr>
          <w:color w:val="auto"/>
        </w:rPr>
      </w:pPr>
      <w:r>
        <w:rPr>
          <w:rFonts w:hint="eastAsia"/>
          <w:color w:val="auto"/>
        </w:rPr>
        <w:t>被吊物上有人、重物下站人时不吊；</w:t>
      </w:r>
    </w:p>
    <w:p w14:paraId="05086A44">
      <w:pPr>
        <w:pStyle w:val="196"/>
        <w:numPr>
          <w:ilvl w:val="0"/>
          <w:numId w:val="43"/>
        </w:numPr>
        <w:spacing w:after="0"/>
        <w:rPr>
          <w:color w:val="auto"/>
        </w:rPr>
      </w:pPr>
      <w:r>
        <w:rPr>
          <w:rFonts w:hint="eastAsia"/>
          <w:color w:val="auto"/>
        </w:rPr>
        <w:t>重物埋在地下或沉入水中不吊；</w:t>
      </w:r>
    </w:p>
    <w:p w14:paraId="2EE1649B">
      <w:pPr>
        <w:pStyle w:val="196"/>
        <w:numPr>
          <w:ilvl w:val="0"/>
          <w:numId w:val="43"/>
        </w:numPr>
        <w:spacing w:after="0"/>
        <w:rPr>
          <w:color w:val="auto"/>
        </w:rPr>
      </w:pPr>
      <w:r>
        <w:rPr>
          <w:rFonts w:hint="eastAsia"/>
          <w:color w:val="auto"/>
        </w:rPr>
        <w:t>捆绑或吊挂不牢，不符合安全要求不吊；</w:t>
      </w:r>
    </w:p>
    <w:p w14:paraId="17DD671A">
      <w:pPr>
        <w:pStyle w:val="196"/>
        <w:numPr>
          <w:ilvl w:val="0"/>
          <w:numId w:val="43"/>
        </w:numPr>
        <w:spacing w:after="0"/>
        <w:rPr>
          <w:color w:val="auto"/>
        </w:rPr>
      </w:pPr>
      <w:r>
        <w:rPr>
          <w:rFonts w:hint="eastAsia"/>
          <w:color w:val="auto"/>
        </w:rPr>
        <w:t>被吊物棱角处与捆绑绳间未加防范措施时不吊；</w:t>
      </w:r>
    </w:p>
    <w:p w14:paraId="23C90D4A">
      <w:pPr>
        <w:pStyle w:val="196"/>
        <w:numPr>
          <w:ilvl w:val="0"/>
          <w:numId w:val="43"/>
        </w:numPr>
        <w:spacing w:after="0"/>
        <w:rPr>
          <w:color w:val="auto"/>
        </w:rPr>
      </w:pPr>
      <w:r>
        <w:rPr>
          <w:rFonts w:hint="eastAsia"/>
          <w:color w:val="auto"/>
        </w:rPr>
        <w:t>安全防护装置失灵不吊；</w:t>
      </w:r>
    </w:p>
    <w:p w14:paraId="730F963D">
      <w:pPr>
        <w:pStyle w:val="196"/>
        <w:numPr>
          <w:ilvl w:val="0"/>
          <w:numId w:val="43"/>
        </w:numPr>
        <w:spacing w:after="0"/>
        <w:rPr>
          <w:color w:val="auto"/>
        </w:rPr>
      </w:pPr>
      <w:r>
        <w:rPr>
          <w:rFonts w:hint="eastAsia"/>
          <w:color w:val="auto"/>
        </w:rPr>
        <w:t>六级或六级以上强风时不吊。</w:t>
      </w:r>
    </w:p>
    <w:p w14:paraId="38039181">
      <w:pPr>
        <w:pStyle w:val="187"/>
        <w:rPr>
          <w:color w:val="auto"/>
        </w:rPr>
      </w:pPr>
      <w:r>
        <w:rPr>
          <w:rFonts w:hint="eastAsia"/>
          <w:color w:val="auto"/>
        </w:rPr>
        <w:t>两台及以上起重机抬吊物件时，塔机与其他起重机械荷载分配应满足专项施工方案要求后方可进行吊装。</w:t>
      </w:r>
    </w:p>
    <w:p w14:paraId="7BF1D8B4">
      <w:pPr>
        <w:pStyle w:val="187"/>
        <w:rPr>
          <w:color w:val="auto"/>
        </w:rPr>
      </w:pPr>
      <w:r>
        <w:rPr>
          <w:rFonts w:hint="eastAsia"/>
          <w:color w:val="auto"/>
        </w:rPr>
        <w:t>两台及以上起重机械抬吊同一吊物时应符合下列要求：</w:t>
      </w:r>
    </w:p>
    <w:p w14:paraId="08135F3D">
      <w:pPr>
        <w:pStyle w:val="196"/>
        <w:numPr>
          <w:ilvl w:val="0"/>
          <w:numId w:val="44"/>
        </w:numPr>
        <w:spacing w:after="0"/>
        <w:rPr>
          <w:color w:val="auto"/>
        </w:rPr>
      </w:pPr>
      <w:r>
        <w:rPr>
          <w:rFonts w:hint="eastAsia"/>
          <w:color w:val="auto"/>
        </w:rPr>
        <w:t>宜选用额定起重量相等和相同性能的起重机械。严禁超负荷使用；</w:t>
      </w:r>
    </w:p>
    <w:p w14:paraId="6A3965B9">
      <w:pPr>
        <w:pStyle w:val="196"/>
        <w:numPr>
          <w:ilvl w:val="0"/>
          <w:numId w:val="44"/>
        </w:numPr>
        <w:spacing w:after="0"/>
        <w:rPr>
          <w:color w:val="auto"/>
        </w:rPr>
      </w:pPr>
      <w:r>
        <w:rPr>
          <w:rFonts w:hint="eastAsia"/>
          <w:color w:val="auto"/>
        </w:rPr>
        <w:t>各台起重机械所承受的载荷不得超过本身80%的额定载荷，特殊情况下，应制定专项安全技术措施，经企业技术负责人和工程项目总监理工程师审批，企业技术负责人应现场旁站监督实施；</w:t>
      </w:r>
    </w:p>
    <w:p w14:paraId="37005DBF">
      <w:pPr>
        <w:pStyle w:val="196"/>
        <w:numPr>
          <w:ilvl w:val="0"/>
          <w:numId w:val="44"/>
        </w:numPr>
        <w:spacing w:after="0"/>
        <w:rPr>
          <w:color w:val="auto"/>
        </w:rPr>
      </w:pPr>
      <w:r>
        <w:rPr>
          <w:rFonts w:hint="eastAsia"/>
          <w:color w:val="auto"/>
        </w:rPr>
        <w:t>选取吊点时，应根据各台起重机械的允许起重量，按比例分配负荷；</w:t>
      </w:r>
    </w:p>
    <w:p w14:paraId="241945AD">
      <w:pPr>
        <w:pStyle w:val="196"/>
        <w:numPr>
          <w:ilvl w:val="0"/>
          <w:numId w:val="44"/>
        </w:numPr>
        <w:spacing w:after="0"/>
        <w:rPr>
          <w:color w:val="auto"/>
        </w:rPr>
      </w:pPr>
      <w:r>
        <w:rPr>
          <w:rFonts w:hint="eastAsia"/>
          <w:color w:val="auto"/>
        </w:rPr>
        <w:t>抬吊过程中，各台起重机械操作须保持同步，起升钢丝绳及滑轮组应保持垂直，保持各台起重机械受力大小和方向变化最小。</w:t>
      </w:r>
    </w:p>
    <w:p w14:paraId="7892B6CA">
      <w:pPr>
        <w:pStyle w:val="187"/>
        <w:rPr>
          <w:color w:val="auto"/>
        </w:rPr>
      </w:pPr>
      <w:r>
        <w:rPr>
          <w:rFonts w:hint="eastAsia"/>
          <w:color w:val="auto"/>
        </w:rPr>
        <w:t>作业中临时停电时，应采取安全保护措施。</w:t>
      </w:r>
    </w:p>
    <w:p w14:paraId="2F7B6562">
      <w:pPr>
        <w:pStyle w:val="187"/>
        <w:rPr>
          <w:color w:val="auto"/>
        </w:rPr>
      </w:pPr>
      <w:r>
        <w:rPr>
          <w:rFonts w:hint="eastAsia"/>
          <w:color w:val="auto"/>
        </w:rPr>
        <w:t>作业中吊物就位长时间不操作动作时，应按说明书要求做好制动措施，塔机司机应一直在操作室不得离开。</w:t>
      </w:r>
    </w:p>
    <w:p w14:paraId="47C248E5">
      <w:pPr>
        <w:pStyle w:val="187"/>
        <w:rPr>
          <w:color w:val="auto"/>
        </w:rPr>
      </w:pPr>
      <w:r>
        <w:rPr>
          <w:rFonts w:hint="eastAsia"/>
          <w:color w:val="auto"/>
        </w:rPr>
        <w:t>作业中，不应同时操作三个动作。在接近额定荷载时，不应同时操作两个动作。</w:t>
      </w:r>
    </w:p>
    <w:p w14:paraId="03734C4A">
      <w:pPr>
        <w:pStyle w:val="187"/>
        <w:rPr>
          <w:color w:val="auto"/>
        </w:rPr>
      </w:pPr>
      <w:r>
        <w:rPr>
          <w:rFonts w:hint="eastAsia"/>
          <w:color w:val="auto"/>
        </w:rPr>
        <w:t>作业中，不得进行任何维修、保养、调整等工作。</w:t>
      </w:r>
    </w:p>
    <w:p w14:paraId="79427737">
      <w:pPr>
        <w:pStyle w:val="187"/>
        <w:rPr>
          <w:color w:val="auto"/>
        </w:rPr>
      </w:pPr>
      <w:r>
        <w:rPr>
          <w:rFonts w:hint="eastAsia"/>
          <w:color w:val="auto"/>
        </w:rPr>
        <w:t>夜间作业应有足够照明，照明使用应符合现行行业标准JGJ/T 46要求。</w:t>
      </w:r>
    </w:p>
    <w:p w14:paraId="05E46C00">
      <w:pPr>
        <w:pStyle w:val="187"/>
        <w:rPr>
          <w:color w:val="auto"/>
        </w:rPr>
      </w:pPr>
      <w:r>
        <w:rPr>
          <w:rFonts w:hint="eastAsia"/>
          <w:color w:val="auto"/>
        </w:rPr>
        <w:t xml:space="preserve">作业结束后应按下列要求执行： </w:t>
      </w:r>
    </w:p>
    <w:p w14:paraId="270FE896">
      <w:pPr>
        <w:pStyle w:val="196"/>
        <w:numPr>
          <w:ilvl w:val="0"/>
          <w:numId w:val="45"/>
        </w:numPr>
        <w:spacing w:after="0"/>
        <w:rPr>
          <w:color w:val="auto"/>
        </w:rPr>
      </w:pPr>
      <w:r>
        <w:rPr>
          <w:rFonts w:hint="eastAsia"/>
          <w:color w:val="auto"/>
        </w:rPr>
        <w:t>塔机停止作业后，起重臂宜转向顺风方向，打开回转机构锁定装置，塔机应能360°自由回转，外部条件限制如无法自由回转应停留在安全可靠位置；</w:t>
      </w:r>
    </w:p>
    <w:p w14:paraId="285A78E4">
      <w:pPr>
        <w:pStyle w:val="196"/>
        <w:numPr>
          <w:ilvl w:val="0"/>
          <w:numId w:val="45"/>
        </w:numPr>
        <w:spacing w:after="0"/>
        <w:rPr>
          <w:color w:val="auto"/>
        </w:rPr>
      </w:pPr>
      <w:r>
        <w:rPr>
          <w:rFonts w:hint="eastAsia"/>
          <w:color w:val="auto"/>
        </w:rPr>
        <w:t>行走式塔机结束作业后，司机应把塔机停放在不妨碍起重臂架回转的位置，锁紧夹轨器；</w:t>
      </w:r>
    </w:p>
    <w:p w14:paraId="31DC97B9">
      <w:pPr>
        <w:pStyle w:val="196"/>
        <w:numPr>
          <w:ilvl w:val="0"/>
          <w:numId w:val="45"/>
        </w:numPr>
        <w:spacing w:after="0"/>
        <w:rPr>
          <w:color w:val="auto"/>
        </w:rPr>
      </w:pPr>
      <w:r>
        <w:rPr>
          <w:rFonts w:hint="eastAsia"/>
          <w:color w:val="auto"/>
        </w:rPr>
        <w:t>动臂变幅塔机将起重臂放到说明书中防风规定位置，小车变幅的塔机把小车开到塔机说明书中规定的位置；</w:t>
      </w:r>
    </w:p>
    <w:p w14:paraId="76B56653">
      <w:pPr>
        <w:pStyle w:val="196"/>
        <w:numPr>
          <w:ilvl w:val="0"/>
          <w:numId w:val="45"/>
        </w:numPr>
        <w:spacing w:after="0"/>
        <w:rPr>
          <w:color w:val="auto"/>
        </w:rPr>
      </w:pPr>
      <w:r>
        <w:rPr>
          <w:rFonts w:hint="eastAsia"/>
          <w:color w:val="auto"/>
        </w:rPr>
        <w:t>将吊钩起升到上限位器下的高点，吊钩上不应吊挂重物；</w:t>
      </w:r>
      <w:r>
        <w:rPr>
          <w:color w:val="auto"/>
        </w:rPr>
        <w:t xml:space="preserve"> </w:t>
      </w:r>
    </w:p>
    <w:p w14:paraId="2823815B">
      <w:pPr>
        <w:pStyle w:val="196"/>
        <w:numPr>
          <w:ilvl w:val="0"/>
          <w:numId w:val="45"/>
        </w:numPr>
        <w:spacing w:after="0"/>
        <w:rPr>
          <w:color w:val="auto"/>
        </w:rPr>
      </w:pPr>
      <w:r>
        <w:rPr>
          <w:rFonts w:hint="eastAsia"/>
          <w:color w:val="auto"/>
        </w:rPr>
        <w:t>把各控制器归到零位，切断总电源，关好门窗，保持红色障碍指示灯的开启状态。</w:t>
      </w:r>
    </w:p>
    <w:p w14:paraId="752635A1">
      <w:pPr>
        <w:pStyle w:val="127"/>
        <w:spacing w:before="120" w:after="120"/>
        <w:rPr>
          <w:color w:val="auto"/>
        </w:rPr>
      </w:pPr>
      <w:bookmarkStart w:id="88" w:name="_Toc197422437"/>
      <w:r>
        <w:rPr>
          <w:rFonts w:hint="eastAsia"/>
          <w:color w:val="auto"/>
        </w:rPr>
        <w:t>交接班</w:t>
      </w:r>
      <w:bookmarkEnd w:id="88"/>
      <w:r>
        <w:rPr>
          <w:rFonts w:hint="eastAsia"/>
          <w:color w:val="auto"/>
        </w:rPr>
        <w:t xml:space="preserve"> </w:t>
      </w:r>
    </w:p>
    <w:p w14:paraId="55E45CD2">
      <w:pPr>
        <w:pStyle w:val="187"/>
        <w:rPr>
          <w:color w:val="auto"/>
        </w:rPr>
      </w:pPr>
      <w:r>
        <w:rPr>
          <w:rFonts w:hint="eastAsia"/>
          <w:color w:val="auto"/>
        </w:rPr>
        <w:t xml:space="preserve">多班作业的塔机，应执行交接班制度，认真做好交接手续，填写交接班记录，接班司机经检查确认无误后，方可开机作业。 </w:t>
      </w:r>
    </w:p>
    <w:p w14:paraId="34C9BD88">
      <w:pPr>
        <w:pStyle w:val="187"/>
        <w:rPr>
          <w:color w:val="auto"/>
        </w:rPr>
      </w:pPr>
      <w:r>
        <w:rPr>
          <w:rFonts w:hint="eastAsia"/>
          <w:color w:val="auto"/>
        </w:rPr>
        <w:t xml:space="preserve">当发现或疑似塔机有异常情况时，交班司机和接班司机必须当面交接，不应经他人转告交班。 </w:t>
      </w:r>
    </w:p>
    <w:p w14:paraId="3A78CAB2">
      <w:pPr>
        <w:pStyle w:val="187"/>
        <w:rPr>
          <w:color w:val="auto"/>
        </w:rPr>
      </w:pPr>
      <w:r>
        <w:rPr>
          <w:rFonts w:hint="eastAsia"/>
          <w:color w:val="auto"/>
        </w:rPr>
        <w:t xml:space="preserve">交接班主要内容至少应包括： </w:t>
      </w:r>
    </w:p>
    <w:p w14:paraId="4704E2A9">
      <w:pPr>
        <w:pStyle w:val="196"/>
        <w:numPr>
          <w:ilvl w:val="0"/>
          <w:numId w:val="46"/>
        </w:numPr>
        <w:spacing w:after="0"/>
        <w:rPr>
          <w:color w:val="auto"/>
        </w:rPr>
      </w:pPr>
      <w:r>
        <w:rPr>
          <w:rFonts w:hint="eastAsia"/>
          <w:color w:val="auto"/>
        </w:rPr>
        <w:t>生产任务和作业要求；</w:t>
      </w:r>
      <w:r>
        <w:rPr>
          <w:color w:val="auto"/>
        </w:rPr>
        <w:t xml:space="preserve"> </w:t>
      </w:r>
    </w:p>
    <w:p w14:paraId="217838A0">
      <w:pPr>
        <w:pStyle w:val="196"/>
        <w:numPr>
          <w:ilvl w:val="0"/>
          <w:numId w:val="46"/>
        </w:numPr>
        <w:spacing w:after="0"/>
        <w:rPr>
          <w:color w:val="auto"/>
        </w:rPr>
      </w:pPr>
      <w:r>
        <w:rPr>
          <w:rFonts w:hint="eastAsia"/>
          <w:color w:val="auto"/>
        </w:rPr>
        <w:t>塔机运行和保养情况；</w:t>
      </w:r>
      <w:r>
        <w:rPr>
          <w:color w:val="auto"/>
        </w:rPr>
        <w:t xml:space="preserve"> </w:t>
      </w:r>
    </w:p>
    <w:p w14:paraId="1C2113B1">
      <w:pPr>
        <w:pStyle w:val="196"/>
        <w:numPr>
          <w:ilvl w:val="0"/>
          <w:numId w:val="46"/>
        </w:numPr>
        <w:spacing w:after="0"/>
        <w:rPr>
          <w:color w:val="auto"/>
        </w:rPr>
      </w:pPr>
      <w:r>
        <w:rPr>
          <w:rFonts w:hint="eastAsia"/>
          <w:color w:val="auto"/>
        </w:rPr>
        <w:t>随机工具及油料、配件消耗情况；</w:t>
      </w:r>
      <w:r>
        <w:rPr>
          <w:color w:val="auto"/>
        </w:rPr>
        <w:t xml:space="preserve"> </w:t>
      </w:r>
    </w:p>
    <w:p w14:paraId="3BFD1E4E">
      <w:pPr>
        <w:pStyle w:val="196"/>
        <w:numPr>
          <w:ilvl w:val="0"/>
          <w:numId w:val="46"/>
        </w:numPr>
        <w:spacing w:after="0"/>
        <w:rPr>
          <w:color w:val="auto"/>
        </w:rPr>
      </w:pPr>
      <w:r>
        <w:rPr>
          <w:rFonts w:hint="eastAsia"/>
          <w:color w:val="auto"/>
        </w:rPr>
        <w:t>事故隐患及故障处理情况；</w:t>
      </w:r>
      <w:r>
        <w:rPr>
          <w:color w:val="auto"/>
        </w:rPr>
        <w:t xml:space="preserve"> </w:t>
      </w:r>
    </w:p>
    <w:p w14:paraId="7880683B">
      <w:pPr>
        <w:pStyle w:val="196"/>
        <w:numPr>
          <w:ilvl w:val="0"/>
          <w:numId w:val="46"/>
        </w:numPr>
        <w:spacing w:after="0"/>
        <w:rPr>
          <w:color w:val="auto"/>
        </w:rPr>
      </w:pPr>
      <w:r>
        <w:rPr>
          <w:rFonts w:hint="eastAsia"/>
          <w:color w:val="auto"/>
        </w:rPr>
        <w:t>安全措施及注意事项。</w:t>
      </w:r>
    </w:p>
    <w:p w14:paraId="712B8DBA">
      <w:pPr>
        <w:widowControl/>
        <w:numPr>
          <w:ilvl w:val="2"/>
          <w:numId w:val="2"/>
        </w:numPr>
        <w:adjustRightInd/>
        <w:spacing w:before="120" w:beforeLines="50" w:after="120" w:afterLines="50" w:line="240" w:lineRule="auto"/>
        <w:outlineLvl w:val="1"/>
        <w:rPr>
          <w:rFonts w:ascii="黑体" w:hAnsi="Times New Roman" w:eastAsia="黑体"/>
          <w:color w:val="auto"/>
          <w:kern w:val="0"/>
          <w:szCs w:val="20"/>
        </w:rPr>
      </w:pPr>
      <w:r>
        <w:rPr>
          <w:rFonts w:hint="eastAsia" w:ascii="黑体" w:hAnsi="Times New Roman" w:eastAsia="黑体"/>
          <w:color w:val="auto"/>
          <w:kern w:val="0"/>
          <w:szCs w:val="20"/>
        </w:rPr>
        <w:t>检查</w:t>
      </w:r>
    </w:p>
    <w:p w14:paraId="2EE900CC">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一般要求</w:t>
      </w:r>
    </w:p>
    <w:p w14:paraId="3BD05F10">
      <w:pPr>
        <w:widowControl/>
        <w:autoSpaceDE w:val="0"/>
        <w:autoSpaceDN w:val="0"/>
        <w:adjustRightInd/>
        <w:spacing w:line="278" w:lineRule="auto"/>
        <w:ind w:firstLine="420" w:firstLineChars="200"/>
        <w:rPr>
          <w:rFonts w:ascii="宋体" w:hAnsi="Times New Roman"/>
          <w:color w:val="auto"/>
          <w:kern w:val="0"/>
          <w:szCs w:val="20"/>
        </w:rPr>
      </w:pPr>
      <w:r>
        <w:rPr>
          <w:rFonts w:hint="eastAsia" w:ascii="宋体" w:hAnsi="Times New Roman"/>
          <w:color w:val="auto"/>
          <w:kern w:val="0"/>
          <w:szCs w:val="20"/>
        </w:rPr>
        <w:t xml:space="preserve">使用单位应当按照说明书以及GB/T 31052.3的规定进行检查，检查结果应用零故障记录制度并有检查人员的签字。记录保存应符合GB/T 31052.1的规定。 </w:t>
      </w:r>
    </w:p>
    <w:p w14:paraId="43DBB131">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日常检查</w:t>
      </w:r>
    </w:p>
    <w:p w14:paraId="5E299079">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塔机司机每个工作班次开始作业前应进行日常检查，对塔机进行目测检查和功能试验，以检查有无缺陷。</w:t>
      </w:r>
    </w:p>
    <w:p w14:paraId="7B984C78">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日常检查应符合说明书的要求，且不低于GB/T 31052.3-2016中附录A的规定。</w:t>
      </w:r>
    </w:p>
    <w:p w14:paraId="1CBA819F">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检查结果应按使用单位规定的日常检查表做好记录。</w:t>
      </w:r>
    </w:p>
    <w:p w14:paraId="3A0B6523">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定期检查</w:t>
      </w:r>
    </w:p>
    <w:p w14:paraId="6233C847">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定期检查由安全管理人员组织进行。</w:t>
      </w:r>
    </w:p>
    <w:p w14:paraId="77974074">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定期对塔机进行检查,按周期可分周检、月检、季检、半年检和年检，检查的项目应符合制造单位说明书和GB/T 31052.3-2016中附录A的规定。</w:t>
      </w:r>
    </w:p>
    <w:p w14:paraId="00909B3B">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定期检查应不少于以下项目：制动器力矩和间隙检查；变频器参数和历史故障代码检查；电气元器件触点动作和电流电压检查；安全限位装置可靠性和准确性检查。</w:t>
      </w:r>
    </w:p>
    <w:p w14:paraId="469FC7ED">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定期检查应有检查记录，出现不合格项时应出具整改通知单，及时予以纠正。</w:t>
      </w:r>
    </w:p>
    <w:p w14:paraId="7AC5B05A">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特殊检查</w:t>
      </w:r>
    </w:p>
    <w:p w14:paraId="0D0B6F86">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特殊检查由安全管理人员组织进行。</w:t>
      </w:r>
    </w:p>
    <w:p w14:paraId="0AC220DB">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塔机在发生GB/T 31052.1—2014中5.3.1规定的情况后应进行特殊检查，相应检查项目、方法可参见GB/T 31052.3—2016附录B进行。</w:t>
      </w:r>
    </w:p>
    <w:p w14:paraId="54731560">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特殊检查应有检查记录和检查报告。</w:t>
      </w:r>
    </w:p>
    <w:p w14:paraId="5E07D6F8">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塔机发生事故后，应根据事故具体情况确定检查项目。</w:t>
      </w:r>
    </w:p>
    <w:p w14:paraId="6DCED2CA">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检查方法</w:t>
      </w:r>
    </w:p>
    <w:p w14:paraId="32798266">
      <w:pPr>
        <w:widowControl/>
        <w:autoSpaceDE w:val="0"/>
        <w:autoSpaceDN w:val="0"/>
        <w:adjustRightInd/>
        <w:spacing w:line="278" w:lineRule="auto"/>
        <w:ind w:firstLine="420" w:firstLineChars="200"/>
        <w:rPr>
          <w:rFonts w:ascii="宋体" w:hAnsi="Times New Roman"/>
          <w:color w:val="auto"/>
          <w:kern w:val="0"/>
          <w:szCs w:val="20"/>
        </w:rPr>
      </w:pPr>
      <w:r>
        <w:rPr>
          <w:rFonts w:hint="eastAsia" w:ascii="宋体" w:hAnsi="Times New Roman"/>
          <w:color w:val="auto"/>
          <w:kern w:val="0"/>
          <w:szCs w:val="20"/>
        </w:rPr>
        <w:t>塔机的检查方法应采用GB/T 31052.1-2014中5.4规定的目测检查、无损检测、功能试验、空载试验、额定载荷试验、动载试验、静载试验，具体选用的方法可参见GB/T 31052.3—2016附录A和附录B。</w:t>
      </w:r>
    </w:p>
    <w:p w14:paraId="7A8C55FF">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智能塔机的检查</w:t>
      </w:r>
    </w:p>
    <w:p w14:paraId="74CC1AC2">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塔机自动驾驶系统的检查应符合制造单位说明书的规定。</w:t>
      </w:r>
    </w:p>
    <w:p w14:paraId="552B7FE2">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塔机自动驾驶系统开机后应自动进行开机自检，按7.5.2.规定对塔机进行日常检查外，在塔机自动驾驶系统开机前应检查清洁激光雷达和摄像头。</w:t>
      </w:r>
    </w:p>
    <w:p w14:paraId="00D5E13D">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塔机停止使用6个月以上、大雨或超六级及以上大风后，应对塔机自动驾驶系统进行检查。检查项目至少应包括吊钩感应器、激光雷达和摄像头、移动控制终端和手持微动控制器以及显示屏。</w:t>
      </w:r>
    </w:p>
    <w:p w14:paraId="282E965C">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检查的安全预防措施</w:t>
      </w:r>
    </w:p>
    <w:p w14:paraId="1E4B1FEA">
      <w:pPr>
        <w:widowControl/>
        <w:autoSpaceDE w:val="0"/>
        <w:autoSpaceDN w:val="0"/>
        <w:adjustRightInd/>
        <w:spacing w:after="0" w:line="278" w:lineRule="auto"/>
        <w:ind w:firstLine="420" w:firstLineChars="200"/>
        <w:rPr>
          <w:rFonts w:ascii="宋体" w:hAnsi="Times New Roman"/>
          <w:color w:val="auto"/>
          <w:kern w:val="0"/>
          <w:szCs w:val="20"/>
        </w:rPr>
      </w:pPr>
      <w:r>
        <w:rPr>
          <w:rFonts w:hint="eastAsia" w:ascii="宋体" w:hAnsi="Times New Roman"/>
          <w:color w:val="auto"/>
          <w:kern w:val="0"/>
          <w:szCs w:val="20"/>
        </w:rPr>
        <w:t>检查的安全预防措施如下：</w:t>
      </w:r>
    </w:p>
    <w:p w14:paraId="431426D7">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 xml:space="preserve">应观察进行检查的地点和邻近区域,并应设置警示标志和安全工作区域, </w:t>
      </w:r>
      <w:bookmarkStart w:id="89" w:name="_Hlk197546124"/>
      <w:r>
        <w:rPr>
          <w:rFonts w:hint="eastAsia" w:ascii="宋体" w:hAnsi="Times New Roman"/>
          <w:color w:val="auto"/>
          <w:kern w:val="0"/>
          <w:szCs w:val="20"/>
        </w:rPr>
        <w:t>非经过授权其他人员不应进入危险区域；</w:t>
      </w:r>
    </w:p>
    <w:bookmarkEnd w:id="89"/>
    <w:p w14:paraId="7722EB98">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如果预测到极端天气条件会导致危险,应推迟检查,直到天气变好；</w:t>
      </w:r>
    </w:p>
    <w:p w14:paraId="11B51484">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检查人员应配备个人随身保护装置(如:防护鞋、安全帽、安全带、防坠器或防护眼镜等)；如果在检查中存在高处坠落危险的情况，则应合理防护；</w:t>
      </w:r>
    </w:p>
    <w:p w14:paraId="6AE0CDD0">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应采取防止触电的措施；</w:t>
      </w:r>
    </w:p>
    <w:p w14:paraId="4D4497CD">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在检查中,除由检查人员给出指令外,不应闭合或断开电源开关；</w:t>
      </w:r>
    </w:p>
    <w:p w14:paraId="5B807B66">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当检查中进入有电击危险的位置,应确保断开电源开关,给出“正在检查”的警示标志,锁上 或派专人看守:对控制室应设有“正在检查”的警示标志；</w:t>
      </w:r>
    </w:p>
    <w:p w14:paraId="6B0ACF6B">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在检查中,除由检查人员给出指令外,不应操作塔机；</w:t>
      </w:r>
    </w:p>
    <w:p w14:paraId="18C43422">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定期检查和特殊检查工作应由2个或2个以上检查人员一起进行；</w:t>
      </w:r>
    </w:p>
    <w:p w14:paraId="3A10C45C">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检查时应有足够的照明，局部照明应使用安全电压的灯具；</w:t>
      </w:r>
    </w:p>
    <w:p w14:paraId="3049C641">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检查绝缘电阻时应对塔机上的电子设备进行防护；</w:t>
      </w:r>
    </w:p>
    <w:p w14:paraId="1947745F">
      <w:pPr>
        <w:widowControl/>
        <w:numPr>
          <w:ilvl w:val="0"/>
          <w:numId w:val="47"/>
        </w:numPr>
        <w:adjustRightInd/>
        <w:spacing w:after="0" w:line="278" w:lineRule="auto"/>
        <w:rPr>
          <w:rFonts w:ascii="宋体" w:hAnsi="Times New Roman"/>
          <w:color w:val="auto"/>
          <w:kern w:val="0"/>
          <w:szCs w:val="20"/>
        </w:rPr>
      </w:pPr>
      <w:r>
        <w:rPr>
          <w:rFonts w:hint="eastAsia" w:ascii="宋体" w:hAnsi="Times New Roman"/>
          <w:color w:val="auto"/>
          <w:kern w:val="0"/>
          <w:szCs w:val="20"/>
        </w:rPr>
        <w:t>有防止工具、零散物料等从高处坠落的措施。</w:t>
      </w:r>
    </w:p>
    <w:p w14:paraId="6548224C">
      <w:pPr>
        <w:widowControl/>
        <w:numPr>
          <w:ilvl w:val="2"/>
          <w:numId w:val="2"/>
        </w:numPr>
        <w:adjustRightInd/>
        <w:spacing w:before="120" w:beforeLines="50" w:after="120" w:afterLines="50" w:line="240" w:lineRule="auto"/>
        <w:outlineLvl w:val="1"/>
        <w:rPr>
          <w:rFonts w:ascii="黑体" w:hAnsi="Times New Roman" w:eastAsia="黑体"/>
          <w:color w:val="auto"/>
          <w:kern w:val="0"/>
          <w:szCs w:val="20"/>
        </w:rPr>
      </w:pPr>
      <w:r>
        <w:rPr>
          <w:rFonts w:hint="eastAsia" w:ascii="黑体" w:hAnsi="Times New Roman" w:eastAsia="黑体"/>
          <w:color w:val="auto"/>
          <w:kern w:val="0"/>
          <w:szCs w:val="20"/>
        </w:rPr>
        <w:t>维护</w:t>
      </w:r>
    </w:p>
    <w:p w14:paraId="1B58A9E2">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一般要求</w:t>
      </w:r>
    </w:p>
    <w:p w14:paraId="337A08A3">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使用单位应根据</w:t>
      </w:r>
      <w:r>
        <w:rPr>
          <w:rFonts w:ascii="宋体" w:hAnsi="Times New Roman"/>
          <w:color w:val="auto"/>
          <w:kern w:val="0"/>
          <w:szCs w:val="20"/>
        </w:rPr>
        <w:t xml:space="preserve">GB/T </w:t>
      </w:r>
      <w:r>
        <w:rPr>
          <w:rFonts w:hint="eastAsia" w:ascii="宋体" w:hAnsi="Times New Roman"/>
          <w:color w:val="auto"/>
          <w:kern w:val="0"/>
          <w:szCs w:val="20"/>
        </w:rPr>
        <w:t>6067.1、GB/T</w:t>
      </w:r>
      <w:r>
        <w:rPr>
          <w:rFonts w:ascii="宋体" w:hAnsi="Times New Roman"/>
          <w:color w:val="auto"/>
          <w:kern w:val="0"/>
          <w:szCs w:val="20"/>
        </w:rPr>
        <w:t xml:space="preserve"> </w:t>
      </w:r>
      <w:r>
        <w:rPr>
          <w:rFonts w:hint="eastAsia" w:ascii="宋体" w:hAnsi="Times New Roman"/>
          <w:color w:val="auto"/>
          <w:kern w:val="0"/>
          <w:szCs w:val="20"/>
        </w:rPr>
        <w:t>31052和TSG</w:t>
      </w:r>
      <w:r>
        <w:rPr>
          <w:rFonts w:ascii="宋体" w:hAnsi="Times New Roman"/>
          <w:color w:val="auto"/>
          <w:kern w:val="0"/>
          <w:szCs w:val="20"/>
        </w:rPr>
        <w:t xml:space="preserve"> </w:t>
      </w:r>
      <w:r>
        <w:rPr>
          <w:rFonts w:hint="eastAsia" w:ascii="宋体" w:hAnsi="Times New Roman"/>
          <w:color w:val="auto"/>
          <w:kern w:val="0"/>
          <w:szCs w:val="20"/>
        </w:rPr>
        <w:t>51的要求及塔机的具体特点、施工现场实际工作状况，制定塔机维护制度与相应的维护方案，明确塔机维护的周期及项目等内容，制度应包括对租赁塔机的维护等内容。</w:t>
      </w:r>
    </w:p>
    <w:p w14:paraId="6BAA1E45">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各项维护均应做好记录，并作为该塔机的设备档案妥善保管，维护记录应符合使用单位和GB/T 31052.1的规定。</w:t>
      </w:r>
    </w:p>
    <w:p w14:paraId="78581AB9">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维护过程中产生的固体废弃物应集中收储;剩余或废弃的润滑油(脂)等应用容器盛装并妥善处置。</w:t>
      </w:r>
    </w:p>
    <w:p w14:paraId="67062D81">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日常维护</w:t>
      </w:r>
    </w:p>
    <w:p w14:paraId="730CA944">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塔机司机在每班作业前进行日常维护，重点是检查、清洁和润滑。</w:t>
      </w:r>
    </w:p>
    <w:p w14:paraId="47C69C20">
      <w:pPr>
        <w:widowControl/>
        <w:numPr>
          <w:ilvl w:val="4"/>
          <w:numId w:val="2"/>
        </w:numPr>
        <w:adjustRightInd/>
        <w:spacing w:after="0" w:line="278" w:lineRule="auto"/>
        <w:rPr>
          <w:rFonts w:ascii="宋体" w:hAnsi="Times New Roman"/>
          <w:color w:val="auto"/>
          <w:kern w:val="0"/>
          <w:szCs w:val="20"/>
        </w:rPr>
      </w:pPr>
      <w:r>
        <w:rPr>
          <w:rFonts w:hint="eastAsia" w:ascii="宋体" w:hAnsi="Times New Roman"/>
          <w:color w:val="auto"/>
          <w:kern w:val="0"/>
          <w:szCs w:val="20"/>
        </w:rPr>
        <w:t>日常维护按照使用单位和制造单位说明书的规定进行，日常维护的内容至少包含：</w:t>
      </w:r>
    </w:p>
    <w:p w14:paraId="29604C5F">
      <w:pPr>
        <w:widowControl/>
        <w:numPr>
          <w:ilvl w:val="0"/>
          <w:numId w:val="48"/>
        </w:numPr>
        <w:adjustRightInd/>
        <w:spacing w:after="0" w:line="278" w:lineRule="auto"/>
        <w:rPr>
          <w:rFonts w:ascii="宋体" w:hAnsi="Times New Roman"/>
          <w:color w:val="auto"/>
          <w:kern w:val="0"/>
          <w:szCs w:val="20"/>
        </w:rPr>
      </w:pPr>
      <w:r>
        <w:rPr>
          <w:rFonts w:hint="eastAsia" w:ascii="宋体" w:hAnsi="Times New Roman"/>
          <w:color w:val="auto"/>
          <w:kern w:val="0"/>
          <w:szCs w:val="20"/>
        </w:rPr>
        <w:t>清理基础、轨道上的垃圾、冰雪及其他障碍物；</w:t>
      </w:r>
    </w:p>
    <w:p w14:paraId="6E5E9CB2">
      <w:pPr>
        <w:widowControl/>
        <w:numPr>
          <w:ilvl w:val="0"/>
          <w:numId w:val="48"/>
        </w:numPr>
        <w:adjustRightInd/>
        <w:spacing w:after="0" w:line="278" w:lineRule="auto"/>
        <w:rPr>
          <w:rFonts w:ascii="宋体" w:hAnsi="Times New Roman"/>
          <w:color w:val="auto"/>
          <w:kern w:val="0"/>
          <w:szCs w:val="20"/>
        </w:rPr>
      </w:pPr>
      <w:r>
        <w:rPr>
          <w:rFonts w:hint="eastAsia" w:ascii="宋体" w:hAnsi="Times New Roman"/>
          <w:color w:val="auto"/>
          <w:kern w:val="0"/>
          <w:szCs w:val="20"/>
        </w:rPr>
        <w:t>清理基础积水、结构上的积水；</w:t>
      </w:r>
    </w:p>
    <w:p w14:paraId="3EAE3DBE">
      <w:pPr>
        <w:widowControl/>
        <w:numPr>
          <w:ilvl w:val="0"/>
          <w:numId w:val="48"/>
        </w:numPr>
        <w:adjustRightInd/>
        <w:spacing w:after="0" w:line="278" w:lineRule="auto"/>
        <w:rPr>
          <w:rFonts w:ascii="宋体" w:hAnsi="Times New Roman"/>
          <w:color w:val="auto"/>
          <w:kern w:val="0"/>
          <w:szCs w:val="20"/>
        </w:rPr>
      </w:pPr>
      <w:r>
        <w:rPr>
          <w:rFonts w:hint="eastAsia" w:ascii="宋体" w:hAnsi="Times New Roman"/>
          <w:color w:val="auto"/>
          <w:kern w:val="0"/>
          <w:szCs w:val="20"/>
        </w:rPr>
        <w:t>清理各个工作机构部位上的油污、杂物等；</w:t>
      </w:r>
    </w:p>
    <w:p w14:paraId="3D837D36">
      <w:pPr>
        <w:widowControl/>
        <w:numPr>
          <w:ilvl w:val="0"/>
          <w:numId w:val="48"/>
        </w:numPr>
        <w:adjustRightInd/>
        <w:spacing w:after="0" w:line="278" w:lineRule="auto"/>
        <w:rPr>
          <w:rFonts w:ascii="宋体" w:hAnsi="Times New Roman"/>
          <w:color w:val="auto"/>
          <w:kern w:val="0"/>
          <w:szCs w:val="20"/>
        </w:rPr>
      </w:pPr>
      <w:r>
        <w:rPr>
          <w:rFonts w:hint="eastAsia" w:ascii="宋体" w:hAnsi="Times New Roman"/>
          <w:color w:val="auto"/>
          <w:kern w:val="0"/>
          <w:szCs w:val="20"/>
        </w:rPr>
        <w:t>清洁司机室玻璃。</w:t>
      </w:r>
    </w:p>
    <w:p w14:paraId="78675CA0">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定期维护</w:t>
      </w:r>
    </w:p>
    <w:p w14:paraId="3059686D">
      <w:pPr>
        <w:widowControl/>
        <w:numPr>
          <w:ilvl w:val="4"/>
          <w:numId w:val="2"/>
        </w:numPr>
        <w:adjustRightInd/>
        <w:spacing w:after="0" w:line="240" w:lineRule="auto"/>
        <w:rPr>
          <w:rFonts w:ascii="宋体" w:hAnsi="Times New Roman"/>
          <w:color w:val="auto"/>
          <w:kern w:val="0"/>
          <w:szCs w:val="20"/>
        </w:rPr>
      </w:pPr>
      <w:r>
        <w:rPr>
          <w:rFonts w:hint="eastAsia" w:ascii="宋体" w:hAnsi="Times New Roman"/>
          <w:color w:val="auto"/>
          <w:kern w:val="0"/>
          <w:szCs w:val="20"/>
        </w:rPr>
        <w:t>定期维护应由专业人员进行。</w:t>
      </w:r>
    </w:p>
    <w:p w14:paraId="7107F2A3">
      <w:pPr>
        <w:widowControl/>
        <w:numPr>
          <w:ilvl w:val="4"/>
          <w:numId w:val="2"/>
        </w:numPr>
        <w:adjustRightInd/>
        <w:spacing w:after="0" w:line="240" w:lineRule="auto"/>
        <w:rPr>
          <w:rFonts w:ascii="宋体" w:hAnsi="Times New Roman"/>
          <w:color w:val="auto"/>
          <w:kern w:val="0"/>
          <w:szCs w:val="20"/>
        </w:rPr>
      </w:pPr>
      <w:r>
        <w:rPr>
          <w:rFonts w:hint="eastAsia" w:ascii="宋体" w:hAnsi="Times New Roman"/>
          <w:color w:val="auto"/>
          <w:kern w:val="0"/>
          <w:szCs w:val="20"/>
        </w:rPr>
        <w:t>定期维护包括周、月、季、年、移装、停用维护、停用后的复工维护，维护的内容可参见GB/T 31052.3—2016中6.1.2的规定。</w:t>
      </w:r>
    </w:p>
    <w:p w14:paraId="58F45DA3">
      <w:pPr>
        <w:widowControl/>
        <w:numPr>
          <w:ilvl w:val="4"/>
          <w:numId w:val="2"/>
        </w:numPr>
        <w:adjustRightInd/>
        <w:spacing w:after="0" w:line="240" w:lineRule="auto"/>
        <w:rPr>
          <w:rFonts w:ascii="宋体" w:hAnsi="Times New Roman"/>
          <w:color w:val="auto"/>
          <w:kern w:val="0"/>
          <w:szCs w:val="20"/>
        </w:rPr>
      </w:pPr>
      <w:r>
        <w:rPr>
          <w:rFonts w:hint="eastAsia" w:ascii="宋体" w:hAnsi="Times New Roman"/>
          <w:color w:val="auto"/>
          <w:kern w:val="0"/>
          <w:szCs w:val="20"/>
        </w:rPr>
        <w:t>维护内容完成后，使用单位应组织进行验收合格后才能恢复使用。</w:t>
      </w:r>
    </w:p>
    <w:p w14:paraId="31B90AF6">
      <w:pPr>
        <w:numPr>
          <w:ilvl w:val="3"/>
          <w:numId w:val="2"/>
        </w:numPr>
        <w:adjustRightInd/>
        <w:spacing w:before="120" w:beforeLines="50" w:after="120" w:afterLines="50" w:line="240" w:lineRule="auto"/>
        <w:outlineLvl w:val="2"/>
        <w:rPr>
          <w:rFonts w:ascii="黑体" w:hAnsi="Times New Roman" w:eastAsia="黑体"/>
          <w:color w:val="auto"/>
          <w:kern w:val="0"/>
          <w:szCs w:val="20"/>
        </w:rPr>
      </w:pPr>
      <w:r>
        <w:rPr>
          <w:rFonts w:hint="eastAsia" w:ascii="黑体" w:hAnsi="Times New Roman" w:eastAsia="黑体"/>
          <w:color w:val="auto"/>
          <w:kern w:val="0"/>
          <w:szCs w:val="20"/>
        </w:rPr>
        <w:t>维护的安全预防措施</w:t>
      </w:r>
    </w:p>
    <w:p w14:paraId="22E6438E">
      <w:pPr>
        <w:widowControl/>
        <w:autoSpaceDE w:val="0"/>
        <w:autoSpaceDN w:val="0"/>
        <w:adjustRightInd/>
        <w:spacing w:after="0" w:line="278" w:lineRule="auto"/>
        <w:ind w:firstLine="420" w:firstLineChars="200"/>
        <w:rPr>
          <w:rFonts w:ascii="宋体" w:hAnsi="Times New Roman"/>
          <w:color w:val="auto"/>
          <w:kern w:val="0"/>
          <w:szCs w:val="20"/>
        </w:rPr>
      </w:pPr>
      <w:r>
        <w:rPr>
          <w:rFonts w:hint="eastAsia" w:ascii="宋体" w:hAnsi="Times New Roman"/>
          <w:color w:val="auto"/>
          <w:kern w:val="0"/>
          <w:szCs w:val="20"/>
        </w:rPr>
        <w:t>维护的安全预防措施如下：</w:t>
      </w:r>
    </w:p>
    <w:p w14:paraId="76BA5D4C">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大风、雷雨、冰雪严寒、大雾等恶劣天气下,不应在室外进行维护作业；</w:t>
      </w:r>
    </w:p>
    <w:p w14:paraId="669A2E15">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塔机应停放在不受干扰的区域；</w:t>
      </w:r>
    </w:p>
    <w:p w14:paraId="43E6D709">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若塔机上带有载荷,应将载荷卸下；</w:t>
      </w:r>
    </w:p>
    <w:p w14:paraId="09D45455">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应设有“正在维护”的警示标志,或者控制器或操作仪表盘的开关应被锁定在“断开”挡位,应只有维护人员才能进行标识和锁定；</w:t>
      </w:r>
    </w:p>
    <w:p w14:paraId="31B3EF1C">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如果上方的维护作业会对下方造成危险时,应在下方使用警示标志和设置警戒区域；</w:t>
      </w:r>
    </w:p>
    <w:p w14:paraId="5EE8E1C8">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维护工作完成后,应拆除维护中采取的临时设施,并清理现场；</w:t>
      </w:r>
    </w:p>
    <w:p w14:paraId="272AA2FA">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在拆卸机构前，应对机构进行卸载；</w:t>
      </w:r>
    </w:p>
    <w:p w14:paraId="29BB2B2F">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维护人员应配备个人随身保护装置(如:防护鞋、安全帽、安全带、防坠器或防护眼镜等);如果在维护中存在高处坠落危险的情况,则应合理防护；</w:t>
      </w:r>
    </w:p>
    <w:p w14:paraId="0C74862A">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维护时应有足够的照明，局部照明应使用安全电压的灯具；</w:t>
      </w:r>
    </w:p>
    <w:p w14:paraId="6D4BB5CC">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应采取防止触电的措施；</w:t>
      </w:r>
    </w:p>
    <w:p w14:paraId="0C8A4A53">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应使用安全可靠的工具；</w:t>
      </w:r>
    </w:p>
    <w:p w14:paraId="30520554">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焊接时,应采取适当的防护；</w:t>
      </w:r>
    </w:p>
    <w:p w14:paraId="55A343AD">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维护时应采取必要的消防措施；</w:t>
      </w:r>
    </w:p>
    <w:p w14:paraId="73682DB8">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检查绝缘电阻时应对塔机上的电子设备进行防护；</w:t>
      </w:r>
    </w:p>
    <w:p w14:paraId="7EAEDEEE">
      <w:pPr>
        <w:widowControl/>
        <w:numPr>
          <w:ilvl w:val="0"/>
          <w:numId w:val="49"/>
        </w:numPr>
        <w:adjustRightInd/>
        <w:spacing w:after="0" w:line="278" w:lineRule="auto"/>
        <w:rPr>
          <w:rFonts w:ascii="宋体" w:hAnsi="Times New Roman"/>
          <w:color w:val="auto"/>
          <w:kern w:val="0"/>
          <w:szCs w:val="20"/>
        </w:rPr>
      </w:pPr>
      <w:r>
        <w:rPr>
          <w:rFonts w:hint="eastAsia" w:ascii="宋体" w:hAnsi="Times New Roman"/>
          <w:color w:val="auto"/>
          <w:kern w:val="0"/>
          <w:szCs w:val="20"/>
        </w:rPr>
        <w:t>有防止工具、零散物料等从高处坠落的措施。</w:t>
      </w:r>
    </w:p>
    <w:p w14:paraId="15AB50AB">
      <w:pPr>
        <w:pStyle w:val="126"/>
        <w:spacing w:before="240" w:after="240"/>
        <w:ind w:left="0"/>
        <w:rPr>
          <w:color w:val="auto"/>
        </w:rPr>
      </w:pPr>
      <w:bookmarkStart w:id="90" w:name="_Toc197422438"/>
      <w:bookmarkStart w:id="91" w:name="_Hlk195173683"/>
      <w:r>
        <w:rPr>
          <w:rFonts w:hint="eastAsia"/>
          <w:color w:val="auto"/>
        </w:rPr>
        <w:t>专项安全技术措施</w:t>
      </w:r>
      <w:bookmarkEnd w:id="90"/>
    </w:p>
    <w:p w14:paraId="68425B81">
      <w:pPr>
        <w:pStyle w:val="127"/>
        <w:spacing w:before="120" w:after="120"/>
        <w:rPr>
          <w:color w:val="auto"/>
        </w:rPr>
      </w:pPr>
      <w:bookmarkStart w:id="92" w:name="_Toc197422439"/>
      <w:r>
        <w:rPr>
          <w:rFonts w:hint="eastAsia"/>
          <w:color w:val="auto"/>
        </w:rPr>
        <w:t>特殊环境管理要求</w:t>
      </w:r>
      <w:bookmarkEnd w:id="92"/>
      <w:r>
        <w:rPr>
          <w:rFonts w:hint="eastAsia"/>
          <w:color w:val="auto"/>
        </w:rPr>
        <w:t xml:space="preserve">  </w:t>
      </w:r>
    </w:p>
    <w:bookmarkEnd w:id="91"/>
    <w:p w14:paraId="54BD4438">
      <w:pPr>
        <w:pStyle w:val="187"/>
        <w:rPr>
          <w:color w:val="auto"/>
        </w:rPr>
      </w:pPr>
      <w:r>
        <w:rPr>
          <w:rFonts w:hint="eastAsia"/>
          <w:color w:val="auto"/>
        </w:rPr>
        <w:t>沿海、潮湿、盐雾及台风环境下的</w:t>
      </w:r>
      <w:r>
        <w:rPr>
          <w:color w:val="auto"/>
        </w:rPr>
        <w:t>电气装置</w:t>
      </w:r>
      <w:r>
        <w:rPr>
          <w:rFonts w:hint="eastAsia"/>
          <w:color w:val="auto"/>
        </w:rPr>
        <w:t>至少应采取以下措施进行防护：</w:t>
      </w:r>
    </w:p>
    <w:p w14:paraId="7BEF08CF">
      <w:pPr>
        <w:pStyle w:val="196"/>
        <w:numPr>
          <w:ilvl w:val="0"/>
          <w:numId w:val="50"/>
        </w:numPr>
        <w:spacing w:after="0"/>
        <w:rPr>
          <w:color w:val="auto"/>
        </w:rPr>
      </w:pPr>
      <w:r>
        <w:rPr>
          <w:rFonts w:hint="eastAsia"/>
          <w:color w:val="auto"/>
        </w:rPr>
        <w:t>户外电气设备的防护等级不应低于IP54；</w:t>
      </w:r>
    </w:p>
    <w:p w14:paraId="1C31DFB1">
      <w:pPr>
        <w:pStyle w:val="196"/>
        <w:numPr>
          <w:ilvl w:val="0"/>
          <w:numId w:val="50"/>
        </w:numPr>
        <w:spacing w:after="0"/>
        <w:rPr>
          <w:color w:val="auto"/>
        </w:rPr>
      </w:pPr>
      <w:r>
        <w:rPr>
          <w:rFonts w:hint="eastAsia"/>
          <w:color w:val="auto"/>
        </w:rPr>
        <w:t>排风口与散热口应</w:t>
      </w:r>
      <w:r>
        <w:rPr>
          <w:color w:val="auto"/>
        </w:rPr>
        <w:t>设置</w:t>
      </w:r>
      <w:r>
        <w:rPr>
          <w:rFonts w:hint="eastAsia"/>
          <w:color w:val="auto"/>
        </w:rPr>
        <w:t>防雨水倒灌结构；</w:t>
      </w:r>
    </w:p>
    <w:p w14:paraId="405F51C2">
      <w:pPr>
        <w:pStyle w:val="196"/>
        <w:numPr>
          <w:ilvl w:val="0"/>
          <w:numId w:val="50"/>
        </w:numPr>
        <w:spacing w:after="0"/>
        <w:rPr>
          <w:color w:val="auto"/>
        </w:rPr>
      </w:pPr>
      <w:r>
        <w:rPr>
          <w:rFonts w:hint="eastAsia"/>
          <w:color w:val="auto"/>
        </w:rPr>
        <w:t>线路板及电气件应</w:t>
      </w:r>
      <w:r>
        <w:rPr>
          <w:color w:val="auto"/>
        </w:rPr>
        <w:t>实施防潮、防盐雾、防霉菌特殊处理</w:t>
      </w:r>
      <w:r>
        <w:rPr>
          <w:rFonts w:hint="eastAsia"/>
          <w:color w:val="auto"/>
        </w:rPr>
        <w:t>；</w:t>
      </w:r>
    </w:p>
    <w:p w14:paraId="23D04BC1">
      <w:pPr>
        <w:pStyle w:val="196"/>
        <w:numPr>
          <w:ilvl w:val="0"/>
          <w:numId w:val="50"/>
        </w:numPr>
        <w:spacing w:after="0"/>
        <w:rPr>
          <w:color w:val="auto"/>
        </w:rPr>
      </w:pPr>
      <w:r>
        <w:rPr>
          <w:rFonts w:hint="eastAsia"/>
          <w:color w:val="auto"/>
        </w:rPr>
        <w:t>可拆卸检修部位的</w:t>
      </w:r>
      <w:r>
        <w:rPr>
          <w:color w:val="auto"/>
        </w:rPr>
        <w:t>紧固件须采取</w:t>
      </w:r>
      <w:r>
        <w:rPr>
          <w:rFonts w:hint="eastAsia"/>
          <w:color w:val="auto"/>
        </w:rPr>
        <w:t>防盐雾腐蚀处理措施；</w:t>
      </w:r>
    </w:p>
    <w:p w14:paraId="08F70182">
      <w:pPr>
        <w:pStyle w:val="196"/>
        <w:numPr>
          <w:ilvl w:val="0"/>
          <w:numId w:val="50"/>
        </w:numPr>
        <w:spacing w:after="0"/>
        <w:rPr>
          <w:color w:val="auto"/>
        </w:rPr>
      </w:pPr>
      <w:r>
        <w:rPr>
          <w:rFonts w:hint="eastAsia"/>
          <w:color w:val="auto"/>
        </w:rPr>
        <w:t>露天安装的</w:t>
      </w:r>
      <w:r>
        <w:rPr>
          <w:color w:val="auto"/>
        </w:rPr>
        <w:t>电气连接件应具有耐腐蚀性能</w:t>
      </w:r>
      <w:r>
        <w:rPr>
          <w:rFonts w:hint="eastAsia"/>
          <w:color w:val="auto"/>
        </w:rPr>
        <w:t>。</w:t>
      </w:r>
    </w:p>
    <w:p w14:paraId="07019C44">
      <w:pPr>
        <w:pStyle w:val="187"/>
        <w:rPr>
          <w:color w:val="auto"/>
        </w:rPr>
      </w:pPr>
      <w:bookmarkStart w:id="93" w:name="_Hlk197546710"/>
      <w:r>
        <w:rPr>
          <w:rFonts w:hint="eastAsia"/>
          <w:color w:val="auto"/>
        </w:rPr>
        <w:t>电动机使用地点的海拔超过1000m或使用环境温度与其额定环境温度不一致时，应根据制造单位相关文件进行降容处理</w:t>
      </w:r>
      <w:bookmarkEnd w:id="93"/>
      <w:r>
        <w:rPr>
          <w:rFonts w:hint="eastAsia"/>
          <w:color w:val="auto"/>
        </w:rPr>
        <w:t>。</w:t>
      </w:r>
    </w:p>
    <w:p w14:paraId="63D48D7B">
      <w:pPr>
        <w:pStyle w:val="187"/>
        <w:rPr>
          <w:color w:val="auto"/>
        </w:rPr>
      </w:pPr>
      <w:r>
        <w:rPr>
          <w:rFonts w:hint="eastAsia"/>
          <w:color w:val="auto"/>
        </w:rPr>
        <w:t>塔机使用环境温度低于-25℃时，液压油箱或电气室应采取加热保温措施，并按制造单位说明文件，选用抗低温环境的润滑油。</w:t>
      </w:r>
    </w:p>
    <w:p w14:paraId="6C448B09">
      <w:pPr>
        <w:pStyle w:val="127"/>
        <w:spacing w:before="120" w:after="120"/>
        <w:rPr>
          <w:color w:val="auto"/>
        </w:rPr>
      </w:pPr>
      <w:bookmarkStart w:id="94" w:name="_Toc197422440"/>
      <w:r>
        <w:rPr>
          <w:rFonts w:hint="eastAsia"/>
          <w:color w:val="auto"/>
        </w:rPr>
        <w:t>防风和防台风措施</w:t>
      </w:r>
      <w:bookmarkEnd w:id="94"/>
      <w:r>
        <w:rPr>
          <w:rFonts w:hint="eastAsia"/>
          <w:color w:val="auto"/>
        </w:rPr>
        <w:t xml:space="preserve">   </w:t>
      </w:r>
    </w:p>
    <w:p w14:paraId="1C96D2EE">
      <w:pPr>
        <w:pStyle w:val="87"/>
        <w:spacing w:before="120" w:after="120"/>
        <w:rPr>
          <w:color w:val="auto"/>
        </w:rPr>
      </w:pPr>
      <w:r>
        <w:rPr>
          <w:rFonts w:hint="eastAsia"/>
          <w:color w:val="auto"/>
        </w:rPr>
        <w:t>防风基本措施</w:t>
      </w:r>
    </w:p>
    <w:p w14:paraId="6126B546">
      <w:pPr>
        <w:pStyle w:val="186"/>
        <w:rPr>
          <w:color w:val="auto"/>
        </w:rPr>
      </w:pPr>
      <w:r>
        <w:rPr>
          <w:rFonts w:hAnsi="宋体"/>
          <w:color w:val="auto"/>
          <w:kern w:val="2"/>
          <w:szCs w:val="22"/>
        </w:rPr>
        <w:t>当塔</w:t>
      </w:r>
      <w:r>
        <w:rPr>
          <w:rFonts w:hint="eastAsia" w:hAnsi="宋体"/>
          <w:color w:val="auto"/>
          <w:kern w:val="2"/>
          <w:szCs w:val="22"/>
        </w:rPr>
        <w:t>顶</w:t>
      </w:r>
      <w:r>
        <w:rPr>
          <w:rFonts w:hAnsi="宋体"/>
          <w:color w:val="auto"/>
          <w:kern w:val="2"/>
          <w:szCs w:val="22"/>
        </w:rPr>
        <w:t>风速</w:t>
      </w:r>
      <w:r>
        <w:rPr>
          <w:rFonts w:hint="eastAsia" w:hAnsi="宋体"/>
          <w:color w:val="auto"/>
          <w:kern w:val="2"/>
          <w:szCs w:val="22"/>
        </w:rPr>
        <w:t>达到20</w:t>
      </w:r>
      <w:r>
        <w:rPr>
          <w:rFonts w:hAnsi="宋体"/>
          <w:color w:val="auto"/>
          <w:kern w:val="2"/>
          <w:szCs w:val="22"/>
        </w:rPr>
        <w:t>m/s时，应立即停止作业，</w:t>
      </w:r>
      <w:r>
        <w:rPr>
          <w:rFonts w:hint="eastAsia" w:hAnsi="宋体"/>
          <w:color w:val="auto"/>
          <w:kern w:val="2"/>
          <w:szCs w:val="22"/>
        </w:rPr>
        <w:t>小车变幅塔机应将</w:t>
      </w:r>
      <w:r>
        <w:rPr>
          <w:rFonts w:hAnsi="宋体"/>
          <w:color w:val="auto"/>
          <w:kern w:val="2"/>
          <w:szCs w:val="22"/>
        </w:rPr>
        <w:t>变幅小车回收至</w:t>
      </w:r>
      <w:r>
        <w:rPr>
          <w:rFonts w:hint="eastAsia" w:hAnsi="宋体"/>
          <w:color w:val="auto"/>
          <w:kern w:val="2"/>
          <w:szCs w:val="22"/>
        </w:rPr>
        <w:t>起重臂根部</w:t>
      </w:r>
      <w:r>
        <w:rPr>
          <w:rFonts w:hAnsi="宋体"/>
          <w:color w:val="auto"/>
          <w:kern w:val="2"/>
          <w:szCs w:val="22"/>
        </w:rPr>
        <w:t>并</w:t>
      </w:r>
      <w:r>
        <w:rPr>
          <w:rFonts w:hint="eastAsia" w:hAnsi="宋体"/>
          <w:color w:val="auto"/>
          <w:kern w:val="2"/>
          <w:szCs w:val="22"/>
        </w:rPr>
        <w:t>固定牢固</w:t>
      </w:r>
      <w:r>
        <w:rPr>
          <w:rFonts w:hAnsi="宋体"/>
          <w:color w:val="auto"/>
          <w:kern w:val="2"/>
          <w:szCs w:val="22"/>
        </w:rPr>
        <w:t>，</w:t>
      </w:r>
      <w:r>
        <w:rPr>
          <w:rFonts w:hint="eastAsia" w:hAnsi="宋体"/>
          <w:color w:val="auto"/>
          <w:kern w:val="2"/>
          <w:szCs w:val="22"/>
        </w:rPr>
        <w:t>动臂变幅塔机应将起重臂变幅至说明书规定的角度，并将吊钩收至说明书规定位置。且应</w:t>
      </w:r>
      <w:r>
        <w:rPr>
          <w:rFonts w:hAnsi="宋体"/>
          <w:color w:val="auto"/>
          <w:kern w:val="2"/>
          <w:szCs w:val="22"/>
        </w:rPr>
        <w:t>摘除吊索具，锁紧驾驶室门窗和电控箱门，关闭主电源，切断塔机独立配电箱电源，确认有效后人员及时撤离至安全地带。</w:t>
      </w:r>
    </w:p>
    <w:p w14:paraId="25051CD7">
      <w:pPr>
        <w:pStyle w:val="186"/>
        <w:rPr>
          <w:color w:val="auto"/>
        </w:rPr>
      </w:pPr>
      <w:r>
        <w:rPr>
          <w:rFonts w:hAnsi="宋体"/>
          <w:color w:val="auto"/>
          <w:kern w:val="2"/>
          <w:szCs w:val="22"/>
        </w:rPr>
        <w:t>回转机构必须打开</w:t>
      </w:r>
      <w:r>
        <w:rPr>
          <w:rFonts w:hint="eastAsia" w:hAnsi="宋体"/>
          <w:color w:val="auto"/>
          <w:kern w:val="2"/>
          <w:szCs w:val="22"/>
        </w:rPr>
        <w:t>制动</w:t>
      </w:r>
      <w:r>
        <w:rPr>
          <w:rFonts w:hAnsi="宋体"/>
          <w:color w:val="auto"/>
          <w:kern w:val="2"/>
          <w:szCs w:val="22"/>
        </w:rPr>
        <w:t>，确保塔机可以</w:t>
      </w:r>
      <w:bookmarkStart w:id="95" w:name="_Hlk197014647"/>
      <w:r>
        <w:rPr>
          <w:rFonts w:hAnsi="宋体"/>
          <w:color w:val="auto"/>
          <w:kern w:val="2"/>
          <w:szCs w:val="22"/>
        </w:rPr>
        <w:t>360°自由回转</w:t>
      </w:r>
      <w:bookmarkEnd w:id="95"/>
      <w:r>
        <w:rPr>
          <w:rFonts w:hAnsi="宋体"/>
          <w:color w:val="auto"/>
          <w:kern w:val="2"/>
          <w:szCs w:val="22"/>
        </w:rPr>
        <w:t>。</w:t>
      </w:r>
    </w:p>
    <w:p w14:paraId="503038D9">
      <w:pPr>
        <w:pStyle w:val="186"/>
        <w:rPr>
          <w:color w:val="auto"/>
        </w:rPr>
      </w:pPr>
      <w:r>
        <w:rPr>
          <w:rFonts w:hint="eastAsia" w:hAnsi="宋体"/>
          <w:color w:val="auto"/>
        </w:rPr>
        <w:t>塔机上</w:t>
      </w:r>
      <w:r>
        <w:rPr>
          <w:rFonts w:hAnsi="宋体"/>
          <w:color w:val="auto"/>
        </w:rPr>
        <w:t>存</w:t>
      </w:r>
      <w:r>
        <w:rPr>
          <w:rFonts w:hint="eastAsia" w:hAnsi="宋体"/>
          <w:color w:val="auto"/>
        </w:rPr>
        <w:t>在</w:t>
      </w:r>
      <w:r>
        <w:rPr>
          <w:rFonts w:hAnsi="宋体"/>
          <w:color w:val="auto"/>
        </w:rPr>
        <w:t>易坠物品</w:t>
      </w:r>
      <w:r>
        <w:rPr>
          <w:rFonts w:hint="eastAsia" w:hAnsi="宋体"/>
          <w:color w:val="auto"/>
        </w:rPr>
        <w:t>的</w:t>
      </w:r>
      <w:r>
        <w:rPr>
          <w:rFonts w:hAnsi="宋体"/>
          <w:color w:val="auto"/>
        </w:rPr>
        <w:t>，应及时清除</w:t>
      </w:r>
      <w:r>
        <w:rPr>
          <w:rFonts w:hint="eastAsia"/>
          <w:color w:val="auto"/>
        </w:rPr>
        <w:t>。</w:t>
      </w:r>
    </w:p>
    <w:p w14:paraId="6501C761">
      <w:pPr>
        <w:pStyle w:val="186"/>
        <w:rPr>
          <w:color w:val="auto"/>
        </w:rPr>
      </w:pPr>
      <w:r>
        <w:rPr>
          <w:rFonts w:hint="eastAsia" w:hAnsi="宋体"/>
          <w:color w:val="auto"/>
        </w:rPr>
        <w:t>塔机爬升架应按说明书要求降至规定位置</w:t>
      </w:r>
      <w:r>
        <w:rPr>
          <w:rFonts w:hint="eastAsia"/>
          <w:color w:val="auto"/>
        </w:rPr>
        <w:t>。</w:t>
      </w:r>
    </w:p>
    <w:p w14:paraId="104AB952">
      <w:pPr>
        <w:pStyle w:val="186"/>
        <w:rPr>
          <w:color w:val="auto"/>
        </w:rPr>
      </w:pPr>
      <w:r>
        <w:rPr>
          <w:rFonts w:hint="eastAsia" w:hAnsi="宋体"/>
          <w:color w:val="auto"/>
          <w:kern w:val="2"/>
          <w:szCs w:val="22"/>
        </w:rPr>
        <w:t>塔机起重臂安装长度较短时，</w:t>
      </w:r>
      <w:r>
        <w:rPr>
          <w:rFonts w:hAnsi="宋体"/>
          <w:color w:val="auto"/>
          <w:kern w:val="2"/>
          <w:szCs w:val="22"/>
        </w:rPr>
        <w:t>应按照说明书规定的位置及规格安装</w:t>
      </w:r>
      <w:r>
        <w:rPr>
          <w:rFonts w:hint="eastAsia" w:hAnsi="宋体"/>
          <w:color w:val="auto"/>
          <w:kern w:val="2"/>
          <w:szCs w:val="22"/>
        </w:rPr>
        <w:t>风牌，</w:t>
      </w:r>
      <w:r>
        <w:rPr>
          <w:rFonts w:hAnsi="宋体"/>
          <w:color w:val="auto"/>
          <w:kern w:val="2"/>
          <w:szCs w:val="22"/>
        </w:rPr>
        <w:t>风牌应与起重臂或平衡臂固定牢固</w:t>
      </w:r>
      <w:r>
        <w:rPr>
          <w:rFonts w:hint="eastAsia"/>
          <w:color w:val="auto"/>
        </w:rPr>
        <w:t>。</w:t>
      </w:r>
    </w:p>
    <w:p w14:paraId="1DB4338A">
      <w:pPr>
        <w:pStyle w:val="186"/>
        <w:rPr>
          <w:color w:val="auto"/>
        </w:rPr>
      </w:pPr>
      <w:r>
        <w:rPr>
          <w:rFonts w:hAnsi="宋体"/>
          <w:color w:val="auto"/>
        </w:rPr>
        <w:t>塔机安拆前</w:t>
      </w:r>
      <w:r>
        <w:rPr>
          <w:rFonts w:hint="eastAsia" w:hAnsi="宋体"/>
          <w:color w:val="auto"/>
        </w:rPr>
        <w:t>，</w:t>
      </w:r>
      <w:r>
        <w:rPr>
          <w:rFonts w:hAnsi="宋体"/>
          <w:color w:val="auto"/>
        </w:rPr>
        <w:t>应提前了解</w:t>
      </w:r>
      <w:r>
        <w:rPr>
          <w:rFonts w:hint="eastAsia" w:hAnsi="宋体"/>
          <w:color w:val="auto"/>
        </w:rPr>
        <w:t>气象</w:t>
      </w:r>
      <w:r>
        <w:rPr>
          <w:rFonts w:hAnsi="宋体"/>
          <w:color w:val="auto"/>
        </w:rPr>
        <w:t>情况，如安拆过程中可能遇到大风天气，应</w:t>
      </w:r>
      <w:r>
        <w:rPr>
          <w:rFonts w:hint="eastAsia" w:hAnsi="宋体"/>
          <w:color w:val="auto"/>
        </w:rPr>
        <w:t>及时调整</w:t>
      </w:r>
      <w:r>
        <w:rPr>
          <w:rFonts w:hAnsi="宋体"/>
          <w:color w:val="auto"/>
        </w:rPr>
        <w:t>安拆计划</w:t>
      </w:r>
      <w:r>
        <w:rPr>
          <w:rFonts w:hint="eastAsia"/>
          <w:color w:val="auto"/>
        </w:rPr>
        <w:t>。</w:t>
      </w:r>
    </w:p>
    <w:p w14:paraId="252A0A2E">
      <w:pPr>
        <w:pStyle w:val="186"/>
        <w:rPr>
          <w:color w:val="auto"/>
        </w:rPr>
      </w:pPr>
      <w:r>
        <w:rPr>
          <w:rFonts w:hint="eastAsia"/>
          <w:color w:val="auto"/>
        </w:rPr>
        <w:t>风电动臂塔机当风机高于臂架，不能自由回转时，应严格按照说明书对应风速等级采取相应防风措施。</w:t>
      </w:r>
    </w:p>
    <w:p w14:paraId="58D54068">
      <w:pPr>
        <w:pStyle w:val="186"/>
        <w:rPr>
          <w:color w:val="auto"/>
        </w:rPr>
      </w:pPr>
      <w:r>
        <w:rPr>
          <w:rFonts w:hint="eastAsia"/>
          <w:color w:val="auto"/>
        </w:rPr>
        <w:t>当塔机回转范围内有障碍物，不能360°自由回转时，应根据制造单位的要求和现场实际情况的制定专门措施。</w:t>
      </w:r>
    </w:p>
    <w:p w14:paraId="0814AA61">
      <w:pPr>
        <w:pStyle w:val="87"/>
        <w:spacing w:before="120" w:after="120"/>
        <w:rPr>
          <w:color w:val="auto"/>
        </w:rPr>
      </w:pPr>
      <w:r>
        <w:rPr>
          <w:rFonts w:hint="eastAsia"/>
          <w:color w:val="auto"/>
        </w:rPr>
        <w:t>防台风措施</w:t>
      </w:r>
    </w:p>
    <w:p w14:paraId="1BD9017D">
      <w:pPr>
        <w:pStyle w:val="186"/>
        <w:rPr>
          <w:color w:val="auto"/>
        </w:rPr>
      </w:pPr>
      <w:r>
        <w:rPr>
          <w:rFonts w:hint="eastAsia" w:hAnsi="宋体"/>
          <w:color w:val="auto"/>
          <w:kern w:val="2"/>
          <w:szCs w:val="22"/>
        </w:rPr>
        <w:t>受台风影响</w:t>
      </w:r>
      <w:r>
        <w:rPr>
          <w:rFonts w:hAnsi="宋体"/>
          <w:color w:val="auto"/>
          <w:kern w:val="2"/>
          <w:szCs w:val="22"/>
        </w:rPr>
        <w:t>地区使用的塔机，</w:t>
      </w:r>
      <w:r>
        <w:rPr>
          <w:rFonts w:hint="eastAsia" w:hAnsi="宋体"/>
          <w:color w:val="auto"/>
          <w:kern w:val="2"/>
          <w:szCs w:val="22"/>
        </w:rPr>
        <w:t>应</w:t>
      </w:r>
      <w:r>
        <w:rPr>
          <w:rFonts w:hAnsi="宋体"/>
          <w:color w:val="auto"/>
          <w:kern w:val="2"/>
          <w:szCs w:val="22"/>
        </w:rPr>
        <w:t>考虑台风</w:t>
      </w:r>
      <w:r>
        <w:rPr>
          <w:rFonts w:hint="eastAsia" w:hAnsi="宋体"/>
          <w:color w:val="auto"/>
          <w:kern w:val="2"/>
          <w:szCs w:val="22"/>
        </w:rPr>
        <w:t>对塔机的</w:t>
      </w:r>
      <w:r>
        <w:rPr>
          <w:rFonts w:hAnsi="宋体"/>
          <w:color w:val="auto"/>
          <w:kern w:val="2"/>
          <w:szCs w:val="22"/>
        </w:rPr>
        <w:t>影响。</w:t>
      </w:r>
      <w:r>
        <w:rPr>
          <w:rFonts w:hint="eastAsia" w:hAnsi="宋体"/>
          <w:color w:val="auto"/>
          <w:kern w:val="2"/>
          <w:szCs w:val="22"/>
        </w:rPr>
        <w:t>可根据当地气象资料提供的10m高处50年一遇的10min时距平均暴风风速，结合现场各单位要求制定</w:t>
      </w:r>
      <w:r>
        <w:rPr>
          <w:rFonts w:hAnsi="宋体"/>
          <w:color w:val="auto"/>
          <w:kern w:val="2"/>
          <w:szCs w:val="22"/>
        </w:rPr>
        <w:t>塔机</w:t>
      </w:r>
      <w:r>
        <w:rPr>
          <w:rFonts w:hint="eastAsia" w:hAnsi="宋体"/>
          <w:color w:val="auto"/>
          <w:kern w:val="2"/>
          <w:szCs w:val="22"/>
        </w:rPr>
        <w:t>防</w:t>
      </w:r>
      <w:r>
        <w:rPr>
          <w:rFonts w:hAnsi="宋体"/>
          <w:color w:val="auto"/>
          <w:kern w:val="2"/>
          <w:szCs w:val="22"/>
        </w:rPr>
        <w:t>台</w:t>
      </w:r>
      <w:r>
        <w:rPr>
          <w:rFonts w:hint="eastAsia" w:hAnsi="宋体"/>
          <w:color w:val="auto"/>
          <w:kern w:val="2"/>
          <w:szCs w:val="22"/>
        </w:rPr>
        <w:t>风应急预案</w:t>
      </w:r>
      <w:r>
        <w:rPr>
          <w:rFonts w:hint="eastAsia"/>
          <w:color w:val="auto"/>
        </w:rPr>
        <w:t>。</w:t>
      </w:r>
    </w:p>
    <w:p w14:paraId="6F1ADF5D">
      <w:pPr>
        <w:pStyle w:val="186"/>
        <w:rPr>
          <w:color w:val="auto"/>
        </w:rPr>
      </w:pPr>
      <w:r>
        <w:rPr>
          <w:rFonts w:hint="eastAsia" w:hAnsi="宋体"/>
          <w:color w:val="auto"/>
          <w:kern w:val="2"/>
          <w:szCs w:val="22"/>
        </w:rPr>
        <w:t>塔机可以360°自由回转的情况下，</w:t>
      </w:r>
      <w:r>
        <w:rPr>
          <w:rFonts w:hAnsi="宋体"/>
          <w:color w:val="auto"/>
          <w:kern w:val="2"/>
          <w:szCs w:val="22"/>
        </w:rPr>
        <w:t>应尽可能降低塔机</w:t>
      </w:r>
      <w:r>
        <w:rPr>
          <w:rFonts w:hint="eastAsia" w:hAnsi="宋体"/>
          <w:color w:val="auto"/>
          <w:kern w:val="2"/>
          <w:szCs w:val="22"/>
        </w:rPr>
        <w:t>塔身</w:t>
      </w:r>
      <w:r>
        <w:rPr>
          <w:rFonts w:hAnsi="宋体"/>
          <w:color w:val="auto"/>
          <w:kern w:val="2"/>
          <w:szCs w:val="22"/>
        </w:rPr>
        <w:t>高度。</w:t>
      </w:r>
    </w:p>
    <w:p w14:paraId="74F7F382">
      <w:pPr>
        <w:pStyle w:val="186"/>
        <w:rPr>
          <w:color w:val="auto"/>
        </w:rPr>
      </w:pPr>
      <w:r>
        <w:rPr>
          <w:rFonts w:hint="eastAsia" w:hAnsi="宋体"/>
          <w:color w:val="auto"/>
          <w:kern w:val="2"/>
          <w:szCs w:val="22"/>
        </w:rPr>
        <w:t>底架固定式</w:t>
      </w:r>
      <w:r>
        <w:rPr>
          <w:rFonts w:hAnsi="宋体"/>
          <w:color w:val="auto"/>
          <w:kern w:val="2"/>
          <w:szCs w:val="22"/>
        </w:rPr>
        <w:t>塔机应设置防台</w:t>
      </w:r>
      <w:r>
        <w:rPr>
          <w:rFonts w:hint="eastAsia" w:hAnsi="宋体"/>
          <w:color w:val="auto"/>
          <w:kern w:val="2"/>
          <w:szCs w:val="22"/>
        </w:rPr>
        <w:t>抗滑</w:t>
      </w:r>
      <w:r>
        <w:rPr>
          <w:rFonts w:hAnsi="宋体"/>
          <w:color w:val="auto"/>
          <w:kern w:val="2"/>
          <w:szCs w:val="22"/>
        </w:rPr>
        <w:t>装置与</w:t>
      </w:r>
      <w:r>
        <w:rPr>
          <w:rFonts w:hint="eastAsia" w:hAnsi="宋体"/>
          <w:color w:val="auto"/>
          <w:kern w:val="2"/>
          <w:szCs w:val="22"/>
        </w:rPr>
        <w:t>塔机</w:t>
      </w:r>
      <w:r>
        <w:rPr>
          <w:rFonts w:hAnsi="宋体"/>
          <w:color w:val="auto"/>
          <w:kern w:val="2"/>
          <w:szCs w:val="22"/>
        </w:rPr>
        <w:t>底架形成</w:t>
      </w:r>
      <w:r>
        <w:rPr>
          <w:rFonts w:hint="eastAsia" w:hAnsi="宋体"/>
          <w:color w:val="auto"/>
          <w:kern w:val="2"/>
          <w:szCs w:val="22"/>
        </w:rPr>
        <w:t>可靠联接</w:t>
      </w:r>
      <w:r>
        <w:rPr>
          <w:rFonts w:hAnsi="宋体"/>
          <w:color w:val="auto"/>
          <w:kern w:val="2"/>
          <w:szCs w:val="22"/>
        </w:rPr>
        <w:t>。</w:t>
      </w:r>
    </w:p>
    <w:p w14:paraId="6745C4D3">
      <w:pPr>
        <w:pStyle w:val="186"/>
        <w:rPr>
          <w:color w:val="auto"/>
        </w:rPr>
      </w:pPr>
      <w:r>
        <w:rPr>
          <w:rFonts w:hAnsi="宋体"/>
          <w:color w:val="auto"/>
          <w:kern w:val="2"/>
          <w:szCs w:val="22"/>
        </w:rPr>
        <w:t>行走式塔机应在台风来临前夹好夹轨器</w:t>
      </w:r>
      <w:r>
        <w:rPr>
          <w:rFonts w:hint="eastAsia" w:hAnsi="宋体"/>
          <w:color w:val="auto"/>
          <w:kern w:val="2"/>
          <w:szCs w:val="22"/>
        </w:rPr>
        <w:t>，并</w:t>
      </w:r>
      <w:r>
        <w:rPr>
          <w:rFonts w:hAnsi="宋体"/>
          <w:color w:val="auto"/>
          <w:kern w:val="2"/>
          <w:szCs w:val="22"/>
        </w:rPr>
        <w:t>设置防台</w:t>
      </w:r>
      <w:r>
        <w:rPr>
          <w:rFonts w:hint="eastAsia" w:hAnsi="宋体"/>
          <w:color w:val="auto"/>
          <w:kern w:val="2"/>
          <w:szCs w:val="22"/>
        </w:rPr>
        <w:t>抗滑</w:t>
      </w:r>
      <w:r>
        <w:rPr>
          <w:rFonts w:hAnsi="宋体"/>
          <w:color w:val="auto"/>
          <w:kern w:val="2"/>
          <w:szCs w:val="22"/>
        </w:rPr>
        <w:t>装置与</w:t>
      </w:r>
      <w:r>
        <w:rPr>
          <w:rFonts w:hint="eastAsia" w:hAnsi="宋体"/>
          <w:color w:val="auto"/>
          <w:kern w:val="2"/>
          <w:szCs w:val="22"/>
        </w:rPr>
        <w:t>塔机</w:t>
      </w:r>
      <w:r>
        <w:rPr>
          <w:rFonts w:hAnsi="宋体"/>
          <w:color w:val="auto"/>
          <w:kern w:val="2"/>
          <w:szCs w:val="22"/>
        </w:rPr>
        <w:t>行走底架形成</w:t>
      </w:r>
      <w:r>
        <w:rPr>
          <w:rFonts w:hint="eastAsia" w:hAnsi="宋体"/>
          <w:color w:val="auto"/>
          <w:kern w:val="2"/>
          <w:szCs w:val="22"/>
        </w:rPr>
        <w:t>可靠联接</w:t>
      </w:r>
      <w:r>
        <w:rPr>
          <w:rFonts w:hAnsi="宋体"/>
          <w:color w:val="auto"/>
          <w:kern w:val="2"/>
          <w:szCs w:val="22"/>
        </w:rPr>
        <w:t>。</w:t>
      </w:r>
    </w:p>
    <w:p w14:paraId="7A9CC391">
      <w:pPr>
        <w:pStyle w:val="186"/>
        <w:rPr>
          <w:color w:val="auto"/>
        </w:rPr>
      </w:pPr>
      <w:r>
        <w:rPr>
          <w:rFonts w:hint="eastAsia" w:hAnsi="宋体"/>
          <w:color w:val="auto"/>
          <w:kern w:val="2"/>
          <w:szCs w:val="22"/>
        </w:rPr>
        <w:t>风电动臂塔机应按照说明书规定采取防台措施。</w:t>
      </w:r>
    </w:p>
    <w:p w14:paraId="6B07879C">
      <w:pPr>
        <w:pStyle w:val="186"/>
        <w:rPr>
          <w:color w:val="auto"/>
        </w:rPr>
      </w:pPr>
      <w:r>
        <w:rPr>
          <w:rFonts w:hint="eastAsia"/>
          <w:color w:val="auto"/>
        </w:rPr>
        <w:t>塔机塔身及各部位的连接螺栓、销轴、开口销应全面检查，确保联接牢固可靠。</w:t>
      </w:r>
    </w:p>
    <w:p w14:paraId="1AEA6848">
      <w:pPr>
        <w:pStyle w:val="186"/>
        <w:rPr>
          <w:color w:val="auto"/>
        </w:rPr>
      </w:pPr>
      <w:r>
        <w:rPr>
          <w:rFonts w:hAnsi="宋体"/>
          <w:color w:val="auto"/>
          <w:kern w:val="2"/>
          <w:szCs w:val="22"/>
        </w:rPr>
        <w:t>塔机附着装置应全面检查，确保无</w:t>
      </w:r>
      <w:r>
        <w:rPr>
          <w:rFonts w:hint="eastAsia" w:hAnsi="宋体"/>
          <w:color w:val="auto"/>
          <w:kern w:val="2"/>
          <w:szCs w:val="22"/>
        </w:rPr>
        <w:t>连接</w:t>
      </w:r>
      <w:r>
        <w:rPr>
          <w:rFonts w:hAnsi="宋体"/>
          <w:color w:val="auto"/>
          <w:kern w:val="2"/>
          <w:szCs w:val="22"/>
        </w:rPr>
        <w:t>松动、无焊</w:t>
      </w:r>
      <w:r>
        <w:rPr>
          <w:rFonts w:hint="eastAsia" w:hAnsi="宋体"/>
          <w:color w:val="auto"/>
          <w:kern w:val="2"/>
          <w:szCs w:val="22"/>
        </w:rPr>
        <w:t>接裂纹</w:t>
      </w:r>
      <w:r>
        <w:rPr>
          <w:rFonts w:hAnsi="宋体"/>
          <w:color w:val="auto"/>
          <w:kern w:val="2"/>
          <w:szCs w:val="22"/>
        </w:rPr>
        <w:t>、无</w:t>
      </w:r>
      <w:r>
        <w:rPr>
          <w:rFonts w:hint="eastAsia" w:hAnsi="宋体"/>
          <w:color w:val="auto"/>
          <w:kern w:val="2"/>
          <w:szCs w:val="22"/>
        </w:rPr>
        <w:t>结构</w:t>
      </w:r>
      <w:r>
        <w:rPr>
          <w:rFonts w:hAnsi="宋体"/>
          <w:color w:val="auto"/>
          <w:kern w:val="2"/>
          <w:szCs w:val="22"/>
        </w:rPr>
        <w:t>变形。</w:t>
      </w:r>
    </w:p>
    <w:p w14:paraId="2DAF4855">
      <w:pPr>
        <w:pStyle w:val="186"/>
        <w:rPr>
          <w:color w:val="auto"/>
        </w:rPr>
      </w:pPr>
      <w:r>
        <w:rPr>
          <w:rFonts w:hAnsi="宋体"/>
          <w:color w:val="auto"/>
          <w:kern w:val="2"/>
          <w:szCs w:val="22"/>
        </w:rPr>
        <w:t>台风结束后，应</w:t>
      </w:r>
      <w:r>
        <w:rPr>
          <w:rFonts w:hint="eastAsia" w:hAnsi="宋体"/>
          <w:color w:val="auto"/>
          <w:kern w:val="2"/>
          <w:szCs w:val="22"/>
        </w:rPr>
        <w:t>对塔机的主要</w:t>
      </w:r>
      <w:r>
        <w:rPr>
          <w:rFonts w:hAnsi="宋体"/>
          <w:color w:val="auto"/>
          <w:kern w:val="2"/>
          <w:szCs w:val="22"/>
        </w:rPr>
        <w:t>结构</w:t>
      </w:r>
      <w:r>
        <w:rPr>
          <w:rFonts w:hint="eastAsia" w:hAnsi="宋体"/>
          <w:color w:val="auto"/>
          <w:kern w:val="2"/>
          <w:szCs w:val="22"/>
        </w:rPr>
        <w:t>、</w:t>
      </w:r>
      <w:r>
        <w:rPr>
          <w:rFonts w:hAnsi="宋体"/>
          <w:color w:val="auto"/>
          <w:kern w:val="2"/>
          <w:szCs w:val="22"/>
        </w:rPr>
        <w:t>安全装置</w:t>
      </w:r>
      <w:r>
        <w:rPr>
          <w:rFonts w:hint="eastAsia" w:hAnsi="宋体"/>
          <w:color w:val="auto"/>
          <w:kern w:val="2"/>
          <w:szCs w:val="22"/>
        </w:rPr>
        <w:t>、附着装置、</w:t>
      </w:r>
      <w:r>
        <w:rPr>
          <w:rFonts w:hAnsi="宋体"/>
          <w:color w:val="auto"/>
          <w:kern w:val="2"/>
          <w:szCs w:val="22"/>
        </w:rPr>
        <w:t>电气系统</w:t>
      </w:r>
      <w:r>
        <w:rPr>
          <w:rFonts w:hint="eastAsia" w:hAnsi="宋体"/>
          <w:color w:val="auto"/>
          <w:kern w:val="2"/>
          <w:szCs w:val="22"/>
        </w:rPr>
        <w:t>及</w:t>
      </w:r>
      <w:r>
        <w:rPr>
          <w:rFonts w:hAnsi="宋体"/>
          <w:color w:val="auto"/>
          <w:kern w:val="2"/>
          <w:szCs w:val="22"/>
        </w:rPr>
        <w:t>制动系统</w:t>
      </w:r>
      <w:r>
        <w:rPr>
          <w:rFonts w:hint="eastAsia" w:hAnsi="宋体"/>
          <w:color w:val="auto"/>
          <w:kern w:val="2"/>
          <w:szCs w:val="22"/>
        </w:rPr>
        <w:t>进行全面检查，确保安全后方可运行塔机</w:t>
      </w:r>
      <w:r>
        <w:rPr>
          <w:rFonts w:hAnsi="宋体"/>
          <w:color w:val="auto"/>
          <w:kern w:val="2"/>
          <w:szCs w:val="22"/>
        </w:rPr>
        <w:t>。</w:t>
      </w:r>
    </w:p>
    <w:p w14:paraId="3876A4DE">
      <w:pPr>
        <w:pStyle w:val="127"/>
        <w:spacing w:before="120" w:after="120"/>
        <w:rPr>
          <w:color w:val="auto"/>
        </w:rPr>
      </w:pPr>
      <w:bookmarkStart w:id="96" w:name="_Toc197422441"/>
      <w:r>
        <w:rPr>
          <w:rFonts w:hint="eastAsia"/>
          <w:color w:val="auto"/>
        </w:rPr>
        <w:t>防碰撞措施</w:t>
      </w:r>
      <w:bookmarkEnd w:id="96"/>
      <w:r>
        <w:rPr>
          <w:color w:val="auto"/>
        </w:rPr>
        <w:t xml:space="preserve">  </w:t>
      </w:r>
    </w:p>
    <w:p w14:paraId="3A9FB722">
      <w:pPr>
        <w:pStyle w:val="187"/>
        <w:rPr>
          <w:color w:val="auto"/>
        </w:rPr>
      </w:pPr>
      <w:r>
        <w:rPr>
          <w:rFonts w:hint="eastAsia"/>
          <w:color w:val="auto"/>
        </w:rPr>
        <w:t>施工现场使用多台塔机作业时，建设单位、监理单位应当协调组织制定防止塔机相互碰撞的安全措施，存在交叉作业的施工单位应互相签订安全协议。</w:t>
      </w:r>
    </w:p>
    <w:p w14:paraId="1C416F11">
      <w:pPr>
        <w:pStyle w:val="187"/>
        <w:rPr>
          <w:color w:val="auto"/>
        </w:rPr>
      </w:pPr>
      <w:r>
        <w:rPr>
          <w:rFonts w:hint="eastAsia"/>
          <w:color w:val="auto"/>
        </w:rPr>
        <w:t>塔机防止相互碰撞的安全措施中应绘制各塔机坐标、幅度等参数指标、绘制群塔立面图、平面图及停机摆放图等，根据现场机械布置情况变化，及时更新防碰撞安全技术措施，并对所有施工单位相关人员进行统一交底。</w:t>
      </w:r>
    </w:p>
    <w:p w14:paraId="154E9F3E">
      <w:pPr>
        <w:pStyle w:val="187"/>
        <w:rPr>
          <w:color w:val="auto"/>
        </w:rPr>
      </w:pPr>
      <w:r>
        <w:rPr>
          <w:rFonts w:hint="eastAsia"/>
          <w:color w:val="auto"/>
        </w:rPr>
        <w:t>使用单位应明确进入交叉重合区域作业时注意事项，各级人员职责及联系方式、无线通讯频率等应张贴在醒目位置。</w:t>
      </w:r>
    </w:p>
    <w:p w14:paraId="043FCC9E">
      <w:pPr>
        <w:pStyle w:val="187"/>
        <w:rPr>
          <w:color w:val="auto"/>
        </w:rPr>
      </w:pPr>
      <w:r>
        <w:rPr>
          <w:rFonts w:hint="eastAsia"/>
          <w:color w:val="auto"/>
        </w:rPr>
        <w:t>群塔作业宜安装群塔作业防碰撞预警装置（含安全装置）。</w:t>
      </w:r>
    </w:p>
    <w:p w14:paraId="1E997AA1">
      <w:pPr>
        <w:pStyle w:val="187"/>
        <w:rPr>
          <w:color w:val="auto"/>
        </w:rPr>
      </w:pPr>
      <w:r>
        <w:rPr>
          <w:rFonts w:hint="eastAsia"/>
          <w:color w:val="auto"/>
        </w:rPr>
        <w:t>群塔作业时应遵守以下运行规则：</w:t>
      </w:r>
    </w:p>
    <w:p w14:paraId="010232EE">
      <w:pPr>
        <w:pStyle w:val="131"/>
        <w:numPr>
          <w:ilvl w:val="1"/>
          <w:numId w:val="51"/>
        </w:numPr>
        <w:spacing w:after="0"/>
        <w:rPr>
          <w:color w:val="auto"/>
        </w:rPr>
      </w:pPr>
      <w:r>
        <w:rPr>
          <w:rFonts w:hint="eastAsia"/>
          <w:color w:val="auto"/>
        </w:rPr>
        <w:t>低塔让高塔：低塔在回转前应先观察高塔运行情况再进行作业；</w:t>
      </w:r>
    </w:p>
    <w:p w14:paraId="4C689007">
      <w:pPr>
        <w:pStyle w:val="131"/>
        <w:numPr>
          <w:ilvl w:val="1"/>
          <w:numId w:val="51"/>
        </w:numPr>
        <w:spacing w:after="0"/>
        <w:rPr>
          <w:color w:val="auto"/>
        </w:rPr>
      </w:pPr>
      <w:r>
        <w:rPr>
          <w:rFonts w:hint="eastAsia"/>
          <w:color w:val="auto"/>
        </w:rPr>
        <w:t>后塔让先塔：在两塔机塔臂作业交叉区域内运行时，后进入该区域塔机要避让先进入该区域的塔机；</w:t>
      </w:r>
    </w:p>
    <w:p w14:paraId="626A45E4">
      <w:pPr>
        <w:pStyle w:val="131"/>
        <w:numPr>
          <w:ilvl w:val="1"/>
          <w:numId w:val="51"/>
        </w:numPr>
        <w:spacing w:after="0"/>
        <w:rPr>
          <w:color w:val="auto"/>
        </w:rPr>
      </w:pPr>
      <w:r>
        <w:rPr>
          <w:rFonts w:hint="eastAsia"/>
          <w:color w:val="auto"/>
        </w:rPr>
        <w:t>动塔让静塔：在两塔机塔臂交叉区域作业时，进行运转的塔机应避让处于静止状态的塔机；</w:t>
      </w:r>
    </w:p>
    <w:p w14:paraId="22082FF8">
      <w:pPr>
        <w:pStyle w:val="131"/>
        <w:numPr>
          <w:ilvl w:val="1"/>
          <w:numId w:val="51"/>
        </w:numPr>
        <w:spacing w:after="0"/>
        <w:rPr>
          <w:color w:val="auto"/>
        </w:rPr>
      </w:pPr>
      <w:r>
        <w:rPr>
          <w:rFonts w:hint="eastAsia"/>
          <w:color w:val="auto"/>
        </w:rPr>
        <w:t>轻车让重车：两塔机同时运行时，无载荷塔机应主动避让有载荷塔机；</w:t>
      </w:r>
    </w:p>
    <w:p w14:paraId="2F250567">
      <w:pPr>
        <w:pStyle w:val="131"/>
        <w:numPr>
          <w:ilvl w:val="1"/>
          <w:numId w:val="51"/>
        </w:numPr>
        <w:spacing w:after="0"/>
        <w:rPr>
          <w:color w:val="auto"/>
        </w:rPr>
      </w:pPr>
      <w:r>
        <w:rPr>
          <w:rFonts w:hint="eastAsia"/>
          <w:color w:val="auto"/>
        </w:rPr>
        <w:t>客塔让主塔：当塔机进入另一台塔机主要作业区域时，应主动避让该塔；</w:t>
      </w:r>
    </w:p>
    <w:p w14:paraId="3A4CFEC2">
      <w:pPr>
        <w:pStyle w:val="131"/>
        <w:numPr>
          <w:ilvl w:val="1"/>
          <w:numId w:val="51"/>
        </w:numPr>
        <w:spacing w:after="0"/>
        <w:rPr>
          <w:color w:val="auto"/>
        </w:rPr>
      </w:pPr>
      <w:r>
        <w:rPr>
          <w:rFonts w:hint="eastAsia"/>
          <w:color w:val="auto"/>
        </w:rPr>
        <w:t>靠近规则：所有存在交叉区域的起重机在进行相互靠近的回转动作时，起重机指挥人员应相互做好提醒，当两机距离5米时，不应做相互靠近的回转动作；</w:t>
      </w:r>
    </w:p>
    <w:p w14:paraId="36D6371D">
      <w:pPr>
        <w:pStyle w:val="131"/>
        <w:numPr>
          <w:ilvl w:val="1"/>
          <w:numId w:val="51"/>
        </w:numPr>
        <w:spacing w:after="0"/>
        <w:rPr>
          <w:color w:val="auto"/>
        </w:rPr>
      </w:pPr>
      <w:r>
        <w:rPr>
          <w:rFonts w:hint="eastAsia"/>
          <w:color w:val="auto"/>
        </w:rPr>
        <w:t>停置规则：规定好各塔机起重臂摆放方向；所有塔机作业完毕后应取下吊索具，吊钩起升至上限位下高点，变幅小车停至起重臂根部。</w:t>
      </w:r>
    </w:p>
    <w:p w14:paraId="530D16D2">
      <w:pPr>
        <w:pStyle w:val="187"/>
        <w:rPr>
          <w:color w:val="auto"/>
        </w:rPr>
      </w:pPr>
      <w:r>
        <w:rPr>
          <w:rFonts w:hint="eastAsia"/>
          <w:color w:val="auto"/>
        </w:rPr>
        <w:t>使用单位对每台塔机起吊区域、回转方向等需做专项规定。</w:t>
      </w:r>
    </w:p>
    <w:p w14:paraId="3831547A">
      <w:pPr>
        <w:pStyle w:val="187"/>
        <w:rPr>
          <w:color w:val="auto"/>
        </w:rPr>
      </w:pPr>
      <w:r>
        <w:rPr>
          <w:rFonts w:hint="eastAsia"/>
          <w:color w:val="auto"/>
        </w:rPr>
        <w:t>使用单位宜安装吊钩可视化系统，加强对吊钩运行状况监测。</w:t>
      </w:r>
    </w:p>
    <w:p w14:paraId="57828C28">
      <w:pPr>
        <w:pStyle w:val="127"/>
        <w:spacing w:before="120" w:after="120"/>
        <w:rPr>
          <w:color w:val="auto"/>
        </w:rPr>
      </w:pPr>
      <w:bookmarkStart w:id="97" w:name="_Toc197422442"/>
      <w:r>
        <w:rPr>
          <w:rFonts w:hint="eastAsia"/>
          <w:color w:val="auto"/>
        </w:rPr>
        <w:t>防雷电措施</w:t>
      </w:r>
      <w:bookmarkEnd w:id="97"/>
      <w:r>
        <w:rPr>
          <w:rFonts w:hint="eastAsia"/>
          <w:color w:val="auto"/>
        </w:rPr>
        <w:t xml:space="preserve"> </w:t>
      </w:r>
    </w:p>
    <w:p w14:paraId="4647D171">
      <w:pPr>
        <w:pStyle w:val="187"/>
        <w:rPr>
          <w:color w:val="auto"/>
        </w:rPr>
      </w:pPr>
      <w:r>
        <w:rPr>
          <w:color w:val="auto"/>
        </w:rPr>
        <w:t>塔机在雷击高风险区域或高度超出相邻建筑物接闪器保护范围时，应增设独立避雷针。避雷针高度应确保全塔覆盖滚球法保护范围。</w:t>
      </w:r>
    </w:p>
    <w:p w14:paraId="4C3AC001">
      <w:pPr>
        <w:pStyle w:val="187"/>
        <w:rPr>
          <w:color w:val="auto"/>
        </w:rPr>
      </w:pPr>
      <w:r>
        <w:rPr>
          <w:color w:val="auto"/>
        </w:rPr>
        <w:t>塔机主体结构、电机机座、所有电气设备金属外壳及导线保护管应设置可靠电气连接，接地电阻不得大于 4Ω</w:t>
      </w:r>
      <w:r>
        <w:rPr>
          <w:rFonts w:hint="eastAsia"/>
          <w:color w:val="auto"/>
        </w:rPr>
        <w:t>。</w:t>
      </w:r>
      <w:r>
        <w:rPr>
          <w:color w:val="auto"/>
        </w:rPr>
        <w:t>采用</w:t>
      </w:r>
      <w:r>
        <w:rPr>
          <w:rFonts w:hint="eastAsia"/>
          <w:color w:val="auto"/>
        </w:rPr>
        <w:t>多处</w:t>
      </w:r>
      <w:r>
        <w:rPr>
          <w:color w:val="auto"/>
        </w:rPr>
        <w:t>重复接地时，</w:t>
      </w:r>
      <w:r>
        <w:rPr>
          <w:rFonts w:hint="eastAsia"/>
          <w:color w:val="auto"/>
        </w:rPr>
        <w:t>其</w:t>
      </w:r>
      <w:r>
        <w:rPr>
          <w:color w:val="auto"/>
        </w:rPr>
        <w:t>接地电阻均不应大于 10Ω</w:t>
      </w:r>
      <w:r>
        <w:rPr>
          <w:rFonts w:hint="eastAsia"/>
          <w:color w:val="auto"/>
        </w:rPr>
        <w:t>。</w:t>
      </w:r>
    </w:p>
    <w:p w14:paraId="04E4CC0B">
      <w:pPr>
        <w:pStyle w:val="187"/>
        <w:rPr>
          <w:color w:val="auto"/>
        </w:rPr>
      </w:pPr>
      <w:r>
        <w:rPr>
          <w:color w:val="auto"/>
        </w:rPr>
        <w:t>雷暴天气前应切断主电源回路，静置塔机并禁止人员进入作业区</w:t>
      </w:r>
      <w:r>
        <w:rPr>
          <w:rFonts w:hint="eastAsia"/>
          <w:color w:val="auto"/>
        </w:rPr>
        <w:t>。</w:t>
      </w:r>
    </w:p>
    <w:p w14:paraId="58748821">
      <w:pPr>
        <w:pStyle w:val="187"/>
        <w:rPr>
          <w:color w:val="auto"/>
        </w:rPr>
      </w:pPr>
      <w:r>
        <w:rPr>
          <w:color w:val="auto"/>
        </w:rPr>
        <w:t>接地装置的设计与安装应符合GB 50169的规定，且防雷接地线路应与保护接地线路分开设置。</w:t>
      </w:r>
    </w:p>
    <w:p w14:paraId="0997346E">
      <w:pPr>
        <w:pStyle w:val="187"/>
        <w:rPr>
          <w:color w:val="auto"/>
        </w:rPr>
      </w:pPr>
      <w:r>
        <w:rPr>
          <w:rFonts w:hint="eastAsia"/>
          <w:color w:val="auto"/>
        </w:rPr>
        <w:t>接闪器保护范围，可按用GB 50057中的滚球法来设计；接闪器设置可按GB 50343执行。</w:t>
      </w:r>
    </w:p>
    <w:p w14:paraId="08C31CA8">
      <w:pPr>
        <w:pStyle w:val="127"/>
        <w:spacing w:before="120" w:after="120"/>
        <w:rPr>
          <w:color w:val="auto"/>
        </w:rPr>
      </w:pPr>
      <w:bookmarkStart w:id="98" w:name="_Toc197422443"/>
      <w:r>
        <w:rPr>
          <w:rFonts w:hint="eastAsia"/>
          <w:color w:val="auto"/>
        </w:rPr>
        <w:t>安全应急处置措施</w:t>
      </w:r>
      <w:bookmarkEnd w:id="98"/>
      <w:r>
        <w:rPr>
          <w:color w:val="auto"/>
        </w:rPr>
        <w:t xml:space="preserve">  </w:t>
      </w:r>
    </w:p>
    <w:p w14:paraId="402F1174">
      <w:pPr>
        <w:pStyle w:val="187"/>
        <w:rPr>
          <w:color w:val="auto"/>
        </w:rPr>
      </w:pPr>
      <w:r>
        <w:rPr>
          <w:rFonts w:hint="eastAsia"/>
          <w:color w:val="auto"/>
        </w:rPr>
        <w:t>塔机发生安全事故时，应及时启动应急预案。</w:t>
      </w:r>
    </w:p>
    <w:p w14:paraId="68BD605C">
      <w:pPr>
        <w:pStyle w:val="187"/>
        <w:rPr>
          <w:color w:val="auto"/>
        </w:rPr>
      </w:pPr>
      <w:r>
        <w:rPr>
          <w:rFonts w:hint="eastAsia"/>
          <w:color w:val="auto"/>
        </w:rPr>
        <w:t>塔机发生一般性危险情况应立即采取如下应急措施：</w:t>
      </w:r>
    </w:p>
    <w:p w14:paraId="4426A5BA">
      <w:pPr>
        <w:pStyle w:val="187"/>
        <w:numPr>
          <w:ilvl w:val="0"/>
          <w:numId w:val="0"/>
        </w:numPr>
        <w:rPr>
          <w:color w:val="auto"/>
        </w:rPr>
      </w:pPr>
      <w:r>
        <w:rPr>
          <w:rFonts w:ascii="黑体" w:hAnsi="黑体" w:eastAsia="黑体"/>
          <w:color w:val="auto"/>
        </w:rPr>
        <w:t xml:space="preserve">8.5.2.1 </w:t>
      </w:r>
      <w:r>
        <w:rPr>
          <w:rFonts w:hint="eastAsia"/>
          <w:color w:val="auto"/>
        </w:rPr>
        <w:t xml:space="preserve"> 向项目负责人及时反映情况，塔机司机和指挥不得离开工作岗位。</w:t>
      </w:r>
    </w:p>
    <w:p w14:paraId="19B0B786">
      <w:pPr>
        <w:pStyle w:val="187"/>
        <w:numPr>
          <w:ilvl w:val="0"/>
          <w:numId w:val="0"/>
        </w:numPr>
        <w:rPr>
          <w:color w:val="auto"/>
        </w:rPr>
      </w:pPr>
      <w:r>
        <w:rPr>
          <w:rFonts w:ascii="黑体" w:hAnsi="黑体" w:eastAsia="黑体"/>
          <w:color w:val="auto"/>
        </w:rPr>
        <w:t xml:space="preserve">8.5.2.2 </w:t>
      </w:r>
      <w:r>
        <w:rPr>
          <w:rFonts w:hint="eastAsia"/>
          <w:color w:val="auto"/>
        </w:rPr>
        <w:t xml:space="preserve"> 塔机出现故障时，应先将所有的控制器恢复到零位，然后切断电源。</w:t>
      </w:r>
    </w:p>
    <w:p w14:paraId="2B7D5930">
      <w:pPr>
        <w:pStyle w:val="187"/>
        <w:numPr>
          <w:ilvl w:val="0"/>
          <w:numId w:val="0"/>
        </w:numPr>
        <w:rPr>
          <w:color w:val="auto"/>
        </w:rPr>
      </w:pPr>
      <w:r>
        <w:rPr>
          <w:rFonts w:ascii="黑体" w:hAnsi="黑体" w:eastAsia="黑体"/>
          <w:color w:val="auto"/>
        </w:rPr>
        <w:t>8.5.2.3</w:t>
      </w:r>
      <w:r>
        <w:rPr>
          <w:rFonts w:hint="eastAsia"/>
          <w:color w:val="auto"/>
        </w:rPr>
        <w:t xml:space="preserve">  故障排除前或者排除过程中无法保证安全时，应从危险区域内撤出作业人员，并疏散可能危及的其他人员，设置警戒标志，加强塔机监测监控并启动应急预案。</w:t>
      </w:r>
    </w:p>
    <w:p w14:paraId="02D3412F">
      <w:pPr>
        <w:pStyle w:val="187"/>
        <w:rPr>
          <w:color w:val="auto"/>
        </w:rPr>
      </w:pPr>
      <w:r>
        <w:rPr>
          <w:rFonts w:hint="eastAsia"/>
          <w:color w:val="auto"/>
        </w:rPr>
        <w:t>当塔机发生以下突发情况时应采取对应应急措施。</w:t>
      </w:r>
    </w:p>
    <w:p w14:paraId="7D786B22">
      <w:pPr>
        <w:pStyle w:val="116"/>
        <w:spacing w:before="0" w:beforeLines="0" w:after="0" w:afterLines="0"/>
        <w:rPr>
          <w:rFonts w:ascii="宋体" w:eastAsia="宋体"/>
          <w:color w:val="auto"/>
        </w:rPr>
      </w:pPr>
      <w:bookmarkStart w:id="99" w:name="_Hlk195193291"/>
      <w:r>
        <w:rPr>
          <w:rFonts w:hint="eastAsia" w:ascii="宋体" w:eastAsia="宋体"/>
          <w:color w:val="auto"/>
        </w:rPr>
        <w:t>塔机作业中遇突发故障，应采取适当措施将吊物降落到安全地点，避免长时间悬挂在空中。当吊物无法及时安全落地时，应立即启动应急预案。</w:t>
      </w:r>
    </w:p>
    <w:p w14:paraId="0FB2E700">
      <w:pPr>
        <w:pStyle w:val="116"/>
        <w:spacing w:before="0" w:beforeLines="0" w:after="0" w:afterLines="0"/>
        <w:rPr>
          <w:rFonts w:ascii="宋体" w:eastAsia="宋体"/>
          <w:color w:val="auto"/>
        </w:rPr>
      </w:pPr>
      <w:r>
        <w:rPr>
          <w:rFonts w:hint="eastAsia" w:ascii="宋体" w:eastAsia="宋体"/>
          <w:color w:val="auto"/>
        </w:rPr>
        <w:t>塔机作业过程中突然断电或故障时，塔机司机应控制器恢复到零位，并通知起重机指挥，立即查明原因消除故障。</w:t>
      </w:r>
    </w:p>
    <w:p w14:paraId="5D54A7EA">
      <w:pPr>
        <w:pStyle w:val="116"/>
        <w:spacing w:before="0" w:beforeLines="0" w:after="0" w:afterLines="0"/>
        <w:rPr>
          <w:rFonts w:ascii="宋体" w:eastAsia="宋体"/>
          <w:color w:val="auto"/>
        </w:rPr>
      </w:pPr>
      <w:bookmarkStart w:id="100" w:name="_Hlk195193320"/>
      <w:r>
        <w:rPr>
          <w:rFonts w:hint="eastAsia" w:ascii="宋体" w:eastAsia="宋体"/>
          <w:color w:val="auto"/>
        </w:rPr>
        <w:t>塔机作业过程中刹车失灵，操作司机应立即按下应急刹车按钮，并通知起重机指挥将吊物吊运至空旷处。</w:t>
      </w:r>
    </w:p>
    <w:p w14:paraId="13BAAFB3">
      <w:pPr>
        <w:pStyle w:val="116"/>
        <w:spacing w:before="0" w:beforeLines="0" w:after="0" w:afterLines="0"/>
        <w:rPr>
          <w:rFonts w:ascii="宋体" w:eastAsia="宋体"/>
          <w:color w:val="auto"/>
        </w:rPr>
      </w:pPr>
      <w:bookmarkStart w:id="101" w:name="_Hlk195193467"/>
      <w:r>
        <w:rPr>
          <w:rFonts w:hint="eastAsia" w:ascii="宋体" w:eastAsia="宋体"/>
          <w:color w:val="auto"/>
        </w:rPr>
        <w:t>塔机作业回转过程中突发起阵风，操作司机应立即减速停车，吊有重物时，视情况应立即锁死回转机构。</w:t>
      </w:r>
    </w:p>
    <w:bookmarkEnd w:id="101"/>
    <w:p w14:paraId="7BF32AE2">
      <w:pPr>
        <w:pStyle w:val="116"/>
        <w:spacing w:before="0" w:beforeLines="0" w:after="0" w:afterLines="0"/>
        <w:rPr>
          <w:rFonts w:ascii="宋体" w:eastAsia="宋体"/>
          <w:color w:val="auto"/>
        </w:rPr>
      </w:pPr>
      <w:r>
        <w:rPr>
          <w:rFonts w:hint="eastAsia" w:ascii="宋体" w:eastAsia="宋体"/>
          <w:color w:val="auto"/>
        </w:rPr>
        <w:t>塔机作业过程中可能会引发碰撞，塔机司机应立即通知起重机指挥，降低回转并进行制动，如发生碰撞，需根据现场情况，需查明情况后再动作。</w:t>
      </w:r>
    </w:p>
    <w:p w14:paraId="3AC11D88">
      <w:pPr>
        <w:pStyle w:val="116"/>
        <w:spacing w:before="0" w:beforeLines="0" w:after="0" w:afterLines="0"/>
        <w:rPr>
          <w:rFonts w:ascii="宋体" w:eastAsia="宋体"/>
          <w:color w:val="auto"/>
        </w:rPr>
      </w:pPr>
      <w:r>
        <w:rPr>
          <w:rFonts w:hint="eastAsia" w:ascii="宋体" w:eastAsia="宋体"/>
          <w:color w:val="auto"/>
        </w:rPr>
        <w:t>塔机电器系统突然起火，塔机司机应立即停止动作，迅速用二氧化氮干粉灭火器灭火。</w:t>
      </w:r>
    </w:p>
    <w:p w14:paraId="1D96C6F2">
      <w:pPr>
        <w:pStyle w:val="116"/>
        <w:spacing w:before="0" w:beforeLines="0" w:after="0" w:afterLines="0"/>
        <w:rPr>
          <w:rFonts w:ascii="宋体" w:eastAsia="宋体"/>
          <w:color w:val="auto"/>
        </w:rPr>
      </w:pPr>
      <w:r>
        <w:rPr>
          <w:rFonts w:hint="eastAsia" w:ascii="宋体" w:eastAsia="宋体"/>
          <w:color w:val="auto"/>
        </w:rPr>
        <w:t>塔机在顶升过程中出现塔身结构变形等严重情况，应立即停止顶升，防止情况恶化。将爬升架和塔身可靠连接固定，防止结构进一步变形造成塔机倾翻。</w:t>
      </w:r>
    </w:p>
    <w:bookmarkEnd w:id="99"/>
    <w:bookmarkEnd w:id="100"/>
    <w:p w14:paraId="3C5AF1E7">
      <w:pPr>
        <w:pStyle w:val="126"/>
        <w:spacing w:before="240" w:after="240"/>
        <w:ind w:left="0"/>
        <w:rPr>
          <w:color w:val="auto"/>
        </w:rPr>
      </w:pPr>
      <w:bookmarkStart w:id="102" w:name="_Toc197422444"/>
      <w:r>
        <w:rPr>
          <w:rFonts w:hint="eastAsia"/>
          <w:color w:val="auto"/>
        </w:rPr>
        <w:t>运输和贮存</w:t>
      </w:r>
      <w:bookmarkEnd w:id="102"/>
    </w:p>
    <w:p w14:paraId="07FF0968">
      <w:pPr>
        <w:pStyle w:val="127"/>
        <w:spacing w:before="120" w:after="120"/>
        <w:rPr>
          <w:color w:val="auto"/>
        </w:rPr>
      </w:pPr>
      <w:bookmarkStart w:id="103" w:name="_Toc197422445"/>
      <w:r>
        <w:rPr>
          <w:rFonts w:hint="eastAsia"/>
          <w:color w:val="auto"/>
        </w:rPr>
        <w:t>运输</w:t>
      </w:r>
      <w:bookmarkEnd w:id="103"/>
      <w:r>
        <w:rPr>
          <w:rFonts w:hint="eastAsia"/>
          <w:color w:val="auto"/>
        </w:rPr>
        <w:t xml:space="preserve">  </w:t>
      </w:r>
    </w:p>
    <w:p w14:paraId="5E189021">
      <w:pPr>
        <w:pStyle w:val="87"/>
        <w:spacing w:before="120" w:after="120"/>
        <w:rPr>
          <w:color w:val="auto"/>
        </w:rPr>
      </w:pPr>
      <w:r>
        <w:rPr>
          <w:rFonts w:hint="eastAsia"/>
          <w:color w:val="auto"/>
        </w:rPr>
        <w:t>一般要求</w:t>
      </w:r>
    </w:p>
    <w:p w14:paraId="6F5E286A">
      <w:pPr>
        <w:pStyle w:val="247"/>
        <w:widowControl w:val="0"/>
        <w:rPr>
          <w:color w:val="auto"/>
        </w:rPr>
      </w:pPr>
      <w:r>
        <w:rPr>
          <w:rFonts w:hint="eastAsia"/>
          <w:color w:val="auto"/>
        </w:rPr>
        <w:t>根据塔机的特性、运输距离、</w:t>
      </w:r>
      <w:bookmarkStart w:id="104" w:name="_Hlk197673524"/>
      <w:r>
        <w:rPr>
          <w:rFonts w:hint="eastAsia"/>
          <w:color w:val="auto"/>
        </w:rPr>
        <w:t>抵达时间和经济性，</w:t>
      </w:r>
      <w:bookmarkEnd w:id="104"/>
      <w:r>
        <w:rPr>
          <w:rFonts w:hint="eastAsia"/>
          <w:color w:val="auto"/>
        </w:rPr>
        <w:t>选择合适的运输方式和工具，</w:t>
      </w:r>
      <w:bookmarkStart w:id="105" w:name="_Hlk197673540"/>
      <w:r>
        <w:rPr>
          <w:rFonts w:hint="eastAsia"/>
          <w:color w:val="auto"/>
        </w:rPr>
        <w:t>包括有公路、铁路、水路或水陆联运等。</w:t>
      </w:r>
    </w:p>
    <w:bookmarkEnd w:id="105"/>
    <w:p w14:paraId="0A414FF7">
      <w:pPr>
        <w:pStyle w:val="247"/>
        <w:rPr>
          <w:color w:val="auto"/>
        </w:rPr>
      </w:pPr>
      <w:bookmarkStart w:id="106" w:name="_Hlk197673582"/>
      <w:r>
        <w:rPr>
          <w:rFonts w:hint="eastAsia"/>
          <w:color w:val="auto"/>
        </w:rPr>
        <w:t>运输前应详细了解塔机各运输部件的基本信息，包括重量、尺寸、结构、防护要求等。</w:t>
      </w:r>
    </w:p>
    <w:bookmarkEnd w:id="106"/>
    <w:p w14:paraId="06A5681D">
      <w:pPr>
        <w:pStyle w:val="247"/>
        <w:rPr>
          <w:color w:val="auto"/>
        </w:rPr>
      </w:pPr>
      <w:bookmarkStart w:id="107" w:name="_Hlk197673609"/>
      <w:r>
        <w:rPr>
          <w:rFonts w:hint="eastAsia"/>
          <w:color w:val="auto"/>
        </w:rPr>
        <w:t>长距离或复杂路况下宜制定塔机运输方案，包括配载、运输方式、路线、发货顺序、时间等。</w:t>
      </w:r>
    </w:p>
    <w:bookmarkEnd w:id="107"/>
    <w:p w14:paraId="1297C88D">
      <w:pPr>
        <w:pStyle w:val="247"/>
        <w:rPr>
          <w:color w:val="auto"/>
        </w:rPr>
      </w:pPr>
      <w:bookmarkStart w:id="108" w:name="_Hlk197673639"/>
      <w:r>
        <w:rPr>
          <w:rFonts w:hint="eastAsia"/>
          <w:color w:val="auto"/>
        </w:rPr>
        <w:t>塔机运输应签订运输合同，约定双方安全责任，随车交付装箱单和运输交接单等文件。</w:t>
      </w:r>
    </w:p>
    <w:bookmarkEnd w:id="108"/>
    <w:p w14:paraId="63F57C8C">
      <w:pPr>
        <w:pStyle w:val="247"/>
        <w:rPr>
          <w:color w:val="auto"/>
        </w:rPr>
      </w:pPr>
      <w:bookmarkStart w:id="109" w:name="_Hlk197673656"/>
      <w:r>
        <w:rPr>
          <w:rFonts w:hint="eastAsia"/>
          <w:color w:val="auto"/>
        </w:rPr>
        <w:t xml:space="preserve">运输出发前应检查确认塔机运输部件垫放平稳合理，绑扎牢固可靠，运输过程中应检查监控绑扎情况。  </w:t>
      </w:r>
    </w:p>
    <w:bookmarkEnd w:id="109"/>
    <w:p w14:paraId="5BB7F0F5">
      <w:pPr>
        <w:pStyle w:val="247"/>
        <w:rPr>
          <w:color w:val="auto"/>
        </w:rPr>
      </w:pPr>
      <w:bookmarkStart w:id="110" w:name="_Hlk197673689"/>
      <w:r>
        <w:rPr>
          <w:rFonts w:hint="eastAsia"/>
          <w:color w:val="auto"/>
        </w:rPr>
        <w:t>塔机运输应符合铁路、公路、水运等交通运输的规定。</w:t>
      </w:r>
      <w:bookmarkEnd w:id="110"/>
      <w:r>
        <w:rPr>
          <w:rFonts w:hint="eastAsia"/>
          <w:color w:val="auto"/>
        </w:rPr>
        <w:t xml:space="preserve">  </w:t>
      </w:r>
    </w:p>
    <w:p w14:paraId="3AA3C8A3">
      <w:pPr>
        <w:pStyle w:val="87"/>
        <w:spacing w:before="120" w:after="120"/>
        <w:rPr>
          <w:color w:val="auto"/>
        </w:rPr>
      </w:pPr>
      <w:r>
        <w:rPr>
          <w:rFonts w:hint="eastAsia"/>
          <w:color w:val="auto"/>
        </w:rPr>
        <w:t>公路运输</w:t>
      </w:r>
    </w:p>
    <w:p w14:paraId="3854E2B1">
      <w:pPr>
        <w:pStyle w:val="186"/>
        <w:rPr>
          <w:color w:val="auto"/>
        </w:rPr>
      </w:pPr>
      <w:bookmarkStart w:id="111" w:name="_Hlk197673752"/>
      <w:r>
        <w:rPr>
          <w:rFonts w:hint="eastAsia"/>
          <w:color w:val="auto"/>
        </w:rPr>
        <w:t>塔机部件重心应装载在车板的中心位置，避免运输过程车辆发生倾覆。</w:t>
      </w:r>
    </w:p>
    <w:bookmarkEnd w:id="111"/>
    <w:p w14:paraId="2B897319">
      <w:pPr>
        <w:pStyle w:val="186"/>
        <w:rPr>
          <w:color w:val="auto"/>
        </w:rPr>
      </w:pPr>
      <w:bookmarkStart w:id="112" w:name="_Hlk197673772"/>
      <w:r>
        <w:rPr>
          <w:rFonts w:hint="eastAsia"/>
          <w:color w:val="auto"/>
        </w:rPr>
        <w:t>塔机运输部件重量或尺寸超过运输车辆规定时，承运人应按规定提前向公路管理机构申请办理超限运输许可通行证，并按指定的时间、路线和速度行驶，临时停放应符合规定要求。</w:t>
      </w:r>
    </w:p>
    <w:bookmarkEnd w:id="112"/>
    <w:p w14:paraId="531154E8">
      <w:pPr>
        <w:pStyle w:val="87"/>
        <w:spacing w:before="120" w:after="120"/>
        <w:rPr>
          <w:color w:val="auto"/>
        </w:rPr>
      </w:pPr>
      <w:r>
        <w:rPr>
          <w:rFonts w:hint="eastAsia"/>
          <w:color w:val="auto"/>
        </w:rPr>
        <w:t>水运</w:t>
      </w:r>
    </w:p>
    <w:p w14:paraId="5AF3256A">
      <w:pPr>
        <w:pStyle w:val="186"/>
        <w:rPr>
          <w:color w:val="auto"/>
        </w:rPr>
      </w:pPr>
      <w:bookmarkStart w:id="113" w:name="_Hlk197673821"/>
      <w:r>
        <w:rPr>
          <w:rFonts w:hint="eastAsia"/>
          <w:color w:val="auto"/>
        </w:rPr>
        <w:t>按照船运配载方案，合理安排设备在船上的位置，重设备放底层，轻设备放上层，保持船舶的平衡。</w:t>
      </w:r>
    </w:p>
    <w:bookmarkEnd w:id="113"/>
    <w:p w14:paraId="3CEF4B3E">
      <w:pPr>
        <w:pStyle w:val="186"/>
        <w:rPr>
          <w:color w:val="auto"/>
        </w:rPr>
      </w:pPr>
      <w:bookmarkStart w:id="114" w:name="_Hlk197673838"/>
      <w:r>
        <w:rPr>
          <w:rFonts w:hint="eastAsia"/>
          <w:color w:val="auto"/>
        </w:rPr>
        <w:t>塔机部件应有必要的加固措施，防止因风浪大时，设备发生移位或倾翻。</w:t>
      </w:r>
    </w:p>
    <w:bookmarkEnd w:id="114"/>
    <w:p w14:paraId="43266D67">
      <w:pPr>
        <w:pStyle w:val="186"/>
        <w:rPr>
          <w:color w:val="auto"/>
        </w:rPr>
      </w:pPr>
      <w:bookmarkStart w:id="115" w:name="_Hlk197673848"/>
      <w:r>
        <w:rPr>
          <w:rFonts w:hint="eastAsia"/>
          <w:color w:val="auto"/>
        </w:rPr>
        <w:t>对重要的电气设备元件、配电箱等进行防潮、防腐蚀的措施。</w:t>
      </w:r>
    </w:p>
    <w:bookmarkEnd w:id="115"/>
    <w:p w14:paraId="343FE721">
      <w:pPr>
        <w:pStyle w:val="127"/>
        <w:spacing w:before="120" w:after="120"/>
        <w:rPr>
          <w:color w:val="auto"/>
        </w:rPr>
      </w:pPr>
      <w:bookmarkStart w:id="116" w:name="_Toc197422446"/>
      <w:r>
        <w:rPr>
          <w:rFonts w:hint="eastAsia"/>
          <w:color w:val="auto"/>
        </w:rPr>
        <w:t>贮存</w:t>
      </w:r>
      <w:bookmarkEnd w:id="116"/>
      <w:r>
        <w:rPr>
          <w:rFonts w:hint="eastAsia"/>
          <w:color w:val="auto"/>
        </w:rPr>
        <w:t xml:space="preserve">  </w:t>
      </w:r>
    </w:p>
    <w:p w14:paraId="1292A73F">
      <w:pPr>
        <w:pStyle w:val="187"/>
        <w:rPr>
          <w:color w:val="auto"/>
        </w:rPr>
      </w:pPr>
      <w:r>
        <w:rPr>
          <w:rFonts w:hint="eastAsia"/>
          <w:color w:val="auto"/>
        </w:rPr>
        <w:t>塔机贮存场地应平整、坚实、排水良好、远离滑坡、低洼、洪水、化学品、腐蚀或粉尘等风险区域。</w:t>
      </w:r>
    </w:p>
    <w:p w14:paraId="1F26CF97">
      <w:pPr>
        <w:pStyle w:val="187"/>
        <w:rPr>
          <w:color w:val="auto"/>
        </w:rPr>
      </w:pPr>
      <w:r>
        <w:rPr>
          <w:rFonts w:hint="eastAsia"/>
          <w:color w:val="auto"/>
        </w:rPr>
        <w:t>塔机贮存时，应采取有效措施防止长时间存放结构发生变形。</w:t>
      </w:r>
    </w:p>
    <w:p w14:paraId="2EF69412">
      <w:pPr>
        <w:pStyle w:val="187"/>
        <w:rPr>
          <w:color w:val="auto"/>
        </w:rPr>
      </w:pPr>
      <w:r>
        <w:rPr>
          <w:rFonts w:hint="eastAsia"/>
          <w:color w:val="auto"/>
        </w:rPr>
        <w:t>塔机结构件贮存应垫放枕木或支墩，多层堆放时要在层间垫上枕木，堆放层高不宜超过两层。</w:t>
      </w:r>
    </w:p>
    <w:p w14:paraId="449B4391">
      <w:pPr>
        <w:pStyle w:val="187"/>
        <w:rPr>
          <w:color w:val="auto"/>
        </w:rPr>
      </w:pPr>
      <w:r>
        <w:rPr>
          <w:rFonts w:hint="eastAsia"/>
          <w:color w:val="auto"/>
        </w:rPr>
        <w:t>长期贮存时，应定期清理、涂漆。裸露的装配面应采取有效的防腐措施，电气系统、塑料零件、橡胶制品应避免日光直晒和油污以防止过早老化。</w:t>
      </w:r>
    </w:p>
    <w:p w14:paraId="137BE107">
      <w:pPr>
        <w:pStyle w:val="187"/>
        <w:rPr>
          <w:color w:val="auto"/>
        </w:rPr>
      </w:pPr>
      <w:bookmarkStart w:id="117" w:name="_Hlk197673913"/>
      <w:r>
        <w:rPr>
          <w:rFonts w:hint="eastAsia"/>
          <w:color w:val="auto"/>
        </w:rPr>
        <w:t>螺栓、销轴、主电缆等较小的零部件宜包装进箱。</w:t>
      </w:r>
      <w:bookmarkEnd w:id="117"/>
    </w:p>
    <w:p w14:paraId="12748ABC">
      <w:pPr>
        <w:pStyle w:val="187"/>
        <w:rPr>
          <w:color w:val="auto"/>
        </w:rPr>
      </w:pPr>
      <w:r>
        <w:rPr>
          <w:rFonts w:hint="eastAsia"/>
          <w:color w:val="auto"/>
        </w:rPr>
        <w:t>电气元件、配电箱、控制柜、卷扬机、液压系统等做好防潮、防尘、防腐蚀等措施。</w:t>
      </w:r>
    </w:p>
    <w:p w14:paraId="1BFB02D3">
      <w:pPr>
        <w:pStyle w:val="187"/>
        <w:rPr>
          <w:color w:val="auto"/>
        </w:rPr>
      </w:pPr>
      <w:bookmarkStart w:id="118" w:name="_Hlk197674005"/>
      <w:r>
        <w:rPr>
          <w:rFonts w:hint="eastAsia"/>
          <w:color w:val="auto"/>
        </w:rPr>
        <w:t>贮存区域设置围栏和警示标志，做好警戒与防盗措施，定期安排专人进行检查及维护。</w:t>
      </w:r>
    </w:p>
    <w:bookmarkEnd w:id="118"/>
    <w:p w14:paraId="07A818CB">
      <w:pPr>
        <w:pStyle w:val="187"/>
        <w:rPr>
          <w:color w:val="auto"/>
        </w:rPr>
      </w:pPr>
      <w:bookmarkStart w:id="119" w:name="_Hlk197674050"/>
      <w:r>
        <w:rPr>
          <w:rFonts w:hint="eastAsia"/>
          <w:color w:val="auto"/>
        </w:rPr>
        <w:t>塔机贮存时应保存有详细档案，贮存期间的所有变动情况均应记入档案。</w:t>
      </w:r>
    </w:p>
    <w:bookmarkEnd w:id="119"/>
    <w:p w14:paraId="56CBE9CE">
      <w:pPr>
        <w:pStyle w:val="126"/>
        <w:spacing w:before="240" w:after="240"/>
        <w:ind w:left="0"/>
        <w:rPr>
          <w:color w:val="auto"/>
        </w:rPr>
      </w:pPr>
      <w:bookmarkStart w:id="120" w:name="_Toc197422447"/>
      <w:r>
        <w:rPr>
          <w:rFonts w:hint="eastAsia"/>
          <w:color w:val="auto"/>
        </w:rPr>
        <w:t>绿色节能和智能操作</w:t>
      </w:r>
      <w:bookmarkEnd w:id="120"/>
      <w:r>
        <w:rPr>
          <w:rFonts w:hint="eastAsia"/>
          <w:color w:val="auto"/>
        </w:rPr>
        <w:t xml:space="preserve">  </w:t>
      </w:r>
    </w:p>
    <w:p w14:paraId="67D5574E">
      <w:pPr>
        <w:pStyle w:val="127"/>
        <w:spacing w:before="120" w:after="120"/>
        <w:rPr>
          <w:color w:val="auto"/>
        </w:rPr>
      </w:pPr>
      <w:bookmarkStart w:id="121" w:name="_Toc197422448"/>
      <w:r>
        <w:rPr>
          <w:rFonts w:hint="eastAsia"/>
          <w:color w:val="auto"/>
        </w:rPr>
        <w:t>绿色节能</w:t>
      </w:r>
      <w:bookmarkEnd w:id="121"/>
    </w:p>
    <w:p w14:paraId="7E833282">
      <w:pPr>
        <w:pStyle w:val="187"/>
        <w:rPr>
          <w:color w:val="auto"/>
        </w:rPr>
      </w:pPr>
      <w:bookmarkStart w:id="122" w:name="_Hlk195177117"/>
      <w:r>
        <w:rPr>
          <w:rFonts w:hAnsi="宋体" w:cs="宋体"/>
          <w:color w:val="auto"/>
          <w:szCs w:val="21"/>
        </w:rPr>
        <w:t>塔机</w:t>
      </w:r>
      <w:r>
        <w:rPr>
          <w:rFonts w:hint="eastAsia" w:hAnsi="宋体" w:cs="宋体"/>
          <w:color w:val="auto"/>
          <w:szCs w:val="21"/>
        </w:rPr>
        <w:t>各</w:t>
      </w:r>
      <w:r>
        <w:rPr>
          <w:rFonts w:hAnsi="宋体" w:cs="宋体"/>
          <w:color w:val="auto"/>
          <w:szCs w:val="21"/>
        </w:rPr>
        <w:t>机构宜采用高效节能电机</w:t>
      </w:r>
      <w:r>
        <w:rPr>
          <w:rFonts w:hint="eastAsia" w:hAnsi="宋体" w:cs="宋体"/>
          <w:color w:val="auto"/>
          <w:szCs w:val="21"/>
        </w:rPr>
        <w:t>及电器元件</w:t>
      </w:r>
      <w:r>
        <w:rPr>
          <w:rFonts w:hAnsi="宋体" w:cs="宋体"/>
          <w:color w:val="auto"/>
          <w:szCs w:val="21"/>
        </w:rPr>
        <w:t>。</w:t>
      </w:r>
    </w:p>
    <w:p w14:paraId="0A35AA01">
      <w:pPr>
        <w:pStyle w:val="187"/>
        <w:rPr>
          <w:color w:val="auto"/>
        </w:rPr>
      </w:pPr>
      <w:r>
        <w:rPr>
          <w:rFonts w:hAnsi="宋体" w:cs="宋体"/>
          <w:color w:val="auto"/>
          <w:szCs w:val="21"/>
        </w:rPr>
        <w:t>塔机</w:t>
      </w:r>
      <w:r>
        <w:rPr>
          <w:rFonts w:hint="eastAsia" w:hAnsi="宋体" w:cs="宋体"/>
          <w:color w:val="auto"/>
          <w:szCs w:val="21"/>
        </w:rPr>
        <w:t>动力</w:t>
      </w:r>
      <w:r>
        <w:rPr>
          <w:rFonts w:hAnsi="宋体" w:cs="宋体"/>
          <w:color w:val="auto"/>
          <w:szCs w:val="21"/>
        </w:rPr>
        <w:t>宜尽量采用电动机。</w:t>
      </w:r>
    </w:p>
    <w:p w14:paraId="47C796BE">
      <w:pPr>
        <w:pStyle w:val="187"/>
        <w:rPr>
          <w:color w:val="auto"/>
        </w:rPr>
      </w:pPr>
      <w:r>
        <w:rPr>
          <w:rFonts w:hAnsi="宋体" w:cs="宋体"/>
          <w:color w:val="auto"/>
          <w:szCs w:val="21"/>
        </w:rPr>
        <w:t>塔机宜</w:t>
      </w:r>
      <w:r>
        <w:rPr>
          <w:rFonts w:hint="eastAsia" w:hAnsi="宋体" w:cs="宋体"/>
          <w:color w:val="auto"/>
          <w:szCs w:val="21"/>
        </w:rPr>
        <w:t>鼓励</w:t>
      </w:r>
      <w:r>
        <w:rPr>
          <w:rFonts w:hAnsi="宋体" w:cs="宋体"/>
          <w:color w:val="auto"/>
          <w:szCs w:val="21"/>
        </w:rPr>
        <w:t>增加如储能、能量回馈装置及太阳能等新型供电方式。</w:t>
      </w:r>
    </w:p>
    <w:p w14:paraId="4EEEE192">
      <w:pPr>
        <w:pStyle w:val="187"/>
        <w:rPr>
          <w:color w:val="auto"/>
        </w:rPr>
      </w:pPr>
      <w:bookmarkStart w:id="123" w:name="_Hlk197674167"/>
      <w:r>
        <w:rPr>
          <w:rFonts w:hAnsi="宋体" w:cs="宋体"/>
          <w:color w:val="auto"/>
          <w:szCs w:val="21"/>
        </w:rPr>
        <w:t>塔机宜安装节能照明灯具</w:t>
      </w:r>
      <w:bookmarkEnd w:id="123"/>
      <w:r>
        <w:rPr>
          <w:rFonts w:hAnsi="宋体" w:cs="宋体"/>
          <w:color w:val="auto"/>
          <w:szCs w:val="21"/>
        </w:rPr>
        <w:t>。</w:t>
      </w:r>
    </w:p>
    <w:p w14:paraId="3D50831E">
      <w:pPr>
        <w:pStyle w:val="187"/>
        <w:rPr>
          <w:color w:val="auto"/>
        </w:rPr>
      </w:pPr>
      <w:r>
        <w:rPr>
          <w:rFonts w:hAnsi="宋体" w:cs="宋体"/>
          <w:color w:val="auto"/>
          <w:szCs w:val="21"/>
        </w:rPr>
        <w:t>塔机采用燃油动力</w:t>
      </w:r>
      <w:r>
        <w:rPr>
          <w:rFonts w:hint="eastAsia" w:hAnsi="宋体" w:cs="宋体"/>
          <w:color w:val="auto"/>
          <w:szCs w:val="21"/>
        </w:rPr>
        <w:t>时</w:t>
      </w:r>
      <w:r>
        <w:rPr>
          <w:rFonts w:hint="eastAsia"/>
          <w:color w:val="auto"/>
        </w:rPr>
        <w:t>其相关燃油机构应符合国家许可的排放标准。</w:t>
      </w:r>
    </w:p>
    <w:p w14:paraId="54C2F103">
      <w:pPr>
        <w:pStyle w:val="187"/>
        <w:rPr>
          <w:color w:val="auto"/>
        </w:rPr>
      </w:pPr>
      <w:bookmarkStart w:id="124" w:name="_Hlk197674204"/>
      <w:r>
        <w:rPr>
          <w:rFonts w:hAnsi="宋体" w:cs="宋体"/>
          <w:color w:val="auto"/>
          <w:szCs w:val="21"/>
        </w:rPr>
        <w:t>塔机</w:t>
      </w:r>
      <w:r>
        <w:rPr>
          <w:rFonts w:hint="eastAsia" w:hAnsi="宋体" w:cs="宋体"/>
          <w:color w:val="auto"/>
          <w:szCs w:val="21"/>
        </w:rPr>
        <w:t>使用</w:t>
      </w:r>
      <w:r>
        <w:rPr>
          <w:rFonts w:hAnsi="宋体" w:cs="宋体"/>
          <w:color w:val="auto"/>
          <w:szCs w:val="21"/>
        </w:rPr>
        <w:t>过程中应对周边环境</w:t>
      </w:r>
      <w:r>
        <w:rPr>
          <w:rFonts w:hint="eastAsia" w:hAnsi="宋体" w:cs="宋体"/>
          <w:color w:val="auto"/>
          <w:szCs w:val="21"/>
        </w:rPr>
        <w:t>做好</w:t>
      </w:r>
      <w:r>
        <w:rPr>
          <w:rFonts w:hAnsi="宋体" w:cs="宋体"/>
          <w:color w:val="auto"/>
          <w:szCs w:val="21"/>
        </w:rPr>
        <w:t>防护，润滑油、油漆等材料宜选用环保材料，维保过程中应</w:t>
      </w:r>
      <w:r>
        <w:rPr>
          <w:rFonts w:hint="eastAsia" w:hAnsi="宋体" w:cs="宋体"/>
          <w:color w:val="auto"/>
          <w:szCs w:val="21"/>
        </w:rPr>
        <w:t>采取措施</w:t>
      </w:r>
      <w:r>
        <w:rPr>
          <w:rFonts w:hAnsi="宋体" w:cs="宋体"/>
          <w:color w:val="auto"/>
          <w:szCs w:val="21"/>
        </w:rPr>
        <w:t>减少有害物质的遗撒或滴落。</w:t>
      </w:r>
    </w:p>
    <w:bookmarkEnd w:id="124"/>
    <w:p w14:paraId="55A4D522">
      <w:pPr>
        <w:pStyle w:val="187"/>
        <w:rPr>
          <w:color w:val="auto"/>
        </w:rPr>
      </w:pPr>
      <w:bookmarkStart w:id="125" w:name="_Hlk197674232"/>
      <w:r>
        <w:rPr>
          <w:rFonts w:hint="eastAsia" w:hAnsi="宋体" w:cs="宋体"/>
          <w:color w:val="auto"/>
          <w:szCs w:val="21"/>
        </w:rPr>
        <w:t>塔</w:t>
      </w:r>
      <w:r>
        <w:rPr>
          <w:rFonts w:hint="eastAsia"/>
          <w:color w:val="auto"/>
        </w:rPr>
        <w:t>机司机合理操作塔机，选择合理吊运路径，避免不必要的回转、变幅及频繁启停等，降低能耗。</w:t>
      </w:r>
      <w:bookmarkEnd w:id="122"/>
    </w:p>
    <w:bookmarkEnd w:id="125"/>
    <w:p w14:paraId="2F915969">
      <w:pPr>
        <w:pStyle w:val="127"/>
        <w:spacing w:before="120" w:after="120"/>
        <w:rPr>
          <w:color w:val="auto"/>
        </w:rPr>
      </w:pPr>
      <w:bookmarkStart w:id="126" w:name="_Toc197422449"/>
      <w:r>
        <w:rPr>
          <w:rFonts w:hint="eastAsia"/>
          <w:color w:val="auto"/>
        </w:rPr>
        <w:t>智能操作</w:t>
      </w:r>
      <w:bookmarkEnd w:id="126"/>
    </w:p>
    <w:p w14:paraId="761FE5BC">
      <w:pPr>
        <w:pStyle w:val="187"/>
        <w:rPr>
          <w:rFonts w:hint="eastAsia" w:hAnsi="宋体" w:cs="宋体"/>
          <w:color w:val="auto"/>
          <w:szCs w:val="21"/>
        </w:rPr>
      </w:pPr>
      <w:r>
        <w:rPr>
          <w:rFonts w:hint="eastAsia" w:hAnsi="宋体" w:cs="宋体"/>
          <w:color w:val="auto"/>
          <w:szCs w:val="21"/>
        </w:rPr>
        <w:t>塔机宜具备</w:t>
      </w:r>
      <w:r>
        <w:rPr>
          <w:rFonts w:hAnsi="宋体" w:cs="宋体"/>
          <w:color w:val="auto"/>
          <w:szCs w:val="21"/>
        </w:rPr>
        <w:t>远程操作</w:t>
      </w:r>
      <w:r>
        <w:rPr>
          <w:rFonts w:hint="eastAsia" w:hAnsi="宋体" w:cs="宋体"/>
          <w:color w:val="auto"/>
          <w:szCs w:val="21"/>
        </w:rPr>
        <w:t>功能，</w:t>
      </w:r>
      <w:r>
        <w:rPr>
          <w:rFonts w:hAnsi="宋体" w:cs="宋体"/>
          <w:color w:val="auto"/>
          <w:szCs w:val="21"/>
        </w:rPr>
        <w:t>操作人员</w:t>
      </w:r>
      <w:r>
        <w:rPr>
          <w:rFonts w:hint="eastAsia" w:hAnsi="宋体" w:cs="宋体"/>
          <w:color w:val="auto"/>
          <w:szCs w:val="21"/>
        </w:rPr>
        <w:t>可以</w:t>
      </w:r>
      <w:r>
        <w:rPr>
          <w:rFonts w:hAnsi="宋体" w:cs="宋体"/>
          <w:color w:val="auto"/>
          <w:szCs w:val="21"/>
        </w:rPr>
        <w:t>在控制室内</w:t>
      </w:r>
      <w:r>
        <w:rPr>
          <w:rFonts w:hint="eastAsia" w:hAnsi="宋体" w:cs="宋体"/>
          <w:color w:val="auto"/>
          <w:szCs w:val="21"/>
        </w:rPr>
        <w:t>或者地面</w:t>
      </w:r>
      <w:r>
        <w:rPr>
          <w:rFonts w:hAnsi="宋体" w:cs="宋体"/>
          <w:color w:val="auto"/>
          <w:szCs w:val="21"/>
        </w:rPr>
        <w:t>控制塔机</w:t>
      </w:r>
      <w:r>
        <w:rPr>
          <w:rFonts w:hint="eastAsia" w:hAnsi="宋体" w:cs="宋体"/>
          <w:color w:val="auto"/>
          <w:szCs w:val="21"/>
        </w:rPr>
        <w:t>进行吊装</w:t>
      </w:r>
      <w:r>
        <w:rPr>
          <w:rFonts w:hAnsi="宋体" w:cs="宋体"/>
          <w:color w:val="auto"/>
          <w:szCs w:val="21"/>
        </w:rPr>
        <w:t>作业。</w:t>
      </w:r>
    </w:p>
    <w:p w14:paraId="40BD6046">
      <w:pPr>
        <w:pStyle w:val="187"/>
        <w:rPr>
          <w:rFonts w:hint="eastAsia" w:hAnsi="宋体" w:cs="宋体"/>
          <w:color w:val="auto"/>
          <w:szCs w:val="21"/>
        </w:rPr>
      </w:pPr>
      <w:r>
        <w:rPr>
          <w:rFonts w:hint="eastAsia" w:hAnsi="宋体" w:cs="宋体"/>
          <w:color w:val="auto"/>
          <w:szCs w:val="21"/>
        </w:rPr>
        <w:t>塔机宜根据起重量自动匹配合理的起升速度。</w:t>
      </w:r>
    </w:p>
    <w:p w14:paraId="3C232463">
      <w:pPr>
        <w:pStyle w:val="187"/>
        <w:rPr>
          <w:rFonts w:hint="eastAsia" w:hAnsi="宋体" w:cs="宋体"/>
          <w:color w:val="auto"/>
          <w:szCs w:val="21"/>
        </w:rPr>
      </w:pPr>
      <w:r>
        <w:rPr>
          <w:rFonts w:hint="eastAsia" w:hAnsi="宋体" w:cs="宋体"/>
          <w:color w:val="auto"/>
          <w:szCs w:val="21"/>
        </w:rPr>
        <w:t>塔机宜具备精准就位功能。</w:t>
      </w:r>
    </w:p>
    <w:p w14:paraId="1573A69B">
      <w:pPr>
        <w:pStyle w:val="187"/>
        <w:rPr>
          <w:rFonts w:hint="eastAsia" w:hAnsi="宋体" w:cs="宋体"/>
          <w:color w:val="auto"/>
          <w:szCs w:val="21"/>
        </w:rPr>
      </w:pPr>
      <w:bookmarkStart w:id="127" w:name="_Hlk197674311"/>
      <w:r>
        <w:rPr>
          <w:rFonts w:hint="eastAsia" w:hAnsi="宋体" w:cs="宋体"/>
          <w:color w:val="auto"/>
          <w:szCs w:val="21"/>
        </w:rPr>
        <w:t>塔机宜根据施工现场环境和吊装目标位置，为塔机规划最佳吊装路径，避开障碍物和危险区域。</w:t>
      </w:r>
      <w:bookmarkEnd w:id="127"/>
    </w:p>
    <w:p w14:paraId="699CECD9">
      <w:pPr>
        <w:pStyle w:val="127"/>
        <w:spacing w:before="120" w:after="120"/>
        <w:rPr>
          <w:color w:val="auto"/>
        </w:rPr>
      </w:pPr>
    </w:p>
    <w:p w14:paraId="2413CA2D">
      <w:pPr>
        <w:pStyle w:val="78"/>
        <w:ind w:firstLine="420"/>
        <w:rPr>
          <w:color w:val="auto"/>
        </w:rPr>
      </w:pPr>
    </w:p>
    <w:p w14:paraId="5D4EEC69">
      <w:pPr>
        <w:pStyle w:val="78"/>
        <w:ind w:firstLine="0" w:firstLineChars="0"/>
        <w:rPr>
          <w:color w:val="auto"/>
        </w:rPr>
      </w:pPr>
    </w:p>
    <w:p w14:paraId="6A679426">
      <w:pPr>
        <w:pStyle w:val="78"/>
        <w:ind w:firstLine="0" w:firstLineChars="0"/>
        <w:rPr>
          <w:color w:val="auto"/>
        </w:rPr>
      </w:pPr>
    </w:p>
    <w:p w14:paraId="30E1C2E9">
      <w:pPr>
        <w:pStyle w:val="78"/>
        <w:ind w:firstLine="0" w:firstLineChars="0"/>
        <w:rPr>
          <w:color w:val="auto"/>
        </w:rPr>
      </w:pPr>
    </w:p>
    <w:p w14:paraId="3F0D5A1C">
      <w:pPr>
        <w:pStyle w:val="78"/>
        <w:ind w:firstLine="0" w:firstLineChars="0"/>
        <w:rPr>
          <w:color w:val="auto"/>
        </w:rPr>
      </w:pPr>
    </w:p>
    <w:p w14:paraId="46010860">
      <w:pPr>
        <w:pStyle w:val="78"/>
        <w:ind w:firstLine="0" w:firstLineChars="0"/>
        <w:rPr>
          <w:rFonts w:hint="eastAsia"/>
          <w:color w:val="auto"/>
        </w:rPr>
      </w:pPr>
    </w:p>
    <w:bookmarkEnd w:id="18"/>
    <w:bookmarkEnd w:id="52"/>
    <w:bookmarkEnd w:id="70"/>
    <w:p w14:paraId="10CB44DB">
      <w:pPr>
        <w:pStyle w:val="220"/>
        <w:rPr>
          <w:rFonts w:hint="eastAsia"/>
          <w:vanish w:val="0"/>
          <w:color w:val="auto"/>
          <w:shd w:val="clear" w:color="auto" w:fill="FDFDFE"/>
        </w:rPr>
      </w:pPr>
      <w:bookmarkStart w:id="128" w:name="BookMark5"/>
    </w:p>
    <w:p w14:paraId="611D300B">
      <w:pPr>
        <w:pStyle w:val="221"/>
        <w:rPr>
          <w:vanish w:val="0"/>
          <w:color w:val="auto"/>
        </w:rPr>
      </w:pPr>
    </w:p>
    <w:p w14:paraId="37C8EF76">
      <w:pPr>
        <w:pStyle w:val="98"/>
        <w:spacing w:after="120"/>
        <w:rPr>
          <w:color w:val="auto"/>
        </w:rPr>
      </w:pPr>
      <w:r>
        <w:rPr>
          <w:color w:val="auto"/>
        </w:rPr>
        <w:br w:type="textWrapping"/>
      </w:r>
      <w:bookmarkStart w:id="129" w:name="_Toc180146099"/>
      <w:bookmarkStart w:id="130" w:name="_Toc197422450"/>
      <w:r>
        <w:rPr>
          <w:rFonts w:hint="eastAsia"/>
          <w:color w:val="auto"/>
        </w:rPr>
        <w:t>（资料性）</w:t>
      </w:r>
      <w:r>
        <w:rPr>
          <w:color w:val="auto"/>
        </w:rPr>
        <w:br w:type="textWrapping"/>
      </w:r>
      <w:bookmarkEnd w:id="129"/>
      <w:r>
        <w:rPr>
          <w:rFonts w:hint="eastAsia"/>
          <w:color w:val="auto"/>
        </w:rPr>
        <w:t>塔机入场验收表</w:t>
      </w:r>
      <w:bookmarkEnd w:id="130"/>
    </w:p>
    <w:p w14:paraId="32975710">
      <w:pPr>
        <w:pStyle w:val="78"/>
        <w:ind w:firstLine="420"/>
        <w:rPr>
          <w:color w:val="auto"/>
        </w:rPr>
      </w:pPr>
      <w:r>
        <w:rPr>
          <w:rFonts w:hint="eastAsia"/>
          <w:color w:val="auto"/>
        </w:rPr>
        <w:t>表A.1给出了塔机入场验收应检查的项目和内容。</w:t>
      </w:r>
    </w:p>
    <w:p w14:paraId="72F3C871">
      <w:pPr>
        <w:pStyle w:val="99"/>
        <w:spacing w:before="120" w:after="120"/>
        <w:outlineLvl w:val="1"/>
        <w:rPr>
          <w:color w:val="auto"/>
        </w:rPr>
      </w:pPr>
      <w:r>
        <w:rPr>
          <w:rFonts w:hint="eastAsia"/>
          <w:color w:val="auto"/>
        </w:rPr>
        <w:t xml:space="preserve">  塔机入场验收表</w:t>
      </w:r>
    </w:p>
    <w:tbl>
      <w:tblPr>
        <w:tblStyle w:val="39"/>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1749"/>
        <w:gridCol w:w="1555"/>
        <w:gridCol w:w="2498"/>
        <w:gridCol w:w="1123"/>
        <w:gridCol w:w="1057"/>
      </w:tblGrid>
      <w:tr w14:paraId="26E1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Align w:val="center"/>
          </w:tcPr>
          <w:p w14:paraId="0D5D89C5">
            <w:pPr>
              <w:pStyle w:val="200"/>
              <w:rPr>
                <w:color w:val="auto"/>
              </w:rPr>
            </w:pPr>
            <w:bookmarkStart w:id="131" w:name="_Hlk193364542"/>
            <w:r>
              <w:rPr>
                <w:rFonts w:hint="eastAsia"/>
                <w:color w:val="auto"/>
              </w:rPr>
              <w:t>机械名称</w:t>
            </w:r>
          </w:p>
        </w:tc>
        <w:tc>
          <w:tcPr>
            <w:tcW w:w="1749" w:type="dxa"/>
            <w:vAlign w:val="center"/>
          </w:tcPr>
          <w:p w14:paraId="587B01A3">
            <w:pPr>
              <w:pStyle w:val="200"/>
              <w:rPr>
                <w:color w:val="auto"/>
              </w:rPr>
            </w:pPr>
          </w:p>
        </w:tc>
        <w:tc>
          <w:tcPr>
            <w:tcW w:w="1555" w:type="dxa"/>
            <w:vAlign w:val="center"/>
          </w:tcPr>
          <w:p w14:paraId="01FAB777">
            <w:pPr>
              <w:pStyle w:val="200"/>
              <w:rPr>
                <w:color w:val="auto"/>
              </w:rPr>
            </w:pPr>
            <w:r>
              <w:rPr>
                <w:rFonts w:hint="eastAsia"/>
                <w:color w:val="auto"/>
              </w:rPr>
              <w:t>型号规格</w:t>
            </w:r>
          </w:p>
        </w:tc>
        <w:tc>
          <w:tcPr>
            <w:tcW w:w="2498" w:type="dxa"/>
            <w:vAlign w:val="center"/>
          </w:tcPr>
          <w:p w14:paraId="0A5CFD44">
            <w:pPr>
              <w:pStyle w:val="200"/>
              <w:rPr>
                <w:color w:val="auto"/>
              </w:rPr>
            </w:pPr>
          </w:p>
        </w:tc>
        <w:tc>
          <w:tcPr>
            <w:tcW w:w="1123" w:type="dxa"/>
            <w:vAlign w:val="center"/>
          </w:tcPr>
          <w:p w14:paraId="2C6CD38D">
            <w:pPr>
              <w:pStyle w:val="200"/>
              <w:rPr>
                <w:color w:val="auto"/>
              </w:rPr>
            </w:pPr>
            <w:r>
              <w:rPr>
                <w:rFonts w:hint="eastAsia"/>
                <w:color w:val="auto"/>
              </w:rPr>
              <w:t>产品编号</w:t>
            </w:r>
          </w:p>
        </w:tc>
        <w:tc>
          <w:tcPr>
            <w:tcW w:w="1057" w:type="dxa"/>
            <w:vAlign w:val="center"/>
          </w:tcPr>
          <w:p w14:paraId="65FC9B62">
            <w:pPr>
              <w:pStyle w:val="200"/>
              <w:rPr>
                <w:color w:val="auto"/>
              </w:rPr>
            </w:pPr>
          </w:p>
        </w:tc>
      </w:tr>
      <w:tr w14:paraId="22BA4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Align w:val="center"/>
          </w:tcPr>
          <w:p w14:paraId="428259E1">
            <w:pPr>
              <w:pStyle w:val="200"/>
              <w:rPr>
                <w:color w:val="auto"/>
              </w:rPr>
            </w:pPr>
            <w:r>
              <w:rPr>
                <w:rFonts w:hint="eastAsia"/>
                <w:color w:val="auto"/>
              </w:rPr>
              <w:t>检查日期</w:t>
            </w:r>
          </w:p>
        </w:tc>
        <w:tc>
          <w:tcPr>
            <w:tcW w:w="1749" w:type="dxa"/>
            <w:vAlign w:val="center"/>
          </w:tcPr>
          <w:p w14:paraId="1DBED725">
            <w:pPr>
              <w:pStyle w:val="200"/>
              <w:rPr>
                <w:color w:val="auto"/>
              </w:rPr>
            </w:pPr>
          </w:p>
        </w:tc>
        <w:tc>
          <w:tcPr>
            <w:tcW w:w="1555" w:type="dxa"/>
            <w:vAlign w:val="center"/>
          </w:tcPr>
          <w:p w14:paraId="3D506814">
            <w:pPr>
              <w:pStyle w:val="200"/>
              <w:rPr>
                <w:color w:val="auto"/>
              </w:rPr>
            </w:pPr>
            <w:r>
              <w:rPr>
                <w:rFonts w:hint="eastAsia"/>
                <w:color w:val="auto"/>
              </w:rPr>
              <w:t>检查人员</w:t>
            </w:r>
          </w:p>
        </w:tc>
        <w:tc>
          <w:tcPr>
            <w:tcW w:w="2498" w:type="dxa"/>
            <w:vAlign w:val="center"/>
          </w:tcPr>
          <w:p w14:paraId="50B5A59A">
            <w:pPr>
              <w:pStyle w:val="200"/>
              <w:rPr>
                <w:color w:val="auto"/>
              </w:rPr>
            </w:pPr>
          </w:p>
        </w:tc>
        <w:tc>
          <w:tcPr>
            <w:tcW w:w="1123" w:type="dxa"/>
            <w:vAlign w:val="center"/>
          </w:tcPr>
          <w:p w14:paraId="639ED2B8">
            <w:pPr>
              <w:pStyle w:val="200"/>
              <w:rPr>
                <w:color w:val="auto"/>
              </w:rPr>
            </w:pPr>
            <w:r>
              <w:rPr>
                <w:rFonts w:hint="eastAsia"/>
                <w:color w:val="auto"/>
              </w:rPr>
              <w:t>检查地点</w:t>
            </w:r>
          </w:p>
        </w:tc>
        <w:tc>
          <w:tcPr>
            <w:tcW w:w="1057" w:type="dxa"/>
            <w:vAlign w:val="center"/>
          </w:tcPr>
          <w:p w14:paraId="5F06CB83">
            <w:pPr>
              <w:pStyle w:val="200"/>
              <w:rPr>
                <w:color w:val="auto"/>
              </w:rPr>
            </w:pPr>
          </w:p>
        </w:tc>
      </w:tr>
      <w:tr w14:paraId="7DBA4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restart"/>
            <w:vAlign w:val="center"/>
          </w:tcPr>
          <w:p w14:paraId="5F012CE1">
            <w:pPr>
              <w:pStyle w:val="200"/>
              <w:rPr>
                <w:color w:val="auto"/>
              </w:rPr>
            </w:pPr>
            <w:r>
              <w:rPr>
                <w:rFonts w:hint="eastAsia"/>
                <w:color w:val="auto"/>
              </w:rPr>
              <w:t>检查项目</w:t>
            </w:r>
          </w:p>
        </w:tc>
        <w:tc>
          <w:tcPr>
            <w:tcW w:w="5802" w:type="dxa"/>
            <w:gridSpan w:val="3"/>
            <w:vMerge w:val="restart"/>
            <w:vAlign w:val="center"/>
          </w:tcPr>
          <w:p w14:paraId="4B239D63">
            <w:pPr>
              <w:pStyle w:val="200"/>
              <w:rPr>
                <w:color w:val="auto"/>
              </w:rPr>
            </w:pPr>
            <w:r>
              <w:rPr>
                <w:rFonts w:hint="eastAsia"/>
                <w:color w:val="auto"/>
              </w:rPr>
              <w:t>检查内容</w:t>
            </w:r>
          </w:p>
        </w:tc>
        <w:tc>
          <w:tcPr>
            <w:tcW w:w="2180" w:type="dxa"/>
            <w:gridSpan w:val="2"/>
            <w:vAlign w:val="center"/>
          </w:tcPr>
          <w:p w14:paraId="3059BD27">
            <w:pPr>
              <w:pStyle w:val="200"/>
              <w:rPr>
                <w:color w:val="auto"/>
              </w:rPr>
            </w:pPr>
            <w:r>
              <w:rPr>
                <w:rFonts w:hint="eastAsia"/>
                <w:color w:val="auto"/>
              </w:rPr>
              <w:t>检查结果</w:t>
            </w:r>
          </w:p>
        </w:tc>
      </w:tr>
      <w:tr w14:paraId="4A09B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6D5CBA46">
            <w:pPr>
              <w:pStyle w:val="200"/>
              <w:rPr>
                <w:color w:val="auto"/>
              </w:rPr>
            </w:pPr>
          </w:p>
        </w:tc>
        <w:tc>
          <w:tcPr>
            <w:tcW w:w="5802" w:type="dxa"/>
            <w:gridSpan w:val="3"/>
            <w:vMerge w:val="continue"/>
            <w:vAlign w:val="center"/>
          </w:tcPr>
          <w:p w14:paraId="1962F376">
            <w:pPr>
              <w:pStyle w:val="200"/>
              <w:rPr>
                <w:color w:val="auto"/>
              </w:rPr>
            </w:pPr>
          </w:p>
        </w:tc>
        <w:tc>
          <w:tcPr>
            <w:tcW w:w="1123" w:type="dxa"/>
            <w:vAlign w:val="center"/>
          </w:tcPr>
          <w:p w14:paraId="0422BC3B">
            <w:pPr>
              <w:pStyle w:val="200"/>
              <w:rPr>
                <w:color w:val="auto"/>
              </w:rPr>
            </w:pPr>
            <w:r>
              <w:rPr>
                <w:rFonts w:hint="eastAsia"/>
                <w:color w:val="auto"/>
              </w:rPr>
              <w:t>是（</w:t>
            </w:r>
            <w:r>
              <w:rPr>
                <w:rFonts w:ascii="Arial" w:hAnsi="Arial" w:cs="Arial"/>
                <w:color w:val="auto"/>
              </w:rPr>
              <w:t>√</w:t>
            </w:r>
            <w:r>
              <w:rPr>
                <w:rFonts w:hint="eastAsia"/>
                <w:color w:val="auto"/>
              </w:rPr>
              <w:t>）</w:t>
            </w:r>
          </w:p>
        </w:tc>
        <w:tc>
          <w:tcPr>
            <w:tcW w:w="1057" w:type="dxa"/>
            <w:vAlign w:val="center"/>
          </w:tcPr>
          <w:p w14:paraId="439BC60D">
            <w:pPr>
              <w:pStyle w:val="200"/>
              <w:rPr>
                <w:color w:val="auto"/>
              </w:rPr>
            </w:pPr>
            <w:r>
              <w:rPr>
                <w:rFonts w:hint="eastAsia"/>
                <w:color w:val="auto"/>
              </w:rPr>
              <w:t>否（</w:t>
            </w:r>
            <w:r>
              <w:rPr>
                <w:rFonts w:ascii="Arial" w:hAnsi="Arial" w:cs="Arial"/>
                <w:color w:val="auto"/>
              </w:rPr>
              <w:t>×</w:t>
            </w:r>
            <w:r>
              <w:rPr>
                <w:rFonts w:hint="eastAsia"/>
                <w:color w:val="auto"/>
              </w:rPr>
              <w:t>）</w:t>
            </w:r>
          </w:p>
        </w:tc>
      </w:tr>
      <w:tr w14:paraId="78BED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restart"/>
            <w:vAlign w:val="center"/>
          </w:tcPr>
          <w:p w14:paraId="71CE3D6A">
            <w:pPr>
              <w:pStyle w:val="200"/>
              <w:rPr>
                <w:color w:val="auto"/>
              </w:rPr>
            </w:pPr>
            <w:r>
              <w:rPr>
                <w:rFonts w:hint="eastAsia"/>
                <w:color w:val="auto"/>
              </w:rPr>
              <w:t>资料查验</w:t>
            </w:r>
          </w:p>
        </w:tc>
        <w:tc>
          <w:tcPr>
            <w:tcW w:w="5802" w:type="dxa"/>
            <w:gridSpan w:val="3"/>
            <w:vAlign w:val="center"/>
          </w:tcPr>
          <w:p w14:paraId="1016F888">
            <w:pPr>
              <w:pStyle w:val="200"/>
              <w:jc w:val="left"/>
              <w:rPr>
                <w:color w:val="auto"/>
              </w:rPr>
            </w:pPr>
            <w:r>
              <w:rPr>
                <w:rFonts w:hint="eastAsia"/>
                <w:color w:val="auto"/>
              </w:rPr>
              <w:t>特种设备生产许可证</w:t>
            </w:r>
          </w:p>
        </w:tc>
        <w:tc>
          <w:tcPr>
            <w:tcW w:w="1123" w:type="dxa"/>
            <w:vAlign w:val="center"/>
          </w:tcPr>
          <w:p w14:paraId="5C4937F8">
            <w:pPr>
              <w:pStyle w:val="200"/>
              <w:rPr>
                <w:color w:val="auto"/>
              </w:rPr>
            </w:pPr>
          </w:p>
        </w:tc>
        <w:tc>
          <w:tcPr>
            <w:tcW w:w="1057" w:type="dxa"/>
            <w:vAlign w:val="center"/>
          </w:tcPr>
          <w:p w14:paraId="7FF518A1">
            <w:pPr>
              <w:pStyle w:val="200"/>
              <w:rPr>
                <w:color w:val="auto"/>
              </w:rPr>
            </w:pPr>
          </w:p>
        </w:tc>
      </w:tr>
      <w:tr w14:paraId="12C7B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4D100A19">
            <w:pPr>
              <w:pStyle w:val="200"/>
              <w:rPr>
                <w:color w:val="auto"/>
              </w:rPr>
            </w:pPr>
          </w:p>
        </w:tc>
        <w:tc>
          <w:tcPr>
            <w:tcW w:w="5802" w:type="dxa"/>
            <w:gridSpan w:val="3"/>
            <w:vAlign w:val="center"/>
          </w:tcPr>
          <w:p w14:paraId="7B6043C2">
            <w:pPr>
              <w:pStyle w:val="200"/>
              <w:jc w:val="left"/>
              <w:rPr>
                <w:color w:val="auto"/>
              </w:rPr>
            </w:pPr>
            <w:r>
              <w:rPr>
                <w:rFonts w:hint="eastAsia"/>
                <w:color w:val="auto"/>
              </w:rPr>
              <w:t>产品合格证</w:t>
            </w:r>
          </w:p>
        </w:tc>
        <w:tc>
          <w:tcPr>
            <w:tcW w:w="1123" w:type="dxa"/>
            <w:vAlign w:val="center"/>
          </w:tcPr>
          <w:p w14:paraId="37147226">
            <w:pPr>
              <w:pStyle w:val="200"/>
              <w:rPr>
                <w:color w:val="auto"/>
              </w:rPr>
            </w:pPr>
          </w:p>
        </w:tc>
        <w:tc>
          <w:tcPr>
            <w:tcW w:w="1057" w:type="dxa"/>
            <w:vAlign w:val="center"/>
          </w:tcPr>
          <w:p w14:paraId="266BDB45">
            <w:pPr>
              <w:pStyle w:val="200"/>
              <w:rPr>
                <w:color w:val="auto"/>
              </w:rPr>
            </w:pPr>
          </w:p>
        </w:tc>
      </w:tr>
      <w:tr w14:paraId="0224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133CA2EA">
            <w:pPr>
              <w:pStyle w:val="200"/>
              <w:rPr>
                <w:color w:val="auto"/>
              </w:rPr>
            </w:pPr>
          </w:p>
        </w:tc>
        <w:tc>
          <w:tcPr>
            <w:tcW w:w="5802" w:type="dxa"/>
            <w:gridSpan w:val="3"/>
            <w:vAlign w:val="center"/>
          </w:tcPr>
          <w:p w14:paraId="1842A874">
            <w:pPr>
              <w:pStyle w:val="200"/>
              <w:jc w:val="left"/>
              <w:rPr>
                <w:color w:val="auto"/>
              </w:rPr>
            </w:pPr>
            <w:r>
              <w:rPr>
                <w:rFonts w:hint="eastAsia"/>
                <w:color w:val="auto"/>
              </w:rPr>
              <w:t>整机型式试验合格证</w:t>
            </w:r>
          </w:p>
        </w:tc>
        <w:tc>
          <w:tcPr>
            <w:tcW w:w="1123" w:type="dxa"/>
            <w:vAlign w:val="center"/>
          </w:tcPr>
          <w:p w14:paraId="50451B85">
            <w:pPr>
              <w:pStyle w:val="200"/>
              <w:rPr>
                <w:color w:val="auto"/>
              </w:rPr>
            </w:pPr>
          </w:p>
        </w:tc>
        <w:tc>
          <w:tcPr>
            <w:tcW w:w="1057" w:type="dxa"/>
            <w:vAlign w:val="center"/>
          </w:tcPr>
          <w:p w14:paraId="063D8BB2">
            <w:pPr>
              <w:pStyle w:val="200"/>
              <w:rPr>
                <w:color w:val="auto"/>
              </w:rPr>
            </w:pPr>
          </w:p>
        </w:tc>
      </w:tr>
      <w:tr w14:paraId="69796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5B8B7A02">
            <w:pPr>
              <w:pStyle w:val="200"/>
              <w:rPr>
                <w:color w:val="auto"/>
              </w:rPr>
            </w:pPr>
          </w:p>
        </w:tc>
        <w:tc>
          <w:tcPr>
            <w:tcW w:w="5802" w:type="dxa"/>
            <w:gridSpan w:val="3"/>
            <w:vAlign w:val="center"/>
          </w:tcPr>
          <w:p w14:paraId="10D4805D">
            <w:pPr>
              <w:pStyle w:val="200"/>
              <w:jc w:val="left"/>
              <w:rPr>
                <w:color w:val="auto"/>
              </w:rPr>
            </w:pPr>
            <w:r>
              <w:rPr>
                <w:rFonts w:hint="eastAsia"/>
                <w:color w:val="auto"/>
              </w:rPr>
              <w:t>安装使用说明书</w:t>
            </w:r>
          </w:p>
        </w:tc>
        <w:tc>
          <w:tcPr>
            <w:tcW w:w="1123" w:type="dxa"/>
            <w:vAlign w:val="center"/>
          </w:tcPr>
          <w:p w14:paraId="434D2DE7">
            <w:pPr>
              <w:pStyle w:val="200"/>
              <w:rPr>
                <w:color w:val="auto"/>
              </w:rPr>
            </w:pPr>
          </w:p>
        </w:tc>
        <w:tc>
          <w:tcPr>
            <w:tcW w:w="1057" w:type="dxa"/>
            <w:vAlign w:val="center"/>
          </w:tcPr>
          <w:p w14:paraId="02E6C0A7">
            <w:pPr>
              <w:pStyle w:val="200"/>
              <w:rPr>
                <w:color w:val="auto"/>
              </w:rPr>
            </w:pPr>
          </w:p>
        </w:tc>
      </w:tr>
      <w:tr w14:paraId="20DBD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72C8C0B3">
            <w:pPr>
              <w:pStyle w:val="200"/>
              <w:rPr>
                <w:color w:val="auto"/>
              </w:rPr>
            </w:pPr>
          </w:p>
        </w:tc>
        <w:tc>
          <w:tcPr>
            <w:tcW w:w="5802" w:type="dxa"/>
            <w:gridSpan w:val="3"/>
            <w:vAlign w:val="center"/>
          </w:tcPr>
          <w:p w14:paraId="1A959ACD">
            <w:pPr>
              <w:pStyle w:val="200"/>
              <w:jc w:val="left"/>
              <w:rPr>
                <w:color w:val="auto"/>
              </w:rPr>
            </w:pPr>
            <w:r>
              <w:rPr>
                <w:rFonts w:hint="eastAsia"/>
                <w:color w:val="auto"/>
              </w:rPr>
              <w:t>安装单位资质（营业执照、安全生产许可证、安装资质等）</w:t>
            </w:r>
          </w:p>
        </w:tc>
        <w:tc>
          <w:tcPr>
            <w:tcW w:w="1123" w:type="dxa"/>
            <w:vAlign w:val="center"/>
          </w:tcPr>
          <w:p w14:paraId="7860630A">
            <w:pPr>
              <w:pStyle w:val="200"/>
              <w:rPr>
                <w:color w:val="auto"/>
              </w:rPr>
            </w:pPr>
          </w:p>
        </w:tc>
        <w:tc>
          <w:tcPr>
            <w:tcW w:w="1057" w:type="dxa"/>
            <w:vAlign w:val="center"/>
          </w:tcPr>
          <w:p w14:paraId="24C47C28">
            <w:pPr>
              <w:pStyle w:val="200"/>
              <w:rPr>
                <w:color w:val="auto"/>
              </w:rPr>
            </w:pPr>
          </w:p>
        </w:tc>
      </w:tr>
      <w:tr w14:paraId="5C4C5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2D08F6E1">
            <w:pPr>
              <w:pStyle w:val="200"/>
              <w:rPr>
                <w:color w:val="auto"/>
              </w:rPr>
            </w:pPr>
          </w:p>
        </w:tc>
        <w:tc>
          <w:tcPr>
            <w:tcW w:w="5802" w:type="dxa"/>
            <w:gridSpan w:val="3"/>
            <w:vAlign w:val="center"/>
          </w:tcPr>
          <w:p w14:paraId="4BF3CFF5">
            <w:pPr>
              <w:pStyle w:val="200"/>
              <w:jc w:val="left"/>
              <w:rPr>
                <w:color w:val="auto"/>
              </w:rPr>
            </w:pPr>
            <w:r>
              <w:rPr>
                <w:rFonts w:hint="eastAsia"/>
                <w:color w:val="auto"/>
              </w:rPr>
              <w:t>安装单位人员资格（塔机司机、起重机指挥、电工等）</w:t>
            </w:r>
          </w:p>
        </w:tc>
        <w:tc>
          <w:tcPr>
            <w:tcW w:w="1123" w:type="dxa"/>
            <w:vAlign w:val="center"/>
          </w:tcPr>
          <w:p w14:paraId="637DC903">
            <w:pPr>
              <w:pStyle w:val="200"/>
              <w:rPr>
                <w:color w:val="auto"/>
              </w:rPr>
            </w:pPr>
          </w:p>
        </w:tc>
        <w:tc>
          <w:tcPr>
            <w:tcW w:w="1057" w:type="dxa"/>
            <w:vAlign w:val="center"/>
          </w:tcPr>
          <w:p w14:paraId="6B955E37">
            <w:pPr>
              <w:pStyle w:val="200"/>
              <w:rPr>
                <w:color w:val="auto"/>
              </w:rPr>
            </w:pPr>
          </w:p>
        </w:tc>
      </w:tr>
      <w:tr w14:paraId="7BB90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restart"/>
            <w:vAlign w:val="center"/>
          </w:tcPr>
          <w:p w14:paraId="773C6CF5">
            <w:pPr>
              <w:pStyle w:val="200"/>
              <w:rPr>
                <w:color w:val="auto"/>
              </w:rPr>
            </w:pPr>
            <w:r>
              <w:rPr>
                <w:rFonts w:hint="eastAsia"/>
                <w:color w:val="auto"/>
              </w:rPr>
              <w:t>金属结构</w:t>
            </w:r>
          </w:p>
        </w:tc>
        <w:tc>
          <w:tcPr>
            <w:tcW w:w="5802" w:type="dxa"/>
            <w:gridSpan w:val="3"/>
            <w:vAlign w:val="center"/>
          </w:tcPr>
          <w:p w14:paraId="642CE63E">
            <w:pPr>
              <w:pStyle w:val="200"/>
              <w:jc w:val="left"/>
              <w:rPr>
                <w:color w:val="auto"/>
              </w:rPr>
            </w:pPr>
            <w:r>
              <w:rPr>
                <w:rFonts w:hint="eastAsia"/>
                <w:color w:val="auto"/>
              </w:rPr>
              <w:t>钢结构无明显的连接缺陷和腐蚀、变形、开裂、各部位焊缝无裂纹</w:t>
            </w:r>
          </w:p>
        </w:tc>
        <w:tc>
          <w:tcPr>
            <w:tcW w:w="1123" w:type="dxa"/>
            <w:vAlign w:val="center"/>
          </w:tcPr>
          <w:p w14:paraId="2989C073">
            <w:pPr>
              <w:pStyle w:val="200"/>
              <w:rPr>
                <w:color w:val="auto"/>
              </w:rPr>
            </w:pPr>
          </w:p>
        </w:tc>
        <w:tc>
          <w:tcPr>
            <w:tcW w:w="1057" w:type="dxa"/>
            <w:vAlign w:val="center"/>
          </w:tcPr>
          <w:p w14:paraId="24A8D325">
            <w:pPr>
              <w:pStyle w:val="200"/>
              <w:rPr>
                <w:color w:val="auto"/>
              </w:rPr>
            </w:pPr>
          </w:p>
        </w:tc>
      </w:tr>
      <w:tr w14:paraId="73498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03E8458A">
            <w:pPr>
              <w:pStyle w:val="200"/>
              <w:rPr>
                <w:color w:val="auto"/>
              </w:rPr>
            </w:pPr>
          </w:p>
        </w:tc>
        <w:tc>
          <w:tcPr>
            <w:tcW w:w="5802" w:type="dxa"/>
            <w:gridSpan w:val="3"/>
            <w:vAlign w:val="center"/>
          </w:tcPr>
          <w:p w14:paraId="00C08100">
            <w:pPr>
              <w:pStyle w:val="200"/>
              <w:jc w:val="left"/>
              <w:rPr>
                <w:color w:val="auto"/>
              </w:rPr>
            </w:pPr>
            <w:r>
              <w:rPr>
                <w:rFonts w:hint="eastAsia"/>
                <w:color w:val="auto"/>
              </w:rPr>
              <w:t>各销轴、销孔润滑良好，无污物，各开口销、销轴无缺陷</w:t>
            </w:r>
          </w:p>
        </w:tc>
        <w:tc>
          <w:tcPr>
            <w:tcW w:w="1123" w:type="dxa"/>
            <w:vAlign w:val="center"/>
          </w:tcPr>
          <w:p w14:paraId="74218383">
            <w:pPr>
              <w:pStyle w:val="200"/>
              <w:rPr>
                <w:color w:val="auto"/>
              </w:rPr>
            </w:pPr>
          </w:p>
        </w:tc>
        <w:tc>
          <w:tcPr>
            <w:tcW w:w="1057" w:type="dxa"/>
            <w:vAlign w:val="center"/>
          </w:tcPr>
          <w:p w14:paraId="44BF205E">
            <w:pPr>
              <w:pStyle w:val="200"/>
              <w:rPr>
                <w:color w:val="auto"/>
              </w:rPr>
            </w:pPr>
          </w:p>
        </w:tc>
      </w:tr>
      <w:tr w14:paraId="2637B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676DB6DB">
            <w:pPr>
              <w:pStyle w:val="200"/>
              <w:rPr>
                <w:color w:val="auto"/>
              </w:rPr>
            </w:pPr>
          </w:p>
        </w:tc>
        <w:tc>
          <w:tcPr>
            <w:tcW w:w="5802" w:type="dxa"/>
            <w:gridSpan w:val="3"/>
            <w:vAlign w:val="center"/>
          </w:tcPr>
          <w:p w14:paraId="770CEAAA">
            <w:pPr>
              <w:pStyle w:val="200"/>
              <w:jc w:val="left"/>
              <w:rPr>
                <w:color w:val="auto"/>
              </w:rPr>
            </w:pPr>
            <w:r>
              <w:rPr>
                <w:rFonts w:hint="eastAsia"/>
                <w:color w:val="auto"/>
              </w:rPr>
              <w:t>栏杆、梯子、走台、防护罩等无变形、破损，金属结构无积水</w:t>
            </w:r>
          </w:p>
        </w:tc>
        <w:tc>
          <w:tcPr>
            <w:tcW w:w="1123" w:type="dxa"/>
            <w:vAlign w:val="center"/>
          </w:tcPr>
          <w:p w14:paraId="4593664E">
            <w:pPr>
              <w:pStyle w:val="200"/>
              <w:rPr>
                <w:color w:val="auto"/>
              </w:rPr>
            </w:pPr>
          </w:p>
        </w:tc>
        <w:tc>
          <w:tcPr>
            <w:tcW w:w="1057" w:type="dxa"/>
            <w:vAlign w:val="center"/>
          </w:tcPr>
          <w:p w14:paraId="42C8A390">
            <w:pPr>
              <w:pStyle w:val="200"/>
              <w:rPr>
                <w:color w:val="auto"/>
              </w:rPr>
            </w:pPr>
          </w:p>
        </w:tc>
      </w:tr>
      <w:tr w14:paraId="2CC18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restart"/>
            <w:vAlign w:val="center"/>
          </w:tcPr>
          <w:p w14:paraId="420F2096">
            <w:pPr>
              <w:pStyle w:val="200"/>
              <w:rPr>
                <w:color w:val="auto"/>
              </w:rPr>
            </w:pPr>
            <w:r>
              <w:rPr>
                <w:rFonts w:hint="eastAsia"/>
                <w:color w:val="auto"/>
              </w:rPr>
              <w:t>主要零部件</w:t>
            </w:r>
          </w:p>
        </w:tc>
        <w:tc>
          <w:tcPr>
            <w:tcW w:w="5802" w:type="dxa"/>
            <w:gridSpan w:val="3"/>
            <w:vAlign w:val="center"/>
          </w:tcPr>
          <w:p w14:paraId="5961FB4C">
            <w:pPr>
              <w:pStyle w:val="200"/>
              <w:jc w:val="left"/>
              <w:rPr>
                <w:color w:val="auto"/>
              </w:rPr>
            </w:pPr>
            <w:r>
              <w:rPr>
                <w:rFonts w:hint="eastAsia"/>
                <w:color w:val="auto"/>
              </w:rPr>
              <w:t>吊钩润滑充分，转动部位灵活，表面光滑无裂纹、剥裂等缺陷，无焊补，紧固件无松动，危险断面磨损未超过规定量，具备防脱钩装置，螺纹部分无裂纹</w:t>
            </w:r>
          </w:p>
        </w:tc>
        <w:tc>
          <w:tcPr>
            <w:tcW w:w="1123" w:type="dxa"/>
            <w:vAlign w:val="center"/>
          </w:tcPr>
          <w:p w14:paraId="1EF28687">
            <w:pPr>
              <w:pStyle w:val="200"/>
              <w:rPr>
                <w:color w:val="auto"/>
              </w:rPr>
            </w:pPr>
          </w:p>
        </w:tc>
        <w:tc>
          <w:tcPr>
            <w:tcW w:w="1057" w:type="dxa"/>
            <w:vAlign w:val="center"/>
          </w:tcPr>
          <w:p w14:paraId="591F9C71">
            <w:pPr>
              <w:pStyle w:val="200"/>
              <w:rPr>
                <w:color w:val="auto"/>
              </w:rPr>
            </w:pPr>
          </w:p>
        </w:tc>
      </w:tr>
      <w:tr w14:paraId="6119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18293869">
            <w:pPr>
              <w:pStyle w:val="200"/>
              <w:rPr>
                <w:color w:val="auto"/>
              </w:rPr>
            </w:pPr>
          </w:p>
        </w:tc>
        <w:tc>
          <w:tcPr>
            <w:tcW w:w="5802" w:type="dxa"/>
            <w:gridSpan w:val="3"/>
            <w:vAlign w:val="center"/>
          </w:tcPr>
          <w:p w14:paraId="0065E200">
            <w:pPr>
              <w:pStyle w:val="200"/>
              <w:jc w:val="left"/>
              <w:rPr>
                <w:color w:val="auto"/>
              </w:rPr>
            </w:pPr>
            <w:r>
              <w:rPr>
                <w:rFonts w:hint="eastAsia"/>
                <w:color w:val="auto"/>
              </w:rPr>
              <w:t>钢丝绳规格性能符合要求，无断丝和磨损超标、扭结压扁、笼状、波浪形、绳芯挤出等缺陷，润滑良好，绳套无裂缝</w:t>
            </w:r>
          </w:p>
        </w:tc>
        <w:tc>
          <w:tcPr>
            <w:tcW w:w="1123" w:type="dxa"/>
            <w:vAlign w:val="center"/>
          </w:tcPr>
          <w:p w14:paraId="5F9BC2E9">
            <w:pPr>
              <w:pStyle w:val="200"/>
              <w:rPr>
                <w:color w:val="auto"/>
              </w:rPr>
            </w:pPr>
          </w:p>
        </w:tc>
        <w:tc>
          <w:tcPr>
            <w:tcW w:w="1057" w:type="dxa"/>
            <w:vAlign w:val="center"/>
          </w:tcPr>
          <w:p w14:paraId="7591453A">
            <w:pPr>
              <w:pStyle w:val="200"/>
              <w:rPr>
                <w:color w:val="auto"/>
              </w:rPr>
            </w:pPr>
          </w:p>
        </w:tc>
      </w:tr>
      <w:tr w14:paraId="0230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316D4990">
            <w:pPr>
              <w:pStyle w:val="200"/>
              <w:rPr>
                <w:color w:val="auto"/>
              </w:rPr>
            </w:pPr>
          </w:p>
        </w:tc>
        <w:tc>
          <w:tcPr>
            <w:tcW w:w="5802" w:type="dxa"/>
            <w:gridSpan w:val="3"/>
            <w:vAlign w:val="center"/>
          </w:tcPr>
          <w:p w14:paraId="48ABF147">
            <w:pPr>
              <w:pStyle w:val="200"/>
              <w:jc w:val="left"/>
              <w:rPr>
                <w:color w:val="auto"/>
              </w:rPr>
            </w:pPr>
            <w:r>
              <w:rPr>
                <w:rFonts w:hint="eastAsia"/>
                <w:color w:val="auto"/>
              </w:rPr>
              <w:t>卷筒无磨损、裂纹等缺陷，卷筒内钢丝绳排列整齐</w:t>
            </w:r>
          </w:p>
        </w:tc>
        <w:tc>
          <w:tcPr>
            <w:tcW w:w="1123" w:type="dxa"/>
            <w:vAlign w:val="center"/>
          </w:tcPr>
          <w:p w14:paraId="07541414">
            <w:pPr>
              <w:pStyle w:val="200"/>
              <w:rPr>
                <w:color w:val="auto"/>
              </w:rPr>
            </w:pPr>
          </w:p>
        </w:tc>
        <w:tc>
          <w:tcPr>
            <w:tcW w:w="1057" w:type="dxa"/>
            <w:vAlign w:val="center"/>
          </w:tcPr>
          <w:p w14:paraId="3F92EA3B">
            <w:pPr>
              <w:pStyle w:val="200"/>
              <w:rPr>
                <w:color w:val="auto"/>
              </w:rPr>
            </w:pPr>
          </w:p>
        </w:tc>
      </w:tr>
      <w:tr w14:paraId="56452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1E357A51">
            <w:pPr>
              <w:pStyle w:val="200"/>
              <w:rPr>
                <w:color w:val="auto"/>
              </w:rPr>
            </w:pPr>
          </w:p>
        </w:tc>
        <w:tc>
          <w:tcPr>
            <w:tcW w:w="5802" w:type="dxa"/>
            <w:gridSpan w:val="3"/>
            <w:vAlign w:val="center"/>
          </w:tcPr>
          <w:p w14:paraId="04A22B75">
            <w:pPr>
              <w:pStyle w:val="200"/>
              <w:jc w:val="left"/>
              <w:rPr>
                <w:color w:val="auto"/>
              </w:rPr>
            </w:pPr>
            <w:r>
              <w:rPr>
                <w:rFonts w:hint="eastAsia"/>
                <w:color w:val="auto"/>
              </w:rPr>
              <w:t>滑轮轮缘无缺损，滑轮槽光洁平滑，无损伤钢丝绳的缺陷，润滑良好，转动灵活，有防绳脱出装置</w:t>
            </w:r>
          </w:p>
        </w:tc>
        <w:tc>
          <w:tcPr>
            <w:tcW w:w="1123" w:type="dxa"/>
            <w:vAlign w:val="center"/>
          </w:tcPr>
          <w:p w14:paraId="5C69CA32">
            <w:pPr>
              <w:pStyle w:val="200"/>
              <w:rPr>
                <w:color w:val="auto"/>
              </w:rPr>
            </w:pPr>
          </w:p>
        </w:tc>
        <w:tc>
          <w:tcPr>
            <w:tcW w:w="1057" w:type="dxa"/>
            <w:vAlign w:val="center"/>
          </w:tcPr>
          <w:p w14:paraId="617EBDD3">
            <w:pPr>
              <w:pStyle w:val="200"/>
              <w:rPr>
                <w:color w:val="auto"/>
              </w:rPr>
            </w:pPr>
          </w:p>
        </w:tc>
      </w:tr>
      <w:tr w14:paraId="1BFB4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356D6D15">
            <w:pPr>
              <w:pStyle w:val="200"/>
              <w:rPr>
                <w:color w:val="auto"/>
              </w:rPr>
            </w:pPr>
          </w:p>
        </w:tc>
        <w:tc>
          <w:tcPr>
            <w:tcW w:w="5802" w:type="dxa"/>
            <w:gridSpan w:val="3"/>
            <w:vAlign w:val="center"/>
          </w:tcPr>
          <w:p w14:paraId="41FE9FF6">
            <w:pPr>
              <w:pStyle w:val="200"/>
              <w:jc w:val="left"/>
              <w:rPr>
                <w:color w:val="auto"/>
              </w:rPr>
            </w:pPr>
            <w:r>
              <w:rPr>
                <w:rFonts w:hint="eastAsia"/>
                <w:color w:val="auto"/>
              </w:rPr>
              <w:t>制动器零件无损坏、无缺陷，液压制动器不漏油，摩擦片损不超过</w:t>
            </w:r>
            <w:r>
              <w:rPr>
                <w:color w:val="auto"/>
              </w:rPr>
              <w:t xml:space="preserve"> 50%，制动轮无裂纹或破损</w:t>
            </w:r>
          </w:p>
        </w:tc>
        <w:tc>
          <w:tcPr>
            <w:tcW w:w="1123" w:type="dxa"/>
            <w:vAlign w:val="center"/>
          </w:tcPr>
          <w:p w14:paraId="604B7855">
            <w:pPr>
              <w:pStyle w:val="200"/>
              <w:rPr>
                <w:color w:val="auto"/>
              </w:rPr>
            </w:pPr>
          </w:p>
        </w:tc>
        <w:tc>
          <w:tcPr>
            <w:tcW w:w="1057" w:type="dxa"/>
            <w:vAlign w:val="center"/>
          </w:tcPr>
          <w:p w14:paraId="4A543829">
            <w:pPr>
              <w:pStyle w:val="200"/>
              <w:rPr>
                <w:color w:val="auto"/>
              </w:rPr>
            </w:pPr>
          </w:p>
        </w:tc>
      </w:tr>
      <w:tr w14:paraId="32F9E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125B3192">
            <w:pPr>
              <w:pStyle w:val="200"/>
              <w:rPr>
                <w:color w:val="auto"/>
              </w:rPr>
            </w:pPr>
          </w:p>
        </w:tc>
        <w:tc>
          <w:tcPr>
            <w:tcW w:w="5802" w:type="dxa"/>
            <w:gridSpan w:val="3"/>
            <w:vAlign w:val="center"/>
          </w:tcPr>
          <w:p w14:paraId="4F895EBE">
            <w:pPr>
              <w:pStyle w:val="200"/>
              <w:jc w:val="left"/>
              <w:rPr>
                <w:color w:val="auto"/>
              </w:rPr>
            </w:pPr>
            <w:r>
              <w:rPr>
                <w:rFonts w:hint="eastAsia"/>
                <w:color w:val="auto"/>
              </w:rPr>
              <w:t>减速器无漏油，开式齿轮无裂纹、断齿</w:t>
            </w:r>
          </w:p>
          <w:p w14:paraId="64047B68">
            <w:pPr>
              <w:pStyle w:val="200"/>
              <w:jc w:val="left"/>
              <w:rPr>
                <w:color w:val="auto"/>
              </w:rPr>
            </w:pPr>
            <w:r>
              <w:rPr>
                <w:rFonts w:hint="eastAsia"/>
                <w:color w:val="auto"/>
              </w:rPr>
              <w:t>司机室无漏水，各门窗、空调完好，操纵机构无缺陷</w:t>
            </w:r>
          </w:p>
        </w:tc>
        <w:tc>
          <w:tcPr>
            <w:tcW w:w="1123" w:type="dxa"/>
            <w:vAlign w:val="center"/>
          </w:tcPr>
          <w:p w14:paraId="1AFF4390">
            <w:pPr>
              <w:pStyle w:val="200"/>
              <w:rPr>
                <w:color w:val="auto"/>
              </w:rPr>
            </w:pPr>
          </w:p>
        </w:tc>
        <w:tc>
          <w:tcPr>
            <w:tcW w:w="1057" w:type="dxa"/>
            <w:vAlign w:val="center"/>
          </w:tcPr>
          <w:p w14:paraId="4DCFABAD">
            <w:pPr>
              <w:pStyle w:val="200"/>
              <w:rPr>
                <w:color w:val="auto"/>
              </w:rPr>
            </w:pPr>
          </w:p>
        </w:tc>
      </w:tr>
      <w:tr w14:paraId="1F00C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Merge w:val="continue"/>
            <w:vAlign w:val="center"/>
          </w:tcPr>
          <w:p w14:paraId="381880AC">
            <w:pPr>
              <w:pStyle w:val="200"/>
              <w:rPr>
                <w:color w:val="auto"/>
              </w:rPr>
            </w:pPr>
          </w:p>
        </w:tc>
        <w:tc>
          <w:tcPr>
            <w:tcW w:w="5802" w:type="dxa"/>
            <w:gridSpan w:val="3"/>
            <w:vAlign w:val="center"/>
          </w:tcPr>
          <w:p w14:paraId="1F0D086C">
            <w:pPr>
              <w:pStyle w:val="200"/>
              <w:jc w:val="left"/>
              <w:rPr>
                <w:color w:val="auto"/>
              </w:rPr>
            </w:pPr>
            <w:r>
              <w:rPr>
                <w:rFonts w:hint="eastAsia"/>
                <w:color w:val="auto"/>
              </w:rPr>
              <w:t>管路无漏油，各机构油质油量良好</w:t>
            </w:r>
          </w:p>
        </w:tc>
        <w:tc>
          <w:tcPr>
            <w:tcW w:w="1123" w:type="dxa"/>
            <w:vAlign w:val="center"/>
          </w:tcPr>
          <w:p w14:paraId="5208EB14">
            <w:pPr>
              <w:pStyle w:val="200"/>
              <w:rPr>
                <w:color w:val="auto"/>
              </w:rPr>
            </w:pPr>
          </w:p>
        </w:tc>
        <w:tc>
          <w:tcPr>
            <w:tcW w:w="1057" w:type="dxa"/>
            <w:vAlign w:val="center"/>
          </w:tcPr>
          <w:p w14:paraId="3B2F41EC">
            <w:pPr>
              <w:pStyle w:val="200"/>
              <w:rPr>
                <w:color w:val="auto"/>
              </w:rPr>
            </w:pPr>
          </w:p>
        </w:tc>
      </w:tr>
      <w:tr w14:paraId="64F13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Align w:val="center"/>
          </w:tcPr>
          <w:p w14:paraId="7B80B8BF">
            <w:pPr>
              <w:pStyle w:val="200"/>
              <w:rPr>
                <w:color w:val="auto"/>
              </w:rPr>
            </w:pPr>
            <w:r>
              <w:rPr>
                <w:rFonts w:hint="eastAsia"/>
                <w:color w:val="auto"/>
              </w:rPr>
              <w:t>安全装置</w:t>
            </w:r>
          </w:p>
        </w:tc>
        <w:tc>
          <w:tcPr>
            <w:tcW w:w="5802" w:type="dxa"/>
            <w:gridSpan w:val="3"/>
            <w:vAlign w:val="center"/>
          </w:tcPr>
          <w:p w14:paraId="143C76B1">
            <w:pPr>
              <w:pStyle w:val="200"/>
              <w:jc w:val="left"/>
              <w:rPr>
                <w:color w:val="auto"/>
              </w:rPr>
            </w:pPr>
            <w:r>
              <w:rPr>
                <w:rFonts w:hint="eastAsia"/>
                <w:color w:val="auto"/>
              </w:rPr>
              <w:t>风速仪、力矩限制器、重量显示器、视频监控系统、各限位装置外观完好</w:t>
            </w:r>
          </w:p>
        </w:tc>
        <w:tc>
          <w:tcPr>
            <w:tcW w:w="1123" w:type="dxa"/>
            <w:vAlign w:val="center"/>
          </w:tcPr>
          <w:p w14:paraId="6EA22F27">
            <w:pPr>
              <w:pStyle w:val="200"/>
              <w:rPr>
                <w:color w:val="auto"/>
              </w:rPr>
            </w:pPr>
          </w:p>
        </w:tc>
        <w:tc>
          <w:tcPr>
            <w:tcW w:w="1057" w:type="dxa"/>
            <w:vAlign w:val="center"/>
          </w:tcPr>
          <w:p w14:paraId="5EF7D69D">
            <w:pPr>
              <w:pStyle w:val="200"/>
              <w:rPr>
                <w:color w:val="auto"/>
              </w:rPr>
            </w:pPr>
          </w:p>
        </w:tc>
      </w:tr>
      <w:tr w14:paraId="40F9C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362" w:type="dxa"/>
            <w:vAlign w:val="center"/>
          </w:tcPr>
          <w:p w14:paraId="13F7A97F">
            <w:pPr>
              <w:pStyle w:val="200"/>
              <w:rPr>
                <w:color w:val="auto"/>
              </w:rPr>
            </w:pPr>
            <w:r>
              <w:rPr>
                <w:rFonts w:hint="eastAsia"/>
                <w:color w:val="auto"/>
              </w:rPr>
              <w:t>电气设备</w:t>
            </w:r>
          </w:p>
        </w:tc>
        <w:tc>
          <w:tcPr>
            <w:tcW w:w="5802" w:type="dxa"/>
            <w:gridSpan w:val="3"/>
            <w:vAlign w:val="center"/>
          </w:tcPr>
          <w:p w14:paraId="1F2E1813">
            <w:pPr>
              <w:pStyle w:val="200"/>
              <w:jc w:val="left"/>
              <w:rPr>
                <w:color w:val="auto"/>
              </w:rPr>
            </w:pPr>
            <w:r>
              <w:rPr>
                <w:rFonts w:hint="eastAsia"/>
                <w:color w:val="auto"/>
              </w:rPr>
              <w:t>各类电气开关和指示装置、电缆及电器设备、照明灯完好</w:t>
            </w:r>
          </w:p>
        </w:tc>
        <w:tc>
          <w:tcPr>
            <w:tcW w:w="1123" w:type="dxa"/>
            <w:vAlign w:val="center"/>
          </w:tcPr>
          <w:p w14:paraId="465E4773">
            <w:pPr>
              <w:pStyle w:val="200"/>
              <w:rPr>
                <w:color w:val="auto"/>
              </w:rPr>
            </w:pPr>
          </w:p>
        </w:tc>
        <w:tc>
          <w:tcPr>
            <w:tcW w:w="1057" w:type="dxa"/>
            <w:vAlign w:val="center"/>
          </w:tcPr>
          <w:p w14:paraId="29E7E99C">
            <w:pPr>
              <w:pStyle w:val="200"/>
              <w:rPr>
                <w:color w:val="auto"/>
              </w:rPr>
            </w:pPr>
          </w:p>
        </w:tc>
      </w:tr>
      <w:tr w14:paraId="7027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62" w:type="dxa"/>
            <w:vAlign w:val="center"/>
          </w:tcPr>
          <w:p w14:paraId="4A9C31CF">
            <w:pPr>
              <w:pStyle w:val="200"/>
              <w:rPr>
                <w:color w:val="auto"/>
              </w:rPr>
            </w:pPr>
            <w:r>
              <w:rPr>
                <w:rFonts w:hint="eastAsia"/>
                <w:color w:val="auto"/>
              </w:rPr>
              <w:t>检查结论</w:t>
            </w:r>
          </w:p>
        </w:tc>
        <w:tc>
          <w:tcPr>
            <w:tcW w:w="7982" w:type="dxa"/>
            <w:gridSpan w:val="5"/>
            <w:vAlign w:val="center"/>
          </w:tcPr>
          <w:p w14:paraId="652FA704">
            <w:pPr>
              <w:pStyle w:val="200"/>
              <w:rPr>
                <w:color w:val="auto"/>
              </w:rPr>
            </w:pPr>
          </w:p>
        </w:tc>
      </w:tr>
      <w:tr w14:paraId="6F6AE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62" w:type="dxa"/>
            <w:vAlign w:val="center"/>
          </w:tcPr>
          <w:p w14:paraId="2B4E4C0D">
            <w:pPr>
              <w:pStyle w:val="200"/>
              <w:rPr>
                <w:color w:val="auto"/>
              </w:rPr>
            </w:pPr>
            <w:r>
              <w:rPr>
                <w:rFonts w:hint="eastAsia"/>
                <w:color w:val="auto"/>
              </w:rPr>
              <w:t>安装单位</w:t>
            </w:r>
          </w:p>
          <w:p w14:paraId="75C86A5B">
            <w:pPr>
              <w:pStyle w:val="200"/>
              <w:rPr>
                <w:color w:val="auto"/>
              </w:rPr>
            </w:pPr>
            <w:r>
              <w:rPr>
                <w:rFonts w:hint="eastAsia"/>
                <w:color w:val="auto"/>
              </w:rPr>
              <w:t>（签名）</w:t>
            </w:r>
          </w:p>
        </w:tc>
        <w:tc>
          <w:tcPr>
            <w:tcW w:w="7982" w:type="dxa"/>
            <w:gridSpan w:val="5"/>
            <w:vAlign w:val="center"/>
          </w:tcPr>
          <w:p w14:paraId="24A52AE2">
            <w:pPr>
              <w:pStyle w:val="200"/>
              <w:rPr>
                <w:color w:val="auto"/>
              </w:rPr>
            </w:pPr>
          </w:p>
        </w:tc>
      </w:tr>
      <w:tr w14:paraId="07ED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62" w:type="dxa"/>
            <w:tcBorders>
              <w:bottom w:val="single" w:color="auto" w:sz="4" w:space="0"/>
            </w:tcBorders>
            <w:vAlign w:val="center"/>
          </w:tcPr>
          <w:p w14:paraId="72A50B05">
            <w:pPr>
              <w:pStyle w:val="200"/>
              <w:rPr>
                <w:color w:val="auto"/>
              </w:rPr>
            </w:pPr>
            <w:r>
              <w:rPr>
                <w:rFonts w:hint="eastAsia"/>
                <w:color w:val="auto"/>
              </w:rPr>
              <w:t>使用单位</w:t>
            </w:r>
          </w:p>
          <w:p w14:paraId="40A4A10C">
            <w:pPr>
              <w:pStyle w:val="200"/>
              <w:rPr>
                <w:color w:val="auto"/>
              </w:rPr>
            </w:pPr>
            <w:r>
              <w:rPr>
                <w:rFonts w:hint="eastAsia"/>
                <w:color w:val="auto"/>
              </w:rPr>
              <w:t>（签名）</w:t>
            </w:r>
          </w:p>
        </w:tc>
        <w:tc>
          <w:tcPr>
            <w:tcW w:w="7982" w:type="dxa"/>
            <w:gridSpan w:val="5"/>
            <w:tcBorders>
              <w:bottom w:val="single" w:color="auto" w:sz="4" w:space="0"/>
            </w:tcBorders>
            <w:vAlign w:val="center"/>
          </w:tcPr>
          <w:p w14:paraId="06C3284C">
            <w:pPr>
              <w:pStyle w:val="200"/>
              <w:rPr>
                <w:color w:val="auto"/>
              </w:rPr>
            </w:pPr>
          </w:p>
        </w:tc>
      </w:tr>
      <w:tr w14:paraId="08B0C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62" w:type="dxa"/>
            <w:shd w:val="clear" w:color="auto" w:fill="CCE8CF" w:themeFill="background1"/>
            <w:vAlign w:val="center"/>
          </w:tcPr>
          <w:p w14:paraId="42C8F77B">
            <w:pPr>
              <w:pStyle w:val="200"/>
              <w:rPr>
                <w:color w:val="auto"/>
              </w:rPr>
            </w:pPr>
            <w:r>
              <w:rPr>
                <w:rFonts w:hint="eastAsia"/>
                <w:color w:val="auto"/>
              </w:rPr>
              <w:t>总承包单位</w:t>
            </w:r>
          </w:p>
          <w:p w14:paraId="32CB1163">
            <w:pPr>
              <w:pStyle w:val="200"/>
              <w:rPr>
                <w:color w:val="auto"/>
              </w:rPr>
            </w:pPr>
            <w:r>
              <w:rPr>
                <w:rFonts w:hint="eastAsia"/>
                <w:color w:val="auto"/>
              </w:rPr>
              <w:t>（签名）</w:t>
            </w:r>
          </w:p>
        </w:tc>
        <w:tc>
          <w:tcPr>
            <w:tcW w:w="7982" w:type="dxa"/>
            <w:gridSpan w:val="5"/>
            <w:shd w:val="clear" w:color="auto" w:fill="CCE8CF" w:themeFill="background1"/>
            <w:vAlign w:val="center"/>
          </w:tcPr>
          <w:p w14:paraId="3366C56D">
            <w:pPr>
              <w:pStyle w:val="200"/>
              <w:rPr>
                <w:color w:val="auto"/>
              </w:rPr>
            </w:pPr>
          </w:p>
        </w:tc>
      </w:tr>
      <w:tr w14:paraId="23202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362" w:type="dxa"/>
            <w:shd w:val="clear" w:color="auto" w:fill="CCE8CF" w:themeFill="background1"/>
            <w:vAlign w:val="center"/>
          </w:tcPr>
          <w:p w14:paraId="007CF2BC">
            <w:pPr>
              <w:pStyle w:val="200"/>
              <w:rPr>
                <w:color w:val="auto"/>
              </w:rPr>
            </w:pPr>
            <w:r>
              <w:rPr>
                <w:rFonts w:hint="eastAsia"/>
                <w:color w:val="auto"/>
              </w:rPr>
              <w:t>监理单位</w:t>
            </w:r>
          </w:p>
          <w:p w14:paraId="5478BC5C">
            <w:pPr>
              <w:pStyle w:val="200"/>
              <w:rPr>
                <w:color w:val="auto"/>
              </w:rPr>
            </w:pPr>
            <w:r>
              <w:rPr>
                <w:rFonts w:hint="eastAsia"/>
                <w:color w:val="auto"/>
              </w:rPr>
              <w:t>（签名）</w:t>
            </w:r>
          </w:p>
        </w:tc>
        <w:tc>
          <w:tcPr>
            <w:tcW w:w="7982" w:type="dxa"/>
            <w:gridSpan w:val="5"/>
            <w:shd w:val="clear" w:color="auto" w:fill="CCE8CF" w:themeFill="background1"/>
            <w:vAlign w:val="center"/>
          </w:tcPr>
          <w:p w14:paraId="36DEF9C1">
            <w:pPr>
              <w:pStyle w:val="200"/>
              <w:rPr>
                <w:color w:val="auto"/>
              </w:rPr>
            </w:pPr>
          </w:p>
        </w:tc>
      </w:tr>
      <w:bookmarkEnd w:id="131"/>
    </w:tbl>
    <w:p w14:paraId="23B99463">
      <w:pPr>
        <w:widowControl/>
        <w:adjustRightInd/>
        <w:spacing w:line="240" w:lineRule="auto"/>
        <w:jc w:val="left"/>
        <w:rPr>
          <w:rFonts w:ascii="宋体" w:hAnsi="Times New Roman"/>
          <w:color w:val="auto"/>
          <w:kern w:val="0"/>
          <w:szCs w:val="20"/>
          <w:shd w:val="clear" w:color="auto" w:fill="FDFDFE"/>
        </w:rPr>
      </w:pPr>
    </w:p>
    <w:p w14:paraId="3840E717">
      <w:pPr>
        <w:widowControl/>
        <w:adjustRightInd/>
        <w:spacing w:line="240" w:lineRule="auto"/>
        <w:jc w:val="left"/>
        <w:rPr>
          <w:rFonts w:ascii="宋体" w:hAnsi="Times New Roman"/>
          <w:color w:val="auto"/>
          <w:kern w:val="0"/>
          <w:szCs w:val="20"/>
          <w:shd w:val="clear" w:color="auto" w:fill="FDFDFE"/>
        </w:rPr>
      </w:pPr>
    </w:p>
    <w:p w14:paraId="4A5DC41C">
      <w:pPr>
        <w:widowControl/>
        <w:adjustRightInd/>
        <w:spacing w:line="240" w:lineRule="auto"/>
        <w:jc w:val="left"/>
        <w:rPr>
          <w:rFonts w:ascii="宋体" w:hAnsi="Times New Roman"/>
          <w:color w:val="auto"/>
          <w:kern w:val="0"/>
          <w:szCs w:val="20"/>
          <w:shd w:val="clear" w:color="auto" w:fill="FDFDFE"/>
        </w:rPr>
      </w:pPr>
    </w:p>
    <w:p w14:paraId="53A9AA1F">
      <w:pPr>
        <w:widowControl/>
        <w:adjustRightInd/>
        <w:spacing w:line="240" w:lineRule="auto"/>
        <w:jc w:val="left"/>
        <w:rPr>
          <w:rFonts w:ascii="宋体" w:hAnsi="Times New Roman"/>
          <w:color w:val="auto"/>
          <w:kern w:val="0"/>
          <w:szCs w:val="20"/>
          <w:shd w:val="clear" w:color="auto" w:fill="FDFDFE"/>
        </w:rPr>
      </w:pPr>
    </w:p>
    <w:p w14:paraId="512F5D6E">
      <w:pPr>
        <w:widowControl/>
        <w:adjustRightInd/>
        <w:spacing w:line="240" w:lineRule="auto"/>
        <w:jc w:val="left"/>
        <w:rPr>
          <w:rFonts w:ascii="宋体" w:hAnsi="Times New Roman"/>
          <w:color w:val="auto"/>
          <w:kern w:val="0"/>
          <w:szCs w:val="20"/>
          <w:shd w:val="clear" w:color="auto" w:fill="FDFDFE"/>
        </w:rPr>
      </w:pPr>
    </w:p>
    <w:p w14:paraId="66B24282">
      <w:pPr>
        <w:widowControl/>
        <w:adjustRightInd/>
        <w:spacing w:line="240" w:lineRule="auto"/>
        <w:jc w:val="left"/>
        <w:rPr>
          <w:rFonts w:ascii="宋体" w:hAnsi="Times New Roman"/>
          <w:color w:val="auto"/>
          <w:kern w:val="0"/>
          <w:szCs w:val="20"/>
          <w:shd w:val="clear" w:color="auto" w:fill="FDFDFE"/>
        </w:rPr>
      </w:pPr>
    </w:p>
    <w:p w14:paraId="3E8080D0">
      <w:pPr>
        <w:widowControl/>
        <w:adjustRightInd/>
        <w:spacing w:line="240" w:lineRule="auto"/>
        <w:jc w:val="left"/>
        <w:rPr>
          <w:rFonts w:ascii="宋体" w:hAnsi="Times New Roman"/>
          <w:color w:val="auto"/>
          <w:kern w:val="0"/>
          <w:szCs w:val="20"/>
          <w:shd w:val="clear" w:color="auto" w:fill="FDFDFE"/>
        </w:rPr>
      </w:pPr>
    </w:p>
    <w:p w14:paraId="7253E813">
      <w:pPr>
        <w:widowControl/>
        <w:adjustRightInd/>
        <w:spacing w:line="240" w:lineRule="auto"/>
        <w:jc w:val="left"/>
        <w:rPr>
          <w:rFonts w:ascii="宋体" w:hAnsi="Times New Roman"/>
          <w:color w:val="auto"/>
          <w:kern w:val="0"/>
          <w:szCs w:val="20"/>
          <w:shd w:val="clear" w:color="auto" w:fill="FDFDFE"/>
        </w:rPr>
      </w:pPr>
    </w:p>
    <w:p w14:paraId="13E20C38">
      <w:pPr>
        <w:widowControl/>
        <w:adjustRightInd/>
        <w:spacing w:line="240" w:lineRule="auto"/>
        <w:jc w:val="left"/>
        <w:rPr>
          <w:rFonts w:ascii="宋体" w:hAnsi="Times New Roman"/>
          <w:color w:val="auto"/>
          <w:kern w:val="0"/>
          <w:szCs w:val="20"/>
          <w:shd w:val="clear" w:color="auto" w:fill="FDFDFE"/>
        </w:rPr>
      </w:pPr>
    </w:p>
    <w:p w14:paraId="09011529">
      <w:pPr>
        <w:widowControl/>
        <w:adjustRightInd/>
        <w:spacing w:line="240" w:lineRule="auto"/>
        <w:jc w:val="left"/>
        <w:rPr>
          <w:rFonts w:ascii="宋体" w:hAnsi="Times New Roman"/>
          <w:color w:val="auto"/>
          <w:kern w:val="0"/>
          <w:szCs w:val="20"/>
          <w:shd w:val="clear" w:color="auto" w:fill="FDFDFE"/>
        </w:rPr>
      </w:pPr>
    </w:p>
    <w:p w14:paraId="45BFEA4C">
      <w:pPr>
        <w:widowControl/>
        <w:adjustRightInd/>
        <w:spacing w:line="240" w:lineRule="auto"/>
        <w:jc w:val="left"/>
        <w:rPr>
          <w:rFonts w:ascii="宋体" w:hAnsi="Times New Roman"/>
          <w:color w:val="auto"/>
          <w:kern w:val="0"/>
          <w:szCs w:val="20"/>
          <w:shd w:val="clear" w:color="auto" w:fill="FDFDFE"/>
        </w:rPr>
      </w:pPr>
    </w:p>
    <w:p w14:paraId="14D2974E">
      <w:pPr>
        <w:widowControl/>
        <w:adjustRightInd/>
        <w:spacing w:line="240" w:lineRule="auto"/>
        <w:jc w:val="left"/>
        <w:rPr>
          <w:rFonts w:ascii="宋体" w:hAnsi="Times New Roman"/>
          <w:color w:val="auto"/>
          <w:kern w:val="0"/>
          <w:szCs w:val="20"/>
          <w:shd w:val="clear" w:color="auto" w:fill="FDFDFE"/>
        </w:rPr>
      </w:pPr>
    </w:p>
    <w:p w14:paraId="117B95F9">
      <w:pPr>
        <w:widowControl/>
        <w:adjustRightInd/>
        <w:spacing w:line="240" w:lineRule="auto"/>
        <w:jc w:val="left"/>
        <w:rPr>
          <w:rFonts w:ascii="宋体" w:hAnsi="Times New Roman"/>
          <w:color w:val="auto"/>
          <w:kern w:val="0"/>
          <w:szCs w:val="20"/>
          <w:shd w:val="clear" w:color="auto" w:fill="FDFDFE"/>
        </w:rPr>
      </w:pPr>
    </w:p>
    <w:p w14:paraId="0D159CA2">
      <w:pPr>
        <w:widowControl/>
        <w:adjustRightInd/>
        <w:spacing w:line="240" w:lineRule="auto"/>
        <w:jc w:val="left"/>
        <w:rPr>
          <w:rFonts w:ascii="宋体" w:hAnsi="Times New Roman"/>
          <w:color w:val="auto"/>
          <w:kern w:val="0"/>
          <w:szCs w:val="20"/>
          <w:shd w:val="clear" w:color="auto" w:fill="FDFDFE"/>
        </w:rPr>
      </w:pPr>
    </w:p>
    <w:p w14:paraId="15AD54D3">
      <w:pPr>
        <w:widowControl/>
        <w:adjustRightInd/>
        <w:spacing w:line="240" w:lineRule="auto"/>
        <w:jc w:val="left"/>
        <w:rPr>
          <w:rFonts w:ascii="宋体" w:hAnsi="Times New Roman"/>
          <w:color w:val="auto"/>
          <w:kern w:val="0"/>
          <w:szCs w:val="20"/>
          <w:shd w:val="clear" w:color="auto" w:fill="FDFDFE"/>
        </w:rPr>
      </w:pPr>
    </w:p>
    <w:p w14:paraId="3804EF8E">
      <w:pPr>
        <w:widowControl/>
        <w:adjustRightInd/>
        <w:spacing w:line="240" w:lineRule="auto"/>
        <w:jc w:val="left"/>
        <w:rPr>
          <w:rFonts w:ascii="宋体" w:hAnsi="Times New Roman"/>
          <w:color w:val="auto"/>
          <w:kern w:val="0"/>
          <w:szCs w:val="20"/>
          <w:shd w:val="clear" w:color="auto" w:fill="FDFDFE"/>
        </w:rPr>
      </w:pPr>
    </w:p>
    <w:p w14:paraId="78710EA1">
      <w:pPr>
        <w:widowControl/>
        <w:adjustRightInd/>
        <w:spacing w:line="240" w:lineRule="auto"/>
        <w:jc w:val="left"/>
        <w:rPr>
          <w:rFonts w:ascii="宋体" w:hAnsi="Times New Roman"/>
          <w:color w:val="auto"/>
          <w:kern w:val="0"/>
          <w:szCs w:val="20"/>
          <w:shd w:val="clear" w:color="auto" w:fill="FDFDFE"/>
        </w:rPr>
      </w:pPr>
    </w:p>
    <w:p w14:paraId="339BBCE3">
      <w:pPr>
        <w:widowControl/>
        <w:adjustRightInd/>
        <w:spacing w:line="240" w:lineRule="auto"/>
        <w:jc w:val="left"/>
        <w:rPr>
          <w:rFonts w:hint="eastAsia" w:ascii="宋体" w:hAnsi="Times New Roman"/>
          <w:color w:val="auto"/>
          <w:kern w:val="0"/>
          <w:szCs w:val="20"/>
          <w:shd w:val="clear" w:color="auto" w:fill="FDFDFE"/>
        </w:rPr>
      </w:pPr>
    </w:p>
    <w:p w14:paraId="217E6592">
      <w:pPr>
        <w:pStyle w:val="220"/>
        <w:rPr>
          <w:rFonts w:hint="eastAsia"/>
          <w:vanish w:val="0"/>
          <w:color w:val="auto"/>
          <w:shd w:val="clear" w:color="auto" w:fill="FDFDFE"/>
        </w:rPr>
      </w:pPr>
    </w:p>
    <w:p w14:paraId="090B5015">
      <w:pPr>
        <w:pStyle w:val="221"/>
        <w:rPr>
          <w:vanish w:val="0"/>
          <w:color w:val="auto"/>
        </w:rPr>
      </w:pPr>
    </w:p>
    <w:p w14:paraId="120BF865">
      <w:pPr>
        <w:pStyle w:val="98"/>
        <w:spacing w:after="120"/>
        <w:rPr>
          <w:color w:val="auto"/>
        </w:rPr>
      </w:pPr>
      <w:bookmarkStart w:id="132" w:name="_Hlk197675168"/>
      <w:r>
        <w:rPr>
          <w:color w:val="auto"/>
        </w:rPr>
        <w:br w:type="textWrapping"/>
      </w:r>
      <w:bookmarkStart w:id="133" w:name="_Toc197422451"/>
      <w:bookmarkStart w:id="134" w:name="_Toc180146100"/>
      <w:r>
        <w:rPr>
          <w:rFonts w:hint="eastAsia"/>
          <w:color w:val="auto"/>
        </w:rPr>
        <w:t>（资料性）</w:t>
      </w:r>
      <w:r>
        <w:rPr>
          <w:color w:val="auto"/>
        </w:rPr>
        <w:br w:type="textWrapping"/>
      </w:r>
      <w:r>
        <w:rPr>
          <w:rFonts w:hint="eastAsia"/>
          <w:color w:val="auto"/>
        </w:rPr>
        <w:t>塔机基础验收表</w:t>
      </w:r>
      <w:bookmarkEnd w:id="133"/>
      <w:bookmarkEnd w:id="134"/>
    </w:p>
    <w:p w14:paraId="7044E818">
      <w:pPr>
        <w:pStyle w:val="78"/>
        <w:ind w:firstLine="420"/>
        <w:rPr>
          <w:color w:val="auto"/>
        </w:rPr>
      </w:pPr>
      <w:r>
        <w:rPr>
          <w:rFonts w:hint="eastAsia"/>
          <w:color w:val="auto"/>
        </w:rPr>
        <w:t>表B.1</w:t>
      </w:r>
      <w:r>
        <w:rPr>
          <w:rFonts w:hint="eastAsia" w:hAnsi="宋体"/>
          <w:color w:val="auto"/>
        </w:rPr>
        <w:t>～</w:t>
      </w:r>
      <w:r>
        <w:rPr>
          <w:rFonts w:hint="eastAsia"/>
          <w:color w:val="auto"/>
        </w:rPr>
        <w:t>B.3给出了塔机各类基础验收内容。</w:t>
      </w:r>
    </w:p>
    <w:p w14:paraId="1E88E3C5">
      <w:pPr>
        <w:pStyle w:val="99"/>
        <w:spacing w:before="120" w:after="120"/>
        <w:outlineLvl w:val="1"/>
        <w:rPr>
          <w:color w:val="auto"/>
        </w:rPr>
      </w:pPr>
      <w:r>
        <w:rPr>
          <w:rFonts w:hint="eastAsia"/>
          <w:color w:val="auto"/>
        </w:rPr>
        <w:t xml:space="preserve"> 塔机固定基础验收表</w:t>
      </w:r>
    </w:p>
    <w:bookmarkEnd w:id="132"/>
    <w:tbl>
      <w:tblPr>
        <w:tblStyle w:val="38"/>
        <w:tblW w:w="9348" w:type="dxa"/>
        <w:jc w:val="center"/>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Layout w:type="fixed"/>
        <w:tblCellMar>
          <w:top w:w="0" w:type="dxa"/>
          <w:left w:w="108" w:type="dxa"/>
          <w:bottom w:w="0" w:type="dxa"/>
          <w:right w:w="108" w:type="dxa"/>
        </w:tblCellMar>
      </w:tblPr>
      <w:tblGrid>
        <w:gridCol w:w="706"/>
        <w:gridCol w:w="838"/>
        <w:gridCol w:w="2765"/>
        <w:gridCol w:w="305"/>
        <w:gridCol w:w="235"/>
        <w:gridCol w:w="720"/>
        <w:gridCol w:w="1444"/>
        <w:gridCol w:w="2335"/>
      </w:tblGrid>
      <w:tr w14:paraId="3978454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360" w:hRule="atLeast"/>
          <w:jc w:val="center"/>
        </w:trPr>
        <w:tc>
          <w:tcPr>
            <w:tcW w:w="1544" w:type="dxa"/>
            <w:gridSpan w:val="2"/>
            <w:tcBorders>
              <w:top w:val="nil"/>
              <w:left w:val="nil"/>
              <w:bottom w:val="single" w:color="auto" w:sz="4" w:space="0"/>
              <w:right w:val="nil"/>
            </w:tcBorders>
            <w:vAlign w:val="center"/>
          </w:tcPr>
          <w:p w14:paraId="0496CA92">
            <w:pPr>
              <w:pStyle w:val="200"/>
              <w:adjustRightInd w:val="0"/>
              <w:snapToGrid w:val="0"/>
              <w:rPr>
                <w:rFonts w:hAnsi="Arial"/>
                <w:color w:val="auto"/>
                <w:spacing w:val="6"/>
              </w:rPr>
            </w:pPr>
            <w:r>
              <w:rPr>
                <w:rFonts w:hint="eastAsia"/>
                <w:color w:val="auto"/>
              </w:rPr>
              <w:t>表格代码：</w:t>
            </w:r>
          </w:p>
        </w:tc>
        <w:tc>
          <w:tcPr>
            <w:tcW w:w="2765" w:type="dxa"/>
            <w:tcBorders>
              <w:top w:val="nil"/>
              <w:left w:val="nil"/>
              <w:bottom w:val="single" w:color="auto" w:sz="4" w:space="0"/>
              <w:right w:val="nil"/>
            </w:tcBorders>
            <w:vAlign w:val="center"/>
          </w:tcPr>
          <w:p w14:paraId="27E5F9E3">
            <w:pPr>
              <w:pStyle w:val="200"/>
              <w:adjustRightInd w:val="0"/>
              <w:snapToGrid w:val="0"/>
              <w:rPr>
                <w:rFonts w:hAnsi="Arial" w:eastAsia="华文新魏"/>
                <w:color w:val="auto"/>
                <w:spacing w:val="6"/>
              </w:rPr>
            </w:pPr>
          </w:p>
        </w:tc>
        <w:tc>
          <w:tcPr>
            <w:tcW w:w="1260" w:type="dxa"/>
            <w:gridSpan w:val="3"/>
            <w:tcBorders>
              <w:top w:val="nil"/>
              <w:left w:val="nil"/>
              <w:bottom w:val="single" w:color="auto" w:sz="4" w:space="0"/>
              <w:right w:val="nil"/>
            </w:tcBorders>
            <w:vAlign w:val="center"/>
          </w:tcPr>
          <w:p w14:paraId="3CB051CE">
            <w:pPr>
              <w:pStyle w:val="200"/>
              <w:adjustRightInd w:val="0"/>
              <w:snapToGrid w:val="0"/>
              <w:jc w:val="right"/>
              <w:rPr>
                <w:rFonts w:hAnsi="Arial"/>
                <w:color w:val="auto"/>
                <w:spacing w:val="6"/>
              </w:rPr>
            </w:pPr>
          </w:p>
        </w:tc>
        <w:tc>
          <w:tcPr>
            <w:tcW w:w="3779" w:type="dxa"/>
            <w:gridSpan w:val="2"/>
            <w:tcBorders>
              <w:top w:val="nil"/>
              <w:left w:val="nil"/>
              <w:bottom w:val="single" w:color="auto" w:sz="4" w:space="0"/>
              <w:right w:val="nil"/>
            </w:tcBorders>
            <w:vAlign w:val="center"/>
          </w:tcPr>
          <w:p w14:paraId="533F2B98">
            <w:pPr>
              <w:pStyle w:val="200"/>
              <w:adjustRightInd w:val="0"/>
              <w:snapToGrid w:val="0"/>
              <w:rPr>
                <w:rFonts w:hAnsi="Arial" w:eastAsia="华文新魏"/>
                <w:color w:val="auto"/>
                <w:spacing w:val="6"/>
              </w:rPr>
            </w:pPr>
            <w:r>
              <w:rPr>
                <w:rFonts w:hint="eastAsia"/>
                <w:color w:val="auto"/>
              </w:rPr>
              <w:t>编号：</w:t>
            </w:r>
          </w:p>
        </w:tc>
      </w:tr>
      <w:tr w14:paraId="05E85216">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PrEx>
        <w:trPr>
          <w:cantSplit/>
          <w:trHeight w:val="360" w:hRule="atLeast"/>
          <w:jc w:val="center"/>
        </w:trPr>
        <w:tc>
          <w:tcPr>
            <w:tcW w:w="1544" w:type="dxa"/>
            <w:gridSpan w:val="2"/>
            <w:tcBorders>
              <w:top w:val="single" w:color="auto" w:sz="4" w:space="0"/>
              <w:left w:val="single" w:color="auto" w:sz="4" w:space="0"/>
              <w:bottom w:val="single" w:color="auto" w:sz="4" w:space="0"/>
              <w:right w:val="single" w:color="auto" w:sz="4" w:space="0"/>
            </w:tcBorders>
            <w:vAlign w:val="center"/>
          </w:tcPr>
          <w:p w14:paraId="56078811">
            <w:pPr>
              <w:pStyle w:val="200"/>
              <w:adjustRightInd w:val="0"/>
              <w:snapToGrid w:val="0"/>
              <w:rPr>
                <w:color w:val="auto"/>
              </w:rPr>
            </w:pPr>
            <w:r>
              <w:rPr>
                <w:color w:val="auto"/>
              </w:rPr>
              <w:t>工程名称</w:t>
            </w:r>
          </w:p>
        </w:tc>
        <w:tc>
          <w:tcPr>
            <w:tcW w:w="2765" w:type="dxa"/>
            <w:tcBorders>
              <w:top w:val="single" w:color="auto" w:sz="4" w:space="0"/>
              <w:left w:val="single" w:color="auto" w:sz="4" w:space="0"/>
              <w:bottom w:val="single" w:color="auto" w:sz="4" w:space="0"/>
              <w:right w:val="single" w:color="auto" w:sz="4" w:space="0"/>
            </w:tcBorders>
            <w:vAlign w:val="center"/>
          </w:tcPr>
          <w:p w14:paraId="79FBDFFF">
            <w:pPr>
              <w:pStyle w:val="200"/>
              <w:adjustRightInd w:val="0"/>
              <w:snapToGrid w:val="0"/>
              <w:rPr>
                <w:rFonts w:hAnsi="Arial" w:eastAsia="华文新魏"/>
                <w:color w:val="auto"/>
                <w:spacing w:val="6"/>
              </w:rPr>
            </w:pPr>
          </w:p>
        </w:tc>
        <w:tc>
          <w:tcPr>
            <w:tcW w:w="1260" w:type="dxa"/>
            <w:gridSpan w:val="3"/>
            <w:tcBorders>
              <w:top w:val="single" w:color="auto" w:sz="4" w:space="0"/>
              <w:left w:val="single" w:color="auto" w:sz="4" w:space="0"/>
              <w:bottom w:val="single" w:color="auto" w:sz="4" w:space="0"/>
              <w:right w:val="single" w:color="auto" w:sz="4" w:space="0"/>
            </w:tcBorders>
            <w:vAlign w:val="center"/>
          </w:tcPr>
          <w:p w14:paraId="4ECD2216">
            <w:pPr>
              <w:pStyle w:val="200"/>
              <w:adjustRightInd w:val="0"/>
              <w:snapToGrid w:val="0"/>
              <w:rPr>
                <w:color w:val="auto"/>
              </w:rPr>
            </w:pPr>
            <w:r>
              <w:rPr>
                <w:rFonts w:hint="eastAsia"/>
                <w:color w:val="auto"/>
              </w:rPr>
              <w:t>使用</w:t>
            </w:r>
            <w:r>
              <w:rPr>
                <w:color w:val="auto"/>
              </w:rPr>
              <w:t>单位</w:t>
            </w:r>
          </w:p>
        </w:tc>
        <w:tc>
          <w:tcPr>
            <w:tcW w:w="3779" w:type="dxa"/>
            <w:gridSpan w:val="2"/>
            <w:tcBorders>
              <w:top w:val="single" w:color="auto" w:sz="4" w:space="0"/>
              <w:left w:val="single" w:color="auto" w:sz="4" w:space="0"/>
              <w:bottom w:val="single" w:color="auto" w:sz="4" w:space="0"/>
              <w:right w:val="single" w:color="auto" w:sz="4" w:space="0"/>
            </w:tcBorders>
            <w:vAlign w:val="center"/>
          </w:tcPr>
          <w:p w14:paraId="2EA187ED">
            <w:pPr>
              <w:pStyle w:val="200"/>
              <w:adjustRightInd w:val="0"/>
              <w:snapToGrid w:val="0"/>
              <w:rPr>
                <w:rFonts w:hAnsi="Arial" w:eastAsia="华文新魏"/>
                <w:color w:val="auto"/>
                <w:spacing w:val="6"/>
              </w:rPr>
            </w:pPr>
          </w:p>
        </w:tc>
      </w:tr>
      <w:tr w14:paraId="03DFA4B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360" w:hRule="atLeast"/>
          <w:jc w:val="center"/>
        </w:trPr>
        <w:tc>
          <w:tcPr>
            <w:tcW w:w="1544" w:type="dxa"/>
            <w:gridSpan w:val="2"/>
            <w:tcBorders>
              <w:top w:val="single" w:color="auto" w:sz="4" w:space="0"/>
              <w:left w:val="single" w:color="auto" w:sz="4" w:space="0"/>
              <w:bottom w:val="single" w:color="auto" w:sz="4" w:space="0"/>
              <w:right w:val="single" w:color="auto" w:sz="4" w:space="0"/>
            </w:tcBorders>
            <w:vAlign w:val="center"/>
          </w:tcPr>
          <w:p w14:paraId="3CA1D84E">
            <w:pPr>
              <w:pStyle w:val="200"/>
              <w:adjustRightInd w:val="0"/>
              <w:snapToGrid w:val="0"/>
              <w:rPr>
                <w:bCs/>
                <w:color w:val="auto"/>
                <w:spacing w:val="26"/>
              </w:rPr>
            </w:pPr>
            <w:r>
              <w:rPr>
                <w:color w:val="auto"/>
              </w:rPr>
              <w:t>工程地点</w:t>
            </w:r>
          </w:p>
        </w:tc>
        <w:tc>
          <w:tcPr>
            <w:tcW w:w="2765" w:type="dxa"/>
            <w:tcBorders>
              <w:top w:val="single" w:color="auto" w:sz="4" w:space="0"/>
              <w:left w:val="single" w:color="auto" w:sz="4" w:space="0"/>
              <w:bottom w:val="single" w:color="auto" w:sz="4" w:space="0"/>
              <w:right w:val="single" w:color="auto" w:sz="4" w:space="0"/>
            </w:tcBorders>
            <w:vAlign w:val="center"/>
          </w:tcPr>
          <w:p w14:paraId="27F3F8A9">
            <w:pPr>
              <w:pStyle w:val="200"/>
              <w:adjustRightInd w:val="0"/>
              <w:snapToGrid w:val="0"/>
              <w:rPr>
                <w:rFonts w:hAnsi="Arial" w:eastAsia="华文新魏"/>
                <w:color w:val="auto"/>
                <w:spacing w:val="6"/>
              </w:rPr>
            </w:pPr>
          </w:p>
        </w:tc>
        <w:tc>
          <w:tcPr>
            <w:tcW w:w="1260" w:type="dxa"/>
            <w:gridSpan w:val="3"/>
            <w:tcBorders>
              <w:top w:val="single" w:color="auto" w:sz="4" w:space="0"/>
              <w:left w:val="single" w:color="auto" w:sz="4" w:space="0"/>
              <w:bottom w:val="single" w:color="auto" w:sz="4" w:space="0"/>
              <w:right w:val="single" w:color="auto" w:sz="4" w:space="0"/>
            </w:tcBorders>
            <w:vAlign w:val="center"/>
          </w:tcPr>
          <w:p w14:paraId="55973A71">
            <w:pPr>
              <w:pStyle w:val="200"/>
              <w:adjustRightInd w:val="0"/>
              <w:snapToGrid w:val="0"/>
              <w:rPr>
                <w:rFonts w:hAnsi="Arial"/>
                <w:color w:val="auto"/>
                <w:spacing w:val="6"/>
              </w:rPr>
            </w:pPr>
            <w:r>
              <w:rPr>
                <w:color w:val="auto"/>
              </w:rPr>
              <w:t>安装单位</w:t>
            </w:r>
          </w:p>
        </w:tc>
        <w:tc>
          <w:tcPr>
            <w:tcW w:w="3779" w:type="dxa"/>
            <w:gridSpan w:val="2"/>
            <w:tcBorders>
              <w:top w:val="single" w:color="auto" w:sz="4" w:space="0"/>
              <w:left w:val="single" w:color="auto" w:sz="4" w:space="0"/>
              <w:bottom w:val="single" w:color="auto" w:sz="4" w:space="0"/>
              <w:right w:val="single" w:color="auto" w:sz="4" w:space="0"/>
            </w:tcBorders>
            <w:vAlign w:val="center"/>
          </w:tcPr>
          <w:p w14:paraId="25A9F318">
            <w:pPr>
              <w:pStyle w:val="200"/>
              <w:adjustRightInd w:val="0"/>
              <w:snapToGrid w:val="0"/>
              <w:rPr>
                <w:rFonts w:hAnsi="Arial"/>
                <w:color w:val="auto"/>
                <w:spacing w:val="6"/>
              </w:rPr>
            </w:pPr>
          </w:p>
        </w:tc>
      </w:tr>
      <w:tr w14:paraId="0EE51A67">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360" w:hRule="atLeast"/>
          <w:jc w:val="center"/>
        </w:trPr>
        <w:tc>
          <w:tcPr>
            <w:tcW w:w="1544" w:type="dxa"/>
            <w:gridSpan w:val="2"/>
            <w:tcBorders>
              <w:top w:val="single" w:color="auto" w:sz="4" w:space="0"/>
              <w:left w:val="single" w:color="auto" w:sz="4" w:space="0"/>
              <w:bottom w:val="single" w:color="auto" w:sz="4" w:space="0"/>
              <w:right w:val="single" w:color="auto" w:sz="4" w:space="0"/>
            </w:tcBorders>
            <w:vAlign w:val="center"/>
          </w:tcPr>
          <w:p w14:paraId="35BF5893">
            <w:pPr>
              <w:pStyle w:val="200"/>
              <w:adjustRightInd w:val="0"/>
              <w:snapToGrid w:val="0"/>
              <w:rPr>
                <w:rFonts w:hAnsi="Arial"/>
                <w:color w:val="auto"/>
                <w:spacing w:val="6"/>
              </w:rPr>
            </w:pPr>
            <w:r>
              <w:rPr>
                <w:color w:val="auto"/>
              </w:rPr>
              <w:t>塔机型号</w:t>
            </w:r>
          </w:p>
        </w:tc>
        <w:tc>
          <w:tcPr>
            <w:tcW w:w="2765" w:type="dxa"/>
            <w:tcBorders>
              <w:top w:val="single" w:color="auto" w:sz="4" w:space="0"/>
              <w:left w:val="single" w:color="auto" w:sz="4" w:space="0"/>
              <w:bottom w:val="single" w:color="auto" w:sz="4" w:space="0"/>
              <w:right w:val="single" w:color="auto" w:sz="4" w:space="0"/>
            </w:tcBorders>
            <w:vAlign w:val="center"/>
          </w:tcPr>
          <w:p w14:paraId="08B5D38D">
            <w:pPr>
              <w:pStyle w:val="200"/>
              <w:adjustRightInd w:val="0"/>
              <w:snapToGrid w:val="0"/>
              <w:rPr>
                <w:rFonts w:hAnsi="Arial" w:eastAsia="华文新魏"/>
                <w:color w:val="auto"/>
                <w:spacing w:val="6"/>
              </w:rPr>
            </w:pPr>
          </w:p>
        </w:tc>
        <w:tc>
          <w:tcPr>
            <w:tcW w:w="1260" w:type="dxa"/>
            <w:gridSpan w:val="3"/>
            <w:tcBorders>
              <w:top w:val="single" w:color="auto" w:sz="4" w:space="0"/>
              <w:left w:val="single" w:color="auto" w:sz="4" w:space="0"/>
              <w:bottom w:val="single" w:color="auto" w:sz="4" w:space="0"/>
              <w:right w:val="single" w:color="auto" w:sz="4" w:space="0"/>
            </w:tcBorders>
            <w:vAlign w:val="center"/>
          </w:tcPr>
          <w:p w14:paraId="42817B06">
            <w:pPr>
              <w:pStyle w:val="200"/>
              <w:adjustRightInd w:val="0"/>
              <w:snapToGrid w:val="0"/>
              <w:rPr>
                <w:rFonts w:hAnsi="Arial" w:eastAsia="华文新魏"/>
                <w:color w:val="auto"/>
                <w:spacing w:val="6"/>
              </w:rPr>
            </w:pPr>
            <w:r>
              <w:rPr>
                <w:color w:val="auto"/>
              </w:rPr>
              <w:t>塔机编号</w:t>
            </w:r>
          </w:p>
        </w:tc>
        <w:tc>
          <w:tcPr>
            <w:tcW w:w="3779" w:type="dxa"/>
            <w:gridSpan w:val="2"/>
            <w:tcBorders>
              <w:top w:val="single" w:color="auto" w:sz="4" w:space="0"/>
              <w:left w:val="single" w:color="auto" w:sz="4" w:space="0"/>
              <w:bottom w:val="single" w:color="auto" w:sz="4" w:space="0"/>
              <w:right w:val="single" w:color="auto" w:sz="4" w:space="0"/>
            </w:tcBorders>
            <w:vAlign w:val="center"/>
          </w:tcPr>
          <w:p w14:paraId="7C5974DC">
            <w:pPr>
              <w:pStyle w:val="200"/>
              <w:adjustRightInd w:val="0"/>
              <w:snapToGrid w:val="0"/>
              <w:rPr>
                <w:rFonts w:hAnsi="Arial"/>
                <w:color w:val="auto"/>
                <w:spacing w:val="6"/>
                <w:szCs w:val="21"/>
              </w:rPr>
            </w:pPr>
          </w:p>
        </w:tc>
      </w:tr>
      <w:tr w14:paraId="24AE7BC9">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tcBorders>
              <w:top w:val="single" w:color="auto" w:sz="4" w:space="0"/>
            </w:tcBorders>
            <w:vAlign w:val="center"/>
          </w:tcPr>
          <w:p w14:paraId="0632AC46">
            <w:pPr>
              <w:pStyle w:val="200"/>
              <w:adjustRightInd w:val="0"/>
              <w:snapToGrid w:val="0"/>
              <w:rPr>
                <w:rFonts w:hAnsi="Arial"/>
                <w:bCs/>
                <w:color w:val="auto"/>
                <w:szCs w:val="21"/>
              </w:rPr>
            </w:pPr>
            <w:r>
              <w:rPr>
                <w:rFonts w:hint="eastAsia" w:hAnsi="Arial"/>
                <w:bCs/>
                <w:color w:val="auto"/>
                <w:szCs w:val="21"/>
              </w:rPr>
              <w:t>序号</w:t>
            </w:r>
          </w:p>
        </w:tc>
        <w:tc>
          <w:tcPr>
            <w:tcW w:w="4143" w:type="dxa"/>
            <w:gridSpan w:val="4"/>
            <w:tcBorders>
              <w:top w:val="single" w:color="auto" w:sz="4" w:space="0"/>
            </w:tcBorders>
            <w:vAlign w:val="center"/>
          </w:tcPr>
          <w:p w14:paraId="6107BE83">
            <w:pPr>
              <w:pStyle w:val="200"/>
              <w:adjustRightInd w:val="0"/>
              <w:snapToGrid w:val="0"/>
              <w:rPr>
                <w:rFonts w:hAnsi="Arial"/>
                <w:bCs/>
                <w:color w:val="auto"/>
                <w:szCs w:val="21"/>
              </w:rPr>
            </w:pPr>
            <w:r>
              <w:rPr>
                <w:rFonts w:hint="eastAsia" w:hAnsi="Arial"/>
                <w:bCs/>
                <w:color w:val="auto"/>
                <w:szCs w:val="21"/>
              </w:rPr>
              <w:t>验     收     内     容</w:t>
            </w:r>
          </w:p>
        </w:tc>
        <w:tc>
          <w:tcPr>
            <w:tcW w:w="2164" w:type="dxa"/>
            <w:gridSpan w:val="2"/>
            <w:tcBorders>
              <w:top w:val="single" w:color="auto" w:sz="4" w:space="0"/>
            </w:tcBorders>
            <w:vAlign w:val="center"/>
          </w:tcPr>
          <w:p w14:paraId="01249391">
            <w:pPr>
              <w:pStyle w:val="200"/>
              <w:adjustRightInd w:val="0"/>
              <w:snapToGrid w:val="0"/>
              <w:rPr>
                <w:rFonts w:hAnsi="Arial"/>
                <w:color w:val="auto"/>
                <w:spacing w:val="6"/>
                <w:szCs w:val="21"/>
              </w:rPr>
            </w:pPr>
            <w:r>
              <w:rPr>
                <w:rFonts w:hint="eastAsia" w:hAnsi="Arial"/>
                <w:bCs/>
                <w:color w:val="auto"/>
                <w:szCs w:val="21"/>
              </w:rPr>
              <w:t>检 测 数 据</w:t>
            </w:r>
          </w:p>
        </w:tc>
        <w:tc>
          <w:tcPr>
            <w:tcW w:w="2335" w:type="dxa"/>
            <w:tcBorders>
              <w:top w:val="single" w:color="auto" w:sz="4" w:space="0"/>
            </w:tcBorders>
            <w:vAlign w:val="center"/>
          </w:tcPr>
          <w:p w14:paraId="733DCB55">
            <w:pPr>
              <w:pStyle w:val="200"/>
              <w:adjustRightInd w:val="0"/>
              <w:snapToGrid w:val="0"/>
              <w:rPr>
                <w:rFonts w:hAnsi="Arial"/>
                <w:color w:val="auto"/>
                <w:spacing w:val="6"/>
                <w:szCs w:val="21"/>
              </w:rPr>
            </w:pPr>
            <w:r>
              <w:rPr>
                <w:rFonts w:hint="eastAsia" w:hAnsi="Arial"/>
                <w:bCs/>
                <w:color w:val="auto"/>
                <w:szCs w:val="21"/>
              </w:rPr>
              <w:t>验 收 结 果</w:t>
            </w:r>
          </w:p>
        </w:tc>
      </w:tr>
      <w:tr w14:paraId="39BE5EC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9348" w:type="dxa"/>
            <w:gridSpan w:val="8"/>
            <w:vAlign w:val="center"/>
          </w:tcPr>
          <w:p w14:paraId="54CF8F6E">
            <w:pPr>
              <w:pStyle w:val="200"/>
              <w:adjustRightInd w:val="0"/>
              <w:snapToGrid w:val="0"/>
              <w:rPr>
                <w:rFonts w:hAnsi="Arial"/>
                <w:bCs/>
                <w:color w:val="auto"/>
                <w:szCs w:val="21"/>
              </w:rPr>
            </w:pPr>
            <w:r>
              <w:rPr>
                <w:color w:val="auto"/>
                <w:szCs w:val="21"/>
              </w:rPr>
              <w:t>以下由使用单位填写</w:t>
            </w:r>
          </w:p>
        </w:tc>
      </w:tr>
      <w:tr w14:paraId="755C7A6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vAlign w:val="center"/>
          </w:tcPr>
          <w:p w14:paraId="5745EC40">
            <w:pPr>
              <w:pStyle w:val="200"/>
              <w:adjustRightInd w:val="0"/>
              <w:snapToGrid w:val="0"/>
              <w:rPr>
                <w:rFonts w:hAnsi="Arial"/>
                <w:bCs/>
                <w:color w:val="auto"/>
                <w:szCs w:val="21"/>
              </w:rPr>
            </w:pPr>
            <w:r>
              <w:rPr>
                <w:rFonts w:hint="eastAsia" w:hAnsi="Arial"/>
                <w:bCs/>
                <w:color w:val="auto"/>
                <w:szCs w:val="21"/>
              </w:rPr>
              <w:t>1</w:t>
            </w:r>
          </w:p>
        </w:tc>
        <w:tc>
          <w:tcPr>
            <w:tcW w:w="4143" w:type="dxa"/>
            <w:gridSpan w:val="4"/>
            <w:vAlign w:val="center"/>
          </w:tcPr>
          <w:p w14:paraId="308540CC">
            <w:pPr>
              <w:pStyle w:val="200"/>
              <w:adjustRightInd w:val="0"/>
              <w:snapToGrid w:val="0"/>
              <w:jc w:val="left"/>
              <w:rPr>
                <w:rFonts w:hAnsi="Arial"/>
                <w:bCs/>
                <w:color w:val="auto"/>
                <w:szCs w:val="21"/>
              </w:rPr>
            </w:pPr>
            <w:r>
              <w:rPr>
                <w:color w:val="auto"/>
                <w:szCs w:val="21"/>
              </w:rPr>
              <w:t>塔机</w:t>
            </w:r>
            <w:r>
              <w:rPr>
                <w:rFonts w:hint="eastAsia"/>
                <w:color w:val="auto"/>
                <w:szCs w:val="21"/>
              </w:rPr>
              <w:t>基础下土层</w:t>
            </w:r>
            <w:r>
              <w:rPr>
                <w:color w:val="auto"/>
                <w:szCs w:val="21"/>
              </w:rPr>
              <w:t>承载能力是否能符合要求</w:t>
            </w:r>
          </w:p>
        </w:tc>
        <w:tc>
          <w:tcPr>
            <w:tcW w:w="2164" w:type="dxa"/>
            <w:gridSpan w:val="2"/>
            <w:vAlign w:val="center"/>
          </w:tcPr>
          <w:p w14:paraId="03139B05">
            <w:pPr>
              <w:pStyle w:val="200"/>
              <w:adjustRightInd w:val="0"/>
              <w:snapToGrid w:val="0"/>
              <w:rPr>
                <w:rFonts w:hAnsi="Arial"/>
                <w:bCs/>
                <w:color w:val="auto"/>
                <w:szCs w:val="21"/>
              </w:rPr>
            </w:pPr>
            <w:r>
              <w:rPr>
                <w:rFonts w:hint="eastAsia" w:hAnsi="Arial"/>
                <w:color w:val="auto"/>
                <w:szCs w:val="21"/>
              </w:rPr>
              <w:t>kPa</w:t>
            </w:r>
          </w:p>
        </w:tc>
        <w:tc>
          <w:tcPr>
            <w:tcW w:w="2335" w:type="dxa"/>
            <w:vAlign w:val="center"/>
          </w:tcPr>
          <w:p w14:paraId="222EB82E">
            <w:pPr>
              <w:pStyle w:val="200"/>
              <w:adjustRightInd w:val="0"/>
              <w:snapToGrid w:val="0"/>
              <w:rPr>
                <w:rFonts w:hAnsi="Arial"/>
                <w:bCs/>
                <w:color w:val="auto"/>
                <w:szCs w:val="21"/>
              </w:rPr>
            </w:pPr>
          </w:p>
        </w:tc>
      </w:tr>
      <w:tr w14:paraId="282F1828">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vAlign w:val="center"/>
          </w:tcPr>
          <w:p w14:paraId="77CFB885">
            <w:pPr>
              <w:pStyle w:val="200"/>
              <w:adjustRightInd w:val="0"/>
              <w:snapToGrid w:val="0"/>
              <w:rPr>
                <w:rFonts w:hAnsi="Arial"/>
                <w:bCs/>
                <w:color w:val="auto"/>
                <w:szCs w:val="21"/>
              </w:rPr>
            </w:pPr>
            <w:r>
              <w:rPr>
                <w:rFonts w:hint="eastAsia" w:hAnsi="Arial"/>
                <w:bCs/>
                <w:color w:val="auto"/>
                <w:szCs w:val="21"/>
              </w:rPr>
              <w:t>2</w:t>
            </w:r>
          </w:p>
        </w:tc>
        <w:tc>
          <w:tcPr>
            <w:tcW w:w="4143" w:type="dxa"/>
            <w:gridSpan w:val="4"/>
            <w:vAlign w:val="center"/>
          </w:tcPr>
          <w:p w14:paraId="76E6CC0F">
            <w:pPr>
              <w:pStyle w:val="200"/>
              <w:adjustRightInd w:val="0"/>
              <w:snapToGrid w:val="0"/>
              <w:jc w:val="left"/>
              <w:rPr>
                <w:color w:val="auto"/>
                <w:szCs w:val="21"/>
              </w:rPr>
            </w:pPr>
            <w:r>
              <w:rPr>
                <w:rFonts w:hint="eastAsia"/>
                <w:color w:val="auto"/>
                <w:szCs w:val="21"/>
              </w:rPr>
              <w:t>塔机基础混凝土浇筑时间</w:t>
            </w:r>
          </w:p>
        </w:tc>
        <w:tc>
          <w:tcPr>
            <w:tcW w:w="4499" w:type="dxa"/>
            <w:gridSpan w:val="3"/>
            <w:vAlign w:val="center"/>
          </w:tcPr>
          <w:p w14:paraId="0F2F647F">
            <w:pPr>
              <w:pStyle w:val="200"/>
              <w:adjustRightInd w:val="0"/>
              <w:snapToGrid w:val="0"/>
              <w:rPr>
                <w:color w:val="auto"/>
                <w:szCs w:val="21"/>
              </w:rPr>
            </w:pPr>
            <w:r>
              <w:rPr>
                <w:rFonts w:hint="eastAsia" w:hAnsi="Arial"/>
                <w:color w:val="auto"/>
                <w:szCs w:val="21"/>
              </w:rPr>
              <w:t>年      月      日</w:t>
            </w:r>
          </w:p>
        </w:tc>
      </w:tr>
      <w:tr w14:paraId="57AA406D">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vAlign w:val="center"/>
          </w:tcPr>
          <w:p w14:paraId="31BE7CF7">
            <w:pPr>
              <w:pStyle w:val="200"/>
              <w:adjustRightInd w:val="0"/>
              <w:snapToGrid w:val="0"/>
              <w:rPr>
                <w:rFonts w:hAnsi="Arial"/>
                <w:bCs/>
                <w:color w:val="auto"/>
                <w:szCs w:val="21"/>
              </w:rPr>
            </w:pPr>
            <w:r>
              <w:rPr>
                <w:rFonts w:hint="eastAsia" w:hAnsi="Arial"/>
                <w:bCs/>
                <w:color w:val="auto"/>
                <w:szCs w:val="21"/>
              </w:rPr>
              <w:t>3</w:t>
            </w:r>
          </w:p>
        </w:tc>
        <w:tc>
          <w:tcPr>
            <w:tcW w:w="4143" w:type="dxa"/>
            <w:gridSpan w:val="4"/>
            <w:vAlign w:val="center"/>
          </w:tcPr>
          <w:p w14:paraId="73CCDFAD">
            <w:pPr>
              <w:pStyle w:val="200"/>
              <w:adjustRightInd w:val="0"/>
              <w:snapToGrid w:val="0"/>
              <w:jc w:val="left"/>
              <w:rPr>
                <w:rFonts w:hAnsi="Arial"/>
                <w:bCs/>
                <w:color w:val="auto"/>
                <w:szCs w:val="21"/>
              </w:rPr>
            </w:pPr>
            <w:r>
              <w:rPr>
                <w:color w:val="auto"/>
                <w:szCs w:val="21"/>
              </w:rPr>
              <w:t>混凝土</w:t>
            </w:r>
            <w:r>
              <w:rPr>
                <w:rFonts w:hint="eastAsia"/>
                <w:color w:val="auto"/>
                <w:szCs w:val="21"/>
              </w:rPr>
              <w:t>的等级与</w:t>
            </w:r>
            <w:r>
              <w:rPr>
                <w:color w:val="auto"/>
                <w:szCs w:val="21"/>
              </w:rPr>
              <w:t>强度是否符合要求</w:t>
            </w:r>
          </w:p>
        </w:tc>
        <w:tc>
          <w:tcPr>
            <w:tcW w:w="2164" w:type="dxa"/>
            <w:gridSpan w:val="2"/>
            <w:vAlign w:val="center"/>
          </w:tcPr>
          <w:p w14:paraId="15ADE8C9">
            <w:pPr>
              <w:pStyle w:val="200"/>
              <w:adjustRightInd w:val="0"/>
              <w:snapToGrid w:val="0"/>
              <w:rPr>
                <w:rFonts w:hAnsi="Arial"/>
                <w:bCs/>
                <w:color w:val="auto"/>
                <w:szCs w:val="21"/>
              </w:rPr>
            </w:pPr>
            <w:r>
              <w:rPr>
                <w:rFonts w:hint="eastAsia"/>
                <w:color w:val="auto"/>
                <w:szCs w:val="21"/>
              </w:rPr>
              <w:t xml:space="preserve">C </w:t>
            </w:r>
            <w:r>
              <w:rPr>
                <w:rFonts w:hint="eastAsia"/>
                <w:color w:val="auto"/>
                <w:szCs w:val="21"/>
                <w:u w:val="single"/>
              </w:rPr>
              <w:t xml:space="preserve">   </w:t>
            </w:r>
            <w:r>
              <w:rPr>
                <w:rFonts w:hint="eastAsia"/>
                <w:color w:val="auto"/>
                <w:szCs w:val="21"/>
              </w:rPr>
              <w:t xml:space="preserve"> / </w:t>
            </w:r>
            <w:r>
              <w:rPr>
                <w:rFonts w:hint="eastAsia"/>
                <w:color w:val="auto"/>
                <w:szCs w:val="21"/>
                <w:u w:val="single"/>
              </w:rPr>
              <w:t xml:space="preserve">    </w:t>
            </w:r>
            <w:r>
              <w:rPr>
                <w:rFonts w:hint="eastAsia"/>
                <w:color w:val="auto"/>
                <w:szCs w:val="21"/>
              </w:rPr>
              <w:t xml:space="preserve"> MPa</w:t>
            </w:r>
          </w:p>
        </w:tc>
        <w:tc>
          <w:tcPr>
            <w:tcW w:w="2335" w:type="dxa"/>
            <w:vAlign w:val="center"/>
          </w:tcPr>
          <w:p w14:paraId="4BC82117">
            <w:pPr>
              <w:pStyle w:val="200"/>
              <w:adjustRightInd w:val="0"/>
              <w:snapToGrid w:val="0"/>
              <w:rPr>
                <w:rFonts w:hAnsi="Arial"/>
                <w:bCs/>
                <w:color w:val="auto"/>
                <w:szCs w:val="21"/>
              </w:rPr>
            </w:pPr>
            <w:r>
              <w:rPr>
                <w:color w:val="auto"/>
                <w:szCs w:val="21"/>
              </w:rPr>
              <w:t xml:space="preserve">符合 </w:t>
            </w:r>
            <w:r>
              <w:rPr>
                <w:rFonts w:hint="eastAsia"/>
                <w:color w:val="auto"/>
                <w:sz w:val="21"/>
                <w:szCs w:val="21"/>
              </w:rPr>
              <w:t>□</w:t>
            </w:r>
            <w:r>
              <w:rPr>
                <w:rFonts w:hAnsi="Arial"/>
                <w:color w:val="auto"/>
                <w:sz w:val="32"/>
                <w:szCs w:val="32"/>
              </w:rPr>
              <w:t xml:space="preserve"> </w:t>
            </w:r>
            <w:r>
              <w:rPr>
                <w:rFonts w:hAnsi="Arial"/>
                <w:color w:val="auto"/>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6F01DC3D">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vAlign w:val="center"/>
          </w:tcPr>
          <w:p w14:paraId="397683F8">
            <w:pPr>
              <w:pStyle w:val="200"/>
              <w:adjustRightInd w:val="0"/>
              <w:snapToGrid w:val="0"/>
              <w:rPr>
                <w:rFonts w:hAnsi="Arial"/>
                <w:bCs/>
                <w:color w:val="auto"/>
                <w:szCs w:val="21"/>
              </w:rPr>
            </w:pPr>
            <w:r>
              <w:rPr>
                <w:rFonts w:hint="eastAsia" w:hAnsi="Arial"/>
                <w:bCs/>
                <w:color w:val="auto"/>
                <w:szCs w:val="21"/>
              </w:rPr>
              <w:t>4</w:t>
            </w:r>
          </w:p>
        </w:tc>
        <w:tc>
          <w:tcPr>
            <w:tcW w:w="4143" w:type="dxa"/>
            <w:gridSpan w:val="4"/>
            <w:vAlign w:val="center"/>
          </w:tcPr>
          <w:p w14:paraId="12B189ED">
            <w:pPr>
              <w:pStyle w:val="200"/>
              <w:adjustRightInd w:val="0"/>
              <w:snapToGrid w:val="0"/>
              <w:jc w:val="left"/>
              <w:rPr>
                <w:rFonts w:hAnsi="Arial"/>
                <w:bCs/>
                <w:color w:val="auto"/>
                <w:szCs w:val="21"/>
              </w:rPr>
            </w:pPr>
            <w:r>
              <w:rPr>
                <w:color w:val="auto"/>
                <w:szCs w:val="21"/>
              </w:rPr>
              <w:t>塔机基础</w:t>
            </w:r>
            <w:r>
              <w:rPr>
                <w:rFonts w:hint="eastAsia"/>
                <w:color w:val="auto"/>
                <w:szCs w:val="21"/>
              </w:rPr>
              <w:t>尺寸</w:t>
            </w:r>
            <w:r>
              <w:rPr>
                <w:color w:val="auto"/>
                <w:szCs w:val="21"/>
              </w:rPr>
              <w:t>是否符合设计及规范要求</w:t>
            </w:r>
          </w:p>
        </w:tc>
        <w:tc>
          <w:tcPr>
            <w:tcW w:w="2164" w:type="dxa"/>
            <w:gridSpan w:val="2"/>
            <w:vAlign w:val="center"/>
          </w:tcPr>
          <w:p w14:paraId="400511DA">
            <w:pPr>
              <w:pStyle w:val="200"/>
              <w:adjustRightInd w:val="0"/>
              <w:snapToGrid w:val="0"/>
              <w:rPr>
                <w:rFonts w:hAnsi="Arial"/>
                <w:bCs/>
                <w:color w:val="auto"/>
                <w:szCs w:val="21"/>
              </w:rPr>
            </w:pPr>
            <w:r>
              <w:rPr>
                <w:rFonts w:hint="eastAsia" w:hAnsi="Arial"/>
                <w:bCs/>
                <w:color w:val="auto"/>
                <w:szCs w:val="21"/>
                <w:u w:val="single"/>
              </w:rPr>
              <w:t xml:space="preserve">   </w:t>
            </w:r>
            <w:r>
              <w:rPr>
                <w:rFonts w:hint="eastAsia" w:hAnsi="Arial"/>
                <w:bCs/>
                <w:color w:val="auto"/>
                <w:szCs w:val="21"/>
              </w:rPr>
              <w:t xml:space="preserve"> m×</w:t>
            </w:r>
            <w:r>
              <w:rPr>
                <w:rFonts w:hint="eastAsia" w:hAnsi="Arial"/>
                <w:bCs/>
                <w:color w:val="auto"/>
                <w:szCs w:val="21"/>
                <w:u w:val="single"/>
              </w:rPr>
              <w:t xml:space="preserve">   </w:t>
            </w:r>
            <w:r>
              <w:rPr>
                <w:rFonts w:hint="eastAsia" w:hAnsi="Arial"/>
                <w:bCs/>
                <w:color w:val="auto"/>
                <w:szCs w:val="21"/>
              </w:rPr>
              <w:t>m×</w:t>
            </w:r>
            <w:r>
              <w:rPr>
                <w:rFonts w:hint="eastAsia" w:hAnsi="Arial"/>
                <w:bCs/>
                <w:color w:val="auto"/>
                <w:szCs w:val="21"/>
                <w:u w:val="single"/>
              </w:rPr>
              <w:t xml:space="preserve">   </w:t>
            </w:r>
            <w:r>
              <w:rPr>
                <w:rFonts w:hint="eastAsia" w:hAnsi="Arial"/>
                <w:bCs/>
                <w:color w:val="auto"/>
                <w:szCs w:val="21"/>
              </w:rPr>
              <w:t>m</w:t>
            </w:r>
          </w:p>
        </w:tc>
        <w:tc>
          <w:tcPr>
            <w:tcW w:w="2335" w:type="dxa"/>
            <w:vAlign w:val="center"/>
          </w:tcPr>
          <w:p w14:paraId="1D8AC059">
            <w:pPr>
              <w:pStyle w:val="200"/>
              <w:adjustRightInd w:val="0"/>
              <w:snapToGrid w:val="0"/>
              <w:rPr>
                <w:rFonts w:hAnsi="Arial"/>
                <w:bCs/>
                <w:color w:val="auto"/>
                <w:szCs w:val="21"/>
              </w:rPr>
            </w:pPr>
            <w:r>
              <w:rPr>
                <w:color w:val="auto"/>
                <w:szCs w:val="21"/>
              </w:rPr>
              <w:t xml:space="preserve">符合 </w:t>
            </w:r>
            <w:r>
              <w:rPr>
                <w:rFonts w:hint="eastAsia"/>
                <w:color w:val="auto"/>
                <w:sz w:val="21"/>
                <w:szCs w:val="21"/>
              </w:rPr>
              <w:t>□</w:t>
            </w:r>
            <w:r>
              <w:rPr>
                <w:color w:val="auto"/>
                <w:sz w:val="21"/>
                <w:szCs w:val="21"/>
              </w:rPr>
              <w:t xml:space="preserve"> </w:t>
            </w:r>
            <w:r>
              <w:rPr>
                <w:rFonts w:hAnsi="Arial"/>
                <w:color w:val="auto"/>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3E2E18A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vAlign w:val="center"/>
          </w:tcPr>
          <w:p w14:paraId="356AFC0F">
            <w:pPr>
              <w:pStyle w:val="200"/>
              <w:adjustRightInd w:val="0"/>
              <w:snapToGrid w:val="0"/>
              <w:rPr>
                <w:rFonts w:hAnsi="Arial"/>
                <w:bCs/>
                <w:color w:val="auto"/>
                <w:szCs w:val="21"/>
              </w:rPr>
            </w:pPr>
            <w:r>
              <w:rPr>
                <w:rFonts w:hint="eastAsia" w:hAnsi="Arial"/>
                <w:bCs/>
                <w:color w:val="auto"/>
                <w:szCs w:val="21"/>
              </w:rPr>
              <w:t>5</w:t>
            </w:r>
          </w:p>
        </w:tc>
        <w:tc>
          <w:tcPr>
            <w:tcW w:w="4143" w:type="dxa"/>
            <w:gridSpan w:val="4"/>
            <w:vAlign w:val="center"/>
          </w:tcPr>
          <w:p w14:paraId="64549481">
            <w:pPr>
              <w:pStyle w:val="200"/>
              <w:adjustRightInd w:val="0"/>
              <w:snapToGrid w:val="0"/>
              <w:jc w:val="left"/>
              <w:rPr>
                <w:rFonts w:hAnsi="Arial"/>
                <w:bCs/>
                <w:color w:val="auto"/>
                <w:szCs w:val="21"/>
              </w:rPr>
            </w:pPr>
            <w:r>
              <w:rPr>
                <w:color w:val="auto"/>
                <w:szCs w:val="21"/>
              </w:rPr>
              <w:t>塔机基础隐蔽工程是否符合设计及规范</w:t>
            </w:r>
            <w:r>
              <w:rPr>
                <w:rFonts w:hint="eastAsia"/>
                <w:color w:val="auto"/>
                <w:szCs w:val="21"/>
              </w:rPr>
              <w:t>要</w:t>
            </w:r>
            <w:r>
              <w:rPr>
                <w:color w:val="auto"/>
                <w:szCs w:val="21"/>
              </w:rPr>
              <w:t>求</w:t>
            </w:r>
          </w:p>
        </w:tc>
        <w:tc>
          <w:tcPr>
            <w:tcW w:w="2164" w:type="dxa"/>
            <w:gridSpan w:val="2"/>
            <w:vAlign w:val="center"/>
          </w:tcPr>
          <w:p w14:paraId="1BD1F687">
            <w:pPr>
              <w:pStyle w:val="200"/>
              <w:adjustRightInd w:val="0"/>
              <w:snapToGrid w:val="0"/>
              <w:rPr>
                <w:rFonts w:hAnsi="Arial"/>
                <w:bCs/>
                <w:color w:val="auto"/>
                <w:szCs w:val="21"/>
              </w:rPr>
            </w:pPr>
          </w:p>
        </w:tc>
        <w:tc>
          <w:tcPr>
            <w:tcW w:w="2335" w:type="dxa"/>
            <w:vAlign w:val="center"/>
          </w:tcPr>
          <w:p w14:paraId="60EB4E77">
            <w:pPr>
              <w:pStyle w:val="200"/>
              <w:adjustRightInd w:val="0"/>
              <w:snapToGrid w:val="0"/>
              <w:rPr>
                <w:rFonts w:hAnsi="Arial"/>
                <w:bCs/>
                <w:color w:val="auto"/>
                <w:szCs w:val="21"/>
              </w:rPr>
            </w:pPr>
            <w:r>
              <w:rPr>
                <w:color w:val="auto"/>
                <w:szCs w:val="21"/>
              </w:rPr>
              <w:t xml:space="preserve">符合 </w:t>
            </w:r>
            <w:r>
              <w:rPr>
                <w:rFonts w:hint="eastAsia"/>
                <w:color w:val="auto"/>
                <w:sz w:val="21"/>
                <w:szCs w:val="21"/>
              </w:rPr>
              <w:t>□</w:t>
            </w:r>
            <w:r>
              <w:rPr>
                <w:color w:val="auto"/>
                <w:sz w:val="21"/>
                <w:szCs w:val="21"/>
              </w:rPr>
              <w:t xml:space="preserve"> </w:t>
            </w:r>
            <w:r>
              <w:rPr>
                <w:rFonts w:hAnsi="Arial"/>
                <w:color w:val="auto"/>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0E2E1541">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vAlign w:val="center"/>
          </w:tcPr>
          <w:p w14:paraId="09739376">
            <w:pPr>
              <w:pStyle w:val="200"/>
              <w:adjustRightInd w:val="0"/>
              <w:snapToGrid w:val="0"/>
              <w:rPr>
                <w:rFonts w:hAnsi="Arial"/>
                <w:bCs/>
                <w:color w:val="auto"/>
                <w:szCs w:val="21"/>
              </w:rPr>
            </w:pPr>
            <w:r>
              <w:rPr>
                <w:rFonts w:hint="eastAsia" w:hAnsi="Arial"/>
                <w:bCs/>
                <w:color w:val="auto"/>
                <w:szCs w:val="21"/>
              </w:rPr>
              <w:t>6</w:t>
            </w:r>
          </w:p>
        </w:tc>
        <w:tc>
          <w:tcPr>
            <w:tcW w:w="4143" w:type="dxa"/>
            <w:gridSpan w:val="4"/>
            <w:vAlign w:val="center"/>
          </w:tcPr>
          <w:p w14:paraId="31ECC779">
            <w:pPr>
              <w:pStyle w:val="200"/>
              <w:adjustRightInd w:val="0"/>
              <w:snapToGrid w:val="0"/>
              <w:jc w:val="left"/>
              <w:rPr>
                <w:rFonts w:hAnsi="Arial"/>
                <w:bCs/>
                <w:color w:val="auto"/>
                <w:szCs w:val="21"/>
              </w:rPr>
            </w:pPr>
            <w:r>
              <w:rPr>
                <w:color w:val="auto"/>
                <w:szCs w:val="21"/>
              </w:rPr>
              <w:t>塔机接地装置是否符合设计及规范要求</w:t>
            </w:r>
          </w:p>
        </w:tc>
        <w:tc>
          <w:tcPr>
            <w:tcW w:w="2164" w:type="dxa"/>
            <w:gridSpan w:val="2"/>
            <w:vAlign w:val="center"/>
          </w:tcPr>
          <w:p w14:paraId="63AD29DF">
            <w:pPr>
              <w:pStyle w:val="200"/>
              <w:adjustRightInd w:val="0"/>
              <w:snapToGrid w:val="0"/>
              <w:rPr>
                <w:rFonts w:hAnsi="Arial"/>
                <w:bCs/>
                <w:color w:val="auto"/>
              </w:rPr>
            </w:pPr>
            <w:r>
              <w:rPr>
                <w:rFonts w:hint="eastAsia" w:hAnsi="Arial"/>
                <w:bCs/>
                <w:color w:val="auto"/>
              </w:rPr>
              <w:t>Ω</w:t>
            </w:r>
          </w:p>
        </w:tc>
        <w:tc>
          <w:tcPr>
            <w:tcW w:w="2335" w:type="dxa"/>
            <w:vAlign w:val="center"/>
          </w:tcPr>
          <w:p w14:paraId="052C43B4">
            <w:pPr>
              <w:pStyle w:val="200"/>
              <w:adjustRightInd w:val="0"/>
              <w:snapToGrid w:val="0"/>
              <w:rPr>
                <w:rFonts w:hAnsi="Arial"/>
                <w:bCs/>
                <w:color w:val="auto"/>
                <w:szCs w:val="21"/>
              </w:rPr>
            </w:pPr>
            <w:r>
              <w:rPr>
                <w:color w:val="auto"/>
                <w:szCs w:val="21"/>
              </w:rPr>
              <w:t xml:space="preserve">符合 </w:t>
            </w:r>
            <w:r>
              <w:rPr>
                <w:rFonts w:hint="eastAsia"/>
                <w:color w:val="auto"/>
                <w:sz w:val="21"/>
                <w:szCs w:val="21"/>
              </w:rPr>
              <w:t>□</w:t>
            </w:r>
            <w:r>
              <w:rPr>
                <w:color w:val="auto"/>
                <w:sz w:val="21"/>
                <w:szCs w:val="21"/>
              </w:rPr>
              <w:t xml:space="preserve"> </w:t>
            </w:r>
            <w:r>
              <w:rPr>
                <w:rFonts w:hAnsi="Arial"/>
                <w:color w:val="auto"/>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742133EE">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4614" w:type="dxa"/>
            <w:gridSpan w:val="4"/>
            <w:vAlign w:val="center"/>
          </w:tcPr>
          <w:p w14:paraId="18F20F52">
            <w:pPr>
              <w:pStyle w:val="200"/>
              <w:adjustRightInd w:val="0"/>
              <w:snapToGrid w:val="0"/>
              <w:rPr>
                <w:color w:val="auto"/>
                <w:szCs w:val="21"/>
              </w:rPr>
            </w:pPr>
            <w:r>
              <w:rPr>
                <w:color w:val="auto"/>
                <w:szCs w:val="21"/>
              </w:rPr>
              <w:t>使用单位验收结论</w:t>
            </w:r>
            <w:r>
              <w:rPr>
                <w:rFonts w:hint="eastAsia"/>
                <w:color w:val="auto"/>
                <w:szCs w:val="21"/>
              </w:rPr>
              <w:t>：</w:t>
            </w:r>
          </w:p>
          <w:p w14:paraId="194272D1">
            <w:pPr>
              <w:pStyle w:val="200"/>
              <w:adjustRightInd w:val="0"/>
              <w:snapToGrid w:val="0"/>
              <w:rPr>
                <w:color w:val="auto"/>
                <w:szCs w:val="21"/>
              </w:rPr>
            </w:pPr>
          </w:p>
          <w:p w14:paraId="253B6DFB">
            <w:pPr>
              <w:pStyle w:val="200"/>
              <w:adjustRightInd w:val="0"/>
              <w:snapToGrid w:val="0"/>
              <w:rPr>
                <w:rFonts w:hAnsi="Arial"/>
                <w:color w:val="auto"/>
                <w:spacing w:val="6"/>
                <w:szCs w:val="21"/>
              </w:rPr>
            </w:pPr>
            <w:r>
              <w:rPr>
                <w:rFonts w:hint="eastAsia"/>
                <w:color w:val="auto"/>
                <w:szCs w:val="21"/>
              </w:rPr>
              <w:t>合</w:t>
            </w:r>
            <w:r>
              <w:rPr>
                <w:color w:val="auto"/>
                <w:szCs w:val="21"/>
              </w:rPr>
              <w:t>格准予安装</w:t>
            </w:r>
            <w:r>
              <w:rPr>
                <w:rFonts w:hint="eastAsia"/>
                <w:color w:val="auto"/>
                <w:szCs w:val="21"/>
              </w:rPr>
              <w:t xml:space="preserve"> </w:t>
            </w:r>
            <w:r>
              <w:rPr>
                <w:rFonts w:hint="eastAsia"/>
                <w:color w:val="auto"/>
                <w:sz w:val="21"/>
                <w:szCs w:val="21"/>
              </w:rPr>
              <w:t>□</w:t>
            </w:r>
            <w:r>
              <w:rPr>
                <w:rFonts w:hAnsi="Arial"/>
                <w:color w:val="auto"/>
                <w:sz w:val="32"/>
                <w:szCs w:val="32"/>
              </w:rPr>
              <w:t xml:space="preserve"> </w:t>
            </w:r>
            <w:r>
              <w:rPr>
                <w:rFonts w:hint="eastAsia"/>
                <w:color w:val="auto"/>
                <w:szCs w:val="21"/>
              </w:rPr>
              <w:t xml:space="preserve">    </w:t>
            </w:r>
            <w:r>
              <w:rPr>
                <w:rFonts w:hint="eastAsia"/>
                <w:color w:val="auto"/>
                <w:spacing w:val="-6"/>
                <w:szCs w:val="21"/>
              </w:rPr>
              <w:t>不</w:t>
            </w:r>
            <w:r>
              <w:rPr>
                <w:color w:val="auto"/>
                <w:spacing w:val="-6"/>
                <w:szCs w:val="21"/>
              </w:rPr>
              <w:t>合格</w:t>
            </w:r>
            <w:r>
              <w:rPr>
                <w:rFonts w:hint="eastAsia"/>
                <w:color w:val="auto"/>
                <w:spacing w:val="-6"/>
                <w:szCs w:val="21"/>
              </w:rPr>
              <w:t>不</w:t>
            </w:r>
            <w:r>
              <w:rPr>
                <w:color w:val="auto"/>
                <w:spacing w:val="-6"/>
                <w:szCs w:val="21"/>
              </w:rPr>
              <w:t>准安装</w:t>
            </w:r>
            <w:r>
              <w:rPr>
                <w:rFonts w:hint="eastAsia"/>
                <w:color w:val="auto"/>
                <w:spacing w:val="-6"/>
                <w:szCs w:val="21"/>
              </w:rPr>
              <w:t xml:space="preserve"> </w:t>
            </w:r>
            <w:r>
              <w:rPr>
                <w:rFonts w:hint="eastAsia"/>
                <w:color w:val="auto"/>
                <w:sz w:val="21"/>
                <w:szCs w:val="21"/>
              </w:rPr>
              <w:t>□</w:t>
            </w:r>
          </w:p>
          <w:p w14:paraId="73F6F68B">
            <w:pPr>
              <w:pStyle w:val="200"/>
              <w:adjustRightInd w:val="0"/>
              <w:snapToGrid w:val="0"/>
              <w:rPr>
                <w:rFonts w:hAnsi="Arial"/>
                <w:color w:val="auto"/>
                <w:spacing w:val="6"/>
                <w:szCs w:val="21"/>
              </w:rPr>
            </w:pPr>
            <w:r>
              <w:rPr>
                <w:rFonts w:hint="eastAsia" w:hAnsi="Arial"/>
                <w:color w:val="auto"/>
                <w:spacing w:val="6"/>
                <w:szCs w:val="21"/>
              </w:rPr>
              <w:t>签字（盖 章） ：</w:t>
            </w:r>
          </w:p>
          <w:p w14:paraId="645D33D2">
            <w:pPr>
              <w:pStyle w:val="200"/>
              <w:adjustRightInd w:val="0"/>
              <w:snapToGrid w:val="0"/>
              <w:rPr>
                <w:rFonts w:hAnsi="Arial"/>
                <w:color w:val="auto"/>
                <w:spacing w:val="6"/>
              </w:rPr>
            </w:pPr>
            <w:r>
              <w:rPr>
                <w:rFonts w:hint="eastAsia" w:hAnsi="Arial"/>
                <w:color w:val="auto"/>
                <w:spacing w:val="6"/>
                <w:szCs w:val="21"/>
              </w:rPr>
              <w:t>年</w:t>
            </w:r>
            <w:r>
              <w:rPr>
                <w:rFonts w:hint="eastAsia" w:hAnsi="Arial"/>
                <w:color w:val="auto"/>
                <w:spacing w:val="6"/>
                <w:szCs w:val="21"/>
                <w:u w:val="single"/>
              </w:rPr>
              <w:t xml:space="preserve">     </w:t>
            </w:r>
            <w:r>
              <w:rPr>
                <w:rFonts w:hint="eastAsia" w:hAnsi="Arial"/>
                <w:color w:val="auto"/>
                <w:spacing w:val="6"/>
                <w:szCs w:val="21"/>
              </w:rPr>
              <w:t>月</w:t>
            </w:r>
            <w:r>
              <w:rPr>
                <w:rFonts w:hint="eastAsia" w:hAnsi="Arial"/>
                <w:color w:val="auto"/>
                <w:spacing w:val="6"/>
                <w:szCs w:val="21"/>
                <w:u w:val="single"/>
              </w:rPr>
              <w:t xml:space="preserve">     </w:t>
            </w:r>
            <w:r>
              <w:rPr>
                <w:rFonts w:hint="eastAsia" w:hAnsi="Arial"/>
                <w:color w:val="auto"/>
                <w:spacing w:val="6"/>
                <w:szCs w:val="21"/>
              </w:rPr>
              <w:t>日</w:t>
            </w:r>
          </w:p>
        </w:tc>
        <w:tc>
          <w:tcPr>
            <w:tcW w:w="4734" w:type="dxa"/>
            <w:gridSpan w:val="4"/>
            <w:vAlign w:val="center"/>
          </w:tcPr>
          <w:p w14:paraId="6699ECE8">
            <w:pPr>
              <w:pStyle w:val="200"/>
              <w:adjustRightInd w:val="0"/>
              <w:snapToGrid w:val="0"/>
              <w:rPr>
                <w:color w:val="auto"/>
                <w:szCs w:val="21"/>
              </w:rPr>
            </w:pPr>
            <w:r>
              <w:rPr>
                <w:rFonts w:hint="eastAsia"/>
                <w:color w:val="auto"/>
                <w:szCs w:val="21"/>
              </w:rPr>
              <w:t>监理</w:t>
            </w:r>
            <w:r>
              <w:rPr>
                <w:color w:val="auto"/>
                <w:szCs w:val="21"/>
              </w:rPr>
              <w:t>单位验收结论</w:t>
            </w:r>
            <w:r>
              <w:rPr>
                <w:rFonts w:hint="eastAsia"/>
                <w:color w:val="auto"/>
                <w:szCs w:val="21"/>
              </w:rPr>
              <w:t>：</w:t>
            </w:r>
          </w:p>
          <w:p w14:paraId="3A227685">
            <w:pPr>
              <w:pStyle w:val="200"/>
              <w:adjustRightInd w:val="0"/>
              <w:snapToGrid w:val="0"/>
              <w:rPr>
                <w:color w:val="auto"/>
                <w:szCs w:val="21"/>
              </w:rPr>
            </w:pPr>
          </w:p>
          <w:p w14:paraId="572997EB">
            <w:pPr>
              <w:pStyle w:val="200"/>
              <w:adjustRightInd w:val="0"/>
              <w:snapToGrid w:val="0"/>
              <w:rPr>
                <w:rFonts w:hAnsi="Arial"/>
                <w:color w:val="auto"/>
                <w:spacing w:val="6"/>
                <w:szCs w:val="21"/>
              </w:rPr>
            </w:pPr>
            <w:r>
              <w:rPr>
                <w:rFonts w:hint="eastAsia"/>
                <w:color w:val="auto"/>
                <w:szCs w:val="21"/>
              </w:rPr>
              <w:t>合</w:t>
            </w:r>
            <w:r>
              <w:rPr>
                <w:color w:val="auto"/>
                <w:szCs w:val="21"/>
              </w:rPr>
              <w:t>格准予安装</w:t>
            </w:r>
            <w:r>
              <w:rPr>
                <w:rFonts w:hint="eastAsia"/>
                <w:color w:val="auto"/>
                <w:szCs w:val="21"/>
              </w:rPr>
              <w:t xml:space="preserve"> </w:t>
            </w:r>
            <w:r>
              <w:rPr>
                <w:rFonts w:hint="eastAsia"/>
                <w:color w:val="auto"/>
                <w:sz w:val="21"/>
                <w:szCs w:val="21"/>
              </w:rPr>
              <w:t>□</w:t>
            </w:r>
            <w:r>
              <w:rPr>
                <w:color w:val="auto"/>
                <w:sz w:val="21"/>
                <w:szCs w:val="21"/>
              </w:rPr>
              <w:t xml:space="preserve"> </w:t>
            </w:r>
            <w:r>
              <w:rPr>
                <w:rFonts w:hint="eastAsia"/>
                <w:color w:val="auto"/>
                <w:szCs w:val="21"/>
              </w:rPr>
              <w:t xml:space="preserve">    </w:t>
            </w:r>
            <w:r>
              <w:rPr>
                <w:rFonts w:hint="eastAsia"/>
                <w:color w:val="auto"/>
                <w:spacing w:val="-6"/>
                <w:szCs w:val="21"/>
              </w:rPr>
              <w:t>不</w:t>
            </w:r>
            <w:r>
              <w:rPr>
                <w:color w:val="auto"/>
                <w:spacing w:val="-6"/>
                <w:szCs w:val="21"/>
              </w:rPr>
              <w:t>合格</w:t>
            </w:r>
            <w:r>
              <w:rPr>
                <w:rFonts w:hint="eastAsia"/>
                <w:color w:val="auto"/>
                <w:spacing w:val="-6"/>
                <w:szCs w:val="21"/>
              </w:rPr>
              <w:t>不</w:t>
            </w:r>
            <w:r>
              <w:rPr>
                <w:color w:val="auto"/>
                <w:spacing w:val="-6"/>
                <w:szCs w:val="21"/>
              </w:rPr>
              <w:t>准安装</w:t>
            </w:r>
            <w:r>
              <w:rPr>
                <w:rFonts w:hint="eastAsia"/>
                <w:color w:val="auto"/>
                <w:spacing w:val="-6"/>
                <w:szCs w:val="21"/>
              </w:rPr>
              <w:t xml:space="preserve"> </w:t>
            </w:r>
            <w:r>
              <w:rPr>
                <w:rFonts w:hint="eastAsia"/>
                <w:color w:val="auto"/>
                <w:sz w:val="21"/>
                <w:szCs w:val="21"/>
              </w:rPr>
              <w:t>□</w:t>
            </w:r>
          </w:p>
          <w:p w14:paraId="71B5F6C6">
            <w:pPr>
              <w:pStyle w:val="200"/>
              <w:adjustRightInd w:val="0"/>
              <w:snapToGrid w:val="0"/>
              <w:rPr>
                <w:rFonts w:hAnsi="Arial"/>
                <w:color w:val="auto"/>
                <w:spacing w:val="6"/>
                <w:szCs w:val="21"/>
              </w:rPr>
            </w:pPr>
            <w:r>
              <w:rPr>
                <w:rFonts w:hint="eastAsia" w:hAnsi="Arial"/>
                <w:color w:val="auto"/>
                <w:spacing w:val="6"/>
                <w:szCs w:val="21"/>
              </w:rPr>
              <w:t>签字（盖 章）：</w:t>
            </w:r>
          </w:p>
          <w:p w14:paraId="6CC8F30D">
            <w:pPr>
              <w:pStyle w:val="200"/>
              <w:adjustRightInd w:val="0"/>
              <w:snapToGrid w:val="0"/>
              <w:rPr>
                <w:rFonts w:hAnsi="Arial"/>
                <w:color w:val="auto"/>
                <w:spacing w:val="6"/>
              </w:rPr>
            </w:pPr>
            <w:r>
              <w:rPr>
                <w:rFonts w:hint="eastAsia" w:hAnsi="Arial"/>
                <w:color w:val="auto"/>
                <w:spacing w:val="6"/>
                <w:szCs w:val="21"/>
              </w:rPr>
              <w:t>年</w:t>
            </w:r>
            <w:r>
              <w:rPr>
                <w:rFonts w:hint="eastAsia" w:hAnsi="Arial"/>
                <w:color w:val="auto"/>
                <w:spacing w:val="6"/>
                <w:szCs w:val="21"/>
                <w:u w:val="single"/>
              </w:rPr>
              <w:t xml:space="preserve">     </w:t>
            </w:r>
            <w:r>
              <w:rPr>
                <w:rFonts w:hint="eastAsia" w:hAnsi="Arial"/>
                <w:color w:val="auto"/>
                <w:spacing w:val="6"/>
                <w:szCs w:val="21"/>
              </w:rPr>
              <w:t>月</w:t>
            </w:r>
            <w:r>
              <w:rPr>
                <w:rFonts w:hint="eastAsia" w:hAnsi="Arial"/>
                <w:color w:val="auto"/>
                <w:spacing w:val="6"/>
                <w:szCs w:val="21"/>
                <w:u w:val="single"/>
              </w:rPr>
              <w:t xml:space="preserve">     </w:t>
            </w:r>
            <w:r>
              <w:rPr>
                <w:rFonts w:hint="eastAsia" w:hAnsi="Arial"/>
                <w:color w:val="auto"/>
                <w:spacing w:val="6"/>
                <w:szCs w:val="21"/>
              </w:rPr>
              <w:t>日</w:t>
            </w:r>
          </w:p>
        </w:tc>
      </w:tr>
      <w:tr w14:paraId="6E83C9A5">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9348" w:type="dxa"/>
            <w:gridSpan w:val="8"/>
            <w:vAlign w:val="center"/>
          </w:tcPr>
          <w:p w14:paraId="38D21531">
            <w:pPr>
              <w:pStyle w:val="200"/>
              <w:adjustRightInd w:val="0"/>
              <w:snapToGrid w:val="0"/>
              <w:rPr>
                <w:color w:val="auto"/>
                <w:szCs w:val="21"/>
              </w:rPr>
            </w:pPr>
            <w:r>
              <w:rPr>
                <w:color w:val="auto"/>
                <w:szCs w:val="21"/>
              </w:rPr>
              <w:t>以下由</w:t>
            </w:r>
            <w:r>
              <w:rPr>
                <w:rFonts w:hint="eastAsia"/>
                <w:color w:val="auto"/>
                <w:szCs w:val="21"/>
              </w:rPr>
              <w:t>安装</w:t>
            </w:r>
            <w:r>
              <w:rPr>
                <w:color w:val="auto"/>
                <w:szCs w:val="21"/>
              </w:rPr>
              <w:t>单位填写</w:t>
            </w:r>
          </w:p>
        </w:tc>
      </w:tr>
      <w:tr w14:paraId="6237AA77">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vAlign w:val="center"/>
          </w:tcPr>
          <w:p w14:paraId="50DBBEC5">
            <w:pPr>
              <w:pStyle w:val="200"/>
              <w:adjustRightInd w:val="0"/>
              <w:snapToGrid w:val="0"/>
              <w:rPr>
                <w:rFonts w:hAnsi="Arial"/>
                <w:bCs/>
                <w:color w:val="auto"/>
                <w:szCs w:val="21"/>
              </w:rPr>
            </w:pPr>
            <w:r>
              <w:rPr>
                <w:rFonts w:hint="eastAsia" w:hAnsi="Arial"/>
                <w:bCs/>
                <w:color w:val="auto"/>
                <w:szCs w:val="21"/>
              </w:rPr>
              <w:t>1</w:t>
            </w:r>
          </w:p>
        </w:tc>
        <w:tc>
          <w:tcPr>
            <w:tcW w:w="4143" w:type="dxa"/>
            <w:gridSpan w:val="4"/>
            <w:vAlign w:val="center"/>
          </w:tcPr>
          <w:p w14:paraId="193260EA">
            <w:pPr>
              <w:pStyle w:val="200"/>
              <w:adjustRightInd w:val="0"/>
              <w:snapToGrid w:val="0"/>
              <w:jc w:val="both"/>
              <w:rPr>
                <w:rFonts w:hAnsi="Arial"/>
                <w:color w:val="auto"/>
                <w:spacing w:val="6"/>
              </w:rPr>
            </w:pPr>
            <w:r>
              <w:rPr>
                <w:color w:val="auto"/>
                <w:szCs w:val="21"/>
              </w:rPr>
              <w:t>基础外形尺寸是否符合</w:t>
            </w:r>
            <w:r>
              <w:rPr>
                <w:rFonts w:hint="eastAsia"/>
                <w:color w:val="auto"/>
                <w:szCs w:val="21"/>
              </w:rPr>
              <w:t>施工方案</w:t>
            </w:r>
            <w:r>
              <w:rPr>
                <w:color w:val="auto"/>
                <w:szCs w:val="21"/>
              </w:rPr>
              <w:t>要求</w:t>
            </w:r>
          </w:p>
        </w:tc>
        <w:tc>
          <w:tcPr>
            <w:tcW w:w="2164" w:type="dxa"/>
            <w:gridSpan w:val="2"/>
            <w:vAlign w:val="center"/>
          </w:tcPr>
          <w:p w14:paraId="3CBCA037">
            <w:pPr>
              <w:pStyle w:val="200"/>
              <w:adjustRightInd w:val="0"/>
              <w:snapToGrid w:val="0"/>
              <w:rPr>
                <w:rFonts w:hAnsi="Arial"/>
                <w:color w:val="auto"/>
                <w:spacing w:val="6"/>
              </w:rPr>
            </w:pPr>
          </w:p>
        </w:tc>
        <w:tc>
          <w:tcPr>
            <w:tcW w:w="2335" w:type="dxa"/>
            <w:vAlign w:val="center"/>
          </w:tcPr>
          <w:p w14:paraId="2B5B2218">
            <w:pPr>
              <w:pStyle w:val="200"/>
              <w:adjustRightInd w:val="0"/>
              <w:snapToGrid w:val="0"/>
              <w:rPr>
                <w:rFonts w:hAnsi="Arial"/>
                <w:bCs/>
                <w:color w:val="auto"/>
                <w:szCs w:val="21"/>
              </w:rPr>
            </w:pPr>
            <w:r>
              <w:rPr>
                <w:color w:val="auto"/>
                <w:szCs w:val="21"/>
              </w:rPr>
              <w:t xml:space="preserve">符合 </w:t>
            </w:r>
            <w:r>
              <w:rPr>
                <w:rFonts w:hint="eastAsia"/>
                <w:color w:val="auto"/>
                <w:sz w:val="21"/>
                <w:szCs w:val="21"/>
              </w:rPr>
              <w:t>□</w:t>
            </w:r>
            <w:r>
              <w:rPr>
                <w:rFonts w:hAnsi="Arial"/>
                <w:color w:val="auto"/>
                <w:sz w:val="32"/>
                <w:szCs w:val="32"/>
              </w:rPr>
              <w:t xml:space="preserve"> </w:t>
            </w:r>
            <w:r>
              <w:rPr>
                <w:rFonts w:hAnsi="Arial"/>
                <w:color w:val="auto"/>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11E3ABF0">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6" w:type="dxa"/>
            <w:vAlign w:val="center"/>
          </w:tcPr>
          <w:p w14:paraId="0C937678">
            <w:pPr>
              <w:pStyle w:val="200"/>
              <w:adjustRightInd w:val="0"/>
              <w:snapToGrid w:val="0"/>
              <w:rPr>
                <w:rFonts w:hAnsi="Arial"/>
                <w:bCs/>
                <w:color w:val="auto"/>
                <w:szCs w:val="21"/>
              </w:rPr>
            </w:pPr>
            <w:r>
              <w:rPr>
                <w:rFonts w:hint="eastAsia" w:hAnsi="Arial"/>
                <w:bCs/>
                <w:color w:val="auto"/>
                <w:szCs w:val="21"/>
              </w:rPr>
              <w:t>2</w:t>
            </w:r>
          </w:p>
        </w:tc>
        <w:tc>
          <w:tcPr>
            <w:tcW w:w="4143" w:type="dxa"/>
            <w:gridSpan w:val="4"/>
            <w:vAlign w:val="center"/>
          </w:tcPr>
          <w:p w14:paraId="103487E7">
            <w:pPr>
              <w:pStyle w:val="200"/>
              <w:adjustRightInd w:val="0"/>
              <w:snapToGrid w:val="0"/>
              <w:jc w:val="both"/>
              <w:rPr>
                <w:rFonts w:hAnsi="Arial"/>
                <w:color w:val="auto"/>
                <w:spacing w:val="6"/>
              </w:rPr>
            </w:pPr>
            <w:r>
              <w:rPr>
                <w:rFonts w:hint="eastAsia"/>
                <w:color w:val="auto"/>
                <w:szCs w:val="21"/>
              </w:rPr>
              <w:t>塔机基础</w:t>
            </w:r>
            <w:r>
              <w:rPr>
                <w:rFonts w:hint="eastAsia"/>
                <w:color w:val="auto"/>
                <w:spacing w:val="-4"/>
                <w:szCs w:val="21"/>
              </w:rPr>
              <w:t>四主弦杆</w:t>
            </w:r>
            <w:r>
              <w:rPr>
                <w:color w:val="auto"/>
                <w:szCs w:val="21"/>
              </w:rPr>
              <w:t>水平度</w:t>
            </w:r>
            <w:r>
              <w:rPr>
                <w:rFonts w:hint="eastAsia"/>
                <w:color w:val="auto"/>
                <w:szCs w:val="21"/>
              </w:rPr>
              <w:t>是</w:t>
            </w:r>
            <w:r>
              <w:rPr>
                <w:color w:val="auto"/>
                <w:szCs w:val="21"/>
              </w:rPr>
              <w:t>否符合设计及规范要求</w:t>
            </w:r>
          </w:p>
        </w:tc>
        <w:tc>
          <w:tcPr>
            <w:tcW w:w="2164" w:type="dxa"/>
            <w:gridSpan w:val="2"/>
            <w:vAlign w:val="center"/>
          </w:tcPr>
          <w:p w14:paraId="4A4E6622">
            <w:pPr>
              <w:pStyle w:val="200"/>
              <w:adjustRightInd w:val="0"/>
              <w:snapToGrid w:val="0"/>
              <w:rPr>
                <w:rFonts w:hAnsi="Arial"/>
                <w:color w:val="auto"/>
                <w:spacing w:val="-6"/>
                <w:szCs w:val="21"/>
              </w:rPr>
            </w:pPr>
            <w:r>
              <w:rPr>
                <w:rFonts w:hint="eastAsia"/>
                <w:color w:val="auto"/>
                <w:spacing w:val="-6"/>
                <w:szCs w:val="21"/>
              </w:rPr>
              <w:t>实测</w:t>
            </w:r>
            <w:r>
              <w:rPr>
                <w:color w:val="auto"/>
                <w:spacing w:val="-6"/>
                <w:szCs w:val="21"/>
              </w:rPr>
              <w:t>偏差</w:t>
            </w:r>
            <w:r>
              <w:rPr>
                <w:rFonts w:hint="eastAsia"/>
                <w:color w:val="auto"/>
                <w:spacing w:val="-6"/>
                <w:szCs w:val="21"/>
              </w:rPr>
              <w:t>：</w:t>
            </w:r>
            <w:r>
              <w:rPr>
                <w:rFonts w:hint="eastAsia"/>
                <w:color w:val="auto"/>
                <w:spacing w:val="-6"/>
                <w:szCs w:val="21"/>
                <w:u w:val="single"/>
              </w:rPr>
              <w:t xml:space="preserve">       </w:t>
            </w:r>
            <w:r>
              <w:rPr>
                <w:rFonts w:hint="eastAsia"/>
                <w:color w:val="auto"/>
                <w:spacing w:val="-6"/>
                <w:szCs w:val="21"/>
              </w:rPr>
              <w:t>mm</w:t>
            </w:r>
          </w:p>
          <w:p w14:paraId="3CB10F8D">
            <w:pPr>
              <w:pStyle w:val="200"/>
              <w:adjustRightInd w:val="0"/>
              <w:snapToGrid w:val="0"/>
              <w:rPr>
                <w:rFonts w:hAnsi="Arial"/>
                <w:color w:val="auto"/>
                <w:spacing w:val="6"/>
              </w:rPr>
            </w:pPr>
            <w:r>
              <w:rPr>
                <w:rFonts w:hint="eastAsia"/>
                <w:color w:val="auto"/>
                <w:szCs w:val="21"/>
              </w:rPr>
              <w:t>（水平</w:t>
            </w:r>
            <w:r>
              <w:rPr>
                <w:color w:val="auto"/>
                <w:szCs w:val="21"/>
              </w:rPr>
              <w:t>度：</w:t>
            </w:r>
            <w:r>
              <w:rPr>
                <w:rFonts w:hint="eastAsia"/>
                <w:color w:val="auto"/>
                <w:szCs w:val="21"/>
              </w:rPr>
              <w:t>≤</w:t>
            </w:r>
            <w:r>
              <w:rPr>
                <w:rFonts w:hint="eastAsia" w:hAnsi="Arial"/>
                <w:color w:val="auto"/>
                <w:szCs w:val="21"/>
              </w:rPr>
              <w:t>1</w:t>
            </w:r>
            <w:r>
              <w:rPr>
                <w:rFonts w:hAnsi="Arial"/>
                <w:color w:val="auto"/>
                <w:szCs w:val="21"/>
              </w:rPr>
              <w:t xml:space="preserve"> ‰</w:t>
            </w:r>
            <w:r>
              <w:rPr>
                <w:rFonts w:hint="eastAsia" w:hAnsi="Arial"/>
                <w:color w:val="auto"/>
                <w:szCs w:val="21"/>
              </w:rPr>
              <w:t>）</w:t>
            </w:r>
          </w:p>
        </w:tc>
        <w:tc>
          <w:tcPr>
            <w:tcW w:w="2335" w:type="dxa"/>
            <w:vAlign w:val="center"/>
          </w:tcPr>
          <w:p w14:paraId="6FAE6EF5">
            <w:pPr>
              <w:pStyle w:val="200"/>
              <w:adjustRightInd w:val="0"/>
              <w:snapToGrid w:val="0"/>
              <w:rPr>
                <w:rFonts w:hAnsi="Arial"/>
                <w:bCs/>
                <w:color w:val="auto"/>
                <w:szCs w:val="21"/>
              </w:rPr>
            </w:pPr>
            <w:r>
              <w:rPr>
                <w:color w:val="auto"/>
                <w:szCs w:val="21"/>
              </w:rPr>
              <w:t xml:space="preserve">符合 </w:t>
            </w:r>
            <w:r>
              <w:rPr>
                <w:rFonts w:hint="eastAsia"/>
                <w:color w:val="auto"/>
                <w:sz w:val="21"/>
                <w:szCs w:val="21"/>
              </w:rPr>
              <w:t>□</w:t>
            </w:r>
            <w:r>
              <w:rPr>
                <w:color w:val="auto"/>
                <w:sz w:val="21"/>
                <w:szCs w:val="21"/>
              </w:rPr>
              <w:t xml:space="preserve"> </w:t>
            </w:r>
            <w:r>
              <w:rPr>
                <w:rFonts w:hAnsi="Arial"/>
                <w:color w:val="auto"/>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24EF5D1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706" w:type="dxa"/>
            <w:vAlign w:val="center"/>
          </w:tcPr>
          <w:p w14:paraId="6647BE46">
            <w:pPr>
              <w:pStyle w:val="200"/>
              <w:adjustRightInd w:val="0"/>
              <w:snapToGrid w:val="0"/>
              <w:rPr>
                <w:rFonts w:hAnsi="Arial"/>
                <w:bCs/>
                <w:color w:val="auto"/>
                <w:szCs w:val="21"/>
              </w:rPr>
            </w:pPr>
            <w:r>
              <w:rPr>
                <w:rFonts w:hint="eastAsia" w:hAnsi="Arial"/>
                <w:bCs/>
                <w:color w:val="auto"/>
                <w:szCs w:val="21"/>
              </w:rPr>
              <w:t>3</w:t>
            </w:r>
          </w:p>
        </w:tc>
        <w:tc>
          <w:tcPr>
            <w:tcW w:w="6307" w:type="dxa"/>
            <w:gridSpan w:val="6"/>
            <w:vAlign w:val="center"/>
          </w:tcPr>
          <w:p w14:paraId="695B6416">
            <w:pPr>
              <w:pStyle w:val="200"/>
              <w:adjustRightInd w:val="0"/>
              <w:snapToGrid w:val="0"/>
              <w:jc w:val="both"/>
              <w:rPr>
                <w:rFonts w:hAnsi="Arial"/>
                <w:color w:val="auto"/>
                <w:szCs w:val="21"/>
              </w:rPr>
            </w:pPr>
            <w:r>
              <w:rPr>
                <w:rFonts w:hint="eastAsia"/>
                <w:color w:val="auto"/>
                <w:szCs w:val="21"/>
              </w:rPr>
              <w:t>预埋脚柱和</w:t>
            </w:r>
            <w:r>
              <w:rPr>
                <w:color w:val="auto"/>
                <w:szCs w:val="21"/>
              </w:rPr>
              <w:t>地脚螺栓是否符合</w:t>
            </w:r>
            <w:r>
              <w:rPr>
                <w:rFonts w:hint="eastAsia"/>
                <w:color w:val="auto"/>
                <w:szCs w:val="21"/>
              </w:rPr>
              <w:t>施工方案的安装</w:t>
            </w:r>
            <w:r>
              <w:rPr>
                <w:color w:val="auto"/>
                <w:szCs w:val="21"/>
              </w:rPr>
              <w:t>要求</w:t>
            </w:r>
          </w:p>
        </w:tc>
        <w:tc>
          <w:tcPr>
            <w:tcW w:w="2335" w:type="dxa"/>
            <w:vAlign w:val="center"/>
          </w:tcPr>
          <w:p w14:paraId="721B85F8">
            <w:pPr>
              <w:pStyle w:val="200"/>
              <w:adjustRightInd w:val="0"/>
              <w:snapToGrid w:val="0"/>
              <w:rPr>
                <w:rFonts w:hAnsi="Arial"/>
                <w:bCs/>
                <w:color w:val="auto"/>
                <w:szCs w:val="21"/>
              </w:rPr>
            </w:pPr>
            <w:r>
              <w:rPr>
                <w:color w:val="auto"/>
                <w:szCs w:val="21"/>
              </w:rPr>
              <w:t xml:space="preserve">符合 </w:t>
            </w:r>
            <w:r>
              <w:rPr>
                <w:rFonts w:hint="eastAsia"/>
                <w:color w:val="auto"/>
                <w:sz w:val="21"/>
                <w:szCs w:val="21"/>
              </w:rPr>
              <w:t>□</w:t>
            </w:r>
            <w:r>
              <w:rPr>
                <w:rFonts w:hAnsi="Arial"/>
                <w:color w:val="auto"/>
                <w:sz w:val="32"/>
                <w:szCs w:val="32"/>
              </w:rPr>
              <w:t xml:space="preserve"> </w:t>
            </w:r>
            <w:r>
              <w:rPr>
                <w:rFonts w:hAnsi="Arial"/>
                <w:color w:val="auto"/>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62C0820A">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vAlign w:val="center"/>
          </w:tcPr>
          <w:p w14:paraId="0DD37867">
            <w:pPr>
              <w:pStyle w:val="200"/>
              <w:adjustRightInd w:val="0"/>
              <w:snapToGrid w:val="0"/>
              <w:rPr>
                <w:rFonts w:hAnsi="Arial"/>
                <w:bCs/>
                <w:color w:val="auto"/>
                <w:szCs w:val="21"/>
              </w:rPr>
            </w:pPr>
            <w:r>
              <w:rPr>
                <w:rFonts w:hint="eastAsia" w:hAnsi="Arial"/>
                <w:bCs/>
                <w:color w:val="auto"/>
                <w:szCs w:val="21"/>
              </w:rPr>
              <w:t>4</w:t>
            </w:r>
          </w:p>
        </w:tc>
        <w:tc>
          <w:tcPr>
            <w:tcW w:w="6307" w:type="dxa"/>
            <w:gridSpan w:val="6"/>
            <w:vAlign w:val="center"/>
          </w:tcPr>
          <w:p w14:paraId="04BEC59D">
            <w:pPr>
              <w:pStyle w:val="200"/>
              <w:adjustRightInd w:val="0"/>
              <w:snapToGrid w:val="0"/>
              <w:jc w:val="both"/>
              <w:rPr>
                <w:rFonts w:hAnsi="Arial"/>
                <w:color w:val="auto"/>
                <w:spacing w:val="6"/>
              </w:rPr>
            </w:pPr>
            <w:r>
              <w:rPr>
                <w:rFonts w:hint="eastAsia"/>
                <w:color w:val="auto"/>
                <w:szCs w:val="21"/>
              </w:rPr>
              <w:t>塔机混凝土基础内置钢筋是否外露</w:t>
            </w:r>
          </w:p>
        </w:tc>
        <w:tc>
          <w:tcPr>
            <w:tcW w:w="2335" w:type="dxa"/>
            <w:vAlign w:val="center"/>
          </w:tcPr>
          <w:p w14:paraId="25AFC25F">
            <w:pPr>
              <w:pStyle w:val="200"/>
              <w:adjustRightInd w:val="0"/>
              <w:snapToGrid w:val="0"/>
              <w:rPr>
                <w:rFonts w:hAnsi="Arial"/>
                <w:bCs/>
                <w:color w:val="auto"/>
                <w:szCs w:val="21"/>
              </w:rPr>
            </w:pPr>
            <w:r>
              <w:rPr>
                <w:rFonts w:hint="eastAsia"/>
                <w:color w:val="auto"/>
                <w:szCs w:val="21"/>
              </w:rPr>
              <w:t>有</w:t>
            </w:r>
            <w:r>
              <w:rPr>
                <w:rFonts w:hAnsi="Arial"/>
                <w:color w:val="auto"/>
                <w:szCs w:val="21"/>
              </w:rPr>
              <w:t xml:space="preserve"> </w:t>
            </w:r>
            <w:r>
              <w:rPr>
                <w:rFonts w:hint="eastAsia"/>
                <w:color w:val="auto"/>
                <w:sz w:val="21"/>
                <w:szCs w:val="21"/>
              </w:rPr>
              <w:t>□</w:t>
            </w:r>
            <w:r>
              <w:rPr>
                <w:color w:val="auto"/>
                <w:sz w:val="21"/>
                <w:szCs w:val="21"/>
              </w:rPr>
              <w:t xml:space="preserve"> </w:t>
            </w:r>
            <w:r>
              <w:rPr>
                <w:rFonts w:hAnsi="Arial"/>
                <w:color w:val="auto"/>
                <w:szCs w:val="21"/>
              </w:rPr>
              <w:t xml:space="preserve"> </w:t>
            </w:r>
            <w:r>
              <w:rPr>
                <w:rFonts w:hint="eastAsia" w:hAnsi="Arial"/>
                <w:color w:val="auto"/>
                <w:szCs w:val="21"/>
              </w:rPr>
              <w:t xml:space="preserve"> </w:t>
            </w:r>
            <w:r>
              <w:rPr>
                <w:rFonts w:hAnsi="Arial"/>
                <w:color w:val="auto"/>
                <w:szCs w:val="21"/>
              </w:rPr>
              <w:t xml:space="preserve"> </w:t>
            </w:r>
            <w:r>
              <w:rPr>
                <w:rFonts w:hint="eastAsia"/>
                <w:color w:val="auto"/>
                <w:szCs w:val="21"/>
              </w:rPr>
              <w:t xml:space="preserve">  无 </w:t>
            </w:r>
            <w:r>
              <w:rPr>
                <w:rFonts w:hint="eastAsia"/>
                <w:color w:val="auto"/>
                <w:sz w:val="21"/>
                <w:szCs w:val="21"/>
              </w:rPr>
              <w:t>□</w:t>
            </w:r>
          </w:p>
        </w:tc>
      </w:tr>
      <w:tr w14:paraId="2683C532">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706" w:type="dxa"/>
            <w:vAlign w:val="center"/>
          </w:tcPr>
          <w:p w14:paraId="0E499712">
            <w:pPr>
              <w:pStyle w:val="200"/>
              <w:adjustRightInd w:val="0"/>
              <w:snapToGrid w:val="0"/>
              <w:rPr>
                <w:rFonts w:hAnsi="Arial"/>
                <w:bCs/>
                <w:color w:val="auto"/>
                <w:szCs w:val="21"/>
              </w:rPr>
            </w:pPr>
            <w:r>
              <w:rPr>
                <w:rFonts w:hint="eastAsia" w:hAnsi="Arial"/>
                <w:bCs/>
                <w:color w:val="auto"/>
                <w:szCs w:val="21"/>
              </w:rPr>
              <w:t>5</w:t>
            </w:r>
          </w:p>
        </w:tc>
        <w:tc>
          <w:tcPr>
            <w:tcW w:w="4143" w:type="dxa"/>
            <w:gridSpan w:val="4"/>
            <w:vAlign w:val="center"/>
          </w:tcPr>
          <w:p w14:paraId="3835546C">
            <w:pPr>
              <w:pStyle w:val="200"/>
              <w:adjustRightInd w:val="0"/>
              <w:snapToGrid w:val="0"/>
              <w:jc w:val="both"/>
              <w:rPr>
                <w:rFonts w:hAnsi="Arial"/>
                <w:color w:val="auto"/>
                <w:spacing w:val="6"/>
              </w:rPr>
            </w:pPr>
            <w:r>
              <w:rPr>
                <w:color w:val="auto"/>
                <w:szCs w:val="21"/>
              </w:rPr>
              <w:t>实际基础位置是否与方案中的位置相符</w:t>
            </w:r>
          </w:p>
        </w:tc>
        <w:tc>
          <w:tcPr>
            <w:tcW w:w="2164" w:type="dxa"/>
            <w:gridSpan w:val="2"/>
            <w:vAlign w:val="center"/>
          </w:tcPr>
          <w:p w14:paraId="70F486A0">
            <w:pPr>
              <w:pStyle w:val="200"/>
              <w:adjustRightInd w:val="0"/>
              <w:snapToGrid w:val="0"/>
              <w:rPr>
                <w:rFonts w:hAnsi="Arial"/>
                <w:color w:val="auto"/>
                <w:spacing w:val="6"/>
              </w:rPr>
            </w:pPr>
          </w:p>
        </w:tc>
        <w:tc>
          <w:tcPr>
            <w:tcW w:w="2335" w:type="dxa"/>
            <w:vAlign w:val="center"/>
          </w:tcPr>
          <w:p w14:paraId="6FDDAEB2">
            <w:pPr>
              <w:pStyle w:val="200"/>
              <w:adjustRightInd w:val="0"/>
              <w:snapToGrid w:val="0"/>
              <w:rPr>
                <w:rFonts w:hAnsi="Arial"/>
                <w:bCs/>
                <w:color w:val="auto"/>
                <w:szCs w:val="21"/>
              </w:rPr>
            </w:pPr>
            <w:r>
              <w:rPr>
                <w:color w:val="auto"/>
                <w:szCs w:val="21"/>
              </w:rPr>
              <w:t xml:space="preserve">符合 </w:t>
            </w:r>
            <w:r>
              <w:rPr>
                <w:rFonts w:hint="eastAsia"/>
                <w:color w:val="auto"/>
                <w:sz w:val="21"/>
                <w:szCs w:val="21"/>
              </w:rPr>
              <w:t>□</w:t>
            </w:r>
            <w:r>
              <w:rPr>
                <w:rFonts w:hAnsi="Arial"/>
                <w:color w:val="auto"/>
                <w:sz w:val="32"/>
                <w:szCs w:val="32"/>
              </w:rPr>
              <w:t xml:space="preserve"> </w:t>
            </w:r>
            <w:r>
              <w:rPr>
                <w:rFonts w:hAnsi="Arial"/>
                <w:color w:val="auto"/>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3DB3404B">
        <w:tblPrEx>
          <w:tblBorders>
            <w:top w:val="single" w:color="auto" w:sz="2" w:space="0"/>
            <w:left w:val="single" w:color="auto" w:sz="2" w:space="0"/>
            <w:bottom w:val="single" w:color="auto" w:sz="2" w:space="0"/>
            <w:right w:val="single" w:color="auto" w:sz="2" w:space="0"/>
            <w:insideH w:val="single" w:color="auto" w:sz="6" w:space="0"/>
            <w:insideV w:val="single" w:color="auto" w:sz="6" w:space="0"/>
          </w:tblBorders>
          <w:tblCellMar>
            <w:top w:w="0" w:type="dxa"/>
            <w:left w:w="108" w:type="dxa"/>
            <w:bottom w:w="0" w:type="dxa"/>
            <w:right w:w="108" w:type="dxa"/>
          </w:tblCellMar>
        </w:tblPrEx>
        <w:trPr>
          <w:cantSplit/>
          <w:trHeight w:val="2826" w:hRule="atLeast"/>
          <w:jc w:val="center"/>
        </w:trPr>
        <w:tc>
          <w:tcPr>
            <w:tcW w:w="9348" w:type="dxa"/>
            <w:gridSpan w:val="8"/>
            <w:vAlign w:val="center"/>
          </w:tcPr>
          <w:p w14:paraId="2830E39C">
            <w:pPr>
              <w:pStyle w:val="200"/>
              <w:adjustRightInd w:val="0"/>
              <w:snapToGrid w:val="0"/>
              <w:rPr>
                <w:color w:val="auto"/>
                <w:szCs w:val="21"/>
              </w:rPr>
            </w:pPr>
          </w:p>
          <w:p w14:paraId="7698A658">
            <w:pPr>
              <w:pStyle w:val="200"/>
              <w:adjustRightInd w:val="0"/>
              <w:snapToGrid w:val="0"/>
              <w:jc w:val="both"/>
              <w:rPr>
                <w:color w:val="auto"/>
                <w:szCs w:val="21"/>
              </w:rPr>
            </w:pPr>
            <w:r>
              <w:rPr>
                <w:rFonts w:hint="eastAsia"/>
                <w:color w:val="auto"/>
                <w:szCs w:val="21"/>
              </w:rPr>
              <w:t>安装</w:t>
            </w:r>
            <w:r>
              <w:rPr>
                <w:color w:val="auto"/>
                <w:szCs w:val="21"/>
              </w:rPr>
              <w:t>单位验收结论</w:t>
            </w:r>
            <w:r>
              <w:rPr>
                <w:rFonts w:hint="eastAsia"/>
                <w:color w:val="auto"/>
                <w:szCs w:val="21"/>
              </w:rPr>
              <w:t>：</w:t>
            </w:r>
          </w:p>
          <w:p w14:paraId="59327388">
            <w:pPr>
              <w:pStyle w:val="200"/>
              <w:adjustRightInd w:val="0"/>
              <w:snapToGrid w:val="0"/>
              <w:rPr>
                <w:color w:val="auto"/>
                <w:szCs w:val="21"/>
              </w:rPr>
            </w:pPr>
          </w:p>
          <w:p w14:paraId="7F870218">
            <w:pPr>
              <w:pStyle w:val="200"/>
              <w:adjustRightInd w:val="0"/>
              <w:snapToGrid w:val="0"/>
              <w:rPr>
                <w:color w:val="auto"/>
                <w:sz w:val="32"/>
                <w:szCs w:val="32"/>
              </w:rPr>
            </w:pPr>
            <w:r>
              <w:rPr>
                <w:rFonts w:hint="eastAsia"/>
                <w:color w:val="auto"/>
                <w:szCs w:val="21"/>
              </w:rPr>
              <w:t>合</w:t>
            </w:r>
            <w:r>
              <w:rPr>
                <w:color w:val="auto"/>
                <w:szCs w:val="21"/>
              </w:rPr>
              <w:t>格准予安装</w:t>
            </w:r>
            <w:r>
              <w:rPr>
                <w:rFonts w:hint="eastAsia"/>
                <w:color w:val="auto"/>
                <w:szCs w:val="21"/>
              </w:rPr>
              <w:t xml:space="preserve"> </w:t>
            </w:r>
            <w:r>
              <w:rPr>
                <w:rFonts w:hint="eastAsia"/>
                <w:color w:val="auto"/>
                <w:sz w:val="21"/>
                <w:szCs w:val="21"/>
              </w:rPr>
              <w:t xml:space="preserve">□ </w:t>
            </w:r>
            <w:r>
              <w:rPr>
                <w:rFonts w:hint="eastAsia"/>
                <w:color w:val="auto"/>
                <w:szCs w:val="21"/>
              </w:rPr>
              <w:t xml:space="preserve">     </w:t>
            </w:r>
            <w:r>
              <w:rPr>
                <w:rFonts w:hint="eastAsia"/>
                <w:color w:val="auto"/>
                <w:spacing w:val="-6"/>
                <w:szCs w:val="21"/>
              </w:rPr>
              <w:t>不</w:t>
            </w:r>
            <w:r>
              <w:rPr>
                <w:color w:val="auto"/>
                <w:spacing w:val="-6"/>
                <w:szCs w:val="21"/>
              </w:rPr>
              <w:t>合格</w:t>
            </w:r>
            <w:r>
              <w:rPr>
                <w:rFonts w:hint="eastAsia"/>
                <w:color w:val="auto"/>
                <w:spacing w:val="-6"/>
                <w:szCs w:val="21"/>
              </w:rPr>
              <w:t>不</w:t>
            </w:r>
            <w:r>
              <w:rPr>
                <w:color w:val="auto"/>
                <w:spacing w:val="-6"/>
                <w:szCs w:val="21"/>
              </w:rPr>
              <w:t>准安装</w:t>
            </w:r>
            <w:r>
              <w:rPr>
                <w:rFonts w:hint="eastAsia"/>
                <w:color w:val="auto"/>
                <w:spacing w:val="-6"/>
                <w:szCs w:val="21"/>
              </w:rPr>
              <w:t xml:space="preserve"> </w:t>
            </w:r>
            <w:r>
              <w:rPr>
                <w:rFonts w:hint="eastAsia"/>
                <w:color w:val="auto"/>
                <w:sz w:val="21"/>
                <w:szCs w:val="21"/>
              </w:rPr>
              <w:t>□</w:t>
            </w:r>
          </w:p>
          <w:p w14:paraId="79683CD0">
            <w:pPr>
              <w:pStyle w:val="200"/>
              <w:adjustRightInd w:val="0"/>
              <w:snapToGrid w:val="0"/>
              <w:rPr>
                <w:rFonts w:hAnsi="Arial"/>
                <w:color w:val="auto"/>
                <w:spacing w:val="6"/>
                <w:szCs w:val="21"/>
              </w:rPr>
            </w:pPr>
          </w:p>
          <w:p w14:paraId="2EF1FF8F">
            <w:pPr>
              <w:pStyle w:val="200"/>
              <w:adjustRightInd w:val="0"/>
              <w:snapToGrid w:val="0"/>
              <w:ind w:right="768"/>
              <w:rPr>
                <w:rFonts w:hAnsi="Arial"/>
                <w:color w:val="auto"/>
                <w:spacing w:val="6"/>
                <w:szCs w:val="21"/>
              </w:rPr>
            </w:pPr>
            <w:r>
              <w:rPr>
                <w:rFonts w:hint="eastAsia" w:hAnsi="Arial"/>
                <w:color w:val="auto"/>
                <w:spacing w:val="6"/>
                <w:szCs w:val="21"/>
              </w:rPr>
              <w:t xml:space="preserve">                                                             签字（ 盖 章）：</w:t>
            </w:r>
          </w:p>
          <w:p w14:paraId="14E5DE81">
            <w:pPr>
              <w:pStyle w:val="200"/>
              <w:adjustRightInd w:val="0"/>
              <w:snapToGrid w:val="0"/>
              <w:ind w:right="768"/>
              <w:rPr>
                <w:rFonts w:hAnsi="Arial"/>
                <w:color w:val="auto"/>
                <w:spacing w:val="6"/>
                <w:szCs w:val="21"/>
              </w:rPr>
            </w:pPr>
            <w:r>
              <w:rPr>
                <w:rFonts w:hint="eastAsia" w:hAnsi="Arial"/>
                <w:color w:val="auto"/>
                <w:spacing w:val="6"/>
                <w:szCs w:val="21"/>
              </w:rPr>
              <w:t xml:space="preserve">                                                            </w:t>
            </w:r>
          </w:p>
          <w:p w14:paraId="5195AE43">
            <w:pPr>
              <w:pStyle w:val="200"/>
              <w:adjustRightInd w:val="0"/>
              <w:snapToGrid w:val="0"/>
              <w:ind w:right="768"/>
              <w:rPr>
                <w:rFonts w:hAnsi="Arial"/>
                <w:color w:val="auto"/>
                <w:spacing w:val="6"/>
                <w:szCs w:val="21"/>
              </w:rPr>
            </w:pPr>
            <w:r>
              <w:rPr>
                <w:rFonts w:hint="eastAsia" w:hAnsi="Arial"/>
                <w:color w:val="auto"/>
                <w:spacing w:val="6"/>
                <w:szCs w:val="21"/>
              </w:rPr>
              <w:t xml:space="preserve">                                                            年</w:t>
            </w:r>
            <w:r>
              <w:rPr>
                <w:rFonts w:hint="eastAsia" w:hAnsi="Arial"/>
                <w:color w:val="auto"/>
                <w:spacing w:val="6"/>
                <w:szCs w:val="21"/>
                <w:u w:val="single"/>
              </w:rPr>
              <w:t xml:space="preserve">     </w:t>
            </w:r>
            <w:r>
              <w:rPr>
                <w:rFonts w:hint="eastAsia" w:hAnsi="Arial"/>
                <w:color w:val="auto"/>
                <w:spacing w:val="6"/>
                <w:szCs w:val="21"/>
              </w:rPr>
              <w:t>月</w:t>
            </w:r>
            <w:r>
              <w:rPr>
                <w:rFonts w:hint="eastAsia" w:hAnsi="Arial"/>
                <w:color w:val="auto"/>
                <w:spacing w:val="6"/>
                <w:szCs w:val="21"/>
                <w:u w:val="single"/>
              </w:rPr>
              <w:t xml:space="preserve">     </w:t>
            </w:r>
            <w:r>
              <w:rPr>
                <w:rFonts w:hint="eastAsia" w:hAnsi="Arial"/>
                <w:color w:val="auto"/>
                <w:spacing w:val="6"/>
                <w:szCs w:val="21"/>
              </w:rPr>
              <w:t>日</w:t>
            </w:r>
          </w:p>
          <w:p w14:paraId="764B3167">
            <w:pPr>
              <w:pStyle w:val="200"/>
              <w:adjustRightInd w:val="0"/>
              <w:snapToGrid w:val="0"/>
              <w:rPr>
                <w:rFonts w:hAnsi="Arial"/>
                <w:color w:val="auto"/>
                <w:szCs w:val="21"/>
              </w:rPr>
            </w:pPr>
          </w:p>
        </w:tc>
      </w:tr>
    </w:tbl>
    <w:p w14:paraId="21B281F4">
      <w:pPr>
        <w:pStyle w:val="78"/>
        <w:ind w:firstLine="420"/>
        <w:rPr>
          <w:color w:val="auto"/>
        </w:rPr>
      </w:pPr>
    </w:p>
    <w:p w14:paraId="656AF3CC">
      <w:pPr>
        <w:pStyle w:val="78"/>
        <w:ind w:firstLine="420"/>
        <w:rPr>
          <w:color w:val="auto"/>
        </w:rPr>
      </w:pPr>
    </w:p>
    <w:p w14:paraId="5326F8AF">
      <w:pPr>
        <w:pStyle w:val="78"/>
        <w:ind w:firstLine="420"/>
        <w:rPr>
          <w:color w:val="auto"/>
        </w:rPr>
      </w:pPr>
    </w:p>
    <w:p w14:paraId="5E103950">
      <w:pPr>
        <w:pStyle w:val="78"/>
        <w:ind w:firstLine="420"/>
        <w:rPr>
          <w:color w:val="auto"/>
        </w:rPr>
      </w:pPr>
    </w:p>
    <w:p w14:paraId="01B08D3A">
      <w:pPr>
        <w:pStyle w:val="78"/>
        <w:ind w:firstLine="420"/>
        <w:rPr>
          <w:color w:val="auto"/>
        </w:rPr>
      </w:pPr>
    </w:p>
    <w:p w14:paraId="7F09436D">
      <w:pPr>
        <w:pStyle w:val="78"/>
        <w:ind w:firstLine="420"/>
        <w:rPr>
          <w:color w:val="auto"/>
        </w:rPr>
      </w:pPr>
    </w:p>
    <w:p w14:paraId="5E98E3F6">
      <w:pPr>
        <w:pStyle w:val="78"/>
        <w:ind w:firstLine="420"/>
        <w:rPr>
          <w:color w:val="auto"/>
        </w:rPr>
      </w:pPr>
    </w:p>
    <w:p w14:paraId="64FA1EDB">
      <w:pPr>
        <w:pStyle w:val="78"/>
        <w:ind w:firstLine="420"/>
        <w:rPr>
          <w:color w:val="auto"/>
        </w:rPr>
      </w:pPr>
    </w:p>
    <w:p w14:paraId="18F535AE">
      <w:pPr>
        <w:pStyle w:val="78"/>
        <w:ind w:firstLine="420"/>
        <w:rPr>
          <w:color w:val="auto"/>
        </w:rPr>
      </w:pPr>
    </w:p>
    <w:p w14:paraId="67AD0110">
      <w:pPr>
        <w:pStyle w:val="78"/>
        <w:ind w:firstLine="420"/>
        <w:rPr>
          <w:color w:val="auto"/>
        </w:rPr>
      </w:pPr>
    </w:p>
    <w:p w14:paraId="133A9D3B">
      <w:pPr>
        <w:pStyle w:val="78"/>
        <w:ind w:firstLine="420"/>
        <w:rPr>
          <w:color w:val="auto"/>
        </w:rPr>
      </w:pPr>
    </w:p>
    <w:p w14:paraId="26E5DDE3">
      <w:pPr>
        <w:pStyle w:val="78"/>
        <w:ind w:firstLine="420"/>
        <w:rPr>
          <w:color w:val="auto"/>
        </w:rPr>
      </w:pPr>
    </w:p>
    <w:p w14:paraId="0EB44FAC">
      <w:pPr>
        <w:pStyle w:val="78"/>
        <w:ind w:firstLine="420"/>
        <w:rPr>
          <w:color w:val="auto"/>
        </w:rPr>
      </w:pPr>
    </w:p>
    <w:p w14:paraId="47BEF9C8">
      <w:pPr>
        <w:pStyle w:val="78"/>
        <w:ind w:firstLine="420"/>
        <w:rPr>
          <w:color w:val="auto"/>
        </w:rPr>
      </w:pPr>
    </w:p>
    <w:p w14:paraId="6FF99549">
      <w:pPr>
        <w:pStyle w:val="78"/>
        <w:ind w:firstLine="420"/>
        <w:rPr>
          <w:color w:val="auto"/>
        </w:rPr>
      </w:pPr>
    </w:p>
    <w:p w14:paraId="5A01717C">
      <w:pPr>
        <w:pStyle w:val="78"/>
        <w:ind w:firstLine="420"/>
        <w:rPr>
          <w:color w:val="auto"/>
        </w:rPr>
      </w:pPr>
    </w:p>
    <w:p w14:paraId="2F14303E">
      <w:pPr>
        <w:pStyle w:val="78"/>
        <w:ind w:firstLine="420"/>
        <w:rPr>
          <w:color w:val="auto"/>
        </w:rPr>
      </w:pPr>
    </w:p>
    <w:p w14:paraId="6A1521F7">
      <w:pPr>
        <w:pStyle w:val="78"/>
        <w:ind w:firstLine="420"/>
        <w:rPr>
          <w:color w:val="auto"/>
        </w:rPr>
      </w:pPr>
    </w:p>
    <w:p w14:paraId="58302AB5">
      <w:pPr>
        <w:pStyle w:val="78"/>
        <w:ind w:firstLine="420"/>
        <w:rPr>
          <w:rFonts w:hint="eastAsia"/>
          <w:color w:val="auto"/>
        </w:rPr>
      </w:pPr>
    </w:p>
    <w:p w14:paraId="4AE33D04">
      <w:pPr>
        <w:pStyle w:val="99"/>
        <w:spacing w:before="120" w:after="120"/>
        <w:outlineLvl w:val="1"/>
        <w:rPr>
          <w:color w:val="auto"/>
        </w:rPr>
      </w:pPr>
      <w:r>
        <w:rPr>
          <w:rFonts w:hint="eastAsia"/>
          <w:color w:val="auto"/>
        </w:rPr>
        <w:t>塔机固定式基础（混凝土承台桩基础）验收表</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40"/>
        <w:gridCol w:w="3733"/>
        <w:gridCol w:w="1843"/>
        <w:gridCol w:w="2695"/>
      </w:tblGrid>
      <w:tr w14:paraId="0A64CE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0" w:hRule="atLeast"/>
          <w:jc w:val="center"/>
        </w:trPr>
        <w:tc>
          <w:tcPr>
            <w:tcW w:w="0" w:type="auto"/>
            <w:vAlign w:val="center"/>
          </w:tcPr>
          <w:p w14:paraId="0AA8A570">
            <w:pPr>
              <w:pStyle w:val="200"/>
              <w:rPr>
                <w:rFonts w:hAnsi="Arial"/>
                <w:color w:val="auto"/>
                <w:spacing w:val="6"/>
              </w:rPr>
            </w:pPr>
            <w:r>
              <w:rPr>
                <w:color w:val="auto"/>
              </w:rPr>
              <w:t>工程名称</w:t>
            </w:r>
          </w:p>
        </w:tc>
        <w:tc>
          <w:tcPr>
            <w:tcW w:w="3719" w:type="dxa"/>
            <w:vAlign w:val="center"/>
          </w:tcPr>
          <w:p w14:paraId="02DF6B25">
            <w:pPr>
              <w:pStyle w:val="200"/>
              <w:rPr>
                <w:rFonts w:hAnsi="Arial" w:eastAsia="华文新魏"/>
                <w:color w:val="auto"/>
                <w:spacing w:val="6"/>
              </w:rPr>
            </w:pPr>
          </w:p>
        </w:tc>
        <w:tc>
          <w:tcPr>
            <w:tcW w:w="1843" w:type="dxa"/>
            <w:vAlign w:val="center"/>
          </w:tcPr>
          <w:p w14:paraId="501E196C">
            <w:pPr>
              <w:pStyle w:val="200"/>
              <w:rPr>
                <w:rFonts w:hAnsi="Arial"/>
                <w:color w:val="auto"/>
                <w:spacing w:val="6"/>
              </w:rPr>
            </w:pPr>
            <w:r>
              <w:rPr>
                <w:rFonts w:hint="eastAsia"/>
                <w:color w:val="auto"/>
              </w:rPr>
              <w:t>使用</w:t>
            </w:r>
            <w:r>
              <w:rPr>
                <w:color w:val="auto"/>
              </w:rPr>
              <w:t>单位</w:t>
            </w:r>
          </w:p>
        </w:tc>
        <w:tc>
          <w:tcPr>
            <w:tcW w:w="2695" w:type="dxa"/>
            <w:vAlign w:val="center"/>
          </w:tcPr>
          <w:p w14:paraId="2DC219CE">
            <w:pPr>
              <w:pStyle w:val="200"/>
              <w:rPr>
                <w:rFonts w:hAnsi="Arial" w:eastAsia="华文新魏"/>
                <w:color w:val="auto"/>
                <w:spacing w:val="6"/>
              </w:rPr>
            </w:pPr>
          </w:p>
        </w:tc>
      </w:tr>
      <w:tr w14:paraId="0B19DB9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0" w:hRule="atLeast"/>
          <w:jc w:val="center"/>
        </w:trPr>
        <w:tc>
          <w:tcPr>
            <w:tcW w:w="0" w:type="auto"/>
            <w:vAlign w:val="center"/>
          </w:tcPr>
          <w:p w14:paraId="58641552">
            <w:pPr>
              <w:pStyle w:val="200"/>
              <w:rPr>
                <w:bCs/>
                <w:color w:val="auto"/>
                <w:spacing w:val="26"/>
              </w:rPr>
            </w:pPr>
            <w:r>
              <w:rPr>
                <w:color w:val="auto"/>
              </w:rPr>
              <w:t>工程地点</w:t>
            </w:r>
          </w:p>
        </w:tc>
        <w:tc>
          <w:tcPr>
            <w:tcW w:w="3719" w:type="dxa"/>
            <w:vAlign w:val="center"/>
          </w:tcPr>
          <w:p w14:paraId="1292CADA">
            <w:pPr>
              <w:pStyle w:val="200"/>
              <w:rPr>
                <w:rFonts w:hAnsi="Arial" w:eastAsia="华文新魏"/>
                <w:color w:val="auto"/>
                <w:spacing w:val="6"/>
              </w:rPr>
            </w:pPr>
          </w:p>
        </w:tc>
        <w:tc>
          <w:tcPr>
            <w:tcW w:w="1843" w:type="dxa"/>
            <w:vAlign w:val="center"/>
          </w:tcPr>
          <w:p w14:paraId="247CBB6E">
            <w:pPr>
              <w:pStyle w:val="200"/>
              <w:rPr>
                <w:rFonts w:hAnsi="Arial"/>
                <w:color w:val="auto"/>
                <w:spacing w:val="6"/>
              </w:rPr>
            </w:pPr>
            <w:r>
              <w:rPr>
                <w:color w:val="auto"/>
              </w:rPr>
              <w:t>安装单位</w:t>
            </w:r>
          </w:p>
        </w:tc>
        <w:tc>
          <w:tcPr>
            <w:tcW w:w="2695" w:type="dxa"/>
            <w:vAlign w:val="center"/>
          </w:tcPr>
          <w:p w14:paraId="602F2135">
            <w:pPr>
              <w:pStyle w:val="200"/>
              <w:rPr>
                <w:rFonts w:hAnsi="Arial"/>
                <w:color w:val="auto"/>
                <w:spacing w:val="6"/>
              </w:rPr>
            </w:pPr>
          </w:p>
        </w:tc>
      </w:tr>
      <w:tr w14:paraId="219E30C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60" w:hRule="atLeast"/>
          <w:jc w:val="center"/>
        </w:trPr>
        <w:tc>
          <w:tcPr>
            <w:tcW w:w="0" w:type="auto"/>
            <w:vAlign w:val="center"/>
          </w:tcPr>
          <w:p w14:paraId="7A0970C3">
            <w:pPr>
              <w:pStyle w:val="200"/>
              <w:rPr>
                <w:rFonts w:hAnsi="Arial"/>
                <w:color w:val="auto"/>
                <w:spacing w:val="6"/>
              </w:rPr>
            </w:pPr>
            <w:r>
              <w:rPr>
                <w:color w:val="auto"/>
              </w:rPr>
              <w:t>塔机型号</w:t>
            </w:r>
          </w:p>
        </w:tc>
        <w:tc>
          <w:tcPr>
            <w:tcW w:w="3719" w:type="dxa"/>
            <w:vAlign w:val="center"/>
          </w:tcPr>
          <w:p w14:paraId="5737EB4A">
            <w:pPr>
              <w:pStyle w:val="200"/>
              <w:rPr>
                <w:rFonts w:hAnsi="Arial" w:eastAsia="华文新魏"/>
                <w:color w:val="auto"/>
                <w:spacing w:val="6"/>
              </w:rPr>
            </w:pPr>
          </w:p>
        </w:tc>
        <w:tc>
          <w:tcPr>
            <w:tcW w:w="1843" w:type="dxa"/>
            <w:vAlign w:val="center"/>
          </w:tcPr>
          <w:p w14:paraId="174A58DE">
            <w:pPr>
              <w:pStyle w:val="200"/>
              <w:rPr>
                <w:rFonts w:hAnsi="Arial" w:eastAsia="华文新魏"/>
                <w:color w:val="auto"/>
                <w:spacing w:val="6"/>
              </w:rPr>
            </w:pPr>
            <w:r>
              <w:rPr>
                <w:color w:val="auto"/>
              </w:rPr>
              <w:t>塔机编号</w:t>
            </w:r>
          </w:p>
        </w:tc>
        <w:tc>
          <w:tcPr>
            <w:tcW w:w="2695" w:type="dxa"/>
            <w:vAlign w:val="center"/>
          </w:tcPr>
          <w:p w14:paraId="1A3FEE1B">
            <w:pPr>
              <w:pStyle w:val="200"/>
              <w:rPr>
                <w:rFonts w:hAnsi="Arial"/>
                <w:color w:val="auto"/>
                <w:spacing w:val="6"/>
                <w:szCs w:val="21"/>
              </w:rPr>
            </w:pPr>
          </w:p>
        </w:tc>
      </w:tr>
      <w:tr w14:paraId="749B37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4CC28AF3">
            <w:pPr>
              <w:pStyle w:val="200"/>
              <w:rPr>
                <w:rFonts w:hAnsi="Arial"/>
                <w:bCs/>
                <w:color w:val="auto"/>
                <w:szCs w:val="21"/>
              </w:rPr>
            </w:pPr>
            <w:r>
              <w:rPr>
                <w:rFonts w:hint="eastAsia" w:hAnsi="Arial"/>
                <w:bCs/>
                <w:color w:val="auto"/>
                <w:szCs w:val="21"/>
              </w:rPr>
              <w:t>序号</w:t>
            </w:r>
          </w:p>
        </w:tc>
        <w:tc>
          <w:tcPr>
            <w:tcW w:w="3719" w:type="dxa"/>
            <w:vAlign w:val="center"/>
          </w:tcPr>
          <w:p w14:paraId="5E5976C0">
            <w:pPr>
              <w:pStyle w:val="200"/>
              <w:rPr>
                <w:rFonts w:hAnsi="Arial"/>
                <w:bCs/>
                <w:color w:val="auto"/>
                <w:szCs w:val="21"/>
              </w:rPr>
            </w:pPr>
            <w:r>
              <w:rPr>
                <w:rFonts w:hint="eastAsia" w:hAnsi="Arial"/>
                <w:bCs/>
                <w:color w:val="auto"/>
                <w:szCs w:val="21"/>
              </w:rPr>
              <w:t>验     收     内     容</w:t>
            </w:r>
          </w:p>
        </w:tc>
        <w:tc>
          <w:tcPr>
            <w:tcW w:w="1843" w:type="dxa"/>
            <w:vAlign w:val="center"/>
          </w:tcPr>
          <w:p w14:paraId="292D81DD">
            <w:pPr>
              <w:pStyle w:val="200"/>
              <w:rPr>
                <w:rFonts w:hAnsi="Arial"/>
                <w:color w:val="auto"/>
                <w:spacing w:val="6"/>
                <w:szCs w:val="21"/>
              </w:rPr>
            </w:pPr>
            <w:r>
              <w:rPr>
                <w:rFonts w:hint="eastAsia" w:hAnsi="Arial"/>
                <w:bCs/>
                <w:color w:val="auto"/>
                <w:szCs w:val="21"/>
              </w:rPr>
              <w:t>检 测 数 据</w:t>
            </w:r>
          </w:p>
        </w:tc>
        <w:tc>
          <w:tcPr>
            <w:tcW w:w="2695" w:type="dxa"/>
            <w:vAlign w:val="center"/>
          </w:tcPr>
          <w:p w14:paraId="51DBB428">
            <w:pPr>
              <w:pStyle w:val="200"/>
              <w:rPr>
                <w:rFonts w:hAnsi="Arial"/>
                <w:color w:val="auto"/>
                <w:spacing w:val="6"/>
                <w:szCs w:val="21"/>
              </w:rPr>
            </w:pPr>
            <w:r>
              <w:rPr>
                <w:rFonts w:hint="eastAsia" w:hAnsi="Arial"/>
                <w:bCs/>
                <w:color w:val="auto"/>
                <w:szCs w:val="21"/>
              </w:rPr>
              <w:t>验 收 结 果</w:t>
            </w:r>
          </w:p>
        </w:tc>
      </w:tr>
      <w:tr w14:paraId="2C2F8C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gridSpan w:val="4"/>
            <w:vAlign w:val="center"/>
          </w:tcPr>
          <w:p w14:paraId="01A1831C">
            <w:pPr>
              <w:pStyle w:val="200"/>
              <w:rPr>
                <w:rFonts w:hAnsi="Arial"/>
                <w:bCs/>
                <w:color w:val="auto"/>
                <w:szCs w:val="21"/>
              </w:rPr>
            </w:pPr>
            <w:r>
              <w:rPr>
                <w:color w:val="auto"/>
                <w:szCs w:val="21"/>
              </w:rPr>
              <w:t>以下由使用单位填写</w:t>
            </w:r>
          </w:p>
        </w:tc>
      </w:tr>
      <w:tr w14:paraId="375F65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371DE356">
            <w:pPr>
              <w:pStyle w:val="200"/>
              <w:rPr>
                <w:rFonts w:hAnsi="Arial"/>
                <w:bCs/>
                <w:color w:val="auto"/>
                <w:szCs w:val="21"/>
              </w:rPr>
            </w:pPr>
            <w:r>
              <w:rPr>
                <w:rFonts w:hint="eastAsia" w:hAnsi="Arial"/>
                <w:bCs/>
                <w:color w:val="auto"/>
                <w:szCs w:val="21"/>
              </w:rPr>
              <w:t>1</w:t>
            </w:r>
          </w:p>
        </w:tc>
        <w:tc>
          <w:tcPr>
            <w:tcW w:w="3719" w:type="dxa"/>
            <w:vAlign w:val="center"/>
          </w:tcPr>
          <w:p w14:paraId="10A73A31">
            <w:pPr>
              <w:pStyle w:val="200"/>
              <w:jc w:val="both"/>
              <w:rPr>
                <w:rFonts w:hAnsi="Arial"/>
                <w:bCs/>
                <w:color w:val="auto"/>
                <w:spacing w:val="-6"/>
                <w:szCs w:val="21"/>
              </w:rPr>
            </w:pPr>
            <w:r>
              <w:rPr>
                <w:color w:val="auto"/>
                <w:spacing w:val="-6"/>
                <w:szCs w:val="21"/>
              </w:rPr>
              <w:t>塔机</w:t>
            </w:r>
            <w:r>
              <w:rPr>
                <w:rFonts w:hint="eastAsia"/>
                <w:color w:val="auto"/>
                <w:spacing w:val="-6"/>
                <w:szCs w:val="21"/>
              </w:rPr>
              <w:t>基础设计</w:t>
            </w:r>
            <w:r>
              <w:rPr>
                <w:color w:val="auto"/>
                <w:spacing w:val="-6"/>
                <w:szCs w:val="21"/>
              </w:rPr>
              <w:t>是否符合</w:t>
            </w:r>
            <w:r>
              <w:rPr>
                <w:rFonts w:hint="eastAsia"/>
                <w:color w:val="auto"/>
                <w:spacing w:val="-6"/>
                <w:szCs w:val="21"/>
              </w:rPr>
              <w:t>规范</w:t>
            </w:r>
            <w:r>
              <w:rPr>
                <w:color w:val="auto"/>
                <w:spacing w:val="-6"/>
                <w:szCs w:val="21"/>
              </w:rPr>
              <w:t>要求</w:t>
            </w:r>
          </w:p>
        </w:tc>
        <w:tc>
          <w:tcPr>
            <w:tcW w:w="1843" w:type="dxa"/>
            <w:vAlign w:val="center"/>
          </w:tcPr>
          <w:p w14:paraId="7A7020CB">
            <w:pPr>
              <w:pStyle w:val="200"/>
              <w:rPr>
                <w:rFonts w:hAnsi="Arial"/>
                <w:bCs/>
                <w:color w:val="auto"/>
                <w:szCs w:val="21"/>
              </w:rPr>
            </w:pPr>
          </w:p>
        </w:tc>
        <w:tc>
          <w:tcPr>
            <w:tcW w:w="2695" w:type="dxa"/>
            <w:vAlign w:val="center"/>
          </w:tcPr>
          <w:p w14:paraId="3AA71863">
            <w:pPr>
              <w:pStyle w:val="200"/>
              <w:rPr>
                <w:rFonts w:hAnsi="Arial"/>
                <w:bCs/>
                <w:color w:val="auto"/>
                <w:szCs w:val="21"/>
              </w:rPr>
            </w:pPr>
            <w:r>
              <w:rPr>
                <w:color w:val="auto"/>
                <w:szCs w:val="21"/>
              </w:rPr>
              <w:t xml:space="preserve">符合 </w:t>
            </w:r>
            <w:r>
              <w:rPr>
                <w:rFonts w:hint="eastAsia"/>
                <w:color w:val="auto"/>
                <w:sz w:val="21"/>
                <w:szCs w:val="21"/>
              </w:rPr>
              <w:t>□</w:t>
            </w:r>
            <w:r>
              <w:rPr>
                <w:color w:val="auto"/>
                <w:sz w:val="21"/>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10F27F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61C7DF63">
            <w:pPr>
              <w:pStyle w:val="200"/>
              <w:rPr>
                <w:rFonts w:hAnsi="Arial"/>
                <w:bCs/>
                <w:color w:val="auto"/>
                <w:szCs w:val="21"/>
              </w:rPr>
            </w:pPr>
            <w:r>
              <w:rPr>
                <w:rFonts w:hint="eastAsia" w:hAnsi="Arial"/>
                <w:bCs/>
                <w:color w:val="auto"/>
                <w:szCs w:val="21"/>
              </w:rPr>
              <w:t>2</w:t>
            </w:r>
          </w:p>
        </w:tc>
        <w:tc>
          <w:tcPr>
            <w:tcW w:w="3719" w:type="dxa"/>
            <w:vAlign w:val="center"/>
          </w:tcPr>
          <w:p w14:paraId="4BD1BAE5">
            <w:pPr>
              <w:pStyle w:val="200"/>
              <w:jc w:val="both"/>
              <w:rPr>
                <w:color w:val="auto"/>
                <w:szCs w:val="21"/>
              </w:rPr>
            </w:pPr>
            <w:r>
              <w:rPr>
                <w:rFonts w:hint="eastAsia"/>
                <w:color w:val="auto"/>
                <w:szCs w:val="21"/>
              </w:rPr>
              <w:t>单桩承压力/抗拔力是否符合要求</w:t>
            </w:r>
          </w:p>
        </w:tc>
        <w:tc>
          <w:tcPr>
            <w:tcW w:w="1843" w:type="dxa"/>
            <w:vAlign w:val="center"/>
          </w:tcPr>
          <w:p w14:paraId="47FBCC8A">
            <w:pPr>
              <w:pStyle w:val="200"/>
              <w:rPr>
                <w:color w:val="auto"/>
                <w:szCs w:val="21"/>
              </w:rPr>
            </w:pPr>
            <w:r>
              <w:rPr>
                <w:rFonts w:hint="eastAsia" w:hAnsi="Arial"/>
                <w:color w:val="auto"/>
                <w:szCs w:val="21"/>
              </w:rPr>
              <w:t>/    kN</w:t>
            </w:r>
          </w:p>
        </w:tc>
        <w:tc>
          <w:tcPr>
            <w:tcW w:w="2695" w:type="dxa"/>
            <w:vAlign w:val="center"/>
          </w:tcPr>
          <w:p w14:paraId="21E2B2CF">
            <w:pPr>
              <w:pStyle w:val="200"/>
              <w:rPr>
                <w:rFonts w:hAnsi="Arial"/>
                <w:bCs/>
                <w:color w:val="auto"/>
                <w:szCs w:val="21"/>
              </w:rPr>
            </w:pPr>
          </w:p>
        </w:tc>
      </w:tr>
      <w:tr w14:paraId="6E9BDA1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421306BB">
            <w:pPr>
              <w:pStyle w:val="200"/>
              <w:rPr>
                <w:rFonts w:hAnsi="Arial"/>
                <w:bCs/>
                <w:color w:val="auto"/>
                <w:szCs w:val="21"/>
              </w:rPr>
            </w:pPr>
            <w:r>
              <w:rPr>
                <w:rFonts w:hint="eastAsia" w:hAnsi="Arial"/>
                <w:bCs/>
                <w:color w:val="auto"/>
                <w:szCs w:val="21"/>
              </w:rPr>
              <w:t>3</w:t>
            </w:r>
          </w:p>
        </w:tc>
        <w:tc>
          <w:tcPr>
            <w:tcW w:w="3719" w:type="dxa"/>
            <w:vAlign w:val="center"/>
          </w:tcPr>
          <w:p w14:paraId="6EF5FF9C">
            <w:pPr>
              <w:pStyle w:val="200"/>
              <w:jc w:val="both"/>
              <w:rPr>
                <w:rFonts w:hAnsi="Arial"/>
                <w:bCs/>
                <w:color w:val="auto"/>
                <w:spacing w:val="-4"/>
                <w:szCs w:val="21"/>
              </w:rPr>
            </w:pPr>
            <w:r>
              <w:rPr>
                <w:rFonts w:hint="eastAsia" w:hAnsi="Arial"/>
                <w:bCs/>
                <w:color w:val="auto"/>
                <w:szCs w:val="21"/>
              </w:rPr>
              <w:t>桩基础施工是否符合方案要求</w:t>
            </w:r>
          </w:p>
        </w:tc>
        <w:tc>
          <w:tcPr>
            <w:tcW w:w="1843" w:type="dxa"/>
            <w:vAlign w:val="center"/>
          </w:tcPr>
          <w:p w14:paraId="6E5BEF0B">
            <w:pPr>
              <w:pStyle w:val="200"/>
              <w:rPr>
                <w:rFonts w:hAnsi="Arial"/>
                <w:bCs/>
                <w:color w:val="auto"/>
                <w:szCs w:val="21"/>
                <w:vertAlign w:val="superscript"/>
              </w:rPr>
            </w:pPr>
          </w:p>
        </w:tc>
        <w:tc>
          <w:tcPr>
            <w:tcW w:w="2695" w:type="dxa"/>
            <w:vAlign w:val="center"/>
          </w:tcPr>
          <w:p w14:paraId="57EE5E13">
            <w:pPr>
              <w:pStyle w:val="200"/>
              <w:rPr>
                <w:rFonts w:hAnsi="Arial"/>
                <w:bCs/>
                <w:color w:val="auto"/>
                <w:szCs w:val="21"/>
              </w:rPr>
            </w:pPr>
            <w:r>
              <w:rPr>
                <w:color w:val="auto"/>
                <w:szCs w:val="21"/>
              </w:rPr>
              <w:t>符合</w:t>
            </w:r>
            <w:r>
              <w:rPr>
                <w:color w:val="auto"/>
                <w:sz w:val="21"/>
                <w:szCs w:val="21"/>
              </w:rPr>
              <w:t xml:space="preserve"> </w:t>
            </w:r>
            <w:r>
              <w:rPr>
                <w:rFonts w:hint="eastAsia"/>
                <w:color w:val="auto"/>
                <w:sz w:val="21"/>
                <w:szCs w:val="21"/>
              </w:rPr>
              <w:t>□</w:t>
            </w:r>
            <w:r>
              <w:rPr>
                <w:color w:val="auto"/>
                <w:sz w:val="21"/>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5FD6B8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6C0A805D">
            <w:pPr>
              <w:pStyle w:val="200"/>
              <w:rPr>
                <w:rFonts w:hAnsi="Arial"/>
                <w:bCs/>
                <w:color w:val="auto"/>
                <w:szCs w:val="21"/>
              </w:rPr>
            </w:pPr>
            <w:r>
              <w:rPr>
                <w:rFonts w:hint="eastAsia" w:hAnsi="Arial"/>
                <w:bCs/>
                <w:color w:val="auto"/>
                <w:szCs w:val="21"/>
              </w:rPr>
              <w:t>4</w:t>
            </w:r>
          </w:p>
        </w:tc>
        <w:tc>
          <w:tcPr>
            <w:tcW w:w="3719" w:type="dxa"/>
            <w:vAlign w:val="center"/>
          </w:tcPr>
          <w:p w14:paraId="69EB7215">
            <w:pPr>
              <w:pStyle w:val="200"/>
              <w:jc w:val="both"/>
              <w:rPr>
                <w:color w:val="auto"/>
                <w:szCs w:val="21"/>
              </w:rPr>
            </w:pPr>
            <w:r>
              <w:rPr>
                <w:rFonts w:hint="eastAsia"/>
                <w:color w:val="auto"/>
                <w:szCs w:val="21"/>
              </w:rPr>
              <w:t>塔机基础承台混凝土浇筑时间</w:t>
            </w:r>
          </w:p>
        </w:tc>
        <w:tc>
          <w:tcPr>
            <w:tcW w:w="4538" w:type="dxa"/>
            <w:gridSpan w:val="2"/>
            <w:vAlign w:val="center"/>
          </w:tcPr>
          <w:p w14:paraId="08848B0A">
            <w:pPr>
              <w:pStyle w:val="200"/>
              <w:rPr>
                <w:color w:val="auto"/>
                <w:szCs w:val="21"/>
              </w:rPr>
            </w:pPr>
            <w:r>
              <w:rPr>
                <w:rFonts w:hint="eastAsia" w:hAnsi="Arial"/>
                <w:color w:val="auto"/>
                <w:szCs w:val="21"/>
              </w:rPr>
              <w:t>年       月       日</w:t>
            </w:r>
          </w:p>
        </w:tc>
      </w:tr>
      <w:tr w14:paraId="661B1A2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4B6A431C">
            <w:pPr>
              <w:pStyle w:val="200"/>
              <w:rPr>
                <w:rFonts w:hAnsi="Arial"/>
                <w:bCs/>
                <w:color w:val="auto"/>
                <w:szCs w:val="21"/>
              </w:rPr>
            </w:pPr>
            <w:r>
              <w:rPr>
                <w:rFonts w:hint="eastAsia" w:hAnsi="Arial"/>
                <w:bCs/>
                <w:color w:val="auto"/>
                <w:szCs w:val="21"/>
              </w:rPr>
              <w:t>5</w:t>
            </w:r>
          </w:p>
        </w:tc>
        <w:tc>
          <w:tcPr>
            <w:tcW w:w="3719" w:type="dxa"/>
            <w:vAlign w:val="center"/>
          </w:tcPr>
          <w:p w14:paraId="469D65C8">
            <w:pPr>
              <w:pStyle w:val="200"/>
              <w:jc w:val="both"/>
              <w:rPr>
                <w:color w:val="auto"/>
                <w:szCs w:val="21"/>
              </w:rPr>
            </w:pPr>
            <w:r>
              <w:rPr>
                <w:color w:val="auto"/>
                <w:szCs w:val="21"/>
              </w:rPr>
              <w:t>混凝土</w:t>
            </w:r>
            <w:r>
              <w:rPr>
                <w:rFonts w:hint="eastAsia"/>
                <w:color w:val="auto"/>
                <w:szCs w:val="21"/>
              </w:rPr>
              <w:t>的等级与</w:t>
            </w:r>
            <w:r>
              <w:rPr>
                <w:color w:val="auto"/>
                <w:szCs w:val="21"/>
              </w:rPr>
              <w:t>强度是否符合要求</w:t>
            </w:r>
          </w:p>
        </w:tc>
        <w:tc>
          <w:tcPr>
            <w:tcW w:w="1843" w:type="dxa"/>
            <w:vAlign w:val="center"/>
          </w:tcPr>
          <w:p w14:paraId="1F5696FB">
            <w:pPr>
              <w:pStyle w:val="200"/>
              <w:rPr>
                <w:color w:val="auto"/>
                <w:szCs w:val="21"/>
              </w:rPr>
            </w:pPr>
            <w:r>
              <w:rPr>
                <w:rFonts w:hint="eastAsia"/>
                <w:color w:val="auto"/>
                <w:szCs w:val="21"/>
              </w:rPr>
              <w:t>C</w:t>
            </w:r>
            <w:r>
              <w:rPr>
                <w:rFonts w:hint="eastAsia"/>
                <w:color w:val="auto"/>
                <w:szCs w:val="21"/>
                <w:u w:val="single"/>
              </w:rPr>
              <w:t xml:space="preserve">   </w:t>
            </w:r>
            <w:r>
              <w:rPr>
                <w:rFonts w:hint="eastAsia"/>
                <w:color w:val="auto"/>
                <w:szCs w:val="21"/>
              </w:rPr>
              <w:t xml:space="preserve">/ </w:t>
            </w:r>
            <w:r>
              <w:rPr>
                <w:rFonts w:hint="eastAsia"/>
                <w:color w:val="auto"/>
                <w:szCs w:val="21"/>
                <w:u w:val="single"/>
              </w:rPr>
              <w:t xml:space="preserve">     </w:t>
            </w:r>
            <w:r>
              <w:rPr>
                <w:rFonts w:hint="eastAsia"/>
                <w:color w:val="auto"/>
                <w:szCs w:val="21"/>
              </w:rPr>
              <w:t xml:space="preserve"> MPa</w:t>
            </w:r>
          </w:p>
        </w:tc>
        <w:tc>
          <w:tcPr>
            <w:tcW w:w="2695" w:type="dxa"/>
            <w:vAlign w:val="center"/>
          </w:tcPr>
          <w:p w14:paraId="57EACF2F">
            <w:pPr>
              <w:pStyle w:val="200"/>
              <w:rPr>
                <w:color w:val="auto"/>
                <w:szCs w:val="21"/>
              </w:rPr>
            </w:pPr>
            <w:r>
              <w:rPr>
                <w:color w:val="auto"/>
                <w:szCs w:val="21"/>
              </w:rPr>
              <w:t xml:space="preserve">符合 </w:t>
            </w:r>
            <w:r>
              <w:rPr>
                <w:rFonts w:hint="eastAsia"/>
                <w:color w:val="auto"/>
                <w:szCs w:val="21"/>
              </w:rPr>
              <w:t>□</w:t>
            </w:r>
            <w:r>
              <w:rPr>
                <w:color w:val="auto"/>
                <w:szCs w:val="21"/>
              </w:rPr>
              <w:t xml:space="preserve">  </w:t>
            </w:r>
            <w:r>
              <w:rPr>
                <w:rFonts w:hint="eastAsia"/>
                <w:color w:val="auto"/>
                <w:szCs w:val="21"/>
              </w:rPr>
              <w:t>不</w:t>
            </w:r>
            <w:r>
              <w:rPr>
                <w:color w:val="auto"/>
                <w:szCs w:val="21"/>
              </w:rPr>
              <w:t>符合</w:t>
            </w:r>
            <w:r>
              <w:rPr>
                <w:rFonts w:hint="eastAsia"/>
                <w:color w:val="auto"/>
                <w:szCs w:val="21"/>
              </w:rPr>
              <w:t>□</w:t>
            </w:r>
          </w:p>
        </w:tc>
      </w:tr>
      <w:tr w14:paraId="7108C7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38C779CD">
            <w:pPr>
              <w:pStyle w:val="200"/>
              <w:rPr>
                <w:rFonts w:hAnsi="Arial"/>
                <w:bCs/>
                <w:color w:val="auto"/>
                <w:szCs w:val="21"/>
              </w:rPr>
            </w:pPr>
            <w:r>
              <w:rPr>
                <w:rFonts w:hint="eastAsia" w:hAnsi="Arial"/>
                <w:bCs/>
                <w:color w:val="auto"/>
                <w:szCs w:val="21"/>
              </w:rPr>
              <w:t>6</w:t>
            </w:r>
          </w:p>
        </w:tc>
        <w:tc>
          <w:tcPr>
            <w:tcW w:w="3719" w:type="dxa"/>
            <w:vAlign w:val="center"/>
          </w:tcPr>
          <w:p w14:paraId="57987E52">
            <w:pPr>
              <w:pStyle w:val="200"/>
              <w:jc w:val="both"/>
              <w:rPr>
                <w:rFonts w:hAnsi="Arial"/>
                <w:color w:val="auto"/>
                <w:spacing w:val="6"/>
                <w:szCs w:val="21"/>
              </w:rPr>
            </w:pPr>
            <w:r>
              <w:rPr>
                <w:rFonts w:hint="eastAsia"/>
                <w:color w:val="auto"/>
                <w:spacing w:val="-4"/>
                <w:szCs w:val="21"/>
              </w:rPr>
              <w:t>桩基础</w:t>
            </w:r>
            <w:r>
              <w:rPr>
                <w:color w:val="auto"/>
                <w:spacing w:val="-4"/>
                <w:szCs w:val="21"/>
              </w:rPr>
              <w:t>隐蔽工程是否符合规范</w:t>
            </w:r>
            <w:r>
              <w:rPr>
                <w:rFonts w:hint="eastAsia"/>
                <w:color w:val="auto"/>
                <w:spacing w:val="-4"/>
                <w:szCs w:val="21"/>
              </w:rPr>
              <w:t>要</w:t>
            </w:r>
            <w:r>
              <w:rPr>
                <w:color w:val="auto"/>
                <w:spacing w:val="-4"/>
                <w:szCs w:val="21"/>
              </w:rPr>
              <w:t>求</w:t>
            </w:r>
          </w:p>
        </w:tc>
        <w:tc>
          <w:tcPr>
            <w:tcW w:w="1843" w:type="dxa"/>
            <w:vAlign w:val="center"/>
          </w:tcPr>
          <w:p w14:paraId="1032E942">
            <w:pPr>
              <w:pStyle w:val="200"/>
              <w:rPr>
                <w:rFonts w:hAnsi="Arial"/>
                <w:bCs/>
                <w:color w:val="auto"/>
                <w:szCs w:val="21"/>
              </w:rPr>
            </w:pPr>
          </w:p>
        </w:tc>
        <w:tc>
          <w:tcPr>
            <w:tcW w:w="2695" w:type="dxa"/>
            <w:vAlign w:val="center"/>
          </w:tcPr>
          <w:p w14:paraId="0C2B37CF">
            <w:pPr>
              <w:pStyle w:val="200"/>
              <w:rPr>
                <w:color w:val="auto"/>
                <w:sz w:val="21"/>
                <w:szCs w:val="21"/>
              </w:rPr>
            </w:pPr>
            <w:r>
              <w:rPr>
                <w:color w:val="auto"/>
                <w:szCs w:val="21"/>
              </w:rPr>
              <w:t>符合</w:t>
            </w:r>
            <w:r>
              <w:rPr>
                <w:color w:val="auto"/>
                <w:sz w:val="21"/>
                <w:szCs w:val="21"/>
              </w:rPr>
              <w:t xml:space="preserve"> </w:t>
            </w:r>
            <w:r>
              <w:rPr>
                <w:rFonts w:hint="eastAsia"/>
                <w:color w:val="auto"/>
                <w:sz w:val="21"/>
                <w:szCs w:val="21"/>
              </w:rPr>
              <w:t>□</w:t>
            </w:r>
            <w:r>
              <w:rPr>
                <w:color w:val="auto"/>
                <w:sz w:val="21"/>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77FA601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78E702BA">
            <w:pPr>
              <w:pStyle w:val="200"/>
              <w:rPr>
                <w:rFonts w:hAnsi="Arial"/>
                <w:bCs/>
                <w:color w:val="auto"/>
                <w:szCs w:val="21"/>
              </w:rPr>
            </w:pPr>
            <w:r>
              <w:rPr>
                <w:rFonts w:hint="eastAsia" w:hAnsi="Arial"/>
                <w:bCs/>
                <w:color w:val="auto"/>
                <w:szCs w:val="21"/>
              </w:rPr>
              <w:t>7</w:t>
            </w:r>
          </w:p>
        </w:tc>
        <w:tc>
          <w:tcPr>
            <w:tcW w:w="3719" w:type="dxa"/>
            <w:vAlign w:val="center"/>
          </w:tcPr>
          <w:p w14:paraId="51609D5E">
            <w:pPr>
              <w:pStyle w:val="200"/>
              <w:jc w:val="both"/>
              <w:rPr>
                <w:rFonts w:hAnsi="Arial"/>
                <w:bCs/>
                <w:color w:val="auto"/>
                <w:szCs w:val="21"/>
              </w:rPr>
            </w:pPr>
            <w:r>
              <w:rPr>
                <w:color w:val="auto"/>
                <w:szCs w:val="21"/>
              </w:rPr>
              <w:t>塔机接地装置是否符合规范要求</w:t>
            </w:r>
          </w:p>
        </w:tc>
        <w:tc>
          <w:tcPr>
            <w:tcW w:w="1843" w:type="dxa"/>
            <w:vAlign w:val="center"/>
          </w:tcPr>
          <w:p w14:paraId="02820C79">
            <w:pPr>
              <w:pStyle w:val="200"/>
              <w:rPr>
                <w:rFonts w:hAnsi="Arial"/>
                <w:bCs/>
                <w:color w:val="auto"/>
              </w:rPr>
            </w:pPr>
            <w:r>
              <w:rPr>
                <w:rFonts w:hint="eastAsia" w:hAnsi="Arial"/>
                <w:bCs/>
                <w:color w:val="auto"/>
              </w:rPr>
              <w:t>Ω</w:t>
            </w:r>
          </w:p>
        </w:tc>
        <w:tc>
          <w:tcPr>
            <w:tcW w:w="2695" w:type="dxa"/>
            <w:vAlign w:val="center"/>
          </w:tcPr>
          <w:p w14:paraId="522531F5">
            <w:pPr>
              <w:pStyle w:val="200"/>
              <w:rPr>
                <w:color w:val="auto"/>
                <w:sz w:val="21"/>
                <w:szCs w:val="21"/>
              </w:rPr>
            </w:pPr>
            <w:r>
              <w:rPr>
                <w:color w:val="auto"/>
                <w:szCs w:val="21"/>
              </w:rPr>
              <w:t>符合</w:t>
            </w:r>
            <w:r>
              <w:rPr>
                <w:color w:val="auto"/>
                <w:sz w:val="21"/>
                <w:szCs w:val="21"/>
              </w:rPr>
              <w:t xml:space="preserve"> </w:t>
            </w:r>
            <w:r>
              <w:rPr>
                <w:rFonts w:hint="eastAsia"/>
                <w:color w:val="auto"/>
                <w:sz w:val="21"/>
                <w:szCs w:val="21"/>
              </w:rPr>
              <w:t>□</w:t>
            </w:r>
            <w:r>
              <w:rPr>
                <w:color w:val="auto"/>
                <w:sz w:val="21"/>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6009E3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5B454C43">
            <w:pPr>
              <w:pStyle w:val="200"/>
              <w:rPr>
                <w:rFonts w:hAnsi="Arial"/>
                <w:bCs/>
                <w:color w:val="auto"/>
                <w:szCs w:val="21"/>
              </w:rPr>
            </w:pPr>
            <w:r>
              <w:rPr>
                <w:rFonts w:hint="eastAsia" w:hAnsi="Arial"/>
                <w:bCs/>
                <w:color w:val="auto"/>
                <w:szCs w:val="21"/>
              </w:rPr>
              <w:t>8</w:t>
            </w:r>
          </w:p>
        </w:tc>
        <w:tc>
          <w:tcPr>
            <w:tcW w:w="3719" w:type="dxa"/>
            <w:vAlign w:val="center"/>
          </w:tcPr>
          <w:p w14:paraId="0C8B9490">
            <w:pPr>
              <w:pStyle w:val="200"/>
              <w:jc w:val="both"/>
              <w:rPr>
                <w:color w:val="auto"/>
                <w:szCs w:val="21"/>
              </w:rPr>
            </w:pPr>
            <w:r>
              <w:rPr>
                <w:rFonts w:hint="eastAsia"/>
                <w:color w:val="auto"/>
                <w:szCs w:val="21"/>
              </w:rPr>
              <w:t>塔机非标基础是否经相关专家组评审合格</w:t>
            </w:r>
          </w:p>
        </w:tc>
        <w:tc>
          <w:tcPr>
            <w:tcW w:w="1843" w:type="dxa"/>
            <w:vAlign w:val="center"/>
          </w:tcPr>
          <w:p w14:paraId="61CF1334">
            <w:pPr>
              <w:pStyle w:val="200"/>
              <w:rPr>
                <w:rFonts w:hAnsi="Arial"/>
                <w:bCs/>
                <w:color w:val="auto"/>
              </w:rPr>
            </w:pPr>
          </w:p>
        </w:tc>
        <w:tc>
          <w:tcPr>
            <w:tcW w:w="2695" w:type="dxa"/>
            <w:vAlign w:val="center"/>
          </w:tcPr>
          <w:p w14:paraId="6020A940">
            <w:pPr>
              <w:pStyle w:val="200"/>
              <w:rPr>
                <w:color w:val="auto"/>
                <w:sz w:val="21"/>
                <w:szCs w:val="21"/>
              </w:rPr>
            </w:pPr>
            <w:r>
              <w:rPr>
                <w:rFonts w:hint="eastAsia"/>
                <w:color w:val="auto"/>
                <w:szCs w:val="21"/>
              </w:rPr>
              <w:t>合格</w:t>
            </w:r>
            <w:r>
              <w:rPr>
                <w:rFonts w:hint="eastAsia"/>
                <w:color w:val="auto"/>
                <w:sz w:val="21"/>
                <w:szCs w:val="21"/>
              </w:rPr>
              <w:t xml:space="preserve"> □</w:t>
            </w:r>
            <w:r>
              <w:rPr>
                <w:color w:val="auto"/>
                <w:sz w:val="21"/>
                <w:szCs w:val="21"/>
              </w:rPr>
              <w:t xml:space="preserve">  </w:t>
            </w:r>
            <w:r>
              <w:rPr>
                <w:rFonts w:hint="eastAsia"/>
                <w:color w:val="auto"/>
                <w:szCs w:val="21"/>
              </w:rPr>
              <w:t>不合格</w:t>
            </w:r>
            <w:r>
              <w:rPr>
                <w:rFonts w:hint="eastAsia"/>
                <w:color w:val="auto"/>
                <w:sz w:val="21"/>
                <w:szCs w:val="21"/>
              </w:rPr>
              <w:t>□</w:t>
            </w:r>
          </w:p>
        </w:tc>
      </w:tr>
      <w:tr w14:paraId="3B98B19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4673" w:type="dxa"/>
            <w:gridSpan w:val="2"/>
            <w:vAlign w:val="center"/>
          </w:tcPr>
          <w:p w14:paraId="766F4A9E">
            <w:pPr>
              <w:pStyle w:val="200"/>
              <w:adjustRightInd w:val="0"/>
              <w:snapToGrid w:val="0"/>
              <w:rPr>
                <w:color w:val="auto"/>
                <w:szCs w:val="21"/>
              </w:rPr>
            </w:pPr>
            <w:r>
              <w:rPr>
                <w:color w:val="auto"/>
                <w:szCs w:val="21"/>
              </w:rPr>
              <w:t>使用单位验收结论</w:t>
            </w:r>
            <w:r>
              <w:rPr>
                <w:rFonts w:hint="eastAsia"/>
                <w:color w:val="auto"/>
                <w:szCs w:val="21"/>
              </w:rPr>
              <w:t>：</w:t>
            </w:r>
          </w:p>
          <w:p w14:paraId="268E7E25">
            <w:pPr>
              <w:pStyle w:val="200"/>
              <w:adjustRightInd w:val="0"/>
              <w:snapToGrid w:val="0"/>
              <w:rPr>
                <w:color w:val="auto"/>
                <w:szCs w:val="21"/>
              </w:rPr>
            </w:pPr>
          </w:p>
          <w:p w14:paraId="438A16E6">
            <w:pPr>
              <w:pStyle w:val="200"/>
              <w:adjustRightInd w:val="0"/>
              <w:snapToGrid w:val="0"/>
              <w:rPr>
                <w:color w:val="auto"/>
                <w:sz w:val="21"/>
                <w:szCs w:val="21"/>
              </w:rPr>
            </w:pPr>
            <w:r>
              <w:rPr>
                <w:rFonts w:hint="eastAsia"/>
                <w:color w:val="auto"/>
                <w:szCs w:val="21"/>
              </w:rPr>
              <w:t>合</w:t>
            </w:r>
            <w:r>
              <w:rPr>
                <w:color w:val="auto"/>
                <w:szCs w:val="21"/>
              </w:rPr>
              <w:t>格准予安装</w:t>
            </w:r>
            <w:r>
              <w:rPr>
                <w:rFonts w:hint="eastAsia"/>
                <w:color w:val="auto"/>
                <w:szCs w:val="21"/>
              </w:rPr>
              <w:t xml:space="preserve"> </w:t>
            </w:r>
            <w:r>
              <w:rPr>
                <w:rFonts w:hint="eastAsia"/>
                <w:color w:val="auto"/>
                <w:sz w:val="21"/>
                <w:szCs w:val="21"/>
              </w:rPr>
              <w:t>□</w:t>
            </w:r>
            <w:r>
              <w:rPr>
                <w:rFonts w:hAnsi="Arial"/>
                <w:color w:val="auto"/>
                <w:sz w:val="32"/>
                <w:szCs w:val="32"/>
              </w:rPr>
              <w:t xml:space="preserve"> </w:t>
            </w:r>
            <w:r>
              <w:rPr>
                <w:rFonts w:hint="eastAsia"/>
                <w:color w:val="auto"/>
                <w:szCs w:val="21"/>
              </w:rPr>
              <w:t xml:space="preserve">  </w:t>
            </w:r>
            <w:r>
              <w:rPr>
                <w:rFonts w:hint="eastAsia"/>
                <w:color w:val="auto"/>
                <w:spacing w:val="-6"/>
                <w:szCs w:val="21"/>
              </w:rPr>
              <w:t>不</w:t>
            </w:r>
            <w:r>
              <w:rPr>
                <w:color w:val="auto"/>
                <w:spacing w:val="-6"/>
                <w:szCs w:val="21"/>
              </w:rPr>
              <w:t>合格</w:t>
            </w:r>
            <w:r>
              <w:rPr>
                <w:rFonts w:hint="eastAsia"/>
                <w:color w:val="auto"/>
                <w:spacing w:val="-6"/>
                <w:szCs w:val="21"/>
              </w:rPr>
              <w:t>不</w:t>
            </w:r>
            <w:r>
              <w:rPr>
                <w:color w:val="auto"/>
                <w:spacing w:val="-6"/>
                <w:szCs w:val="21"/>
              </w:rPr>
              <w:t>准安装</w:t>
            </w:r>
            <w:r>
              <w:rPr>
                <w:rFonts w:hint="eastAsia"/>
                <w:color w:val="auto"/>
                <w:spacing w:val="-6"/>
                <w:szCs w:val="21"/>
              </w:rPr>
              <w:t xml:space="preserve"> </w:t>
            </w:r>
            <w:r>
              <w:rPr>
                <w:rFonts w:hint="eastAsia"/>
                <w:color w:val="auto"/>
                <w:sz w:val="21"/>
                <w:szCs w:val="21"/>
              </w:rPr>
              <w:t>□</w:t>
            </w:r>
          </w:p>
          <w:p w14:paraId="239D5E02">
            <w:pPr>
              <w:pStyle w:val="200"/>
              <w:adjustRightInd w:val="0"/>
              <w:snapToGrid w:val="0"/>
              <w:rPr>
                <w:rFonts w:hAnsi="Arial"/>
                <w:color w:val="auto"/>
                <w:spacing w:val="6"/>
                <w:szCs w:val="21"/>
              </w:rPr>
            </w:pPr>
          </w:p>
          <w:p w14:paraId="672C2E25">
            <w:pPr>
              <w:pStyle w:val="200"/>
              <w:adjustRightInd w:val="0"/>
              <w:snapToGrid w:val="0"/>
              <w:rPr>
                <w:rFonts w:hAnsi="Arial"/>
                <w:color w:val="auto"/>
                <w:spacing w:val="6"/>
                <w:szCs w:val="21"/>
              </w:rPr>
            </w:pPr>
            <w:r>
              <w:rPr>
                <w:rFonts w:hint="eastAsia" w:hAnsi="Arial"/>
                <w:color w:val="auto"/>
                <w:spacing w:val="6"/>
                <w:szCs w:val="21"/>
              </w:rPr>
              <w:t>签字（盖 章）：</w:t>
            </w:r>
          </w:p>
          <w:p w14:paraId="24F31CDB">
            <w:pPr>
              <w:pStyle w:val="200"/>
              <w:adjustRightInd w:val="0"/>
              <w:snapToGrid w:val="0"/>
              <w:rPr>
                <w:rFonts w:hAnsi="Arial"/>
                <w:color w:val="auto"/>
                <w:spacing w:val="6"/>
              </w:rPr>
            </w:pPr>
            <w:r>
              <w:rPr>
                <w:rFonts w:hint="eastAsia" w:hAnsi="Arial"/>
                <w:color w:val="auto"/>
                <w:spacing w:val="6"/>
                <w:szCs w:val="21"/>
              </w:rPr>
              <w:t>年</w:t>
            </w:r>
            <w:r>
              <w:rPr>
                <w:rFonts w:hint="eastAsia" w:hAnsi="Arial"/>
                <w:color w:val="auto"/>
                <w:spacing w:val="6"/>
                <w:szCs w:val="21"/>
                <w:u w:val="single"/>
              </w:rPr>
              <w:t xml:space="preserve">     </w:t>
            </w:r>
            <w:r>
              <w:rPr>
                <w:rFonts w:hint="eastAsia" w:hAnsi="Arial"/>
                <w:color w:val="auto"/>
                <w:spacing w:val="6"/>
                <w:szCs w:val="21"/>
              </w:rPr>
              <w:t>月</w:t>
            </w:r>
            <w:r>
              <w:rPr>
                <w:rFonts w:hint="eastAsia" w:hAnsi="Arial"/>
                <w:color w:val="auto"/>
                <w:spacing w:val="6"/>
                <w:szCs w:val="21"/>
                <w:u w:val="single"/>
              </w:rPr>
              <w:t xml:space="preserve">     </w:t>
            </w:r>
            <w:r>
              <w:rPr>
                <w:rFonts w:hint="eastAsia" w:hAnsi="Arial"/>
                <w:color w:val="auto"/>
                <w:spacing w:val="6"/>
                <w:szCs w:val="21"/>
              </w:rPr>
              <w:t>日</w:t>
            </w:r>
          </w:p>
        </w:tc>
        <w:tc>
          <w:tcPr>
            <w:tcW w:w="4538" w:type="dxa"/>
            <w:gridSpan w:val="2"/>
            <w:vAlign w:val="center"/>
          </w:tcPr>
          <w:p w14:paraId="1DA6C81D">
            <w:pPr>
              <w:pStyle w:val="200"/>
              <w:adjustRightInd w:val="0"/>
              <w:snapToGrid w:val="0"/>
              <w:rPr>
                <w:color w:val="auto"/>
                <w:szCs w:val="21"/>
              </w:rPr>
            </w:pPr>
            <w:r>
              <w:rPr>
                <w:rFonts w:hint="eastAsia"/>
                <w:color w:val="auto"/>
                <w:szCs w:val="21"/>
              </w:rPr>
              <w:t>监理</w:t>
            </w:r>
            <w:r>
              <w:rPr>
                <w:color w:val="auto"/>
                <w:szCs w:val="21"/>
              </w:rPr>
              <w:t>单位验收结论</w:t>
            </w:r>
            <w:r>
              <w:rPr>
                <w:rFonts w:hint="eastAsia"/>
                <w:color w:val="auto"/>
                <w:szCs w:val="21"/>
              </w:rPr>
              <w:t>：</w:t>
            </w:r>
          </w:p>
          <w:p w14:paraId="2257D01C">
            <w:pPr>
              <w:pStyle w:val="200"/>
              <w:adjustRightInd w:val="0"/>
              <w:snapToGrid w:val="0"/>
              <w:rPr>
                <w:color w:val="auto"/>
                <w:szCs w:val="21"/>
              </w:rPr>
            </w:pPr>
          </w:p>
          <w:p w14:paraId="1DD79844">
            <w:pPr>
              <w:pStyle w:val="200"/>
              <w:adjustRightInd w:val="0"/>
              <w:snapToGrid w:val="0"/>
              <w:rPr>
                <w:rFonts w:hAnsi="Arial"/>
                <w:color w:val="auto"/>
                <w:spacing w:val="6"/>
                <w:szCs w:val="21"/>
              </w:rPr>
            </w:pPr>
            <w:r>
              <w:rPr>
                <w:rFonts w:hint="eastAsia"/>
                <w:color w:val="auto"/>
                <w:szCs w:val="21"/>
              </w:rPr>
              <w:t>合</w:t>
            </w:r>
            <w:r>
              <w:rPr>
                <w:color w:val="auto"/>
                <w:szCs w:val="21"/>
              </w:rPr>
              <w:t>格准予安装</w:t>
            </w:r>
            <w:r>
              <w:rPr>
                <w:rFonts w:hint="eastAsia"/>
                <w:color w:val="auto"/>
                <w:szCs w:val="21"/>
              </w:rPr>
              <w:t xml:space="preserve"> </w:t>
            </w:r>
            <w:r>
              <w:rPr>
                <w:rFonts w:hint="eastAsia"/>
                <w:color w:val="auto"/>
                <w:sz w:val="21"/>
                <w:szCs w:val="21"/>
              </w:rPr>
              <w:t>□</w:t>
            </w:r>
            <w:r>
              <w:rPr>
                <w:color w:val="auto"/>
                <w:sz w:val="21"/>
                <w:szCs w:val="21"/>
              </w:rPr>
              <w:t xml:space="preserve"> </w:t>
            </w:r>
            <w:r>
              <w:rPr>
                <w:rFonts w:hint="eastAsia"/>
                <w:color w:val="auto"/>
                <w:szCs w:val="21"/>
              </w:rPr>
              <w:t xml:space="preserve">  </w:t>
            </w:r>
            <w:r>
              <w:rPr>
                <w:rFonts w:hint="eastAsia"/>
                <w:color w:val="auto"/>
                <w:spacing w:val="-6"/>
                <w:szCs w:val="21"/>
              </w:rPr>
              <w:t>不</w:t>
            </w:r>
            <w:r>
              <w:rPr>
                <w:color w:val="auto"/>
                <w:spacing w:val="-6"/>
                <w:szCs w:val="21"/>
              </w:rPr>
              <w:t>合格</w:t>
            </w:r>
            <w:r>
              <w:rPr>
                <w:rFonts w:hint="eastAsia"/>
                <w:color w:val="auto"/>
                <w:spacing w:val="-6"/>
                <w:szCs w:val="21"/>
              </w:rPr>
              <w:t>不</w:t>
            </w:r>
            <w:r>
              <w:rPr>
                <w:color w:val="auto"/>
                <w:spacing w:val="-6"/>
                <w:szCs w:val="21"/>
              </w:rPr>
              <w:t>准安装</w:t>
            </w:r>
            <w:r>
              <w:rPr>
                <w:rFonts w:hint="eastAsia"/>
                <w:color w:val="auto"/>
                <w:spacing w:val="-6"/>
                <w:szCs w:val="21"/>
              </w:rPr>
              <w:t xml:space="preserve"> </w:t>
            </w:r>
            <w:r>
              <w:rPr>
                <w:rFonts w:hint="eastAsia"/>
                <w:color w:val="auto"/>
                <w:sz w:val="21"/>
                <w:szCs w:val="21"/>
              </w:rPr>
              <w:t>□</w:t>
            </w:r>
          </w:p>
          <w:p w14:paraId="72F9373A">
            <w:pPr>
              <w:pStyle w:val="200"/>
              <w:adjustRightInd w:val="0"/>
              <w:snapToGrid w:val="0"/>
              <w:rPr>
                <w:rFonts w:hAnsi="Arial"/>
                <w:color w:val="auto"/>
                <w:spacing w:val="6"/>
                <w:szCs w:val="21"/>
              </w:rPr>
            </w:pPr>
          </w:p>
          <w:p w14:paraId="5DC893B2">
            <w:pPr>
              <w:pStyle w:val="200"/>
              <w:adjustRightInd w:val="0"/>
              <w:snapToGrid w:val="0"/>
              <w:rPr>
                <w:rFonts w:hAnsi="Arial"/>
                <w:color w:val="auto"/>
                <w:spacing w:val="6"/>
                <w:szCs w:val="21"/>
              </w:rPr>
            </w:pPr>
            <w:r>
              <w:rPr>
                <w:rFonts w:hint="eastAsia" w:hAnsi="Arial"/>
                <w:color w:val="auto"/>
                <w:spacing w:val="6"/>
                <w:szCs w:val="21"/>
              </w:rPr>
              <w:t>签字（盖 章）：</w:t>
            </w:r>
          </w:p>
          <w:p w14:paraId="72D6F598">
            <w:pPr>
              <w:pStyle w:val="200"/>
              <w:adjustRightInd w:val="0"/>
              <w:snapToGrid w:val="0"/>
              <w:rPr>
                <w:rFonts w:hAnsi="Arial"/>
                <w:color w:val="auto"/>
                <w:spacing w:val="6"/>
              </w:rPr>
            </w:pPr>
            <w:r>
              <w:rPr>
                <w:rFonts w:hint="eastAsia" w:hAnsi="Arial"/>
                <w:color w:val="auto"/>
                <w:spacing w:val="6"/>
                <w:szCs w:val="21"/>
              </w:rPr>
              <w:t>年</w:t>
            </w:r>
            <w:r>
              <w:rPr>
                <w:rFonts w:hint="eastAsia" w:hAnsi="Arial"/>
                <w:color w:val="auto"/>
                <w:spacing w:val="6"/>
                <w:szCs w:val="21"/>
                <w:u w:val="single"/>
              </w:rPr>
              <w:t xml:space="preserve">     </w:t>
            </w:r>
            <w:r>
              <w:rPr>
                <w:rFonts w:hint="eastAsia" w:hAnsi="Arial"/>
                <w:color w:val="auto"/>
                <w:spacing w:val="6"/>
                <w:szCs w:val="21"/>
              </w:rPr>
              <w:t>月</w:t>
            </w:r>
            <w:r>
              <w:rPr>
                <w:rFonts w:hint="eastAsia" w:hAnsi="Arial"/>
                <w:color w:val="auto"/>
                <w:spacing w:val="6"/>
                <w:szCs w:val="21"/>
                <w:u w:val="single"/>
              </w:rPr>
              <w:t xml:space="preserve">     </w:t>
            </w:r>
            <w:r>
              <w:rPr>
                <w:rFonts w:hint="eastAsia" w:hAnsi="Arial"/>
                <w:color w:val="auto"/>
                <w:spacing w:val="6"/>
                <w:szCs w:val="21"/>
              </w:rPr>
              <w:t>日</w:t>
            </w:r>
          </w:p>
        </w:tc>
      </w:tr>
      <w:tr w14:paraId="2F773C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jc w:val="center"/>
        </w:trPr>
        <w:tc>
          <w:tcPr>
            <w:tcW w:w="0" w:type="auto"/>
            <w:gridSpan w:val="4"/>
            <w:vAlign w:val="center"/>
          </w:tcPr>
          <w:p w14:paraId="6BE0F080">
            <w:pPr>
              <w:pStyle w:val="200"/>
              <w:adjustRightInd w:val="0"/>
              <w:snapToGrid w:val="0"/>
              <w:rPr>
                <w:color w:val="auto"/>
                <w:szCs w:val="21"/>
              </w:rPr>
            </w:pPr>
            <w:r>
              <w:rPr>
                <w:color w:val="auto"/>
                <w:szCs w:val="21"/>
              </w:rPr>
              <w:t>以下由</w:t>
            </w:r>
            <w:r>
              <w:rPr>
                <w:rFonts w:hint="eastAsia"/>
                <w:color w:val="auto"/>
                <w:szCs w:val="21"/>
              </w:rPr>
              <w:t>安装</w:t>
            </w:r>
            <w:r>
              <w:rPr>
                <w:color w:val="auto"/>
                <w:szCs w:val="21"/>
              </w:rPr>
              <w:t>单位填写</w:t>
            </w:r>
          </w:p>
        </w:tc>
      </w:tr>
      <w:tr w14:paraId="7B101B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0C62CBCD">
            <w:pPr>
              <w:pStyle w:val="200"/>
              <w:rPr>
                <w:rFonts w:hAnsi="Arial"/>
                <w:bCs/>
                <w:color w:val="auto"/>
                <w:szCs w:val="21"/>
              </w:rPr>
            </w:pPr>
            <w:r>
              <w:rPr>
                <w:rFonts w:hint="eastAsia" w:hAnsi="Arial"/>
                <w:bCs/>
                <w:color w:val="auto"/>
                <w:szCs w:val="21"/>
              </w:rPr>
              <w:t>1</w:t>
            </w:r>
          </w:p>
        </w:tc>
        <w:tc>
          <w:tcPr>
            <w:tcW w:w="3719" w:type="dxa"/>
            <w:vAlign w:val="center"/>
          </w:tcPr>
          <w:p w14:paraId="45312B79">
            <w:pPr>
              <w:pStyle w:val="200"/>
              <w:jc w:val="both"/>
              <w:rPr>
                <w:rFonts w:hAnsi="Arial"/>
                <w:color w:val="auto"/>
                <w:spacing w:val="6"/>
              </w:rPr>
            </w:pPr>
            <w:r>
              <w:rPr>
                <w:rFonts w:hint="eastAsia"/>
                <w:color w:val="auto"/>
                <w:szCs w:val="21"/>
              </w:rPr>
              <w:t>塔机承台</w:t>
            </w:r>
            <w:r>
              <w:rPr>
                <w:color w:val="auto"/>
                <w:szCs w:val="21"/>
              </w:rPr>
              <w:t>外形尺寸是否</w:t>
            </w:r>
            <w:r>
              <w:rPr>
                <w:rFonts w:hint="eastAsia"/>
                <w:color w:val="auto"/>
                <w:szCs w:val="21"/>
              </w:rPr>
              <w:t>和施工方案描述一致</w:t>
            </w:r>
          </w:p>
        </w:tc>
        <w:tc>
          <w:tcPr>
            <w:tcW w:w="1843" w:type="dxa"/>
            <w:vAlign w:val="center"/>
          </w:tcPr>
          <w:p w14:paraId="0A5D9D0C">
            <w:pPr>
              <w:pStyle w:val="200"/>
              <w:jc w:val="both"/>
              <w:rPr>
                <w:rFonts w:hAnsi="Arial"/>
                <w:color w:val="auto"/>
                <w:spacing w:val="6"/>
              </w:rPr>
            </w:pPr>
          </w:p>
        </w:tc>
        <w:tc>
          <w:tcPr>
            <w:tcW w:w="2695" w:type="dxa"/>
            <w:vAlign w:val="center"/>
          </w:tcPr>
          <w:p w14:paraId="445E91E7">
            <w:pPr>
              <w:pStyle w:val="200"/>
              <w:rPr>
                <w:rFonts w:hAnsi="Arial"/>
                <w:bCs/>
                <w:color w:val="auto"/>
                <w:szCs w:val="21"/>
              </w:rPr>
            </w:pPr>
            <w:r>
              <w:rPr>
                <w:color w:val="auto"/>
                <w:szCs w:val="21"/>
              </w:rPr>
              <w:t xml:space="preserve">符合 </w:t>
            </w:r>
            <w:r>
              <w:rPr>
                <w:rFonts w:hint="eastAsia"/>
                <w:color w:val="auto"/>
                <w:sz w:val="21"/>
                <w:szCs w:val="21"/>
              </w:rPr>
              <w:t>□</w:t>
            </w:r>
            <w:r>
              <w:rPr>
                <w:rFonts w:hAnsi="Arial"/>
                <w:color w:val="auto"/>
                <w:sz w:val="32"/>
                <w:szCs w:val="32"/>
              </w:rPr>
              <w:t xml:space="preserve"> </w:t>
            </w:r>
            <w:r>
              <w:rPr>
                <w:rFonts w:hAnsi="Arial"/>
                <w:color w:val="auto"/>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5A95DB6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0" w:type="auto"/>
            <w:vAlign w:val="center"/>
          </w:tcPr>
          <w:p w14:paraId="340607AB">
            <w:pPr>
              <w:pStyle w:val="200"/>
              <w:rPr>
                <w:rFonts w:hAnsi="Arial"/>
                <w:bCs/>
                <w:color w:val="auto"/>
                <w:szCs w:val="21"/>
              </w:rPr>
            </w:pPr>
            <w:r>
              <w:rPr>
                <w:rFonts w:hint="eastAsia" w:hAnsi="Arial"/>
                <w:bCs/>
                <w:color w:val="auto"/>
                <w:szCs w:val="21"/>
              </w:rPr>
              <w:t>2</w:t>
            </w:r>
          </w:p>
        </w:tc>
        <w:tc>
          <w:tcPr>
            <w:tcW w:w="3719" w:type="dxa"/>
            <w:vAlign w:val="center"/>
          </w:tcPr>
          <w:p w14:paraId="66610076">
            <w:pPr>
              <w:pStyle w:val="200"/>
              <w:jc w:val="both"/>
              <w:rPr>
                <w:rFonts w:hAnsi="Arial"/>
                <w:color w:val="auto"/>
                <w:spacing w:val="6"/>
              </w:rPr>
            </w:pPr>
            <w:r>
              <w:rPr>
                <w:rFonts w:hint="eastAsia"/>
                <w:color w:val="auto"/>
                <w:szCs w:val="21"/>
              </w:rPr>
              <w:t>塔机基础</w:t>
            </w:r>
            <w:r>
              <w:rPr>
                <w:color w:val="auto"/>
                <w:szCs w:val="21"/>
              </w:rPr>
              <w:t>水平度</w:t>
            </w:r>
            <w:r>
              <w:rPr>
                <w:rFonts w:hint="eastAsia"/>
                <w:color w:val="auto"/>
                <w:szCs w:val="21"/>
              </w:rPr>
              <w:t>是</w:t>
            </w:r>
            <w:r>
              <w:rPr>
                <w:color w:val="auto"/>
                <w:szCs w:val="21"/>
              </w:rPr>
              <w:t>否符合设计及规范要求</w:t>
            </w:r>
          </w:p>
        </w:tc>
        <w:tc>
          <w:tcPr>
            <w:tcW w:w="1843" w:type="dxa"/>
            <w:vAlign w:val="center"/>
          </w:tcPr>
          <w:p w14:paraId="325BAACD">
            <w:pPr>
              <w:pStyle w:val="200"/>
              <w:jc w:val="both"/>
              <w:rPr>
                <w:rFonts w:hAnsi="Arial"/>
                <w:color w:val="auto"/>
                <w:spacing w:val="-6"/>
                <w:szCs w:val="21"/>
              </w:rPr>
            </w:pPr>
            <w:r>
              <w:rPr>
                <w:rFonts w:hint="eastAsia"/>
                <w:color w:val="auto"/>
                <w:spacing w:val="-6"/>
                <w:szCs w:val="21"/>
              </w:rPr>
              <w:t>实测</w:t>
            </w:r>
            <w:r>
              <w:rPr>
                <w:color w:val="auto"/>
                <w:spacing w:val="-6"/>
                <w:szCs w:val="21"/>
              </w:rPr>
              <w:t>偏差</w:t>
            </w:r>
            <w:r>
              <w:rPr>
                <w:rFonts w:hint="eastAsia"/>
                <w:color w:val="auto"/>
                <w:spacing w:val="-6"/>
                <w:szCs w:val="21"/>
              </w:rPr>
              <w:t>：</w:t>
            </w:r>
            <w:r>
              <w:rPr>
                <w:rFonts w:hint="eastAsia"/>
                <w:color w:val="auto"/>
                <w:spacing w:val="-6"/>
                <w:szCs w:val="21"/>
                <w:u w:val="single"/>
              </w:rPr>
              <w:t xml:space="preserve">    </w:t>
            </w:r>
            <w:r>
              <w:rPr>
                <w:rFonts w:hint="eastAsia"/>
                <w:color w:val="auto"/>
                <w:spacing w:val="-6"/>
                <w:szCs w:val="21"/>
              </w:rPr>
              <w:t>mm</w:t>
            </w:r>
          </w:p>
          <w:p w14:paraId="01B43E96">
            <w:pPr>
              <w:pStyle w:val="200"/>
              <w:jc w:val="both"/>
              <w:rPr>
                <w:rFonts w:hAnsi="Arial"/>
                <w:color w:val="auto"/>
                <w:spacing w:val="6"/>
              </w:rPr>
            </w:pPr>
            <w:r>
              <w:rPr>
                <w:rFonts w:hint="eastAsia"/>
                <w:color w:val="auto"/>
                <w:szCs w:val="21"/>
              </w:rPr>
              <w:t>（水平</w:t>
            </w:r>
            <w:r>
              <w:rPr>
                <w:color w:val="auto"/>
                <w:szCs w:val="21"/>
              </w:rPr>
              <w:t>度：</w:t>
            </w:r>
            <w:r>
              <w:rPr>
                <w:rFonts w:hint="eastAsia"/>
                <w:color w:val="auto"/>
                <w:szCs w:val="21"/>
              </w:rPr>
              <w:t>≤</w:t>
            </w:r>
            <w:r>
              <w:rPr>
                <w:rFonts w:hint="eastAsia" w:hAnsi="Arial"/>
                <w:color w:val="auto"/>
                <w:szCs w:val="21"/>
              </w:rPr>
              <w:t>1</w:t>
            </w:r>
            <w:r>
              <w:rPr>
                <w:rFonts w:hAnsi="Arial"/>
                <w:color w:val="auto"/>
                <w:szCs w:val="21"/>
              </w:rPr>
              <w:t xml:space="preserve"> ‰</w:t>
            </w:r>
            <w:r>
              <w:rPr>
                <w:rFonts w:hint="eastAsia"/>
                <w:color w:val="auto"/>
                <w:szCs w:val="21"/>
              </w:rPr>
              <w:t>）</w:t>
            </w:r>
          </w:p>
        </w:tc>
        <w:tc>
          <w:tcPr>
            <w:tcW w:w="2695" w:type="dxa"/>
            <w:vAlign w:val="center"/>
          </w:tcPr>
          <w:p w14:paraId="7AD1B83C">
            <w:pPr>
              <w:pStyle w:val="200"/>
              <w:rPr>
                <w:rFonts w:hAnsi="Arial"/>
                <w:bCs/>
                <w:color w:val="auto"/>
                <w:szCs w:val="21"/>
              </w:rPr>
            </w:pPr>
            <w:r>
              <w:rPr>
                <w:color w:val="auto"/>
                <w:szCs w:val="21"/>
              </w:rPr>
              <w:t xml:space="preserve">符合 </w:t>
            </w:r>
            <w:r>
              <w:rPr>
                <w:rFonts w:hint="eastAsia"/>
                <w:color w:val="auto"/>
                <w:sz w:val="21"/>
                <w:szCs w:val="21"/>
              </w:rPr>
              <w:t>□</w:t>
            </w:r>
            <w:r>
              <w:rPr>
                <w:color w:val="auto"/>
                <w:sz w:val="21"/>
                <w:szCs w:val="21"/>
              </w:rPr>
              <w:t xml:space="preserve">  </w:t>
            </w:r>
            <w:r>
              <w:rPr>
                <w:rFonts w:hint="eastAsia"/>
                <w:color w:val="auto"/>
                <w:szCs w:val="21"/>
              </w:rPr>
              <w:t>不</w:t>
            </w:r>
            <w:r>
              <w:rPr>
                <w:color w:val="auto"/>
                <w:szCs w:val="21"/>
              </w:rPr>
              <w:t>符合</w:t>
            </w:r>
            <w:r>
              <w:rPr>
                <w:rFonts w:hint="eastAsia"/>
                <w:color w:val="auto"/>
                <w:sz w:val="21"/>
                <w:szCs w:val="21"/>
              </w:rPr>
              <w:t>□</w:t>
            </w:r>
          </w:p>
        </w:tc>
      </w:tr>
      <w:tr w14:paraId="6F82C58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97" w:hRule="atLeast"/>
          <w:jc w:val="center"/>
        </w:trPr>
        <w:tc>
          <w:tcPr>
            <w:tcW w:w="0" w:type="auto"/>
            <w:vAlign w:val="center"/>
          </w:tcPr>
          <w:p w14:paraId="420E9D5D">
            <w:pPr>
              <w:pStyle w:val="200"/>
              <w:rPr>
                <w:rFonts w:hAnsi="Arial"/>
                <w:bCs/>
                <w:color w:val="auto"/>
                <w:szCs w:val="21"/>
              </w:rPr>
            </w:pPr>
            <w:r>
              <w:rPr>
                <w:rFonts w:hint="eastAsia" w:hAnsi="Arial"/>
                <w:bCs/>
                <w:color w:val="auto"/>
                <w:szCs w:val="21"/>
              </w:rPr>
              <w:t>3</w:t>
            </w:r>
          </w:p>
        </w:tc>
        <w:tc>
          <w:tcPr>
            <w:tcW w:w="5562" w:type="dxa"/>
            <w:gridSpan w:val="2"/>
            <w:vAlign w:val="center"/>
          </w:tcPr>
          <w:p w14:paraId="45B7D34C">
            <w:pPr>
              <w:pStyle w:val="200"/>
              <w:jc w:val="both"/>
              <w:rPr>
                <w:rFonts w:hAnsi="Arial"/>
                <w:color w:val="auto"/>
                <w:szCs w:val="21"/>
              </w:rPr>
            </w:pPr>
            <w:r>
              <w:rPr>
                <w:rFonts w:hint="eastAsia"/>
                <w:color w:val="auto"/>
                <w:szCs w:val="21"/>
              </w:rPr>
              <w:t>预埋脚柱或</w:t>
            </w:r>
            <w:r>
              <w:rPr>
                <w:color w:val="auto"/>
                <w:szCs w:val="21"/>
              </w:rPr>
              <w:t>地脚螺栓是否符合</w:t>
            </w:r>
            <w:r>
              <w:rPr>
                <w:rFonts w:hint="eastAsia"/>
                <w:color w:val="auto"/>
                <w:szCs w:val="21"/>
              </w:rPr>
              <w:t>施工方案的安装</w:t>
            </w:r>
            <w:r>
              <w:rPr>
                <w:color w:val="auto"/>
                <w:szCs w:val="21"/>
              </w:rPr>
              <w:t>要求</w:t>
            </w:r>
          </w:p>
        </w:tc>
        <w:tc>
          <w:tcPr>
            <w:tcW w:w="2695" w:type="dxa"/>
            <w:vAlign w:val="center"/>
          </w:tcPr>
          <w:p w14:paraId="3831F4A2">
            <w:pPr>
              <w:pStyle w:val="200"/>
              <w:rPr>
                <w:color w:val="auto"/>
                <w:sz w:val="21"/>
                <w:szCs w:val="21"/>
              </w:rPr>
            </w:pPr>
            <w:r>
              <w:rPr>
                <w:color w:val="auto"/>
                <w:sz w:val="21"/>
                <w:szCs w:val="21"/>
              </w:rPr>
              <w:t xml:space="preserve">符合 </w:t>
            </w:r>
            <w:r>
              <w:rPr>
                <w:rFonts w:hint="eastAsia"/>
                <w:color w:val="auto"/>
                <w:sz w:val="21"/>
                <w:szCs w:val="21"/>
              </w:rPr>
              <w:t>□</w:t>
            </w:r>
            <w:r>
              <w:rPr>
                <w:color w:val="auto"/>
                <w:sz w:val="21"/>
                <w:szCs w:val="21"/>
              </w:rPr>
              <w:t xml:space="preserve">  </w:t>
            </w:r>
            <w:r>
              <w:rPr>
                <w:rFonts w:hint="eastAsia"/>
                <w:color w:val="auto"/>
                <w:sz w:val="21"/>
                <w:szCs w:val="21"/>
              </w:rPr>
              <w:t>不</w:t>
            </w:r>
            <w:r>
              <w:rPr>
                <w:color w:val="auto"/>
                <w:sz w:val="21"/>
                <w:szCs w:val="21"/>
              </w:rPr>
              <w:t>符合</w:t>
            </w:r>
            <w:r>
              <w:rPr>
                <w:rFonts w:hint="eastAsia"/>
                <w:color w:val="auto"/>
                <w:sz w:val="21"/>
                <w:szCs w:val="21"/>
              </w:rPr>
              <w:t>□</w:t>
            </w:r>
          </w:p>
        </w:tc>
      </w:tr>
      <w:tr w14:paraId="0509C5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517" w:hRule="atLeast"/>
          <w:jc w:val="center"/>
        </w:trPr>
        <w:tc>
          <w:tcPr>
            <w:tcW w:w="0" w:type="auto"/>
            <w:vAlign w:val="center"/>
          </w:tcPr>
          <w:p w14:paraId="06E02A8E">
            <w:pPr>
              <w:pStyle w:val="200"/>
              <w:rPr>
                <w:rFonts w:hAnsi="Arial"/>
                <w:bCs/>
                <w:color w:val="auto"/>
                <w:szCs w:val="21"/>
              </w:rPr>
            </w:pPr>
            <w:r>
              <w:rPr>
                <w:rFonts w:hint="eastAsia" w:hAnsi="Arial"/>
                <w:bCs/>
                <w:color w:val="auto"/>
                <w:szCs w:val="21"/>
              </w:rPr>
              <w:t>4</w:t>
            </w:r>
          </w:p>
        </w:tc>
        <w:tc>
          <w:tcPr>
            <w:tcW w:w="5562" w:type="dxa"/>
            <w:gridSpan w:val="2"/>
            <w:vAlign w:val="center"/>
          </w:tcPr>
          <w:p w14:paraId="60CD35B8">
            <w:pPr>
              <w:pStyle w:val="200"/>
              <w:jc w:val="both"/>
              <w:rPr>
                <w:rFonts w:hAnsi="Arial"/>
                <w:color w:val="auto"/>
                <w:szCs w:val="21"/>
              </w:rPr>
            </w:pPr>
            <w:r>
              <w:rPr>
                <w:rFonts w:hint="eastAsia"/>
                <w:color w:val="auto"/>
                <w:szCs w:val="21"/>
              </w:rPr>
              <w:t>塔机钢筋混凝土承台内置钢筋是否外露；</w:t>
            </w:r>
          </w:p>
        </w:tc>
        <w:tc>
          <w:tcPr>
            <w:tcW w:w="2695" w:type="dxa"/>
            <w:vAlign w:val="center"/>
          </w:tcPr>
          <w:p w14:paraId="3B92AD29">
            <w:pPr>
              <w:pStyle w:val="200"/>
              <w:rPr>
                <w:color w:val="auto"/>
                <w:sz w:val="21"/>
                <w:szCs w:val="21"/>
              </w:rPr>
            </w:pPr>
            <w:r>
              <w:rPr>
                <w:color w:val="auto"/>
                <w:sz w:val="21"/>
                <w:szCs w:val="21"/>
              </w:rPr>
              <w:t xml:space="preserve">符合 </w:t>
            </w:r>
            <w:r>
              <w:rPr>
                <w:rFonts w:hint="eastAsia"/>
                <w:color w:val="auto"/>
                <w:sz w:val="21"/>
                <w:szCs w:val="21"/>
              </w:rPr>
              <w:t>□</w:t>
            </w:r>
            <w:r>
              <w:rPr>
                <w:color w:val="auto"/>
                <w:sz w:val="21"/>
                <w:szCs w:val="21"/>
              </w:rPr>
              <w:t xml:space="preserve">  </w:t>
            </w:r>
            <w:r>
              <w:rPr>
                <w:rFonts w:hint="eastAsia"/>
                <w:color w:val="auto"/>
                <w:sz w:val="21"/>
                <w:szCs w:val="21"/>
              </w:rPr>
              <w:t>不</w:t>
            </w:r>
            <w:r>
              <w:rPr>
                <w:color w:val="auto"/>
                <w:sz w:val="21"/>
                <w:szCs w:val="21"/>
              </w:rPr>
              <w:t>符合</w:t>
            </w:r>
            <w:r>
              <w:rPr>
                <w:rFonts w:hint="eastAsia"/>
                <w:color w:val="auto"/>
                <w:sz w:val="21"/>
                <w:szCs w:val="21"/>
              </w:rPr>
              <w:t>□</w:t>
            </w:r>
          </w:p>
        </w:tc>
      </w:tr>
      <w:tr w14:paraId="3CD96FA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00" w:hRule="atLeast"/>
          <w:jc w:val="center"/>
        </w:trPr>
        <w:tc>
          <w:tcPr>
            <w:tcW w:w="0" w:type="auto"/>
            <w:vAlign w:val="center"/>
          </w:tcPr>
          <w:p w14:paraId="62DD390A">
            <w:pPr>
              <w:pStyle w:val="200"/>
              <w:rPr>
                <w:rFonts w:hAnsi="Arial"/>
                <w:bCs/>
                <w:color w:val="auto"/>
                <w:szCs w:val="21"/>
              </w:rPr>
            </w:pPr>
            <w:r>
              <w:rPr>
                <w:rFonts w:hint="eastAsia" w:hAnsi="Arial"/>
                <w:bCs/>
                <w:color w:val="auto"/>
                <w:szCs w:val="21"/>
              </w:rPr>
              <w:t>5</w:t>
            </w:r>
          </w:p>
        </w:tc>
        <w:tc>
          <w:tcPr>
            <w:tcW w:w="5562" w:type="dxa"/>
            <w:gridSpan w:val="2"/>
            <w:vAlign w:val="center"/>
          </w:tcPr>
          <w:p w14:paraId="5BE22699">
            <w:pPr>
              <w:pStyle w:val="200"/>
              <w:jc w:val="both"/>
              <w:rPr>
                <w:rFonts w:hAnsi="Arial"/>
                <w:color w:val="auto"/>
                <w:spacing w:val="6"/>
              </w:rPr>
            </w:pPr>
            <w:r>
              <w:rPr>
                <w:color w:val="auto"/>
                <w:szCs w:val="21"/>
              </w:rPr>
              <w:t>实际基础位置是否与方案中的位置相符</w:t>
            </w:r>
          </w:p>
        </w:tc>
        <w:tc>
          <w:tcPr>
            <w:tcW w:w="2695" w:type="dxa"/>
            <w:vAlign w:val="center"/>
          </w:tcPr>
          <w:p w14:paraId="0DEF9FFD">
            <w:pPr>
              <w:pStyle w:val="200"/>
              <w:rPr>
                <w:color w:val="auto"/>
                <w:sz w:val="21"/>
                <w:szCs w:val="21"/>
              </w:rPr>
            </w:pPr>
            <w:r>
              <w:rPr>
                <w:color w:val="auto"/>
                <w:sz w:val="21"/>
                <w:szCs w:val="21"/>
              </w:rPr>
              <w:t xml:space="preserve">符合 </w:t>
            </w:r>
            <w:r>
              <w:rPr>
                <w:rFonts w:hint="eastAsia"/>
                <w:color w:val="auto"/>
                <w:sz w:val="21"/>
                <w:szCs w:val="21"/>
              </w:rPr>
              <w:t>□</w:t>
            </w:r>
            <w:r>
              <w:rPr>
                <w:color w:val="auto"/>
                <w:sz w:val="21"/>
                <w:szCs w:val="21"/>
              </w:rPr>
              <w:t xml:space="preserve">  </w:t>
            </w:r>
            <w:r>
              <w:rPr>
                <w:rFonts w:hint="eastAsia"/>
                <w:color w:val="auto"/>
                <w:sz w:val="21"/>
                <w:szCs w:val="21"/>
              </w:rPr>
              <w:t>不</w:t>
            </w:r>
            <w:r>
              <w:rPr>
                <w:color w:val="auto"/>
                <w:sz w:val="21"/>
                <w:szCs w:val="21"/>
              </w:rPr>
              <w:t>符合</w:t>
            </w:r>
            <w:r>
              <w:rPr>
                <w:rFonts w:hint="eastAsia"/>
                <w:color w:val="auto"/>
                <w:sz w:val="21"/>
                <w:szCs w:val="21"/>
              </w:rPr>
              <w:t>□</w:t>
            </w:r>
          </w:p>
        </w:tc>
      </w:tr>
      <w:tr w14:paraId="5022463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970" w:hRule="atLeast"/>
          <w:jc w:val="center"/>
        </w:trPr>
        <w:tc>
          <w:tcPr>
            <w:tcW w:w="0" w:type="auto"/>
            <w:gridSpan w:val="4"/>
            <w:vAlign w:val="center"/>
          </w:tcPr>
          <w:p w14:paraId="7C9DED40">
            <w:pPr>
              <w:pStyle w:val="200"/>
              <w:jc w:val="both"/>
              <w:rPr>
                <w:color w:val="auto"/>
                <w:szCs w:val="21"/>
              </w:rPr>
            </w:pPr>
            <w:r>
              <w:rPr>
                <w:rFonts w:hint="eastAsia"/>
                <w:color w:val="auto"/>
                <w:szCs w:val="21"/>
              </w:rPr>
              <w:t>安装</w:t>
            </w:r>
            <w:r>
              <w:rPr>
                <w:color w:val="auto"/>
                <w:szCs w:val="21"/>
              </w:rPr>
              <w:t>单位验收结论</w:t>
            </w:r>
            <w:r>
              <w:rPr>
                <w:rFonts w:hint="eastAsia"/>
                <w:color w:val="auto"/>
                <w:szCs w:val="21"/>
              </w:rPr>
              <w:t>：</w:t>
            </w:r>
          </w:p>
          <w:p w14:paraId="51A3B34D">
            <w:pPr>
              <w:pStyle w:val="200"/>
              <w:jc w:val="both"/>
              <w:rPr>
                <w:color w:val="auto"/>
                <w:szCs w:val="21"/>
              </w:rPr>
            </w:pPr>
          </w:p>
          <w:p w14:paraId="10225EFA">
            <w:pPr>
              <w:pStyle w:val="200"/>
              <w:rPr>
                <w:color w:val="auto"/>
                <w:sz w:val="32"/>
                <w:szCs w:val="32"/>
              </w:rPr>
            </w:pPr>
            <w:r>
              <w:rPr>
                <w:rFonts w:hint="eastAsia"/>
                <w:color w:val="auto"/>
                <w:szCs w:val="21"/>
              </w:rPr>
              <w:t>合</w:t>
            </w:r>
            <w:r>
              <w:rPr>
                <w:color w:val="auto"/>
                <w:szCs w:val="21"/>
              </w:rPr>
              <w:t>格准予安装</w:t>
            </w:r>
            <w:r>
              <w:rPr>
                <w:rFonts w:hint="eastAsia"/>
                <w:color w:val="auto"/>
                <w:szCs w:val="21"/>
              </w:rPr>
              <w:t xml:space="preserve"> </w:t>
            </w:r>
            <w:r>
              <w:rPr>
                <w:rFonts w:hint="eastAsia"/>
                <w:color w:val="auto"/>
                <w:sz w:val="21"/>
                <w:szCs w:val="21"/>
              </w:rPr>
              <w:t xml:space="preserve">□ </w:t>
            </w:r>
            <w:r>
              <w:rPr>
                <w:rFonts w:hint="eastAsia"/>
                <w:color w:val="auto"/>
                <w:szCs w:val="21"/>
              </w:rPr>
              <w:t xml:space="preserve">     </w:t>
            </w:r>
            <w:r>
              <w:rPr>
                <w:rFonts w:hint="eastAsia"/>
                <w:color w:val="auto"/>
                <w:spacing w:val="-6"/>
                <w:szCs w:val="21"/>
              </w:rPr>
              <w:t>不</w:t>
            </w:r>
            <w:r>
              <w:rPr>
                <w:color w:val="auto"/>
                <w:spacing w:val="-6"/>
                <w:szCs w:val="21"/>
              </w:rPr>
              <w:t>合格</w:t>
            </w:r>
            <w:r>
              <w:rPr>
                <w:rFonts w:hint="eastAsia"/>
                <w:color w:val="auto"/>
                <w:spacing w:val="-6"/>
                <w:szCs w:val="21"/>
              </w:rPr>
              <w:t>不</w:t>
            </w:r>
            <w:r>
              <w:rPr>
                <w:color w:val="auto"/>
                <w:spacing w:val="-6"/>
                <w:szCs w:val="21"/>
              </w:rPr>
              <w:t>准安装</w:t>
            </w:r>
            <w:r>
              <w:rPr>
                <w:rFonts w:hint="eastAsia"/>
                <w:color w:val="auto"/>
                <w:spacing w:val="-6"/>
                <w:szCs w:val="21"/>
              </w:rPr>
              <w:t xml:space="preserve"> </w:t>
            </w:r>
            <w:r>
              <w:rPr>
                <w:rFonts w:hint="eastAsia"/>
                <w:color w:val="auto"/>
                <w:sz w:val="21"/>
                <w:szCs w:val="21"/>
              </w:rPr>
              <w:t>□</w:t>
            </w:r>
          </w:p>
          <w:p w14:paraId="11A253AC">
            <w:pPr>
              <w:pStyle w:val="200"/>
              <w:rPr>
                <w:color w:val="auto"/>
                <w:sz w:val="32"/>
                <w:szCs w:val="32"/>
              </w:rPr>
            </w:pPr>
          </w:p>
          <w:p w14:paraId="1B709F77">
            <w:pPr>
              <w:pStyle w:val="200"/>
              <w:rPr>
                <w:rFonts w:hAnsi="Arial"/>
                <w:color w:val="auto"/>
                <w:spacing w:val="6"/>
                <w:szCs w:val="21"/>
              </w:rPr>
            </w:pPr>
            <w:r>
              <w:rPr>
                <w:rFonts w:hint="eastAsia" w:hAnsi="Arial"/>
                <w:color w:val="auto"/>
                <w:spacing w:val="6"/>
                <w:szCs w:val="21"/>
              </w:rPr>
              <w:t xml:space="preserve">                                              签字（盖 章）：</w:t>
            </w:r>
          </w:p>
          <w:p w14:paraId="4AA251A0">
            <w:pPr>
              <w:pStyle w:val="200"/>
              <w:rPr>
                <w:rFonts w:hAnsi="Arial"/>
                <w:color w:val="auto"/>
                <w:szCs w:val="21"/>
              </w:rPr>
            </w:pPr>
            <w:r>
              <w:rPr>
                <w:rFonts w:hint="eastAsia" w:hAnsi="Arial"/>
                <w:color w:val="auto"/>
                <w:spacing w:val="6"/>
                <w:szCs w:val="21"/>
              </w:rPr>
              <w:t xml:space="preserve">                                             年</w:t>
            </w:r>
            <w:r>
              <w:rPr>
                <w:rFonts w:hint="eastAsia" w:hAnsi="Arial"/>
                <w:color w:val="auto"/>
                <w:spacing w:val="6"/>
                <w:szCs w:val="21"/>
                <w:u w:val="single"/>
              </w:rPr>
              <w:t xml:space="preserve">     </w:t>
            </w:r>
            <w:r>
              <w:rPr>
                <w:rFonts w:hint="eastAsia" w:hAnsi="Arial"/>
                <w:color w:val="auto"/>
                <w:spacing w:val="6"/>
                <w:szCs w:val="21"/>
              </w:rPr>
              <w:t>月</w:t>
            </w:r>
            <w:r>
              <w:rPr>
                <w:rFonts w:hint="eastAsia" w:hAnsi="Arial"/>
                <w:color w:val="auto"/>
                <w:spacing w:val="6"/>
                <w:szCs w:val="21"/>
                <w:u w:val="single"/>
              </w:rPr>
              <w:t xml:space="preserve">     </w:t>
            </w:r>
            <w:r>
              <w:rPr>
                <w:rFonts w:hint="eastAsia" w:hAnsi="Arial"/>
                <w:color w:val="auto"/>
                <w:spacing w:val="6"/>
                <w:szCs w:val="21"/>
              </w:rPr>
              <w:t>日</w:t>
            </w:r>
          </w:p>
        </w:tc>
      </w:tr>
    </w:tbl>
    <w:p w14:paraId="4DEC4C59">
      <w:pPr>
        <w:pStyle w:val="99"/>
        <w:spacing w:before="120" w:after="120"/>
        <w:outlineLvl w:val="1"/>
        <w:rPr>
          <w:color w:val="auto"/>
        </w:rPr>
      </w:pPr>
      <w:r>
        <w:rPr>
          <w:rFonts w:hint="eastAsia"/>
          <w:color w:val="auto"/>
        </w:rPr>
        <w:br w:type="page"/>
      </w:r>
    </w:p>
    <w:bookmarkEnd w:id="128"/>
    <w:p w14:paraId="7D39DE27">
      <w:pPr>
        <w:pStyle w:val="220"/>
        <w:ind w:left="5250"/>
        <w:rPr>
          <w:rFonts w:hint="eastAsia"/>
          <w:vanish w:val="0"/>
          <w:color w:val="auto"/>
          <w:shd w:val="clear" w:color="auto" w:fill="FDFDFE"/>
        </w:rPr>
      </w:pPr>
    </w:p>
    <w:p w14:paraId="300C669F">
      <w:pPr>
        <w:pStyle w:val="221"/>
        <w:ind w:left="420"/>
        <w:rPr>
          <w:vanish w:val="0"/>
          <w:color w:val="auto"/>
        </w:rPr>
      </w:pPr>
    </w:p>
    <w:p w14:paraId="66C99D54">
      <w:pPr>
        <w:pStyle w:val="98"/>
        <w:spacing w:after="120"/>
        <w:rPr>
          <w:color w:val="auto"/>
        </w:rPr>
      </w:pPr>
      <w:r>
        <w:rPr>
          <w:color w:val="auto"/>
        </w:rPr>
        <w:br w:type="textWrapping"/>
      </w:r>
      <w:bookmarkStart w:id="135" w:name="_Toc197422452"/>
      <w:r>
        <w:rPr>
          <w:rFonts w:hint="eastAsia"/>
          <w:color w:val="auto"/>
        </w:rPr>
        <w:t>（资料性）</w:t>
      </w:r>
      <w:r>
        <w:rPr>
          <w:color w:val="auto"/>
        </w:rPr>
        <w:br w:type="textWrapping"/>
      </w:r>
      <w:r>
        <w:rPr>
          <w:rFonts w:hint="eastAsia"/>
          <w:color w:val="auto"/>
        </w:rPr>
        <w:t>塔机附着装置安装收表</w:t>
      </w:r>
      <w:bookmarkEnd w:id="135"/>
    </w:p>
    <w:p w14:paraId="5FA588DD">
      <w:pPr>
        <w:pStyle w:val="78"/>
        <w:ind w:firstLine="420"/>
        <w:rPr>
          <w:color w:val="auto"/>
        </w:rPr>
      </w:pPr>
      <w:r>
        <w:rPr>
          <w:rFonts w:hint="eastAsia"/>
          <w:color w:val="auto"/>
        </w:rPr>
        <w:t>表C.1给出了塔机附着装置安装验收内容及要求。</w:t>
      </w:r>
    </w:p>
    <w:p w14:paraId="6C806EF5">
      <w:pPr>
        <w:pStyle w:val="99"/>
        <w:spacing w:before="120" w:after="120"/>
        <w:outlineLvl w:val="1"/>
        <w:rPr>
          <w:color w:val="auto"/>
        </w:rPr>
      </w:pPr>
      <w:r>
        <w:rPr>
          <w:rFonts w:hint="eastAsia"/>
          <w:color w:val="auto"/>
        </w:rPr>
        <w:t xml:space="preserve"> 塔机附着装置安装验收表</w:t>
      </w:r>
    </w:p>
    <w:tbl>
      <w:tblPr>
        <w:tblStyle w:val="3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8"/>
        <w:gridCol w:w="3250"/>
        <w:gridCol w:w="2328"/>
        <w:gridCol w:w="1686"/>
      </w:tblGrid>
      <w:tr w14:paraId="0BA9F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58" w:type="dxa"/>
            <w:vAlign w:val="center"/>
          </w:tcPr>
          <w:p w14:paraId="162DA3B1">
            <w:pPr>
              <w:pStyle w:val="200"/>
              <w:rPr>
                <w:color w:val="auto"/>
                <w:lang w:bidi="ar"/>
              </w:rPr>
            </w:pPr>
            <w:r>
              <w:rPr>
                <w:rFonts w:hint="eastAsia"/>
                <w:color w:val="auto"/>
                <w:lang w:bidi="ar"/>
              </w:rPr>
              <w:t>工程名称</w:t>
            </w:r>
          </w:p>
        </w:tc>
        <w:tc>
          <w:tcPr>
            <w:tcW w:w="3250" w:type="dxa"/>
            <w:vAlign w:val="center"/>
          </w:tcPr>
          <w:p w14:paraId="6FED8C59">
            <w:pPr>
              <w:pStyle w:val="200"/>
              <w:rPr>
                <w:color w:val="auto"/>
                <w:lang w:bidi="ar"/>
              </w:rPr>
            </w:pPr>
          </w:p>
        </w:tc>
        <w:tc>
          <w:tcPr>
            <w:tcW w:w="2328" w:type="dxa"/>
            <w:vAlign w:val="center"/>
          </w:tcPr>
          <w:p w14:paraId="072E2460">
            <w:pPr>
              <w:pStyle w:val="200"/>
              <w:rPr>
                <w:color w:val="auto"/>
                <w:lang w:bidi="ar"/>
              </w:rPr>
            </w:pPr>
            <w:r>
              <w:rPr>
                <w:rFonts w:hint="eastAsia"/>
                <w:color w:val="auto"/>
                <w:lang w:bidi="ar"/>
              </w:rPr>
              <w:t>塔机型号</w:t>
            </w:r>
          </w:p>
        </w:tc>
        <w:tc>
          <w:tcPr>
            <w:tcW w:w="1686" w:type="dxa"/>
            <w:vAlign w:val="center"/>
          </w:tcPr>
          <w:p w14:paraId="10363C09">
            <w:pPr>
              <w:pStyle w:val="200"/>
              <w:rPr>
                <w:color w:val="auto"/>
                <w:lang w:bidi="ar"/>
              </w:rPr>
            </w:pPr>
          </w:p>
        </w:tc>
      </w:tr>
      <w:tr w14:paraId="73696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58" w:type="dxa"/>
            <w:vAlign w:val="center"/>
          </w:tcPr>
          <w:p w14:paraId="11AFDDBD">
            <w:pPr>
              <w:pStyle w:val="200"/>
              <w:rPr>
                <w:color w:val="auto"/>
                <w:lang w:bidi="ar"/>
              </w:rPr>
            </w:pPr>
            <w:r>
              <w:rPr>
                <w:rFonts w:hint="eastAsia"/>
                <w:color w:val="auto"/>
                <w:lang w:bidi="ar"/>
              </w:rPr>
              <w:t>使用单位</w:t>
            </w:r>
          </w:p>
        </w:tc>
        <w:tc>
          <w:tcPr>
            <w:tcW w:w="3250" w:type="dxa"/>
            <w:vAlign w:val="center"/>
          </w:tcPr>
          <w:p w14:paraId="22DA4F37">
            <w:pPr>
              <w:pStyle w:val="200"/>
              <w:rPr>
                <w:color w:val="auto"/>
                <w:lang w:bidi="ar"/>
              </w:rPr>
            </w:pPr>
          </w:p>
        </w:tc>
        <w:tc>
          <w:tcPr>
            <w:tcW w:w="2328" w:type="dxa"/>
            <w:vAlign w:val="center"/>
          </w:tcPr>
          <w:p w14:paraId="2C1DA342">
            <w:pPr>
              <w:pStyle w:val="200"/>
              <w:rPr>
                <w:color w:val="auto"/>
                <w:lang w:bidi="ar"/>
              </w:rPr>
            </w:pPr>
            <w:r>
              <w:rPr>
                <w:rFonts w:hint="eastAsia"/>
                <w:color w:val="auto"/>
                <w:lang w:bidi="ar"/>
              </w:rPr>
              <w:t>塔机编号</w:t>
            </w:r>
          </w:p>
        </w:tc>
        <w:tc>
          <w:tcPr>
            <w:tcW w:w="1686" w:type="dxa"/>
            <w:vAlign w:val="center"/>
          </w:tcPr>
          <w:p w14:paraId="080CF040">
            <w:pPr>
              <w:pStyle w:val="200"/>
              <w:rPr>
                <w:color w:val="auto"/>
                <w:lang w:bidi="ar"/>
              </w:rPr>
            </w:pPr>
          </w:p>
        </w:tc>
      </w:tr>
      <w:tr w14:paraId="64A3F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58" w:type="dxa"/>
            <w:vAlign w:val="center"/>
          </w:tcPr>
          <w:p w14:paraId="2EE6D6A4">
            <w:pPr>
              <w:pStyle w:val="200"/>
              <w:rPr>
                <w:color w:val="auto"/>
                <w:lang w:bidi="ar"/>
              </w:rPr>
            </w:pPr>
            <w:r>
              <w:rPr>
                <w:rFonts w:hint="eastAsia"/>
                <w:color w:val="auto"/>
                <w:lang w:bidi="ar"/>
              </w:rPr>
              <w:t>安装单位</w:t>
            </w:r>
          </w:p>
        </w:tc>
        <w:tc>
          <w:tcPr>
            <w:tcW w:w="3250" w:type="dxa"/>
            <w:vAlign w:val="center"/>
          </w:tcPr>
          <w:p w14:paraId="68C52F50">
            <w:pPr>
              <w:pStyle w:val="200"/>
              <w:rPr>
                <w:color w:val="auto"/>
                <w:lang w:bidi="ar"/>
              </w:rPr>
            </w:pPr>
          </w:p>
        </w:tc>
        <w:tc>
          <w:tcPr>
            <w:tcW w:w="2328" w:type="dxa"/>
            <w:vAlign w:val="center"/>
          </w:tcPr>
          <w:p w14:paraId="6FB4F2D1">
            <w:pPr>
              <w:pStyle w:val="200"/>
              <w:rPr>
                <w:color w:val="auto"/>
                <w:lang w:bidi="ar"/>
              </w:rPr>
            </w:pPr>
            <w:r>
              <w:rPr>
                <w:rFonts w:hint="eastAsia"/>
                <w:color w:val="auto"/>
                <w:lang w:bidi="ar"/>
              </w:rPr>
              <w:t>附着距地面高度（m）</w:t>
            </w:r>
          </w:p>
        </w:tc>
        <w:tc>
          <w:tcPr>
            <w:tcW w:w="1686" w:type="dxa"/>
            <w:vAlign w:val="center"/>
          </w:tcPr>
          <w:p w14:paraId="0BD42534">
            <w:pPr>
              <w:pStyle w:val="200"/>
              <w:rPr>
                <w:color w:val="auto"/>
                <w:lang w:bidi="ar"/>
              </w:rPr>
            </w:pPr>
          </w:p>
        </w:tc>
      </w:tr>
      <w:tr w14:paraId="78DF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258" w:type="dxa"/>
            <w:vAlign w:val="center"/>
          </w:tcPr>
          <w:p w14:paraId="01536D1E">
            <w:pPr>
              <w:pStyle w:val="200"/>
              <w:rPr>
                <w:color w:val="auto"/>
                <w:lang w:bidi="ar"/>
              </w:rPr>
            </w:pPr>
            <w:r>
              <w:rPr>
                <w:rFonts w:hint="eastAsia"/>
                <w:color w:val="auto"/>
                <w:lang w:bidi="ar"/>
              </w:rPr>
              <w:t>制造单位</w:t>
            </w:r>
          </w:p>
        </w:tc>
        <w:tc>
          <w:tcPr>
            <w:tcW w:w="3250" w:type="dxa"/>
            <w:vAlign w:val="center"/>
          </w:tcPr>
          <w:p w14:paraId="788DBC16">
            <w:pPr>
              <w:pStyle w:val="200"/>
              <w:rPr>
                <w:color w:val="auto"/>
                <w:lang w:bidi="ar"/>
              </w:rPr>
            </w:pPr>
          </w:p>
        </w:tc>
        <w:tc>
          <w:tcPr>
            <w:tcW w:w="2328" w:type="dxa"/>
            <w:vAlign w:val="center"/>
          </w:tcPr>
          <w:p w14:paraId="70758DEE">
            <w:pPr>
              <w:pStyle w:val="200"/>
              <w:rPr>
                <w:color w:val="auto"/>
                <w:lang w:bidi="ar"/>
              </w:rPr>
            </w:pPr>
            <w:r>
              <w:rPr>
                <w:rFonts w:hint="eastAsia"/>
                <w:color w:val="auto"/>
                <w:lang w:bidi="ar"/>
              </w:rPr>
              <w:t>附着装置安装日期</w:t>
            </w:r>
          </w:p>
        </w:tc>
        <w:tc>
          <w:tcPr>
            <w:tcW w:w="1686" w:type="dxa"/>
            <w:vAlign w:val="center"/>
          </w:tcPr>
          <w:p w14:paraId="68D2C517">
            <w:pPr>
              <w:pStyle w:val="200"/>
              <w:rPr>
                <w:color w:val="auto"/>
                <w:lang w:bidi="ar"/>
              </w:rPr>
            </w:pPr>
          </w:p>
        </w:tc>
      </w:tr>
      <w:tr w14:paraId="2F889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508" w:type="dxa"/>
            <w:gridSpan w:val="2"/>
            <w:vAlign w:val="center"/>
          </w:tcPr>
          <w:p w14:paraId="431DEBD5">
            <w:pPr>
              <w:pStyle w:val="200"/>
              <w:rPr>
                <w:color w:val="auto"/>
                <w:lang w:bidi="ar"/>
              </w:rPr>
            </w:pPr>
            <w:r>
              <w:rPr>
                <w:rFonts w:hint="eastAsia"/>
                <w:color w:val="auto"/>
                <w:lang w:bidi="ar"/>
              </w:rPr>
              <w:t>验收内容及要求</w:t>
            </w:r>
          </w:p>
        </w:tc>
        <w:tc>
          <w:tcPr>
            <w:tcW w:w="2328" w:type="dxa"/>
            <w:vAlign w:val="center"/>
          </w:tcPr>
          <w:p w14:paraId="6DED153B">
            <w:pPr>
              <w:pStyle w:val="200"/>
              <w:rPr>
                <w:color w:val="auto"/>
                <w:lang w:bidi="ar"/>
              </w:rPr>
            </w:pPr>
            <w:r>
              <w:rPr>
                <w:rFonts w:hint="eastAsia"/>
                <w:color w:val="auto"/>
                <w:lang w:bidi="ar"/>
              </w:rPr>
              <w:t>检查情况</w:t>
            </w:r>
          </w:p>
        </w:tc>
        <w:tc>
          <w:tcPr>
            <w:tcW w:w="1686" w:type="dxa"/>
            <w:vAlign w:val="center"/>
          </w:tcPr>
          <w:p w14:paraId="3B5463E2">
            <w:pPr>
              <w:pStyle w:val="200"/>
              <w:rPr>
                <w:color w:val="auto"/>
                <w:lang w:bidi="ar"/>
              </w:rPr>
            </w:pPr>
            <w:r>
              <w:rPr>
                <w:rFonts w:hint="eastAsia"/>
                <w:color w:val="auto"/>
                <w:lang w:bidi="ar"/>
              </w:rPr>
              <w:t>验收结果</w:t>
            </w:r>
          </w:p>
        </w:tc>
      </w:tr>
      <w:tr w14:paraId="6B8CA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508" w:type="dxa"/>
            <w:gridSpan w:val="2"/>
            <w:vAlign w:val="center"/>
          </w:tcPr>
          <w:p w14:paraId="26A9C7E2">
            <w:pPr>
              <w:pStyle w:val="200"/>
              <w:jc w:val="left"/>
              <w:rPr>
                <w:color w:val="auto"/>
                <w:lang w:bidi="ar"/>
              </w:rPr>
            </w:pPr>
            <w:r>
              <w:rPr>
                <w:rFonts w:hint="eastAsia"/>
                <w:color w:val="auto"/>
                <w:lang w:bidi="ar"/>
              </w:rPr>
              <w:t>附着框在标准节上的安装位置是否符合要求；附着框与塔身是否固定牢靠</w:t>
            </w:r>
          </w:p>
        </w:tc>
        <w:tc>
          <w:tcPr>
            <w:tcW w:w="2328" w:type="dxa"/>
            <w:vAlign w:val="center"/>
          </w:tcPr>
          <w:p w14:paraId="5A65FA66">
            <w:pPr>
              <w:pStyle w:val="200"/>
              <w:rPr>
                <w:color w:val="auto"/>
                <w:lang w:bidi="ar"/>
              </w:rPr>
            </w:pPr>
          </w:p>
        </w:tc>
        <w:tc>
          <w:tcPr>
            <w:tcW w:w="1686" w:type="dxa"/>
            <w:vAlign w:val="center"/>
          </w:tcPr>
          <w:p w14:paraId="1543F7F8">
            <w:pPr>
              <w:pStyle w:val="200"/>
              <w:rPr>
                <w:color w:val="auto"/>
                <w:lang w:bidi="ar"/>
              </w:rPr>
            </w:pPr>
          </w:p>
        </w:tc>
      </w:tr>
      <w:tr w14:paraId="02B16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508" w:type="dxa"/>
            <w:gridSpan w:val="2"/>
            <w:vAlign w:val="center"/>
          </w:tcPr>
          <w:p w14:paraId="0D1EDB32">
            <w:pPr>
              <w:pStyle w:val="200"/>
              <w:jc w:val="left"/>
              <w:rPr>
                <w:color w:val="auto"/>
                <w:lang w:bidi="ar"/>
              </w:rPr>
            </w:pPr>
            <w:r>
              <w:rPr>
                <w:rFonts w:hint="eastAsia"/>
                <w:color w:val="auto"/>
                <w:lang w:bidi="ar"/>
              </w:rPr>
              <w:t>附着撑杆是否存在明显变形，焊缝有无裂纹；</w:t>
            </w:r>
            <w:r>
              <w:rPr>
                <w:color w:val="auto"/>
              </w:rPr>
              <w:t>附着</w:t>
            </w:r>
            <w:r>
              <w:rPr>
                <w:rFonts w:hint="eastAsia"/>
                <w:color w:val="auto"/>
              </w:rPr>
              <w:t>撑杆上下</w:t>
            </w:r>
            <w:r>
              <w:rPr>
                <w:color w:val="auto"/>
              </w:rPr>
              <w:t>倾斜角允许偏差为</w:t>
            </w:r>
            <w:r>
              <w:rPr>
                <w:rFonts w:hint="eastAsia"/>
                <w:color w:val="auto"/>
              </w:rPr>
              <w:t>±</w:t>
            </w:r>
            <w:r>
              <w:rPr>
                <w:color w:val="auto"/>
              </w:rPr>
              <w:t>5</w:t>
            </w:r>
            <w:r>
              <w:rPr>
                <w:rFonts w:hint="eastAsia"/>
                <w:color w:val="auto"/>
              </w:rPr>
              <w:t>°</w:t>
            </w:r>
          </w:p>
        </w:tc>
        <w:tc>
          <w:tcPr>
            <w:tcW w:w="2328" w:type="dxa"/>
            <w:vAlign w:val="center"/>
          </w:tcPr>
          <w:p w14:paraId="73CBC489">
            <w:pPr>
              <w:pStyle w:val="200"/>
              <w:rPr>
                <w:color w:val="auto"/>
                <w:lang w:bidi="ar"/>
              </w:rPr>
            </w:pPr>
          </w:p>
        </w:tc>
        <w:tc>
          <w:tcPr>
            <w:tcW w:w="1686" w:type="dxa"/>
            <w:vAlign w:val="center"/>
          </w:tcPr>
          <w:p w14:paraId="6B3F9E86">
            <w:pPr>
              <w:pStyle w:val="200"/>
              <w:rPr>
                <w:color w:val="auto"/>
                <w:lang w:bidi="ar"/>
              </w:rPr>
            </w:pPr>
          </w:p>
        </w:tc>
      </w:tr>
      <w:tr w14:paraId="60A9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508" w:type="dxa"/>
            <w:gridSpan w:val="2"/>
            <w:vAlign w:val="center"/>
          </w:tcPr>
          <w:p w14:paraId="6A5A2929">
            <w:pPr>
              <w:pStyle w:val="200"/>
              <w:jc w:val="left"/>
              <w:rPr>
                <w:color w:val="auto"/>
                <w:lang w:bidi="ar"/>
              </w:rPr>
            </w:pPr>
            <w:r>
              <w:rPr>
                <w:rFonts w:hint="eastAsia"/>
                <w:color w:val="auto"/>
              </w:rPr>
              <w:t>建 (构)筑物上</w:t>
            </w:r>
            <w:r>
              <w:rPr>
                <w:rFonts w:hint="eastAsia"/>
                <w:color w:val="auto"/>
                <w:lang w:bidi="ar"/>
              </w:rPr>
              <w:t>预埋件、附着支座等是否安装牢固</w:t>
            </w:r>
          </w:p>
        </w:tc>
        <w:tc>
          <w:tcPr>
            <w:tcW w:w="2328" w:type="dxa"/>
            <w:vAlign w:val="center"/>
          </w:tcPr>
          <w:p w14:paraId="1FEA036F">
            <w:pPr>
              <w:pStyle w:val="200"/>
              <w:rPr>
                <w:color w:val="auto"/>
                <w:lang w:bidi="ar"/>
              </w:rPr>
            </w:pPr>
          </w:p>
        </w:tc>
        <w:tc>
          <w:tcPr>
            <w:tcW w:w="1686" w:type="dxa"/>
            <w:vAlign w:val="center"/>
          </w:tcPr>
          <w:p w14:paraId="6F927544">
            <w:pPr>
              <w:pStyle w:val="200"/>
              <w:rPr>
                <w:color w:val="auto"/>
                <w:lang w:bidi="ar"/>
              </w:rPr>
            </w:pPr>
          </w:p>
        </w:tc>
      </w:tr>
      <w:tr w14:paraId="28971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508" w:type="dxa"/>
            <w:gridSpan w:val="2"/>
            <w:vAlign w:val="center"/>
          </w:tcPr>
          <w:p w14:paraId="6527108C">
            <w:pPr>
              <w:pStyle w:val="200"/>
              <w:jc w:val="left"/>
              <w:rPr>
                <w:color w:val="auto"/>
                <w:lang w:bidi="ar"/>
              </w:rPr>
            </w:pPr>
            <w:r>
              <w:rPr>
                <w:rFonts w:hint="eastAsia"/>
                <w:color w:val="auto"/>
                <w:lang w:bidi="ar"/>
              </w:rPr>
              <w:t>附着撑杆型式、附着撑杆水平夹角是否符合要求、安全可靠</w:t>
            </w:r>
          </w:p>
        </w:tc>
        <w:tc>
          <w:tcPr>
            <w:tcW w:w="2328" w:type="dxa"/>
            <w:vAlign w:val="center"/>
          </w:tcPr>
          <w:p w14:paraId="26B2CA64">
            <w:pPr>
              <w:pStyle w:val="200"/>
              <w:rPr>
                <w:color w:val="auto"/>
                <w:lang w:bidi="ar"/>
              </w:rPr>
            </w:pPr>
          </w:p>
        </w:tc>
        <w:tc>
          <w:tcPr>
            <w:tcW w:w="1686" w:type="dxa"/>
            <w:vAlign w:val="center"/>
          </w:tcPr>
          <w:p w14:paraId="340B17A6">
            <w:pPr>
              <w:pStyle w:val="200"/>
              <w:rPr>
                <w:color w:val="auto"/>
                <w:lang w:bidi="ar"/>
              </w:rPr>
            </w:pPr>
          </w:p>
        </w:tc>
      </w:tr>
      <w:tr w14:paraId="23DB1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508" w:type="dxa"/>
            <w:gridSpan w:val="2"/>
            <w:vAlign w:val="center"/>
          </w:tcPr>
          <w:p w14:paraId="46D0E116">
            <w:pPr>
              <w:pStyle w:val="200"/>
              <w:jc w:val="left"/>
              <w:rPr>
                <w:color w:val="auto"/>
                <w:lang w:bidi="ar"/>
              </w:rPr>
            </w:pPr>
            <w:r>
              <w:rPr>
                <w:rFonts w:hint="eastAsia"/>
                <w:color w:val="auto"/>
                <w:lang w:bidi="ar"/>
              </w:rPr>
              <w:t xml:space="preserve">附着框、附着杆及附着支座之间连接销轴、螺栓是否符合要求，各处开口销是否齐全并处于开口状态 </w:t>
            </w:r>
          </w:p>
        </w:tc>
        <w:tc>
          <w:tcPr>
            <w:tcW w:w="2328" w:type="dxa"/>
            <w:vAlign w:val="center"/>
          </w:tcPr>
          <w:p w14:paraId="5657F470">
            <w:pPr>
              <w:pStyle w:val="200"/>
              <w:rPr>
                <w:color w:val="auto"/>
                <w:lang w:bidi="ar"/>
              </w:rPr>
            </w:pPr>
          </w:p>
        </w:tc>
        <w:tc>
          <w:tcPr>
            <w:tcW w:w="1686" w:type="dxa"/>
            <w:vAlign w:val="center"/>
          </w:tcPr>
          <w:p w14:paraId="074958AA">
            <w:pPr>
              <w:pStyle w:val="200"/>
              <w:rPr>
                <w:color w:val="auto"/>
                <w:lang w:bidi="ar"/>
              </w:rPr>
            </w:pPr>
          </w:p>
        </w:tc>
      </w:tr>
      <w:tr w14:paraId="136A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508" w:type="dxa"/>
            <w:gridSpan w:val="2"/>
            <w:vAlign w:val="center"/>
          </w:tcPr>
          <w:p w14:paraId="27B7B16A">
            <w:pPr>
              <w:pStyle w:val="200"/>
              <w:jc w:val="left"/>
              <w:rPr>
                <w:color w:val="auto"/>
                <w:lang w:bidi="ar"/>
              </w:rPr>
            </w:pPr>
            <w:r>
              <w:rPr>
                <w:rFonts w:hint="eastAsia"/>
                <w:color w:val="auto"/>
                <w:lang w:bidi="ar"/>
              </w:rPr>
              <w:t>相邻两层附着之间的间距是否符合使用说明书要求</w:t>
            </w:r>
          </w:p>
        </w:tc>
        <w:tc>
          <w:tcPr>
            <w:tcW w:w="2328" w:type="dxa"/>
            <w:vAlign w:val="center"/>
          </w:tcPr>
          <w:p w14:paraId="4D1DE54E">
            <w:pPr>
              <w:pStyle w:val="200"/>
              <w:rPr>
                <w:color w:val="auto"/>
                <w:lang w:bidi="ar"/>
              </w:rPr>
            </w:pPr>
          </w:p>
        </w:tc>
        <w:tc>
          <w:tcPr>
            <w:tcW w:w="1686" w:type="dxa"/>
            <w:vAlign w:val="center"/>
          </w:tcPr>
          <w:p w14:paraId="0EF2CB37">
            <w:pPr>
              <w:pStyle w:val="200"/>
              <w:rPr>
                <w:color w:val="auto"/>
                <w:lang w:bidi="ar"/>
              </w:rPr>
            </w:pPr>
          </w:p>
        </w:tc>
      </w:tr>
      <w:tr w14:paraId="209F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508" w:type="dxa"/>
            <w:gridSpan w:val="2"/>
            <w:vAlign w:val="center"/>
          </w:tcPr>
          <w:p w14:paraId="7D0940CE">
            <w:pPr>
              <w:pStyle w:val="200"/>
              <w:jc w:val="left"/>
              <w:rPr>
                <w:color w:val="auto"/>
                <w:lang w:bidi="ar"/>
              </w:rPr>
            </w:pPr>
            <w:r>
              <w:rPr>
                <w:color w:val="auto"/>
                <w:lang w:bidi="ar"/>
              </w:rPr>
              <w:t>附着</w:t>
            </w:r>
            <w:r>
              <w:rPr>
                <w:rFonts w:hint="eastAsia"/>
                <w:color w:val="auto"/>
                <w:lang w:bidi="ar"/>
              </w:rPr>
              <w:t>节</w:t>
            </w:r>
            <w:r>
              <w:rPr>
                <w:color w:val="auto"/>
                <w:lang w:bidi="ar"/>
              </w:rPr>
              <w:t>点以上塔身悬臂高度</w:t>
            </w:r>
            <w:r>
              <w:rPr>
                <w:rFonts w:hint="eastAsia"/>
                <w:color w:val="auto"/>
                <w:lang w:bidi="ar"/>
              </w:rPr>
              <w:t>是否符合</w:t>
            </w:r>
            <w:r>
              <w:rPr>
                <w:color w:val="auto"/>
                <w:lang w:bidi="ar"/>
              </w:rPr>
              <w:t>说明书要求</w:t>
            </w:r>
          </w:p>
        </w:tc>
        <w:tc>
          <w:tcPr>
            <w:tcW w:w="2328" w:type="dxa"/>
            <w:vAlign w:val="center"/>
          </w:tcPr>
          <w:p w14:paraId="670816DE">
            <w:pPr>
              <w:pStyle w:val="200"/>
              <w:rPr>
                <w:color w:val="auto"/>
                <w:lang w:bidi="ar"/>
              </w:rPr>
            </w:pPr>
          </w:p>
        </w:tc>
        <w:tc>
          <w:tcPr>
            <w:tcW w:w="1686" w:type="dxa"/>
            <w:vAlign w:val="center"/>
          </w:tcPr>
          <w:p w14:paraId="3C62428D">
            <w:pPr>
              <w:pStyle w:val="200"/>
              <w:rPr>
                <w:color w:val="auto"/>
                <w:lang w:bidi="ar"/>
              </w:rPr>
            </w:pPr>
          </w:p>
        </w:tc>
      </w:tr>
      <w:tr w14:paraId="15F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508" w:type="dxa"/>
            <w:gridSpan w:val="2"/>
            <w:vAlign w:val="center"/>
          </w:tcPr>
          <w:p w14:paraId="33E2547A">
            <w:pPr>
              <w:pStyle w:val="200"/>
              <w:jc w:val="left"/>
              <w:rPr>
                <w:color w:val="auto"/>
                <w:lang w:bidi="ar"/>
              </w:rPr>
            </w:pPr>
            <w:r>
              <w:rPr>
                <w:rFonts w:hint="eastAsia"/>
                <w:color w:val="auto"/>
                <w:lang w:bidi="ar"/>
              </w:rPr>
              <w:t>塔机垂直度是否满足要求。最高附着节点以下塔身轴心线对水平面的侧向垂直度不应大于相应高度的2</w:t>
            </w:r>
            <w:r>
              <w:rPr>
                <w:rFonts w:ascii="Arial" w:hAnsi="Arial" w:cs="Arial"/>
                <w:color w:val="auto"/>
                <w:lang w:bidi="ar"/>
              </w:rPr>
              <w:t>‰</w:t>
            </w:r>
            <w:r>
              <w:rPr>
                <w:rFonts w:hint="eastAsia"/>
                <w:color w:val="auto"/>
                <w:lang w:bidi="ar"/>
              </w:rPr>
              <w:t>，最高附着节点以上塔身轴心线对水平面的侧向垂直度不应大于4</w:t>
            </w:r>
            <w:r>
              <w:rPr>
                <w:rFonts w:ascii="Arial" w:hAnsi="Arial" w:cs="Arial"/>
                <w:color w:val="auto"/>
                <w:lang w:bidi="ar"/>
              </w:rPr>
              <w:t>‰</w:t>
            </w:r>
            <w:r>
              <w:rPr>
                <w:rFonts w:hint="eastAsia" w:ascii="Arial" w:hAnsi="Arial" w:cs="Arial"/>
                <w:color w:val="auto"/>
                <w:lang w:bidi="ar"/>
              </w:rPr>
              <w:t>；</w:t>
            </w:r>
          </w:p>
        </w:tc>
        <w:tc>
          <w:tcPr>
            <w:tcW w:w="2328" w:type="dxa"/>
            <w:vAlign w:val="center"/>
          </w:tcPr>
          <w:p w14:paraId="0CCF990D">
            <w:pPr>
              <w:pStyle w:val="200"/>
              <w:rPr>
                <w:color w:val="auto"/>
                <w:lang w:bidi="ar"/>
              </w:rPr>
            </w:pPr>
          </w:p>
        </w:tc>
        <w:tc>
          <w:tcPr>
            <w:tcW w:w="1686" w:type="dxa"/>
            <w:vAlign w:val="center"/>
          </w:tcPr>
          <w:p w14:paraId="132F3B34">
            <w:pPr>
              <w:pStyle w:val="200"/>
              <w:rPr>
                <w:color w:val="auto"/>
                <w:lang w:bidi="ar"/>
              </w:rPr>
            </w:pPr>
          </w:p>
        </w:tc>
      </w:tr>
      <w:tr w14:paraId="23F97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jc w:val="center"/>
        </w:trPr>
        <w:tc>
          <w:tcPr>
            <w:tcW w:w="4508" w:type="dxa"/>
            <w:gridSpan w:val="2"/>
            <w:vAlign w:val="center"/>
          </w:tcPr>
          <w:p w14:paraId="6EABAEEA">
            <w:pPr>
              <w:pStyle w:val="200"/>
              <w:jc w:val="both"/>
              <w:rPr>
                <w:color w:val="auto"/>
                <w:lang w:bidi="ar"/>
              </w:rPr>
            </w:pPr>
            <w:r>
              <w:rPr>
                <w:rFonts w:hint="eastAsia"/>
                <w:color w:val="auto"/>
                <w:lang w:bidi="ar"/>
              </w:rPr>
              <w:t>安装单位验收意见</w:t>
            </w:r>
          </w:p>
          <w:p w14:paraId="4B623B99">
            <w:pPr>
              <w:pStyle w:val="200"/>
              <w:rPr>
                <w:color w:val="auto"/>
                <w:lang w:bidi="ar"/>
              </w:rPr>
            </w:pPr>
          </w:p>
          <w:p w14:paraId="12952856">
            <w:pPr>
              <w:pStyle w:val="200"/>
              <w:rPr>
                <w:color w:val="auto"/>
                <w:lang w:bidi="ar"/>
              </w:rPr>
            </w:pPr>
            <w:r>
              <w:rPr>
                <w:rFonts w:hint="eastAsia"/>
                <w:color w:val="auto"/>
                <w:lang w:bidi="ar"/>
              </w:rPr>
              <w:t xml:space="preserve">                          （盖章）</w:t>
            </w:r>
          </w:p>
          <w:p w14:paraId="7F393737">
            <w:pPr>
              <w:pStyle w:val="200"/>
              <w:rPr>
                <w:color w:val="auto"/>
                <w:lang w:bidi="ar"/>
              </w:rPr>
            </w:pPr>
          </w:p>
          <w:p w14:paraId="5108403A">
            <w:pPr>
              <w:pStyle w:val="200"/>
              <w:rPr>
                <w:color w:val="auto"/>
                <w:lang w:bidi="ar"/>
              </w:rPr>
            </w:pPr>
          </w:p>
          <w:p w14:paraId="4494C5AA">
            <w:pPr>
              <w:pStyle w:val="200"/>
              <w:rPr>
                <w:color w:val="auto"/>
                <w:lang w:bidi="ar"/>
              </w:rPr>
            </w:pPr>
            <w:r>
              <w:rPr>
                <w:rFonts w:hint="eastAsia"/>
                <w:color w:val="auto"/>
                <w:lang w:bidi="ar"/>
              </w:rPr>
              <w:t>负责人：              日期：</w:t>
            </w:r>
          </w:p>
        </w:tc>
        <w:tc>
          <w:tcPr>
            <w:tcW w:w="4014" w:type="dxa"/>
            <w:gridSpan w:val="2"/>
            <w:vAlign w:val="center"/>
          </w:tcPr>
          <w:p w14:paraId="1A6FE75F">
            <w:pPr>
              <w:pStyle w:val="200"/>
              <w:jc w:val="both"/>
              <w:rPr>
                <w:color w:val="auto"/>
                <w:lang w:bidi="ar"/>
              </w:rPr>
            </w:pPr>
            <w:r>
              <w:rPr>
                <w:rFonts w:hint="eastAsia"/>
                <w:color w:val="auto"/>
                <w:lang w:bidi="ar"/>
              </w:rPr>
              <w:t>监理单位验收意见</w:t>
            </w:r>
          </w:p>
          <w:p w14:paraId="520BEE78">
            <w:pPr>
              <w:pStyle w:val="200"/>
              <w:rPr>
                <w:color w:val="auto"/>
                <w:lang w:bidi="ar"/>
              </w:rPr>
            </w:pPr>
          </w:p>
          <w:p w14:paraId="2EC84BF5">
            <w:pPr>
              <w:pStyle w:val="200"/>
              <w:rPr>
                <w:color w:val="auto"/>
                <w:lang w:bidi="ar"/>
              </w:rPr>
            </w:pPr>
            <w:r>
              <w:rPr>
                <w:rFonts w:hint="eastAsia"/>
                <w:color w:val="auto"/>
                <w:lang w:bidi="ar"/>
              </w:rPr>
              <w:t xml:space="preserve">                         （盖章）</w:t>
            </w:r>
          </w:p>
          <w:p w14:paraId="5516D217">
            <w:pPr>
              <w:pStyle w:val="200"/>
              <w:rPr>
                <w:color w:val="auto"/>
                <w:lang w:bidi="ar"/>
              </w:rPr>
            </w:pPr>
          </w:p>
          <w:p w14:paraId="67869F42">
            <w:pPr>
              <w:pStyle w:val="200"/>
              <w:rPr>
                <w:color w:val="auto"/>
                <w:lang w:bidi="ar"/>
              </w:rPr>
            </w:pPr>
          </w:p>
          <w:p w14:paraId="32989E30">
            <w:pPr>
              <w:pStyle w:val="200"/>
              <w:rPr>
                <w:color w:val="auto"/>
                <w:lang w:bidi="ar"/>
              </w:rPr>
            </w:pPr>
            <w:r>
              <w:rPr>
                <w:rFonts w:hint="eastAsia"/>
                <w:color w:val="auto"/>
                <w:lang w:bidi="ar"/>
              </w:rPr>
              <w:t>负责人：              日期：</w:t>
            </w:r>
          </w:p>
        </w:tc>
      </w:tr>
      <w:tr w14:paraId="21CD1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9" w:hRule="atLeast"/>
          <w:jc w:val="center"/>
        </w:trPr>
        <w:tc>
          <w:tcPr>
            <w:tcW w:w="4508" w:type="dxa"/>
            <w:gridSpan w:val="2"/>
            <w:vAlign w:val="center"/>
          </w:tcPr>
          <w:p w14:paraId="336D231D">
            <w:pPr>
              <w:pStyle w:val="200"/>
              <w:jc w:val="both"/>
              <w:rPr>
                <w:color w:val="auto"/>
                <w:lang w:bidi="ar"/>
              </w:rPr>
            </w:pPr>
            <w:r>
              <w:rPr>
                <w:rFonts w:hint="eastAsia"/>
                <w:color w:val="auto"/>
                <w:lang w:bidi="ar"/>
              </w:rPr>
              <w:t>使用单位验收意见</w:t>
            </w:r>
          </w:p>
          <w:p w14:paraId="7CE8D72A">
            <w:pPr>
              <w:pStyle w:val="200"/>
              <w:rPr>
                <w:color w:val="auto"/>
                <w:lang w:bidi="ar"/>
              </w:rPr>
            </w:pPr>
          </w:p>
          <w:p w14:paraId="0B9358FA">
            <w:pPr>
              <w:pStyle w:val="200"/>
              <w:rPr>
                <w:color w:val="auto"/>
                <w:lang w:bidi="ar"/>
              </w:rPr>
            </w:pPr>
            <w:r>
              <w:rPr>
                <w:rFonts w:hint="eastAsia"/>
                <w:color w:val="auto"/>
                <w:lang w:bidi="ar"/>
              </w:rPr>
              <w:t xml:space="preserve">                          （盖章）</w:t>
            </w:r>
          </w:p>
          <w:p w14:paraId="2EC925E5">
            <w:pPr>
              <w:pStyle w:val="200"/>
              <w:rPr>
                <w:color w:val="auto"/>
                <w:lang w:bidi="ar"/>
              </w:rPr>
            </w:pPr>
          </w:p>
          <w:p w14:paraId="75BF8912">
            <w:pPr>
              <w:pStyle w:val="200"/>
              <w:rPr>
                <w:color w:val="auto"/>
                <w:lang w:bidi="ar"/>
              </w:rPr>
            </w:pPr>
          </w:p>
          <w:p w14:paraId="4FFA714C">
            <w:pPr>
              <w:pStyle w:val="200"/>
              <w:rPr>
                <w:color w:val="auto"/>
                <w:lang w:bidi="ar"/>
              </w:rPr>
            </w:pPr>
            <w:r>
              <w:rPr>
                <w:rFonts w:hint="eastAsia"/>
                <w:color w:val="auto"/>
                <w:lang w:bidi="ar"/>
              </w:rPr>
              <w:t>负责人：              日期：</w:t>
            </w:r>
          </w:p>
        </w:tc>
        <w:tc>
          <w:tcPr>
            <w:tcW w:w="4014" w:type="dxa"/>
            <w:gridSpan w:val="2"/>
            <w:vAlign w:val="center"/>
          </w:tcPr>
          <w:p w14:paraId="55D950E4">
            <w:pPr>
              <w:pStyle w:val="200"/>
              <w:jc w:val="both"/>
              <w:rPr>
                <w:color w:val="auto"/>
                <w:lang w:bidi="ar"/>
              </w:rPr>
            </w:pPr>
            <w:r>
              <w:rPr>
                <w:rFonts w:hint="eastAsia"/>
                <w:color w:val="auto"/>
                <w:lang w:bidi="ar"/>
              </w:rPr>
              <w:t>施工总承包单位验收意见</w:t>
            </w:r>
          </w:p>
          <w:p w14:paraId="0D012455">
            <w:pPr>
              <w:pStyle w:val="200"/>
              <w:rPr>
                <w:color w:val="auto"/>
                <w:lang w:bidi="ar"/>
              </w:rPr>
            </w:pPr>
          </w:p>
          <w:p w14:paraId="7FDB7AC3">
            <w:pPr>
              <w:pStyle w:val="200"/>
              <w:rPr>
                <w:color w:val="auto"/>
                <w:lang w:bidi="ar"/>
              </w:rPr>
            </w:pPr>
            <w:r>
              <w:rPr>
                <w:rFonts w:hint="eastAsia"/>
                <w:color w:val="auto"/>
                <w:lang w:bidi="ar"/>
              </w:rPr>
              <w:t xml:space="preserve">                          （盖章）</w:t>
            </w:r>
          </w:p>
          <w:p w14:paraId="22017949">
            <w:pPr>
              <w:pStyle w:val="200"/>
              <w:rPr>
                <w:color w:val="auto"/>
                <w:lang w:bidi="ar"/>
              </w:rPr>
            </w:pPr>
          </w:p>
          <w:p w14:paraId="2D96B578">
            <w:pPr>
              <w:pStyle w:val="200"/>
              <w:rPr>
                <w:color w:val="auto"/>
                <w:lang w:bidi="ar"/>
              </w:rPr>
            </w:pPr>
          </w:p>
          <w:p w14:paraId="09BC8F2B">
            <w:pPr>
              <w:pStyle w:val="200"/>
              <w:rPr>
                <w:color w:val="auto"/>
                <w:lang w:bidi="ar"/>
              </w:rPr>
            </w:pPr>
            <w:r>
              <w:rPr>
                <w:rFonts w:hint="eastAsia"/>
                <w:color w:val="auto"/>
                <w:lang w:bidi="ar"/>
              </w:rPr>
              <w:t>负责人：              日期：</w:t>
            </w:r>
          </w:p>
        </w:tc>
      </w:tr>
    </w:tbl>
    <w:p w14:paraId="55197DA2">
      <w:pPr>
        <w:pStyle w:val="122"/>
        <w:ind w:firstLine="360"/>
        <w:rPr>
          <w:rFonts w:hint="eastAsia"/>
          <w:color w:val="auto"/>
        </w:rPr>
      </w:pPr>
      <w:r>
        <w:rPr>
          <w:rFonts w:hint="eastAsia"/>
          <w:color w:val="auto"/>
        </w:rPr>
        <w:t xml:space="preserve">    注:柔性附着装置安装可参照本表制定相应验收内容。</w:t>
      </w:r>
    </w:p>
    <w:p w14:paraId="4DF58019">
      <w:pPr>
        <w:pStyle w:val="122"/>
        <w:ind w:firstLine="360"/>
        <w:rPr>
          <w:rFonts w:hint="eastAsia"/>
          <w:color w:val="auto"/>
        </w:rPr>
      </w:pPr>
    </w:p>
    <w:p w14:paraId="5E402D86">
      <w:pPr>
        <w:pStyle w:val="122"/>
        <w:ind w:firstLine="360"/>
        <w:rPr>
          <w:rFonts w:hint="eastAsia"/>
          <w:color w:val="auto"/>
        </w:rPr>
      </w:pPr>
    </w:p>
    <w:sectPr>
      <w:footerReference r:id="rId12" w:type="even"/>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EU-F1">
    <w:altName w:val="Microsoft YaHei UI"/>
    <w:panose1 w:val="00000000000000000000"/>
    <w:charset w:val="86"/>
    <w:family w:val="script"/>
    <w:pitch w:val="default"/>
    <w:sig w:usb0="00000000" w:usb1="00000000" w:usb2="00000010" w:usb3="00000000" w:csb0="00040000" w:csb1="00000000"/>
  </w:font>
  <w:font w:name="Microsoft YaHei UI">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1BB7A">
    <w:pPr>
      <w:pStyle w:val="24"/>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B96DE">
    <w:pPr>
      <w:pStyle w:val="24"/>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7E936">
    <w:pPr>
      <w:pStyle w:val="74"/>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F3195">
    <w:pPr>
      <w:pStyle w:val="24"/>
      <w:framePr w:wrap="around" w:vAnchor="text" w:hAnchor="margin" w:xAlign="outside" w:y="1"/>
      <w:ind w:firstLine="180" w:firstLineChars="100"/>
      <w:rPr>
        <w:rStyle w:val="42"/>
      </w:rPr>
    </w:pPr>
    <w:r>
      <w:fldChar w:fldCharType="begin"/>
    </w:r>
    <w:r>
      <w:rPr>
        <w:rStyle w:val="42"/>
      </w:rPr>
      <w:instrText xml:space="preserve">PAGE  </w:instrText>
    </w:r>
    <w:r>
      <w:fldChar w:fldCharType="separate"/>
    </w:r>
    <w:r>
      <w:rPr>
        <w:rStyle w:val="42"/>
      </w:rPr>
      <w:t>2</w:t>
    </w:r>
    <w:r>
      <w:fldChar w:fldCharType="end"/>
    </w:r>
  </w:p>
  <w:p w14:paraId="028E11C0">
    <w:pPr>
      <w:pStyle w:val="2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49EA3">
    <w:pPr>
      <w:pStyle w:val="25"/>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F99ED">
    <w:pPr>
      <w:pStyle w:val="25"/>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6FD6E1">
    <w:pPr>
      <w:pStyle w:val="25"/>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FC427">
    <w:pPr>
      <w:pStyle w:val="25"/>
      <w:jc w:val="right"/>
    </w:pPr>
    <w:r>
      <w:fldChar w:fldCharType="begin"/>
    </w:r>
    <w:r>
      <w:instrText xml:space="preserve"> STYLEREF  标准文件_文件编号  \* MERGEFORMAT </w:instrText>
    </w:r>
    <w:r>
      <w:fldChar w:fldCharType="separate"/>
    </w:r>
    <w:r>
      <w:rPr>
        <w:b/>
      </w:rPr>
      <w:t>错误！文档中没有指定样式的文字。</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1AA74"/>
    <w:multiLevelType w:val="multilevel"/>
    <w:tmpl w:val="DFE1AA74"/>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suff w:val="nothing"/>
      <w:lvlText w:val="%8)"/>
      <w:lvlJc w:val="left"/>
      <w:pPr>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0CA6E87"/>
    <w:multiLevelType w:val="multilevel"/>
    <w:tmpl w:val="00CA6E87"/>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01967CCF"/>
    <w:multiLevelType w:val="multilevel"/>
    <w:tmpl w:val="01967CCF"/>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02837933"/>
    <w:multiLevelType w:val="multilevel"/>
    <w:tmpl w:val="02837933"/>
    <w:lvl w:ilvl="0" w:tentative="0">
      <w:start w:val="1"/>
      <w:numFmt w:val="decimal"/>
      <w:pStyle w:val="8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4">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81"/>
      <w:suff w:val="nothing"/>
      <w:lvlText w:val="%1%2.%3　"/>
      <w:lvlJc w:val="left"/>
      <w:pPr>
        <w:ind w:left="0" w:firstLine="0"/>
      </w:pPr>
    </w:lvl>
    <w:lvl w:ilvl="3" w:tentative="0">
      <w:start w:val="1"/>
      <w:numFmt w:val="decimal"/>
      <w:pStyle w:val="140"/>
      <w:suff w:val="nothing"/>
      <w:lvlText w:val="%1%2.%3.%4　"/>
      <w:lvlJc w:val="left"/>
      <w:pPr>
        <w:ind w:left="0" w:firstLine="0"/>
      </w:pPr>
    </w:lvl>
    <w:lvl w:ilvl="4" w:tentative="0">
      <w:start w:val="1"/>
      <w:numFmt w:val="decimal"/>
      <w:pStyle w:val="175"/>
      <w:suff w:val="nothing"/>
      <w:lvlText w:val="%1%2.%3.%4.%5　"/>
      <w:lvlJc w:val="left"/>
      <w:pPr>
        <w:ind w:left="0" w:firstLine="0"/>
      </w:pPr>
    </w:lvl>
    <w:lvl w:ilvl="5" w:tentative="0">
      <w:start w:val="1"/>
      <w:numFmt w:val="decimal"/>
      <w:pStyle w:val="177"/>
      <w:suff w:val="nothing"/>
      <w:lvlText w:val="%1%2.%3.%4.%5.%6　"/>
      <w:lvlJc w:val="left"/>
      <w:pPr>
        <w:ind w:left="0" w:firstLine="0"/>
      </w:pPr>
    </w:lvl>
    <w:lvl w:ilvl="6" w:tentative="0">
      <w:start w:val="1"/>
      <w:numFmt w:val="decimal"/>
      <w:pStyle w:val="18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5F77932"/>
    <w:multiLevelType w:val="multilevel"/>
    <w:tmpl w:val="05F77932"/>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6">
    <w:nsid w:val="0765620C"/>
    <w:multiLevelType w:val="multilevel"/>
    <w:tmpl w:val="0765620C"/>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079102AD"/>
    <w:multiLevelType w:val="multilevel"/>
    <w:tmpl w:val="079102AD"/>
    <w:lvl w:ilvl="0" w:tentative="0">
      <w:start w:val="1"/>
      <w:numFmt w:val="decimal"/>
      <w:pStyle w:val="20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8">
    <w:nsid w:val="07ED3FEA"/>
    <w:multiLevelType w:val="multilevel"/>
    <w:tmpl w:val="07ED3FEA"/>
    <w:lvl w:ilvl="0" w:tentative="0">
      <w:start w:val="1"/>
      <w:numFmt w:val="none"/>
      <w:pStyle w:val="111"/>
      <w:lvlText w:val="%1"/>
      <w:lvlJc w:val="left"/>
      <w:pPr>
        <w:ind w:left="425" w:hanging="425"/>
      </w:pPr>
      <w:rPr>
        <w:rFonts w:hint="eastAsia"/>
      </w:rPr>
    </w:lvl>
    <w:lvl w:ilvl="1" w:tentative="0">
      <w:start w:val="1"/>
      <w:numFmt w:val="decimal"/>
      <w:pStyle w:val="222"/>
      <w:suff w:val="nothing"/>
      <w:lvlText w:val="%10.%2 "/>
      <w:lvlJc w:val="left"/>
      <w:pPr>
        <w:ind w:left="0" w:firstLine="0"/>
      </w:pPr>
      <w:rPr>
        <w:rFonts w:hint="eastAsia" w:ascii="黑体" w:eastAsia="黑体" w:hAnsiTheme="minorHAnsi"/>
        <w:b w:val="0"/>
        <w:i w:val="0"/>
        <w:sz w:val="21"/>
      </w:rPr>
    </w:lvl>
    <w:lvl w:ilvl="2" w:tentative="0">
      <w:start w:val="1"/>
      <w:numFmt w:val="decimal"/>
      <w:pStyle w:val="223"/>
      <w:suff w:val="nothing"/>
      <w:lvlText w:val="%10.%2.%3 "/>
      <w:lvlJc w:val="left"/>
      <w:pPr>
        <w:ind w:left="0" w:firstLine="0"/>
      </w:pPr>
      <w:rPr>
        <w:rFonts w:hint="eastAsia" w:ascii="黑体" w:eastAsia="黑体" w:hAnsiTheme="minorHAnsi"/>
        <w:b w:val="0"/>
        <w:i w:val="0"/>
        <w:sz w:val="21"/>
      </w:rPr>
    </w:lvl>
    <w:lvl w:ilvl="3" w:tentative="0">
      <w:start w:val="1"/>
      <w:numFmt w:val="decimal"/>
      <w:pStyle w:val="224"/>
      <w:suff w:val="nothing"/>
      <w:lvlText w:val="%10.%2.%3.%4 "/>
      <w:lvlJc w:val="left"/>
      <w:pPr>
        <w:ind w:left="0" w:firstLine="0"/>
      </w:pPr>
      <w:rPr>
        <w:rFonts w:hint="eastAsia" w:ascii="黑体" w:eastAsia="黑体" w:hAnsiTheme="minorHAnsi"/>
        <w:b w:val="0"/>
        <w:i w:val="0"/>
        <w:sz w:val="21"/>
      </w:rPr>
    </w:lvl>
    <w:lvl w:ilvl="4" w:tentative="0">
      <w:start w:val="1"/>
      <w:numFmt w:val="decimal"/>
      <w:pStyle w:val="225"/>
      <w:suff w:val="nothing"/>
      <w:lvlText w:val="%10.%2.%3.%4.%5 "/>
      <w:lvlJc w:val="left"/>
      <w:pPr>
        <w:ind w:left="0" w:firstLine="0"/>
      </w:pPr>
      <w:rPr>
        <w:rFonts w:hint="eastAsia" w:ascii="黑体" w:eastAsia="黑体" w:hAnsiTheme="minorHAnsi"/>
        <w:b w:val="0"/>
        <w:i w:val="0"/>
        <w:sz w:val="21"/>
      </w:rPr>
    </w:lvl>
    <w:lvl w:ilvl="5" w:tentative="0">
      <w:start w:val="1"/>
      <w:numFmt w:val="decimal"/>
      <w:pStyle w:val="22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08345154"/>
    <w:multiLevelType w:val="multilevel"/>
    <w:tmpl w:val="08345154"/>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0AE367E9"/>
    <w:multiLevelType w:val="multilevel"/>
    <w:tmpl w:val="0AE367E9"/>
    <w:lvl w:ilvl="0" w:tentative="0">
      <w:start w:val="1"/>
      <w:numFmt w:val="none"/>
      <w:pStyle w:val="20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1">
    <w:nsid w:val="0BDC1670"/>
    <w:multiLevelType w:val="multilevel"/>
    <w:tmpl w:val="0BDC1670"/>
    <w:lvl w:ilvl="0" w:tentative="0">
      <w:start w:val="1"/>
      <w:numFmt w:val="decimal"/>
      <w:pStyle w:val="8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0D051F45"/>
    <w:multiLevelType w:val="multilevel"/>
    <w:tmpl w:val="0D051F45"/>
    <w:lvl w:ilvl="0" w:tentative="0">
      <w:start w:val="1"/>
      <w:numFmt w:val="lowerRoman"/>
      <w:pStyle w:val="19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13">
    <w:nsid w:val="0D8D7EAF"/>
    <w:multiLevelType w:val="multilevel"/>
    <w:tmpl w:val="0D8D7EAF"/>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124D5655"/>
    <w:multiLevelType w:val="multilevel"/>
    <w:tmpl w:val="124D5655"/>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15AA5975"/>
    <w:multiLevelType w:val="multilevel"/>
    <w:tmpl w:val="15AA5975"/>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16946634"/>
    <w:multiLevelType w:val="multilevel"/>
    <w:tmpl w:val="16946634"/>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7">
    <w:nsid w:val="190B0034"/>
    <w:multiLevelType w:val="multilevel"/>
    <w:tmpl w:val="190B0034"/>
    <w:lvl w:ilvl="0" w:tentative="0">
      <w:start w:val="1"/>
      <w:numFmt w:val="lowerLetter"/>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ind w:left="1291" w:hanging="440"/>
      </w:p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8">
    <w:nsid w:val="1AD20F90"/>
    <w:multiLevelType w:val="multilevel"/>
    <w:tmpl w:val="1AD20F90"/>
    <w:lvl w:ilvl="0" w:tentative="0">
      <w:start w:val="1"/>
      <w:numFmt w:val="none"/>
      <w:pStyle w:val="13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1AF15012"/>
    <w:multiLevelType w:val="multilevel"/>
    <w:tmpl w:val="1AF15012"/>
    <w:lvl w:ilvl="0" w:tentative="0">
      <w:start w:val="1"/>
      <w:numFmt w:val="upperLetter"/>
      <w:pStyle w:val="10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0">
    <w:nsid w:val="1EAA1992"/>
    <w:multiLevelType w:val="multilevel"/>
    <w:tmpl w:val="1EAA1992"/>
    <w:lvl w:ilvl="0" w:tentative="0">
      <w:start w:val="1"/>
      <w:numFmt w:val="none"/>
      <w:pStyle w:val="11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21">
    <w:nsid w:val="2C5917C3"/>
    <w:multiLevelType w:val="multilevel"/>
    <w:tmpl w:val="2C5917C3"/>
    <w:lvl w:ilvl="0" w:tentative="0">
      <w:start w:val="1"/>
      <w:numFmt w:val="none"/>
      <w:pStyle w:val="15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09"/>
      <w:lvlText w:val=""/>
      <w:lvlJc w:val="left"/>
      <w:pPr>
        <w:ind w:left="851" w:hanging="431"/>
      </w:pPr>
      <w:rPr>
        <w:rFonts w:hint="default" w:ascii="Symbol" w:hAnsi="Symbol"/>
        <w:sz w:val="21"/>
      </w:rPr>
    </w:lvl>
    <w:lvl w:ilvl="2" w:tentative="0">
      <w:start w:val="1"/>
      <w:numFmt w:val="bullet"/>
      <w:pStyle w:val="19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2">
    <w:nsid w:val="32F04FB2"/>
    <w:multiLevelType w:val="multilevel"/>
    <w:tmpl w:val="32F04FB2"/>
    <w:lvl w:ilvl="0" w:tentative="0">
      <w:start w:val="1"/>
      <w:numFmt w:val="lowerLetter"/>
      <w:pStyle w:val="12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3">
    <w:nsid w:val="34736FB7"/>
    <w:multiLevelType w:val="multilevel"/>
    <w:tmpl w:val="34736FB7"/>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35506BA4"/>
    <w:multiLevelType w:val="multilevel"/>
    <w:tmpl w:val="35506BA4"/>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5">
    <w:nsid w:val="396F065F"/>
    <w:multiLevelType w:val="multilevel"/>
    <w:tmpl w:val="396F065F"/>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6">
    <w:nsid w:val="48802D1C"/>
    <w:multiLevelType w:val="multilevel"/>
    <w:tmpl w:val="48802D1C"/>
    <w:lvl w:ilvl="0" w:tentative="0">
      <w:start w:val="1"/>
      <w:numFmt w:val="upperLetter"/>
      <w:pStyle w:val="220"/>
      <w:lvlText w:val="%1"/>
      <w:lvlJc w:val="left"/>
      <w:pPr>
        <w:ind w:left="420" w:hanging="420"/>
      </w:pPr>
      <w:rPr>
        <w:rFonts w:hint="eastAsia"/>
      </w:rPr>
    </w:lvl>
    <w:lvl w:ilvl="1" w:tentative="0">
      <w:start w:val="1"/>
      <w:numFmt w:val="decimal"/>
      <w:pStyle w:val="10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4B733A5F"/>
    <w:multiLevelType w:val="multilevel"/>
    <w:tmpl w:val="4B733A5F"/>
    <w:lvl w:ilvl="0" w:tentative="0">
      <w:start w:val="1"/>
      <w:numFmt w:val="decimal"/>
      <w:pStyle w:val="20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8">
    <w:nsid w:val="4E1E1560"/>
    <w:multiLevelType w:val="multilevel"/>
    <w:tmpl w:val="4E1E1560"/>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9">
    <w:nsid w:val="4E5D0534"/>
    <w:multiLevelType w:val="multilevel"/>
    <w:tmpl w:val="4E5D0534"/>
    <w:lvl w:ilvl="0" w:tentative="0">
      <w:start w:val="1"/>
      <w:numFmt w:val="decimal"/>
      <w:pStyle w:val="13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51090BBA"/>
    <w:multiLevelType w:val="multilevel"/>
    <w:tmpl w:val="51090BBA"/>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1">
    <w:nsid w:val="52387585"/>
    <w:multiLevelType w:val="multilevel"/>
    <w:tmpl w:val="52387585"/>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2">
    <w:nsid w:val="54632751"/>
    <w:multiLevelType w:val="multilevel"/>
    <w:tmpl w:val="54632751"/>
    <w:lvl w:ilvl="0" w:tentative="0">
      <w:start w:val="1"/>
      <w:numFmt w:val="none"/>
      <w:pStyle w:val="11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33">
    <w:nsid w:val="55444FB0"/>
    <w:multiLevelType w:val="multilevel"/>
    <w:tmpl w:val="55444FB0"/>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4">
    <w:nsid w:val="554A32BC"/>
    <w:multiLevelType w:val="multilevel"/>
    <w:tmpl w:val="554A32BC"/>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5">
    <w:nsid w:val="557C2AF5"/>
    <w:multiLevelType w:val="multilevel"/>
    <w:tmpl w:val="557C2AF5"/>
    <w:lvl w:ilvl="0" w:tentative="0">
      <w:start w:val="1"/>
      <w:numFmt w:val="decimal"/>
      <w:pStyle w:val="13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6">
    <w:nsid w:val="5603797C"/>
    <w:multiLevelType w:val="multilevel"/>
    <w:tmpl w:val="5603797C"/>
    <w:lvl w:ilvl="0" w:tentative="0">
      <w:start w:val="1"/>
      <w:numFmt w:val="upperLetter"/>
      <w:pStyle w:val="221"/>
      <w:suff w:val="space"/>
      <w:lvlText w:val="%1"/>
      <w:lvlJc w:val="left"/>
      <w:pPr>
        <w:ind w:left="425" w:hanging="425"/>
      </w:pPr>
      <w:rPr>
        <w:rFonts w:hint="eastAsia"/>
      </w:rPr>
    </w:lvl>
    <w:lvl w:ilvl="1" w:tentative="0">
      <w:start w:val="1"/>
      <w:numFmt w:val="decimal"/>
      <w:pStyle w:val="9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7">
    <w:nsid w:val="564D2089"/>
    <w:multiLevelType w:val="multilevel"/>
    <w:tmpl w:val="564D2089"/>
    <w:lvl w:ilvl="0" w:tentative="0">
      <w:start w:val="1"/>
      <w:numFmt w:val="none"/>
      <w:pStyle w:val="13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8">
    <w:nsid w:val="5E385A97"/>
    <w:multiLevelType w:val="multilevel"/>
    <w:tmpl w:val="5E385A97"/>
    <w:lvl w:ilvl="0" w:tentative="0">
      <w:start w:val="1"/>
      <w:numFmt w:val="lowerLetter"/>
      <w:pStyle w:val="196"/>
      <w:lvlText w:val="%1)"/>
      <w:lvlJc w:val="left"/>
      <w:pPr>
        <w:tabs>
          <w:tab w:val="left" w:pos="851"/>
        </w:tabs>
        <w:ind w:left="851" w:hanging="426"/>
      </w:pPr>
      <w:rPr>
        <w:rFonts w:hint="eastAsia" w:ascii="宋体" w:hAnsi="Times New Roman" w:eastAsia="宋体"/>
        <w:sz w:val="21"/>
      </w:rPr>
    </w:lvl>
    <w:lvl w:ilvl="1" w:tentative="0">
      <w:start w:val="1"/>
      <w:numFmt w:val="decimal"/>
      <w:pStyle w:val="131"/>
      <w:lvlText w:val="%2)"/>
      <w:lvlJc w:val="left"/>
      <w:pPr>
        <w:tabs>
          <w:tab w:val="left" w:pos="1276"/>
        </w:tabs>
        <w:ind w:left="1276" w:hanging="425"/>
      </w:pPr>
      <w:rPr>
        <w:rFonts w:hint="eastAsia" w:ascii="宋体" w:hAnsi="Times New Roman" w:eastAsia="宋体"/>
        <w:sz w:val="21"/>
      </w:rPr>
    </w:lvl>
    <w:lvl w:ilvl="2" w:tentative="0">
      <w:start w:val="1"/>
      <w:numFmt w:val="decimal"/>
      <w:pStyle w:val="13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9">
    <w:nsid w:val="644622F9"/>
    <w:multiLevelType w:val="multilevel"/>
    <w:tmpl w:val="644622F9"/>
    <w:lvl w:ilvl="0" w:tentative="0">
      <w:start w:val="1"/>
      <w:numFmt w:val="upperRoman"/>
      <w:pStyle w:val="19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40">
    <w:nsid w:val="646260FA"/>
    <w:multiLevelType w:val="multilevel"/>
    <w:tmpl w:val="646260FA"/>
    <w:lvl w:ilvl="0" w:tentative="0">
      <w:start w:val="1"/>
      <w:numFmt w:val="decimal"/>
      <w:pStyle w:val="13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41">
    <w:nsid w:val="654A26C9"/>
    <w:multiLevelType w:val="multilevel"/>
    <w:tmpl w:val="654A26C9"/>
    <w:lvl w:ilvl="0" w:tentative="0">
      <w:start w:val="1"/>
      <w:numFmt w:val="none"/>
      <w:pStyle w:val="21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2">
    <w:nsid w:val="657D3FBC"/>
    <w:multiLevelType w:val="multilevel"/>
    <w:tmpl w:val="657D3FBC"/>
    <w:lvl w:ilvl="0" w:tentative="0">
      <w:start w:val="1"/>
      <w:numFmt w:val="upperLetter"/>
      <w:pStyle w:val="98"/>
      <w:suff w:val="nothing"/>
      <w:lvlText w:val="附录%1"/>
      <w:lvlJc w:val="left"/>
      <w:pPr>
        <w:ind w:left="0" w:firstLine="0"/>
      </w:pPr>
      <w:rPr>
        <w:rFonts w:hint="eastAsia"/>
        <w:spacing w:val="100"/>
      </w:rPr>
    </w:lvl>
    <w:lvl w:ilvl="1" w:tentative="0">
      <w:start w:val="1"/>
      <w:numFmt w:val="decimal"/>
      <w:pStyle w:val="100"/>
      <w:suff w:val="nothing"/>
      <w:lvlText w:val="%1.%2　"/>
      <w:lvlJc w:val="left"/>
      <w:pPr>
        <w:ind w:left="0" w:firstLine="0"/>
      </w:pPr>
      <w:rPr>
        <w:rFonts w:hint="eastAsia" w:ascii="黑体" w:eastAsia="黑体"/>
        <w:b w:val="0"/>
        <w:i w:val="0"/>
        <w:sz w:val="21"/>
      </w:rPr>
    </w:lvl>
    <w:lvl w:ilvl="2" w:tentative="0">
      <w:start w:val="1"/>
      <w:numFmt w:val="decimal"/>
      <w:pStyle w:val="101"/>
      <w:suff w:val="nothing"/>
      <w:lvlText w:val="%1.%2.%3　"/>
      <w:lvlJc w:val="left"/>
      <w:pPr>
        <w:ind w:left="0" w:firstLine="0"/>
      </w:pPr>
      <w:rPr>
        <w:rFonts w:hint="eastAsia" w:ascii="黑体" w:eastAsia="黑体"/>
        <w:b w:val="0"/>
        <w:i w:val="0"/>
        <w:sz w:val="21"/>
      </w:rPr>
    </w:lvl>
    <w:lvl w:ilvl="3" w:tentative="0">
      <w:start w:val="8"/>
      <w:numFmt w:val="decimal"/>
      <w:pStyle w:val="103"/>
      <w:suff w:val="nothing"/>
      <w:lvlText w:val="%1.%2.%3.%4　"/>
      <w:lvlJc w:val="left"/>
      <w:pPr>
        <w:ind w:left="0" w:firstLine="0"/>
      </w:pPr>
      <w:rPr>
        <w:rFonts w:hint="eastAsia" w:ascii="黑体" w:eastAsia="黑体"/>
        <w:b w:val="0"/>
        <w:i w:val="0"/>
        <w:sz w:val="21"/>
      </w:rPr>
    </w:lvl>
    <w:lvl w:ilvl="4" w:tentative="0">
      <w:start w:val="1"/>
      <w:numFmt w:val="decimal"/>
      <w:pStyle w:val="104"/>
      <w:suff w:val="nothing"/>
      <w:lvlText w:val="%1.%2.%3.%4.%5　"/>
      <w:lvlJc w:val="left"/>
      <w:pPr>
        <w:ind w:left="0" w:firstLine="0"/>
      </w:pPr>
      <w:rPr>
        <w:rFonts w:hint="eastAsia" w:ascii="黑体" w:eastAsia="黑体"/>
        <w:b w:val="0"/>
        <w:i w:val="0"/>
        <w:sz w:val="21"/>
      </w:rPr>
    </w:lvl>
    <w:lvl w:ilvl="5" w:tentative="0">
      <w:start w:val="1"/>
      <w:numFmt w:val="decimal"/>
      <w:pStyle w:val="10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43">
    <w:nsid w:val="69506ABF"/>
    <w:multiLevelType w:val="multilevel"/>
    <w:tmpl w:val="69506ABF"/>
    <w:lvl w:ilvl="0" w:tentative="0">
      <w:start w:val="1"/>
      <w:numFmt w:val="bullet"/>
      <w:pStyle w:val="21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44">
    <w:nsid w:val="6CA41985"/>
    <w:multiLevelType w:val="multilevel"/>
    <w:tmpl w:val="6CA41985"/>
    <w:lvl w:ilvl="0" w:tentative="0">
      <w:start w:val="1"/>
      <w:numFmt w:val="decimal"/>
      <w:pStyle w:val="11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5">
    <w:nsid w:val="6CE42AC1"/>
    <w:multiLevelType w:val="multilevel"/>
    <w:tmpl w:val="6CE42AC1"/>
    <w:lvl w:ilvl="0" w:tentative="0">
      <w:start w:val="1"/>
      <w:numFmt w:val="lowerLetter"/>
      <w:pStyle w:val="19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6CEA2025"/>
    <w:multiLevelType w:val="multilevel"/>
    <w:tmpl w:val="6CEA2025"/>
    <w:lvl w:ilvl="0" w:tentative="0">
      <w:start w:val="1"/>
      <w:numFmt w:val="none"/>
      <w:pStyle w:val="174"/>
      <w:suff w:val="nothing"/>
      <w:lvlText w:val="%1"/>
      <w:lvlJc w:val="left"/>
      <w:pPr>
        <w:ind w:left="0" w:firstLine="0"/>
      </w:pPr>
      <w:rPr>
        <w:rFonts w:hint="eastAsia"/>
      </w:rPr>
    </w:lvl>
    <w:lvl w:ilvl="1" w:tentative="0">
      <w:start w:val="1"/>
      <w:numFmt w:val="decimal"/>
      <w:pStyle w:val="126"/>
      <w:suff w:val="nothing"/>
      <w:lvlText w:val="%1%2　"/>
      <w:lvlJc w:val="left"/>
      <w:pPr>
        <w:ind w:left="1419" w:firstLine="0"/>
      </w:pPr>
      <w:rPr>
        <w:rFonts w:hint="eastAsia" w:ascii="黑体" w:eastAsia="黑体"/>
        <w:b w:val="0"/>
        <w:i w:val="0"/>
        <w:sz w:val="21"/>
      </w:rPr>
    </w:lvl>
    <w:lvl w:ilvl="2" w:tentative="0">
      <w:start w:val="1"/>
      <w:numFmt w:val="decimal"/>
      <w:pStyle w:val="12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116"/>
      <w:suff w:val="nothing"/>
      <w:lvlText w:val="%1%2.%3.%4.%5　"/>
      <w:lvlJc w:val="left"/>
      <w:pPr>
        <w:ind w:left="0" w:firstLine="0"/>
      </w:pPr>
      <w:rPr>
        <w:rFonts w:hint="eastAsia" w:ascii="黑体" w:eastAsia="黑体"/>
        <w:b w:val="0"/>
        <w:i w:val="0"/>
        <w:sz w:val="21"/>
      </w:rPr>
    </w:lvl>
    <w:lvl w:ilvl="5" w:tentative="0">
      <w:start w:val="1"/>
      <w:numFmt w:val="decimal"/>
      <w:pStyle w:val="120"/>
      <w:suff w:val="nothing"/>
      <w:lvlText w:val="%1%2.%3.%4.%5.%6　"/>
      <w:lvlJc w:val="left"/>
      <w:pPr>
        <w:ind w:left="0" w:firstLine="0"/>
      </w:pPr>
      <w:rPr>
        <w:rFonts w:hint="eastAsia" w:ascii="黑体" w:eastAsia="黑体"/>
        <w:b w:val="0"/>
        <w:i w:val="0"/>
        <w:sz w:val="21"/>
      </w:rPr>
    </w:lvl>
    <w:lvl w:ilvl="6" w:tentative="0">
      <w:start w:val="1"/>
      <w:numFmt w:val="decimal"/>
      <w:pStyle w:val="12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7">
    <w:nsid w:val="6DBF04F4"/>
    <w:multiLevelType w:val="multilevel"/>
    <w:tmpl w:val="6DBF04F4"/>
    <w:lvl w:ilvl="0" w:tentative="0">
      <w:start w:val="1"/>
      <w:numFmt w:val="none"/>
      <w:pStyle w:val="20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48">
    <w:nsid w:val="6DF35F19"/>
    <w:multiLevelType w:val="multilevel"/>
    <w:tmpl w:val="6DF35F19"/>
    <w:lvl w:ilvl="0" w:tentative="0">
      <w:start w:val="1"/>
      <w:numFmt w:val="decimal"/>
      <w:pStyle w:val="13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9">
    <w:nsid w:val="76933334"/>
    <w:multiLevelType w:val="multilevel"/>
    <w:tmpl w:val="76933334"/>
    <w:lvl w:ilvl="0" w:tentative="0">
      <w:start w:val="1"/>
      <w:numFmt w:val="none"/>
      <w:pStyle w:val="16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0">
    <w:nsid w:val="7ECA6BC1"/>
    <w:multiLevelType w:val="multilevel"/>
    <w:tmpl w:val="7ECA6BC1"/>
    <w:lvl w:ilvl="0" w:tentative="0">
      <w:start w:val="1"/>
      <w:numFmt w:val="lowerLetter"/>
      <w:lvlText w:val="%1)"/>
      <w:lvlJc w:val="left"/>
      <w:pPr>
        <w:tabs>
          <w:tab w:val="left" w:pos="851"/>
        </w:tabs>
        <w:ind w:left="851" w:hanging="426"/>
      </w:pPr>
      <w:rPr>
        <w:rFonts w:hint="eastAsia"/>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num w:numId="1">
    <w:abstractNumId w:val="3"/>
  </w:num>
  <w:num w:numId="2">
    <w:abstractNumId w:val="46"/>
  </w:num>
  <w:num w:numId="3">
    <w:abstractNumId w:val="11"/>
  </w:num>
  <w:num w:numId="4">
    <w:abstractNumId w:val="42"/>
  </w:num>
  <w:num w:numId="5">
    <w:abstractNumId w:val="36"/>
  </w:num>
  <w:num w:numId="6">
    <w:abstractNumId w:val="26"/>
  </w:num>
  <w:num w:numId="7">
    <w:abstractNumId w:val="19"/>
  </w:num>
  <w:num w:numId="8">
    <w:abstractNumId w:val="8"/>
  </w:num>
  <w:num w:numId="9">
    <w:abstractNumId w:val="20"/>
  </w:num>
  <w:num w:numId="10">
    <w:abstractNumId w:val="32"/>
  </w:num>
  <w:num w:numId="11">
    <w:abstractNumId w:val="44"/>
  </w:num>
  <w:num w:numId="12">
    <w:abstractNumId w:val="22"/>
  </w:num>
  <w:num w:numId="13">
    <w:abstractNumId w:val="38"/>
  </w:num>
  <w:num w:numId="14">
    <w:abstractNumId w:val="18"/>
  </w:num>
  <w:num w:numId="15">
    <w:abstractNumId w:val="37"/>
  </w:num>
  <w:num w:numId="16">
    <w:abstractNumId w:val="40"/>
  </w:num>
  <w:num w:numId="17">
    <w:abstractNumId w:val="35"/>
  </w:num>
  <w:num w:numId="18">
    <w:abstractNumId w:val="48"/>
  </w:num>
  <w:num w:numId="19">
    <w:abstractNumId w:val="29"/>
  </w:num>
  <w:num w:numId="20">
    <w:abstractNumId w:val="4"/>
  </w:num>
  <w:num w:numId="21">
    <w:abstractNumId w:val="21"/>
  </w:num>
  <w:num w:numId="22">
    <w:abstractNumId w:val="49"/>
  </w:num>
  <w:num w:numId="23">
    <w:abstractNumId w:val="39"/>
  </w:num>
  <w:num w:numId="24">
    <w:abstractNumId w:val="12"/>
  </w:num>
  <w:num w:numId="25">
    <w:abstractNumId w:val="45"/>
  </w:num>
  <w:num w:numId="26">
    <w:abstractNumId w:val="47"/>
  </w:num>
  <w:num w:numId="27">
    <w:abstractNumId w:val="7"/>
  </w:num>
  <w:num w:numId="28">
    <w:abstractNumId w:val="10"/>
  </w:num>
  <w:num w:numId="29">
    <w:abstractNumId w:val="27"/>
  </w:num>
  <w:num w:numId="30">
    <w:abstractNumId w:val="43"/>
  </w:num>
  <w:num w:numId="31">
    <w:abstractNumId w:val="41"/>
  </w:num>
  <w:num w:numId="32">
    <w:abstractNumId w:val="15"/>
  </w:num>
  <w:num w:numId="33">
    <w:abstractNumId w:val="5"/>
  </w:num>
  <w:num w:numId="34">
    <w:abstractNumId w:val="25"/>
  </w:num>
  <w:num w:numId="35">
    <w:abstractNumId w:val="24"/>
  </w:num>
  <w:num w:numId="36">
    <w:abstractNumId w:val="23"/>
  </w:num>
  <w:num w:numId="37">
    <w:abstractNumId w:val="30"/>
  </w:num>
  <w:num w:numId="38">
    <w:abstractNumId w:val="33"/>
  </w:num>
  <w:num w:numId="39">
    <w:abstractNumId w:val="6"/>
  </w:num>
  <w:num w:numId="40">
    <w:abstractNumId w:val="9"/>
  </w:num>
  <w:num w:numId="41">
    <w:abstractNumId w:val="28"/>
  </w:num>
  <w:num w:numId="42">
    <w:abstractNumId w:val="34"/>
  </w:num>
  <w:num w:numId="43">
    <w:abstractNumId w:val="2"/>
  </w:num>
  <w:num w:numId="44">
    <w:abstractNumId w:val="0"/>
  </w:num>
  <w:num w:numId="45">
    <w:abstractNumId w:val="1"/>
  </w:num>
  <w:num w:numId="46">
    <w:abstractNumId w:val="50"/>
  </w:num>
  <w:num w:numId="47">
    <w:abstractNumId w:val="14"/>
  </w:num>
  <w:num w:numId="48">
    <w:abstractNumId w:val="13"/>
  </w:num>
  <w:num w:numId="49">
    <w:abstractNumId w:val="16"/>
  </w:num>
  <w:num w:numId="50">
    <w:abstractNumId w:val="31"/>
  </w:num>
  <w:num w:numId="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NjMTdkYjc2MWFkYWZjMjgzNWU2Y2UwY2E3OWRiODAifQ=="/>
  </w:docVars>
  <w:rsids>
    <w:rsidRoot w:val="00B6525B"/>
    <w:rsid w:val="000000D7"/>
    <w:rsid w:val="0000040A"/>
    <w:rsid w:val="00000A94"/>
    <w:rsid w:val="00001972"/>
    <w:rsid w:val="00001D9A"/>
    <w:rsid w:val="00004990"/>
    <w:rsid w:val="000062C4"/>
    <w:rsid w:val="00007B3A"/>
    <w:rsid w:val="000107E0"/>
    <w:rsid w:val="00011FDE"/>
    <w:rsid w:val="00012FFD"/>
    <w:rsid w:val="00014162"/>
    <w:rsid w:val="00014340"/>
    <w:rsid w:val="00015A61"/>
    <w:rsid w:val="00016A9C"/>
    <w:rsid w:val="00016E4B"/>
    <w:rsid w:val="00022184"/>
    <w:rsid w:val="00022762"/>
    <w:rsid w:val="000238E0"/>
    <w:rsid w:val="000249DB"/>
    <w:rsid w:val="0002595E"/>
    <w:rsid w:val="000263D1"/>
    <w:rsid w:val="000268A5"/>
    <w:rsid w:val="000303C3"/>
    <w:rsid w:val="00030E06"/>
    <w:rsid w:val="00031472"/>
    <w:rsid w:val="00032102"/>
    <w:rsid w:val="000331D3"/>
    <w:rsid w:val="0003444D"/>
    <w:rsid w:val="000346A5"/>
    <w:rsid w:val="00034BC6"/>
    <w:rsid w:val="000359C3"/>
    <w:rsid w:val="00035A7D"/>
    <w:rsid w:val="000365ED"/>
    <w:rsid w:val="0004249A"/>
    <w:rsid w:val="00043238"/>
    <w:rsid w:val="00043282"/>
    <w:rsid w:val="00044286"/>
    <w:rsid w:val="0004668A"/>
    <w:rsid w:val="00047F28"/>
    <w:rsid w:val="000503AA"/>
    <w:rsid w:val="000506A1"/>
    <w:rsid w:val="000515DD"/>
    <w:rsid w:val="0005265A"/>
    <w:rsid w:val="000539DD"/>
    <w:rsid w:val="00053BD3"/>
    <w:rsid w:val="00054835"/>
    <w:rsid w:val="000556ED"/>
    <w:rsid w:val="00055FE2"/>
    <w:rsid w:val="0005616F"/>
    <w:rsid w:val="00060C2E"/>
    <w:rsid w:val="00061033"/>
    <w:rsid w:val="000619E9"/>
    <w:rsid w:val="00061CE3"/>
    <w:rsid w:val="000622D4"/>
    <w:rsid w:val="0006357D"/>
    <w:rsid w:val="00067F1E"/>
    <w:rsid w:val="00070A7A"/>
    <w:rsid w:val="00070A8F"/>
    <w:rsid w:val="00071CC0"/>
    <w:rsid w:val="00071CFC"/>
    <w:rsid w:val="00072BBD"/>
    <w:rsid w:val="00073C8C"/>
    <w:rsid w:val="00077B64"/>
    <w:rsid w:val="00080A1C"/>
    <w:rsid w:val="00080B6E"/>
    <w:rsid w:val="00082317"/>
    <w:rsid w:val="00083D2C"/>
    <w:rsid w:val="00086AA1"/>
    <w:rsid w:val="00086F7F"/>
    <w:rsid w:val="00087A77"/>
    <w:rsid w:val="00090CA6"/>
    <w:rsid w:val="00092B8A"/>
    <w:rsid w:val="00092FB0"/>
    <w:rsid w:val="000934C5"/>
    <w:rsid w:val="00093D25"/>
    <w:rsid w:val="00093DAB"/>
    <w:rsid w:val="000949EA"/>
    <w:rsid w:val="00094AC0"/>
    <w:rsid w:val="00094D73"/>
    <w:rsid w:val="00095496"/>
    <w:rsid w:val="00095A05"/>
    <w:rsid w:val="00096018"/>
    <w:rsid w:val="00096358"/>
    <w:rsid w:val="00096D63"/>
    <w:rsid w:val="000A0B60"/>
    <w:rsid w:val="000A0EB8"/>
    <w:rsid w:val="000A19FC"/>
    <w:rsid w:val="000A2464"/>
    <w:rsid w:val="000A296B"/>
    <w:rsid w:val="000A4AE3"/>
    <w:rsid w:val="000A5665"/>
    <w:rsid w:val="000A7311"/>
    <w:rsid w:val="000B060F"/>
    <w:rsid w:val="000B1592"/>
    <w:rsid w:val="000B1FF2"/>
    <w:rsid w:val="000B3CDA"/>
    <w:rsid w:val="000B59A2"/>
    <w:rsid w:val="000B6A0B"/>
    <w:rsid w:val="000C0005"/>
    <w:rsid w:val="000C0F6C"/>
    <w:rsid w:val="000C11DB"/>
    <w:rsid w:val="000C1492"/>
    <w:rsid w:val="000C2263"/>
    <w:rsid w:val="000C2FBD"/>
    <w:rsid w:val="000C3B14"/>
    <w:rsid w:val="000C4423"/>
    <w:rsid w:val="000C4B41"/>
    <w:rsid w:val="000C57D6"/>
    <w:rsid w:val="000C6362"/>
    <w:rsid w:val="000C6F88"/>
    <w:rsid w:val="000C7666"/>
    <w:rsid w:val="000D0A9C"/>
    <w:rsid w:val="000D1795"/>
    <w:rsid w:val="000D1D24"/>
    <w:rsid w:val="000D329A"/>
    <w:rsid w:val="000D4B9C"/>
    <w:rsid w:val="000D4D35"/>
    <w:rsid w:val="000D4EB6"/>
    <w:rsid w:val="000D753B"/>
    <w:rsid w:val="000E1332"/>
    <w:rsid w:val="000E4BF1"/>
    <w:rsid w:val="000E4C9E"/>
    <w:rsid w:val="000E6FD7"/>
    <w:rsid w:val="000E7144"/>
    <w:rsid w:val="000E77BD"/>
    <w:rsid w:val="000F06E1"/>
    <w:rsid w:val="000F0A33"/>
    <w:rsid w:val="000F0E3C"/>
    <w:rsid w:val="000F19D5"/>
    <w:rsid w:val="000F4050"/>
    <w:rsid w:val="000F4AEA"/>
    <w:rsid w:val="000F5C56"/>
    <w:rsid w:val="000F67E9"/>
    <w:rsid w:val="000F7D0B"/>
    <w:rsid w:val="00102E17"/>
    <w:rsid w:val="00104926"/>
    <w:rsid w:val="001078A0"/>
    <w:rsid w:val="00111012"/>
    <w:rsid w:val="00113B1E"/>
    <w:rsid w:val="0011711C"/>
    <w:rsid w:val="0012174E"/>
    <w:rsid w:val="0012238D"/>
    <w:rsid w:val="00123EE3"/>
    <w:rsid w:val="00124E4F"/>
    <w:rsid w:val="001260B7"/>
    <w:rsid w:val="001265CB"/>
    <w:rsid w:val="001321C6"/>
    <w:rsid w:val="001325C4"/>
    <w:rsid w:val="00133010"/>
    <w:rsid w:val="001338EE"/>
    <w:rsid w:val="00133AAE"/>
    <w:rsid w:val="00135323"/>
    <w:rsid w:val="001356C4"/>
    <w:rsid w:val="0013647B"/>
    <w:rsid w:val="00137565"/>
    <w:rsid w:val="001403B1"/>
    <w:rsid w:val="00141114"/>
    <w:rsid w:val="00142969"/>
    <w:rsid w:val="001446C2"/>
    <w:rsid w:val="001457E7"/>
    <w:rsid w:val="00145D9D"/>
    <w:rsid w:val="00146388"/>
    <w:rsid w:val="001529E5"/>
    <w:rsid w:val="00152FB3"/>
    <w:rsid w:val="00153C7E"/>
    <w:rsid w:val="00153F9C"/>
    <w:rsid w:val="00156B25"/>
    <w:rsid w:val="00156E1A"/>
    <w:rsid w:val="00157894"/>
    <w:rsid w:val="00157B55"/>
    <w:rsid w:val="001623B9"/>
    <w:rsid w:val="00163DD2"/>
    <w:rsid w:val="001642FA"/>
    <w:rsid w:val="001649EB"/>
    <w:rsid w:val="00164BAF"/>
    <w:rsid w:val="00164FA8"/>
    <w:rsid w:val="00165065"/>
    <w:rsid w:val="00165434"/>
    <w:rsid w:val="0016580B"/>
    <w:rsid w:val="00165F0B"/>
    <w:rsid w:val="00165F49"/>
    <w:rsid w:val="00166B88"/>
    <w:rsid w:val="00166CD3"/>
    <w:rsid w:val="0016770A"/>
    <w:rsid w:val="00170804"/>
    <w:rsid w:val="001708E9"/>
    <w:rsid w:val="00170A18"/>
    <w:rsid w:val="00171CE4"/>
    <w:rsid w:val="00172C39"/>
    <w:rsid w:val="0017340B"/>
    <w:rsid w:val="00173FB1"/>
    <w:rsid w:val="00176A39"/>
    <w:rsid w:val="00176DFD"/>
    <w:rsid w:val="00180C2D"/>
    <w:rsid w:val="00184595"/>
    <w:rsid w:val="001852C9"/>
    <w:rsid w:val="00185F2B"/>
    <w:rsid w:val="00185FAE"/>
    <w:rsid w:val="00186A0A"/>
    <w:rsid w:val="00187A0B"/>
    <w:rsid w:val="00190087"/>
    <w:rsid w:val="001913C4"/>
    <w:rsid w:val="0019204D"/>
    <w:rsid w:val="0019272F"/>
    <w:rsid w:val="0019348F"/>
    <w:rsid w:val="00193A07"/>
    <w:rsid w:val="00194C95"/>
    <w:rsid w:val="00195C34"/>
    <w:rsid w:val="00196EF5"/>
    <w:rsid w:val="001A1A53"/>
    <w:rsid w:val="001A234A"/>
    <w:rsid w:val="001A4CF3"/>
    <w:rsid w:val="001A667A"/>
    <w:rsid w:val="001A6696"/>
    <w:rsid w:val="001A6C8E"/>
    <w:rsid w:val="001A7C7B"/>
    <w:rsid w:val="001B033F"/>
    <w:rsid w:val="001B06E8"/>
    <w:rsid w:val="001B113D"/>
    <w:rsid w:val="001B1449"/>
    <w:rsid w:val="001B71D0"/>
    <w:rsid w:val="001B71EE"/>
    <w:rsid w:val="001B7C13"/>
    <w:rsid w:val="001C04A8"/>
    <w:rsid w:val="001C162F"/>
    <w:rsid w:val="001C2C03"/>
    <w:rsid w:val="001C42F7"/>
    <w:rsid w:val="001C49E5"/>
    <w:rsid w:val="001C680C"/>
    <w:rsid w:val="001C6FC3"/>
    <w:rsid w:val="001C7FEA"/>
    <w:rsid w:val="001D0499"/>
    <w:rsid w:val="001D0BBE"/>
    <w:rsid w:val="001D0ED4"/>
    <w:rsid w:val="001D212F"/>
    <w:rsid w:val="001D29D7"/>
    <w:rsid w:val="001D2DE7"/>
    <w:rsid w:val="001D3C94"/>
    <w:rsid w:val="001D3ECE"/>
    <w:rsid w:val="001D4078"/>
    <w:rsid w:val="001D40C9"/>
    <w:rsid w:val="001D411C"/>
    <w:rsid w:val="001D5DF9"/>
    <w:rsid w:val="001E1B6A"/>
    <w:rsid w:val="001E2484"/>
    <w:rsid w:val="001E3CC4"/>
    <w:rsid w:val="001E4882"/>
    <w:rsid w:val="001E73AB"/>
    <w:rsid w:val="001F092D"/>
    <w:rsid w:val="001F143A"/>
    <w:rsid w:val="001F1605"/>
    <w:rsid w:val="001F2508"/>
    <w:rsid w:val="001F2F59"/>
    <w:rsid w:val="001F465D"/>
    <w:rsid w:val="001F4816"/>
    <w:rsid w:val="001F4A41"/>
    <w:rsid w:val="001F5D59"/>
    <w:rsid w:val="001F69B4"/>
    <w:rsid w:val="001F6A5F"/>
    <w:rsid w:val="001F77C7"/>
    <w:rsid w:val="00200183"/>
    <w:rsid w:val="00200333"/>
    <w:rsid w:val="0020107D"/>
    <w:rsid w:val="00202AA4"/>
    <w:rsid w:val="002031F7"/>
    <w:rsid w:val="002040E6"/>
    <w:rsid w:val="0020527B"/>
    <w:rsid w:val="00205F2C"/>
    <w:rsid w:val="0021000D"/>
    <w:rsid w:val="0021020D"/>
    <w:rsid w:val="00210B15"/>
    <w:rsid w:val="00211D7E"/>
    <w:rsid w:val="002142EA"/>
    <w:rsid w:val="00214CEE"/>
    <w:rsid w:val="00215ADD"/>
    <w:rsid w:val="002204BB"/>
    <w:rsid w:val="00221B79"/>
    <w:rsid w:val="00221C6B"/>
    <w:rsid w:val="00223D99"/>
    <w:rsid w:val="00224645"/>
    <w:rsid w:val="002251BB"/>
    <w:rsid w:val="002253A1"/>
    <w:rsid w:val="00225CAF"/>
    <w:rsid w:val="00225CF8"/>
    <w:rsid w:val="0022794E"/>
    <w:rsid w:val="00233D64"/>
    <w:rsid w:val="0023482A"/>
    <w:rsid w:val="002359CB"/>
    <w:rsid w:val="002419CE"/>
    <w:rsid w:val="00243540"/>
    <w:rsid w:val="00244602"/>
    <w:rsid w:val="0024497B"/>
    <w:rsid w:val="00244F3F"/>
    <w:rsid w:val="0024515B"/>
    <w:rsid w:val="00246021"/>
    <w:rsid w:val="0024666E"/>
    <w:rsid w:val="00247600"/>
    <w:rsid w:val="00247F52"/>
    <w:rsid w:val="00250112"/>
    <w:rsid w:val="0025040A"/>
    <w:rsid w:val="00250B25"/>
    <w:rsid w:val="00250BBE"/>
    <w:rsid w:val="002515C2"/>
    <w:rsid w:val="00251680"/>
    <w:rsid w:val="0025194F"/>
    <w:rsid w:val="00252995"/>
    <w:rsid w:val="002566EB"/>
    <w:rsid w:val="00256AA1"/>
    <w:rsid w:val="0025702E"/>
    <w:rsid w:val="0026148A"/>
    <w:rsid w:val="00262696"/>
    <w:rsid w:val="00263675"/>
    <w:rsid w:val="00263D25"/>
    <w:rsid w:val="002643C3"/>
    <w:rsid w:val="00264A0C"/>
    <w:rsid w:val="002664DC"/>
    <w:rsid w:val="0026675C"/>
    <w:rsid w:val="00266EEB"/>
    <w:rsid w:val="00267EF4"/>
    <w:rsid w:val="00270CB8"/>
    <w:rsid w:val="00272B08"/>
    <w:rsid w:val="00273D6C"/>
    <w:rsid w:val="002741CA"/>
    <w:rsid w:val="00281BB8"/>
    <w:rsid w:val="00281DC3"/>
    <w:rsid w:val="00281E9E"/>
    <w:rsid w:val="00282405"/>
    <w:rsid w:val="002840AB"/>
    <w:rsid w:val="00285170"/>
    <w:rsid w:val="00285361"/>
    <w:rsid w:val="00287B6F"/>
    <w:rsid w:val="00290340"/>
    <w:rsid w:val="002913D6"/>
    <w:rsid w:val="00292D60"/>
    <w:rsid w:val="00293B30"/>
    <w:rsid w:val="00294D34"/>
    <w:rsid w:val="00294E3B"/>
    <w:rsid w:val="00296193"/>
    <w:rsid w:val="00296C66"/>
    <w:rsid w:val="00296EBE"/>
    <w:rsid w:val="002974E3"/>
    <w:rsid w:val="002A084B"/>
    <w:rsid w:val="002A1260"/>
    <w:rsid w:val="002A1589"/>
    <w:rsid w:val="002A1608"/>
    <w:rsid w:val="002A24C5"/>
    <w:rsid w:val="002A25DC"/>
    <w:rsid w:val="002A3AAB"/>
    <w:rsid w:val="002A4CEA"/>
    <w:rsid w:val="002A5977"/>
    <w:rsid w:val="002A5A13"/>
    <w:rsid w:val="002A757F"/>
    <w:rsid w:val="002A7F44"/>
    <w:rsid w:val="002B0C40"/>
    <w:rsid w:val="002B1966"/>
    <w:rsid w:val="002B4508"/>
    <w:rsid w:val="002B4F0C"/>
    <w:rsid w:val="002B5779"/>
    <w:rsid w:val="002B6713"/>
    <w:rsid w:val="002B7332"/>
    <w:rsid w:val="002B7F51"/>
    <w:rsid w:val="002C09E7"/>
    <w:rsid w:val="002C1B01"/>
    <w:rsid w:val="002C1E06"/>
    <w:rsid w:val="002C3F07"/>
    <w:rsid w:val="002C5278"/>
    <w:rsid w:val="002C7EBB"/>
    <w:rsid w:val="002D06C1"/>
    <w:rsid w:val="002D2CEF"/>
    <w:rsid w:val="002D42B5"/>
    <w:rsid w:val="002D459D"/>
    <w:rsid w:val="002D4F1A"/>
    <w:rsid w:val="002D66E1"/>
    <w:rsid w:val="002D6C80"/>
    <w:rsid w:val="002D6EC6"/>
    <w:rsid w:val="002D79AC"/>
    <w:rsid w:val="002D7C1E"/>
    <w:rsid w:val="002E039D"/>
    <w:rsid w:val="002E0E60"/>
    <w:rsid w:val="002E1DAB"/>
    <w:rsid w:val="002E2940"/>
    <w:rsid w:val="002E37E7"/>
    <w:rsid w:val="002E4D5A"/>
    <w:rsid w:val="002E6326"/>
    <w:rsid w:val="002F0294"/>
    <w:rsid w:val="002F30E0"/>
    <w:rsid w:val="002F35E4"/>
    <w:rsid w:val="002F3730"/>
    <w:rsid w:val="002F38E1"/>
    <w:rsid w:val="002F629A"/>
    <w:rsid w:val="002F63BE"/>
    <w:rsid w:val="002F7267"/>
    <w:rsid w:val="002F7AF6"/>
    <w:rsid w:val="00300E63"/>
    <w:rsid w:val="0030289B"/>
    <w:rsid w:val="00302F5F"/>
    <w:rsid w:val="0030441D"/>
    <w:rsid w:val="00306063"/>
    <w:rsid w:val="00312B34"/>
    <w:rsid w:val="00313B85"/>
    <w:rsid w:val="00317959"/>
    <w:rsid w:val="00317988"/>
    <w:rsid w:val="003221B4"/>
    <w:rsid w:val="0032258D"/>
    <w:rsid w:val="00322E62"/>
    <w:rsid w:val="003242F2"/>
    <w:rsid w:val="00324D13"/>
    <w:rsid w:val="00324EDD"/>
    <w:rsid w:val="003331E4"/>
    <w:rsid w:val="00336C64"/>
    <w:rsid w:val="00337162"/>
    <w:rsid w:val="00340EC0"/>
    <w:rsid w:val="003415C8"/>
    <w:rsid w:val="0034194F"/>
    <w:rsid w:val="00344605"/>
    <w:rsid w:val="003474AA"/>
    <w:rsid w:val="00350D1D"/>
    <w:rsid w:val="00350D2D"/>
    <w:rsid w:val="00352C83"/>
    <w:rsid w:val="00352F1A"/>
    <w:rsid w:val="0036107C"/>
    <w:rsid w:val="003615D2"/>
    <w:rsid w:val="00361835"/>
    <w:rsid w:val="0036263E"/>
    <w:rsid w:val="0036429C"/>
    <w:rsid w:val="00364A53"/>
    <w:rsid w:val="003654CB"/>
    <w:rsid w:val="00365AA9"/>
    <w:rsid w:val="00365D4F"/>
    <w:rsid w:val="00365F86"/>
    <w:rsid w:val="00365F87"/>
    <w:rsid w:val="0036689C"/>
    <w:rsid w:val="00366E89"/>
    <w:rsid w:val="003705F4"/>
    <w:rsid w:val="00370D58"/>
    <w:rsid w:val="00371316"/>
    <w:rsid w:val="00373926"/>
    <w:rsid w:val="00376713"/>
    <w:rsid w:val="00381815"/>
    <w:rsid w:val="003819AF"/>
    <w:rsid w:val="003820E9"/>
    <w:rsid w:val="00382DE7"/>
    <w:rsid w:val="00384436"/>
    <w:rsid w:val="00384FFC"/>
    <w:rsid w:val="003863F4"/>
    <w:rsid w:val="003872FC"/>
    <w:rsid w:val="00387ADC"/>
    <w:rsid w:val="00390020"/>
    <w:rsid w:val="003903D6"/>
    <w:rsid w:val="00390EE6"/>
    <w:rsid w:val="0039118F"/>
    <w:rsid w:val="003912A8"/>
    <w:rsid w:val="00391E04"/>
    <w:rsid w:val="00392576"/>
    <w:rsid w:val="00392AD7"/>
    <w:rsid w:val="003938D9"/>
    <w:rsid w:val="00394376"/>
    <w:rsid w:val="003943FF"/>
    <w:rsid w:val="003974EB"/>
    <w:rsid w:val="00397CC5"/>
    <w:rsid w:val="003A07AA"/>
    <w:rsid w:val="003A11D1"/>
    <w:rsid w:val="003A1582"/>
    <w:rsid w:val="003A3D9C"/>
    <w:rsid w:val="003A4077"/>
    <w:rsid w:val="003A4AA7"/>
    <w:rsid w:val="003A4C7A"/>
    <w:rsid w:val="003A54FC"/>
    <w:rsid w:val="003A57A4"/>
    <w:rsid w:val="003B09AD"/>
    <w:rsid w:val="003B18FE"/>
    <w:rsid w:val="003B1F18"/>
    <w:rsid w:val="003B5BF0"/>
    <w:rsid w:val="003B60BF"/>
    <w:rsid w:val="003B6BE3"/>
    <w:rsid w:val="003B70AC"/>
    <w:rsid w:val="003C010C"/>
    <w:rsid w:val="003C0A62"/>
    <w:rsid w:val="003C0A6C"/>
    <w:rsid w:val="003C1379"/>
    <w:rsid w:val="003C14F8"/>
    <w:rsid w:val="003C3678"/>
    <w:rsid w:val="003C5A43"/>
    <w:rsid w:val="003D0519"/>
    <w:rsid w:val="003D073B"/>
    <w:rsid w:val="003D0FF6"/>
    <w:rsid w:val="003D262C"/>
    <w:rsid w:val="003D2D66"/>
    <w:rsid w:val="003D5E32"/>
    <w:rsid w:val="003D6D61"/>
    <w:rsid w:val="003E019F"/>
    <w:rsid w:val="003E091D"/>
    <w:rsid w:val="003E1C53"/>
    <w:rsid w:val="003E2A69"/>
    <w:rsid w:val="003E2D49"/>
    <w:rsid w:val="003E2FD4"/>
    <w:rsid w:val="003E49F6"/>
    <w:rsid w:val="003E660F"/>
    <w:rsid w:val="003F0841"/>
    <w:rsid w:val="003F23D3"/>
    <w:rsid w:val="003F350A"/>
    <w:rsid w:val="003F3F08"/>
    <w:rsid w:val="003F49F1"/>
    <w:rsid w:val="003F6272"/>
    <w:rsid w:val="003F67DB"/>
    <w:rsid w:val="00400E72"/>
    <w:rsid w:val="00401400"/>
    <w:rsid w:val="00404869"/>
    <w:rsid w:val="00404EF2"/>
    <w:rsid w:val="00405884"/>
    <w:rsid w:val="00407A46"/>
    <w:rsid w:val="00407D39"/>
    <w:rsid w:val="0041477A"/>
    <w:rsid w:val="00415CFA"/>
    <w:rsid w:val="00415D81"/>
    <w:rsid w:val="004167A3"/>
    <w:rsid w:val="004205E2"/>
    <w:rsid w:val="00422BCC"/>
    <w:rsid w:val="00422C31"/>
    <w:rsid w:val="004304BA"/>
    <w:rsid w:val="00432DAA"/>
    <w:rsid w:val="00433BF2"/>
    <w:rsid w:val="00434305"/>
    <w:rsid w:val="00435DF7"/>
    <w:rsid w:val="00436125"/>
    <w:rsid w:val="00437043"/>
    <w:rsid w:val="0043741A"/>
    <w:rsid w:val="00437457"/>
    <w:rsid w:val="0044083F"/>
    <w:rsid w:val="00441AE7"/>
    <w:rsid w:val="00442700"/>
    <w:rsid w:val="00445574"/>
    <w:rsid w:val="004467FB"/>
    <w:rsid w:val="00447161"/>
    <w:rsid w:val="00452D6B"/>
    <w:rsid w:val="00453D2A"/>
    <w:rsid w:val="00454484"/>
    <w:rsid w:val="0045517B"/>
    <w:rsid w:val="004553D3"/>
    <w:rsid w:val="004575C4"/>
    <w:rsid w:val="00463B77"/>
    <w:rsid w:val="00463C7B"/>
    <w:rsid w:val="004644A6"/>
    <w:rsid w:val="004659BD"/>
    <w:rsid w:val="00465BF2"/>
    <w:rsid w:val="00467727"/>
    <w:rsid w:val="00467976"/>
    <w:rsid w:val="00470775"/>
    <w:rsid w:val="004722A5"/>
    <w:rsid w:val="00472BF0"/>
    <w:rsid w:val="00473852"/>
    <w:rsid w:val="0047445F"/>
    <w:rsid w:val="004746B1"/>
    <w:rsid w:val="0047583F"/>
    <w:rsid w:val="00475DE8"/>
    <w:rsid w:val="00476A01"/>
    <w:rsid w:val="004778A9"/>
    <w:rsid w:val="00481C44"/>
    <w:rsid w:val="00484936"/>
    <w:rsid w:val="00485C89"/>
    <w:rsid w:val="00486BE3"/>
    <w:rsid w:val="004903BA"/>
    <w:rsid w:val="004905E4"/>
    <w:rsid w:val="00490A89"/>
    <w:rsid w:val="00490AB4"/>
    <w:rsid w:val="0049136A"/>
    <w:rsid w:val="00492F02"/>
    <w:rsid w:val="004939AE"/>
    <w:rsid w:val="004A08C1"/>
    <w:rsid w:val="004A08DE"/>
    <w:rsid w:val="004A12DF"/>
    <w:rsid w:val="004A1BA8"/>
    <w:rsid w:val="004A1D22"/>
    <w:rsid w:val="004A3922"/>
    <w:rsid w:val="004A4B57"/>
    <w:rsid w:val="004A63FA"/>
    <w:rsid w:val="004A6A3D"/>
    <w:rsid w:val="004B0272"/>
    <w:rsid w:val="004B2701"/>
    <w:rsid w:val="004B2E1B"/>
    <w:rsid w:val="004B3AA8"/>
    <w:rsid w:val="004B3E93"/>
    <w:rsid w:val="004B64CF"/>
    <w:rsid w:val="004B69C6"/>
    <w:rsid w:val="004C1FBC"/>
    <w:rsid w:val="004C25A2"/>
    <w:rsid w:val="004C3F1D"/>
    <w:rsid w:val="004C458D"/>
    <w:rsid w:val="004C4BD3"/>
    <w:rsid w:val="004C4EBF"/>
    <w:rsid w:val="004C7556"/>
    <w:rsid w:val="004C7E8B"/>
    <w:rsid w:val="004C7E9D"/>
    <w:rsid w:val="004C7F67"/>
    <w:rsid w:val="004D076D"/>
    <w:rsid w:val="004D0EF1"/>
    <w:rsid w:val="004D2253"/>
    <w:rsid w:val="004D4406"/>
    <w:rsid w:val="004D48F3"/>
    <w:rsid w:val="004D7C42"/>
    <w:rsid w:val="004E0465"/>
    <w:rsid w:val="004E0B7C"/>
    <w:rsid w:val="004E127B"/>
    <w:rsid w:val="004E1C0A"/>
    <w:rsid w:val="004E30C5"/>
    <w:rsid w:val="004E4AA5"/>
    <w:rsid w:val="004E4AEE"/>
    <w:rsid w:val="004E59E3"/>
    <w:rsid w:val="004E670A"/>
    <w:rsid w:val="004E67C0"/>
    <w:rsid w:val="004F391A"/>
    <w:rsid w:val="004F3CFB"/>
    <w:rsid w:val="004F6456"/>
    <w:rsid w:val="004F696E"/>
    <w:rsid w:val="004F6C71"/>
    <w:rsid w:val="004F7058"/>
    <w:rsid w:val="00501139"/>
    <w:rsid w:val="00502AF0"/>
    <w:rsid w:val="0050363E"/>
    <w:rsid w:val="005039BC"/>
    <w:rsid w:val="005043BB"/>
    <w:rsid w:val="00504A3D"/>
    <w:rsid w:val="00505767"/>
    <w:rsid w:val="005073F0"/>
    <w:rsid w:val="00510A7B"/>
    <w:rsid w:val="005124CD"/>
    <w:rsid w:val="00512F6E"/>
    <w:rsid w:val="00513038"/>
    <w:rsid w:val="0051371C"/>
    <w:rsid w:val="00514174"/>
    <w:rsid w:val="00516088"/>
    <w:rsid w:val="00516B0B"/>
    <w:rsid w:val="005220EC"/>
    <w:rsid w:val="00523F95"/>
    <w:rsid w:val="00524D65"/>
    <w:rsid w:val="00525B16"/>
    <w:rsid w:val="00527D4D"/>
    <w:rsid w:val="00530FF2"/>
    <w:rsid w:val="00533D04"/>
    <w:rsid w:val="00534804"/>
    <w:rsid w:val="00534BDF"/>
    <w:rsid w:val="005354EA"/>
    <w:rsid w:val="0053585F"/>
    <w:rsid w:val="00535BAA"/>
    <w:rsid w:val="00535EC4"/>
    <w:rsid w:val="00535ED9"/>
    <w:rsid w:val="00536644"/>
    <w:rsid w:val="0053692B"/>
    <w:rsid w:val="00541853"/>
    <w:rsid w:val="00543BDA"/>
    <w:rsid w:val="005440E6"/>
    <w:rsid w:val="005441CC"/>
    <w:rsid w:val="005479DA"/>
    <w:rsid w:val="00547BCC"/>
    <w:rsid w:val="0055013B"/>
    <w:rsid w:val="00551863"/>
    <w:rsid w:val="00551F6F"/>
    <w:rsid w:val="00552D86"/>
    <w:rsid w:val="00554F04"/>
    <w:rsid w:val="00555044"/>
    <w:rsid w:val="0055536A"/>
    <w:rsid w:val="00561475"/>
    <w:rsid w:val="00562308"/>
    <w:rsid w:val="0056487B"/>
    <w:rsid w:val="00564FB9"/>
    <w:rsid w:val="00566314"/>
    <w:rsid w:val="0057159A"/>
    <w:rsid w:val="00573D9E"/>
    <w:rsid w:val="00575006"/>
    <w:rsid w:val="0057748C"/>
    <w:rsid w:val="005801E3"/>
    <w:rsid w:val="00581802"/>
    <w:rsid w:val="00582D82"/>
    <w:rsid w:val="005836A8"/>
    <w:rsid w:val="0058409C"/>
    <w:rsid w:val="00584262"/>
    <w:rsid w:val="00586630"/>
    <w:rsid w:val="00587ADD"/>
    <w:rsid w:val="005933F5"/>
    <w:rsid w:val="00593A49"/>
    <w:rsid w:val="00596160"/>
    <w:rsid w:val="005966E2"/>
    <w:rsid w:val="00597007"/>
    <w:rsid w:val="005A0966"/>
    <w:rsid w:val="005A11B7"/>
    <w:rsid w:val="005A260B"/>
    <w:rsid w:val="005A4A1B"/>
    <w:rsid w:val="005A5243"/>
    <w:rsid w:val="005A5B77"/>
    <w:rsid w:val="005A7830"/>
    <w:rsid w:val="005A7FCE"/>
    <w:rsid w:val="005B0F3F"/>
    <w:rsid w:val="005B191C"/>
    <w:rsid w:val="005B241F"/>
    <w:rsid w:val="005B4903"/>
    <w:rsid w:val="005B51CE"/>
    <w:rsid w:val="005B5885"/>
    <w:rsid w:val="005B5CD7"/>
    <w:rsid w:val="005B6CF6"/>
    <w:rsid w:val="005B7422"/>
    <w:rsid w:val="005C05F2"/>
    <w:rsid w:val="005C2002"/>
    <w:rsid w:val="005C2488"/>
    <w:rsid w:val="005C29B8"/>
    <w:rsid w:val="005C5F21"/>
    <w:rsid w:val="005C7156"/>
    <w:rsid w:val="005C71D9"/>
    <w:rsid w:val="005D0C75"/>
    <w:rsid w:val="005D4171"/>
    <w:rsid w:val="005D5ECF"/>
    <w:rsid w:val="005D6A95"/>
    <w:rsid w:val="005D6B2C"/>
    <w:rsid w:val="005D6D9C"/>
    <w:rsid w:val="005D7C73"/>
    <w:rsid w:val="005E2335"/>
    <w:rsid w:val="005E34CA"/>
    <w:rsid w:val="005E3C18"/>
    <w:rsid w:val="005E4088"/>
    <w:rsid w:val="005E4250"/>
    <w:rsid w:val="005E6812"/>
    <w:rsid w:val="005E7881"/>
    <w:rsid w:val="005E78E0"/>
    <w:rsid w:val="005F0D9C"/>
    <w:rsid w:val="005F168B"/>
    <w:rsid w:val="005F284E"/>
    <w:rsid w:val="005F65B1"/>
    <w:rsid w:val="006015CE"/>
    <w:rsid w:val="00601E0B"/>
    <w:rsid w:val="00604784"/>
    <w:rsid w:val="00605213"/>
    <w:rsid w:val="00606419"/>
    <w:rsid w:val="00607D29"/>
    <w:rsid w:val="00610AF5"/>
    <w:rsid w:val="00612952"/>
    <w:rsid w:val="00614CC1"/>
    <w:rsid w:val="00615A9D"/>
    <w:rsid w:val="00615C51"/>
    <w:rsid w:val="00617387"/>
    <w:rsid w:val="00617C19"/>
    <w:rsid w:val="006205D6"/>
    <w:rsid w:val="00621FC8"/>
    <w:rsid w:val="006252D8"/>
    <w:rsid w:val="006259BC"/>
    <w:rsid w:val="00625C85"/>
    <w:rsid w:val="0062636B"/>
    <w:rsid w:val="0063108B"/>
    <w:rsid w:val="00632182"/>
    <w:rsid w:val="00632AE0"/>
    <w:rsid w:val="006335C5"/>
    <w:rsid w:val="00633C17"/>
    <w:rsid w:val="00634D9E"/>
    <w:rsid w:val="0063631D"/>
    <w:rsid w:val="0063665B"/>
    <w:rsid w:val="00636E3E"/>
    <w:rsid w:val="006379F7"/>
    <w:rsid w:val="00637E4D"/>
    <w:rsid w:val="00640620"/>
    <w:rsid w:val="00641A1F"/>
    <w:rsid w:val="00641CAF"/>
    <w:rsid w:val="00645904"/>
    <w:rsid w:val="00646F98"/>
    <w:rsid w:val="0065040D"/>
    <w:rsid w:val="00650B66"/>
    <w:rsid w:val="00651122"/>
    <w:rsid w:val="00651ACB"/>
    <w:rsid w:val="00651C47"/>
    <w:rsid w:val="00652AB2"/>
    <w:rsid w:val="00653FED"/>
    <w:rsid w:val="006540EE"/>
    <w:rsid w:val="00654EC0"/>
    <w:rsid w:val="0065525B"/>
    <w:rsid w:val="00655D4F"/>
    <w:rsid w:val="006562EF"/>
    <w:rsid w:val="00656D29"/>
    <w:rsid w:val="00660DDB"/>
    <w:rsid w:val="006640E5"/>
    <w:rsid w:val="006646F1"/>
    <w:rsid w:val="00664929"/>
    <w:rsid w:val="00664F62"/>
    <w:rsid w:val="006655E1"/>
    <w:rsid w:val="00672060"/>
    <w:rsid w:val="0067219F"/>
    <w:rsid w:val="00672BFD"/>
    <w:rsid w:val="00675F91"/>
    <w:rsid w:val="006770F4"/>
    <w:rsid w:val="00677A84"/>
    <w:rsid w:val="0068026D"/>
    <w:rsid w:val="00680A27"/>
    <w:rsid w:val="00680D42"/>
    <w:rsid w:val="006816A4"/>
    <w:rsid w:val="006819B8"/>
    <w:rsid w:val="006827F1"/>
    <w:rsid w:val="006840A6"/>
    <w:rsid w:val="006850CD"/>
    <w:rsid w:val="0068522B"/>
    <w:rsid w:val="00685AAB"/>
    <w:rsid w:val="0069050E"/>
    <w:rsid w:val="00693962"/>
    <w:rsid w:val="006974B1"/>
    <w:rsid w:val="006A07AA"/>
    <w:rsid w:val="006A107B"/>
    <w:rsid w:val="006A25E5"/>
    <w:rsid w:val="006A2B46"/>
    <w:rsid w:val="006A336D"/>
    <w:rsid w:val="006A37B9"/>
    <w:rsid w:val="006A42C1"/>
    <w:rsid w:val="006B2672"/>
    <w:rsid w:val="006B54BF"/>
    <w:rsid w:val="006B5F44"/>
    <w:rsid w:val="006B5F90"/>
    <w:rsid w:val="006B62E4"/>
    <w:rsid w:val="006B6F7E"/>
    <w:rsid w:val="006C1BBA"/>
    <w:rsid w:val="006C2079"/>
    <w:rsid w:val="006C5A62"/>
    <w:rsid w:val="006C5D68"/>
    <w:rsid w:val="006C6034"/>
    <w:rsid w:val="006C6976"/>
    <w:rsid w:val="006C6DD0"/>
    <w:rsid w:val="006C7A3D"/>
    <w:rsid w:val="006D04EA"/>
    <w:rsid w:val="006D16C4"/>
    <w:rsid w:val="006D2405"/>
    <w:rsid w:val="006D37E1"/>
    <w:rsid w:val="006D3E96"/>
    <w:rsid w:val="006D4482"/>
    <w:rsid w:val="006D4515"/>
    <w:rsid w:val="006D4BB1"/>
    <w:rsid w:val="006D6593"/>
    <w:rsid w:val="006E4754"/>
    <w:rsid w:val="006E62F6"/>
    <w:rsid w:val="006F03A8"/>
    <w:rsid w:val="006F23ED"/>
    <w:rsid w:val="006F2ACA"/>
    <w:rsid w:val="006F2ADC"/>
    <w:rsid w:val="006F2BFE"/>
    <w:rsid w:val="006F310D"/>
    <w:rsid w:val="006F31E9"/>
    <w:rsid w:val="006F55C1"/>
    <w:rsid w:val="006F6284"/>
    <w:rsid w:val="007002C5"/>
    <w:rsid w:val="00704387"/>
    <w:rsid w:val="00707669"/>
    <w:rsid w:val="00707AD1"/>
    <w:rsid w:val="00711951"/>
    <w:rsid w:val="00711CBA"/>
    <w:rsid w:val="00711FB5"/>
    <w:rsid w:val="00712A01"/>
    <w:rsid w:val="00714F58"/>
    <w:rsid w:val="007224D8"/>
    <w:rsid w:val="00722FBF"/>
    <w:rsid w:val="00722FC2"/>
    <w:rsid w:val="0072335E"/>
    <w:rsid w:val="0072478B"/>
    <w:rsid w:val="00724E1B"/>
    <w:rsid w:val="00725949"/>
    <w:rsid w:val="00725E0B"/>
    <w:rsid w:val="00727FA2"/>
    <w:rsid w:val="0073155E"/>
    <w:rsid w:val="007322D9"/>
    <w:rsid w:val="00732BC0"/>
    <w:rsid w:val="00735D74"/>
    <w:rsid w:val="007366D8"/>
    <w:rsid w:val="00737029"/>
    <w:rsid w:val="0073720F"/>
    <w:rsid w:val="00737796"/>
    <w:rsid w:val="0074165C"/>
    <w:rsid w:val="007425BE"/>
    <w:rsid w:val="00742C35"/>
    <w:rsid w:val="007432CA"/>
    <w:rsid w:val="007439EB"/>
    <w:rsid w:val="00743CB4"/>
    <w:rsid w:val="00743F0A"/>
    <w:rsid w:val="007444E8"/>
    <w:rsid w:val="00745280"/>
    <w:rsid w:val="0074548E"/>
    <w:rsid w:val="00745773"/>
    <w:rsid w:val="00746800"/>
    <w:rsid w:val="00747382"/>
    <w:rsid w:val="007501A8"/>
    <w:rsid w:val="00750D61"/>
    <w:rsid w:val="00750EE1"/>
    <w:rsid w:val="00751A6B"/>
    <w:rsid w:val="00752B4D"/>
    <w:rsid w:val="007536CD"/>
    <w:rsid w:val="00755402"/>
    <w:rsid w:val="00756B26"/>
    <w:rsid w:val="00756EDF"/>
    <w:rsid w:val="007600E3"/>
    <w:rsid w:val="00765C43"/>
    <w:rsid w:val="00765EFB"/>
    <w:rsid w:val="0076667E"/>
    <w:rsid w:val="007671CA"/>
    <w:rsid w:val="00767C51"/>
    <w:rsid w:val="00767C61"/>
    <w:rsid w:val="0077008A"/>
    <w:rsid w:val="00771DA9"/>
    <w:rsid w:val="00772F7F"/>
    <w:rsid w:val="00773C1F"/>
    <w:rsid w:val="00774DA4"/>
    <w:rsid w:val="00776599"/>
    <w:rsid w:val="0078114B"/>
    <w:rsid w:val="00781DD2"/>
    <w:rsid w:val="007834A6"/>
    <w:rsid w:val="00783ECF"/>
    <w:rsid w:val="0078413A"/>
    <w:rsid w:val="00784B00"/>
    <w:rsid w:val="00794B23"/>
    <w:rsid w:val="007959E8"/>
    <w:rsid w:val="00795E9C"/>
    <w:rsid w:val="007A0521"/>
    <w:rsid w:val="007A2E12"/>
    <w:rsid w:val="007A3475"/>
    <w:rsid w:val="007A41C8"/>
    <w:rsid w:val="007A54CE"/>
    <w:rsid w:val="007A5D3A"/>
    <w:rsid w:val="007A6FD9"/>
    <w:rsid w:val="007A7FFA"/>
    <w:rsid w:val="007B04EB"/>
    <w:rsid w:val="007B0D4F"/>
    <w:rsid w:val="007B5508"/>
    <w:rsid w:val="007B5A3D"/>
    <w:rsid w:val="007B5B95"/>
    <w:rsid w:val="007B6032"/>
    <w:rsid w:val="007B68EA"/>
    <w:rsid w:val="007B7453"/>
    <w:rsid w:val="007B7650"/>
    <w:rsid w:val="007C0EAE"/>
    <w:rsid w:val="007C2D89"/>
    <w:rsid w:val="007C4593"/>
    <w:rsid w:val="007C5309"/>
    <w:rsid w:val="007C6069"/>
    <w:rsid w:val="007C78DC"/>
    <w:rsid w:val="007D06C4"/>
    <w:rsid w:val="007D0A37"/>
    <w:rsid w:val="007D1352"/>
    <w:rsid w:val="007D1B49"/>
    <w:rsid w:val="007D2508"/>
    <w:rsid w:val="007D346A"/>
    <w:rsid w:val="007D3B2E"/>
    <w:rsid w:val="007D4176"/>
    <w:rsid w:val="007D6518"/>
    <w:rsid w:val="007D6B14"/>
    <w:rsid w:val="007D76BD"/>
    <w:rsid w:val="007E0BF1"/>
    <w:rsid w:val="007E3C49"/>
    <w:rsid w:val="007E40D1"/>
    <w:rsid w:val="007E4ED5"/>
    <w:rsid w:val="007E7055"/>
    <w:rsid w:val="007E775C"/>
    <w:rsid w:val="007F0ED8"/>
    <w:rsid w:val="007F0F63"/>
    <w:rsid w:val="007F2345"/>
    <w:rsid w:val="007F2B3C"/>
    <w:rsid w:val="007F75CE"/>
    <w:rsid w:val="008013A4"/>
    <w:rsid w:val="0080186A"/>
    <w:rsid w:val="008027CE"/>
    <w:rsid w:val="0080284D"/>
    <w:rsid w:val="00802F42"/>
    <w:rsid w:val="00804383"/>
    <w:rsid w:val="00804BB7"/>
    <w:rsid w:val="00804D41"/>
    <w:rsid w:val="00810257"/>
    <w:rsid w:val="008104F5"/>
    <w:rsid w:val="0081099F"/>
    <w:rsid w:val="00811072"/>
    <w:rsid w:val="00811369"/>
    <w:rsid w:val="00815419"/>
    <w:rsid w:val="008163C8"/>
    <w:rsid w:val="008164A1"/>
    <w:rsid w:val="00817325"/>
    <w:rsid w:val="008209E6"/>
    <w:rsid w:val="00821D19"/>
    <w:rsid w:val="008232E8"/>
    <w:rsid w:val="00823303"/>
    <w:rsid w:val="008233B2"/>
    <w:rsid w:val="00823A9F"/>
    <w:rsid w:val="00823C85"/>
    <w:rsid w:val="00825138"/>
    <w:rsid w:val="0082541F"/>
    <w:rsid w:val="008265B8"/>
    <w:rsid w:val="008269DD"/>
    <w:rsid w:val="00830621"/>
    <w:rsid w:val="0083348C"/>
    <w:rsid w:val="008373D3"/>
    <w:rsid w:val="00840617"/>
    <w:rsid w:val="00840F84"/>
    <w:rsid w:val="00842A47"/>
    <w:rsid w:val="00843C13"/>
    <w:rsid w:val="00843DEF"/>
    <w:rsid w:val="008454F8"/>
    <w:rsid w:val="008466A8"/>
    <w:rsid w:val="00850362"/>
    <w:rsid w:val="0085173A"/>
    <w:rsid w:val="00852C84"/>
    <w:rsid w:val="008603CE"/>
    <w:rsid w:val="008620FC"/>
    <w:rsid w:val="008627A5"/>
    <w:rsid w:val="00862EBE"/>
    <w:rsid w:val="00863E05"/>
    <w:rsid w:val="00865ACA"/>
    <w:rsid w:val="00865D28"/>
    <w:rsid w:val="00865F85"/>
    <w:rsid w:val="00867AA0"/>
    <w:rsid w:val="00867C10"/>
    <w:rsid w:val="00870439"/>
    <w:rsid w:val="00870DA1"/>
    <w:rsid w:val="00872CF2"/>
    <w:rsid w:val="00881E8E"/>
    <w:rsid w:val="00882073"/>
    <w:rsid w:val="00883F93"/>
    <w:rsid w:val="00884DB3"/>
    <w:rsid w:val="00885A9D"/>
    <w:rsid w:val="008864F6"/>
    <w:rsid w:val="0089049D"/>
    <w:rsid w:val="008914A4"/>
    <w:rsid w:val="00891E98"/>
    <w:rsid w:val="008928C9"/>
    <w:rsid w:val="008930CB"/>
    <w:rsid w:val="008938DC"/>
    <w:rsid w:val="00893FD1"/>
    <w:rsid w:val="00894836"/>
    <w:rsid w:val="00895095"/>
    <w:rsid w:val="00895172"/>
    <w:rsid w:val="00895680"/>
    <w:rsid w:val="00896DFF"/>
    <w:rsid w:val="0089762C"/>
    <w:rsid w:val="008A173B"/>
    <w:rsid w:val="008A1893"/>
    <w:rsid w:val="008A454B"/>
    <w:rsid w:val="008A57E6"/>
    <w:rsid w:val="008A6F81"/>
    <w:rsid w:val="008A769A"/>
    <w:rsid w:val="008A788C"/>
    <w:rsid w:val="008B0C9C"/>
    <w:rsid w:val="008B166D"/>
    <w:rsid w:val="008B17F4"/>
    <w:rsid w:val="008B3615"/>
    <w:rsid w:val="008B4AC4"/>
    <w:rsid w:val="008B50C8"/>
    <w:rsid w:val="008B5281"/>
    <w:rsid w:val="008B5CDD"/>
    <w:rsid w:val="008B7E05"/>
    <w:rsid w:val="008C10E8"/>
    <w:rsid w:val="008C151D"/>
    <w:rsid w:val="008C1797"/>
    <w:rsid w:val="008C219C"/>
    <w:rsid w:val="008C475E"/>
    <w:rsid w:val="008C619A"/>
    <w:rsid w:val="008D0CE8"/>
    <w:rsid w:val="008D2D1D"/>
    <w:rsid w:val="008D2E17"/>
    <w:rsid w:val="008D3111"/>
    <w:rsid w:val="008D453D"/>
    <w:rsid w:val="008D4958"/>
    <w:rsid w:val="008D53AD"/>
    <w:rsid w:val="008D562B"/>
    <w:rsid w:val="008D5733"/>
    <w:rsid w:val="008D622B"/>
    <w:rsid w:val="008D666C"/>
    <w:rsid w:val="008D7365"/>
    <w:rsid w:val="008D794C"/>
    <w:rsid w:val="008D7B54"/>
    <w:rsid w:val="008E01B9"/>
    <w:rsid w:val="008E0C9D"/>
    <w:rsid w:val="008E1648"/>
    <w:rsid w:val="008E1B3E"/>
    <w:rsid w:val="008E1FAE"/>
    <w:rsid w:val="008E2319"/>
    <w:rsid w:val="008E4BB6"/>
    <w:rsid w:val="008E5518"/>
    <w:rsid w:val="008E67C1"/>
    <w:rsid w:val="008E6A84"/>
    <w:rsid w:val="008E7359"/>
    <w:rsid w:val="008F0CDC"/>
    <w:rsid w:val="008F17A3"/>
    <w:rsid w:val="008F1ED3"/>
    <w:rsid w:val="008F3321"/>
    <w:rsid w:val="008F4C29"/>
    <w:rsid w:val="008F6294"/>
    <w:rsid w:val="008F6DE1"/>
    <w:rsid w:val="008F70BD"/>
    <w:rsid w:val="008F788F"/>
    <w:rsid w:val="008F7EA2"/>
    <w:rsid w:val="00902722"/>
    <w:rsid w:val="009027BC"/>
    <w:rsid w:val="009062E6"/>
    <w:rsid w:val="00911BE5"/>
    <w:rsid w:val="00913CA9"/>
    <w:rsid w:val="00913F28"/>
    <w:rsid w:val="009145AE"/>
    <w:rsid w:val="009146CE"/>
    <w:rsid w:val="00914CA7"/>
    <w:rsid w:val="00915C3E"/>
    <w:rsid w:val="009161A8"/>
    <w:rsid w:val="00916B77"/>
    <w:rsid w:val="00922A72"/>
    <w:rsid w:val="009245AE"/>
    <w:rsid w:val="009245F5"/>
    <w:rsid w:val="009249EC"/>
    <w:rsid w:val="009273B3"/>
    <w:rsid w:val="009305B5"/>
    <w:rsid w:val="009307D8"/>
    <w:rsid w:val="00936144"/>
    <w:rsid w:val="009370EE"/>
    <w:rsid w:val="009378DD"/>
    <w:rsid w:val="009409BA"/>
    <w:rsid w:val="009421E7"/>
    <w:rsid w:val="009429D5"/>
    <w:rsid w:val="00942BBB"/>
    <w:rsid w:val="00942BF1"/>
    <w:rsid w:val="00945180"/>
    <w:rsid w:val="00945428"/>
    <w:rsid w:val="0094607B"/>
    <w:rsid w:val="00953604"/>
    <w:rsid w:val="0095496B"/>
    <w:rsid w:val="00960F1E"/>
    <w:rsid w:val="009610DC"/>
    <w:rsid w:val="00961490"/>
    <w:rsid w:val="009633AF"/>
    <w:rsid w:val="009634A3"/>
    <w:rsid w:val="0096381A"/>
    <w:rsid w:val="009653F2"/>
    <w:rsid w:val="00965E04"/>
    <w:rsid w:val="009665F5"/>
    <w:rsid w:val="009674AD"/>
    <w:rsid w:val="0097080D"/>
    <w:rsid w:val="00970CDC"/>
    <w:rsid w:val="00974357"/>
    <w:rsid w:val="00974819"/>
    <w:rsid w:val="009754F4"/>
    <w:rsid w:val="00975727"/>
    <w:rsid w:val="00977010"/>
    <w:rsid w:val="00977D02"/>
    <w:rsid w:val="00977FF9"/>
    <w:rsid w:val="009809BB"/>
    <w:rsid w:val="00981869"/>
    <w:rsid w:val="0098364B"/>
    <w:rsid w:val="009901F8"/>
    <w:rsid w:val="009908A3"/>
    <w:rsid w:val="009909F7"/>
    <w:rsid w:val="009911AF"/>
    <w:rsid w:val="00991875"/>
    <w:rsid w:val="00991F92"/>
    <w:rsid w:val="00992985"/>
    <w:rsid w:val="00993889"/>
    <w:rsid w:val="009945A9"/>
    <w:rsid w:val="0099551B"/>
    <w:rsid w:val="0099624E"/>
    <w:rsid w:val="00996BD2"/>
    <w:rsid w:val="00997BF1"/>
    <w:rsid w:val="009A089C"/>
    <w:rsid w:val="009A118E"/>
    <w:rsid w:val="009A20F6"/>
    <w:rsid w:val="009A21CD"/>
    <w:rsid w:val="009A278C"/>
    <w:rsid w:val="009A2BC2"/>
    <w:rsid w:val="009A42C1"/>
    <w:rsid w:val="009A4CD1"/>
    <w:rsid w:val="009A5429"/>
    <w:rsid w:val="009A72AD"/>
    <w:rsid w:val="009B09E0"/>
    <w:rsid w:val="009B0BC5"/>
    <w:rsid w:val="009B1247"/>
    <w:rsid w:val="009B6029"/>
    <w:rsid w:val="009B6971"/>
    <w:rsid w:val="009B7D6F"/>
    <w:rsid w:val="009B7F03"/>
    <w:rsid w:val="009C27F1"/>
    <w:rsid w:val="009C3152"/>
    <w:rsid w:val="009C3257"/>
    <w:rsid w:val="009C4CFA"/>
    <w:rsid w:val="009C4ECF"/>
    <w:rsid w:val="009C5070"/>
    <w:rsid w:val="009C68A2"/>
    <w:rsid w:val="009D112C"/>
    <w:rsid w:val="009D1385"/>
    <w:rsid w:val="009D47FA"/>
    <w:rsid w:val="009D4C5B"/>
    <w:rsid w:val="009D50D2"/>
    <w:rsid w:val="009D6BCA"/>
    <w:rsid w:val="009E0F62"/>
    <w:rsid w:val="009E1879"/>
    <w:rsid w:val="009E4A58"/>
    <w:rsid w:val="009E5A2D"/>
    <w:rsid w:val="009E5AB2"/>
    <w:rsid w:val="009E6219"/>
    <w:rsid w:val="009F03B3"/>
    <w:rsid w:val="009F1FB7"/>
    <w:rsid w:val="00A0096C"/>
    <w:rsid w:val="00A01757"/>
    <w:rsid w:val="00A0223A"/>
    <w:rsid w:val="00A028C0"/>
    <w:rsid w:val="00A02BAE"/>
    <w:rsid w:val="00A0399A"/>
    <w:rsid w:val="00A06A6B"/>
    <w:rsid w:val="00A07E47"/>
    <w:rsid w:val="00A128B1"/>
    <w:rsid w:val="00A129D0"/>
    <w:rsid w:val="00A12C33"/>
    <w:rsid w:val="00A138BA"/>
    <w:rsid w:val="00A14C8E"/>
    <w:rsid w:val="00A153D9"/>
    <w:rsid w:val="00A15C0C"/>
    <w:rsid w:val="00A15F09"/>
    <w:rsid w:val="00A169B6"/>
    <w:rsid w:val="00A175D6"/>
    <w:rsid w:val="00A2271D"/>
    <w:rsid w:val="00A237D5"/>
    <w:rsid w:val="00A24CAD"/>
    <w:rsid w:val="00A25F87"/>
    <w:rsid w:val="00A30EFC"/>
    <w:rsid w:val="00A31984"/>
    <w:rsid w:val="00A32D73"/>
    <w:rsid w:val="00A334F6"/>
    <w:rsid w:val="00A3367B"/>
    <w:rsid w:val="00A33C67"/>
    <w:rsid w:val="00A3597D"/>
    <w:rsid w:val="00A36DD1"/>
    <w:rsid w:val="00A4006C"/>
    <w:rsid w:val="00A40091"/>
    <w:rsid w:val="00A4030F"/>
    <w:rsid w:val="00A41C79"/>
    <w:rsid w:val="00A41CB5"/>
    <w:rsid w:val="00A42850"/>
    <w:rsid w:val="00A42CDF"/>
    <w:rsid w:val="00A4452E"/>
    <w:rsid w:val="00A4472C"/>
    <w:rsid w:val="00A44C6B"/>
    <w:rsid w:val="00A44E69"/>
    <w:rsid w:val="00A45CD8"/>
    <w:rsid w:val="00A4661E"/>
    <w:rsid w:val="00A46A23"/>
    <w:rsid w:val="00A55BD6"/>
    <w:rsid w:val="00A55D50"/>
    <w:rsid w:val="00A57142"/>
    <w:rsid w:val="00A6070D"/>
    <w:rsid w:val="00A63CAD"/>
    <w:rsid w:val="00A648CD"/>
    <w:rsid w:val="00A6537A"/>
    <w:rsid w:val="00A67866"/>
    <w:rsid w:val="00A70B07"/>
    <w:rsid w:val="00A723F8"/>
    <w:rsid w:val="00A733A2"/>
    <w:rsid w:val="00A76A9B"/>
    <w:rsid w:val="00A77CCB"/>
    <w:rsid w:val="00A83097"/>
    <w:rsid w:val="00A83D8D"/>
    <w:rsid w:val="00A8446B"/>
    <w:rsid w:val="00A8473F"/>
    <w:rsid w:val="00A862D6"/>
    <w:rsid w:val="00A8715E"/>
    <w:rsid w:val="00A927CC"/>
    <w:rsid w:val="00A9295B"/>
    <w:rsid w:val="00A93B09"/>
    <w:rsid w:val="00A945FB"/>
    <w:rsid w:val="00A952D7"/>
    <w:rsid w:val="00A963F7"/>
    <w:rsid w:val="00A96AD8"/>
    <w:rsid w:val="00AA052C"/>
    <w:rsid w:val="00AA0726"/>
    <w:rsid w:val="00AA1190"/>
    <w:rsid w:val="00AA1E45"/>
    <w:rsid w:val="00AA4286"/>
    <w:rsid w:val="00AA456B"/>
    <w:rsid w:val="00AA4747"/>
    <w:rsid w:val="00AA57F5"/>
    <w:rsid w:val="00AA672E"/>
    <w:rsid w:val="00AA6A63"/>
    <w:rsid w:val="00AA6EC9"/>
    <w:rsid w:val="00AB2C87"/>
    <w:rsid w:val="00AB6309"/>
    <w:rsid w:val="00AB6C5F"/>
    <w:rsid w:val="00AB7129"/>
    <w:rsid w:val="00AB7490"/>
    <w:rsid w:val="00AC1137"/>
    <w:rsid w:val="00AC27A6"/>
    <w:rsid w:val="00AC30F7"/>
    <w:rsid w:val="00AC3A5A"/>
    <w:rsid w:val="00AC3D8A"/>
    <w:rsid w:val="00AC4596"/>
    <w:rsid w:val="00AC4D95"/>
    <w:rsid w:val="00AC5DF4"/>
    <w:rsid w:val="00AC6D65"/>
    <w:rsid w:val="00AD0AEF"/>
    <w:rsid w:val="00AD11B7"/>
    <w:rsid w:val="00AD1A94"/>
    <w:rsid w:val="00AD1C05"/>
    <w:rsid w:val="00AD2AB0"/>
    <w:rsid w:val="00AD4126"/>
    <w:rsid w:val="00AD421C"/>
    <w:rsid w:val="00AD44FA"/>
    <w:rsid w:val="00AD7658"/>
    <w:rsid w:val="00AE070A"/>
    <w:rsid w:val="00AE101C"/>
    <w:rsid w:val="00AE1C89"/>
    <w:rsid w:val="00AE2A69"/>
    <w:rsid w:val="00AE37E5"/>
    <w:rsid w:val="00AE5EB4"/>
    <w:rsid w:val="00AE7431"/>
    <w:rsid w:val="00AF0C18"/>
    <w:rsid w:val="00AF337B"/>
    <w:rsid w:val="00AF47C5"/>
    <w:rsid w:val="00AF4E07"/>
    <w:rsid w:val="00AF5398"/>
    <w:rsid w:val="00AF5D17"/>
    <w:rsid w:val="00B0013E"/>
    <w:rsid w:val="00B049AF"/>
    <w:rsid w:val="00B055B1"/>
    <w:rsid w:val="00B07242"/>
    <w:rsid w:val="00B07415"/>
    <w:rsid w:val="00B10534"/>
    <w:rsid w:val="00B109A8"/>
    <w:rsid w:val="00B113DB"/>
    <w:rsid w:val="00B11D8A"/>
    <w:rsid w:val="00B12981"/>
    <w:rsid w:val="00B147DD"/>
    <w:rsid w:val="00B156FD"/>
    <w:rsid w:val="00B15CE9"/>
    <w:rsid w:val="00B21F61"/>
    <w:rsid w:val="00B221F4"/>
    <w:rsid w:val="00B25020"/>
    <w:rsid w:val="00B2559F"/>
    <w:rsid w:val="00B261F1"/>
    <w:rsid w:val="00B265BC"/>
    <w:rsid w:val="00B27341"/>
    <w:rsid w:val="00B30DC7"/>
    <w:rsid w:val="00B31FB1"/>
    <w:rsid w:val="00B33952"/>
    <w:rsid w:val="00B33C5E"/>
    <w:rsid w:val="00B342F4"/>
    <w:rsid w:val="00B34369"/>
    <w:rsid w:val="00B34DC2"/>
    <w:rsid w:val="00B35EAD"/>
    <w:rsid w:val="00B378E5"/>
    <w:rsid w:val="00B411F9"/>
    <w:rsid w:val="00B4237B"/>
    <w:rsid w:val="00B4346D"/>
    <w:rsid w:val="00B440F4"/>
    <w:rsid w:val="00B447A5"/>
    <w:rsid w:val="00B45BD2"/>
    <w:rsid w:val="00B460F9"/>
    <w:rsid w:val="00B4654C"/>
    <w:rsid w:val="00B47293"/>
    <w:rsid w:val="00B476EE"/>
    <w:rsid w:val="00B50E50"/>
    <w:rsid w:val="00B512E9"/>
    <w:rsid w:val="00B51A19"/>
    <w:rsid w:val="00B52120"/>
    <w:rsid w:val="00B523E2"/>
    <w:rsid w:val="00B53A7E"/>
    <w:rsid w:val="00B547B0"/>
    <w:rsid w:val="00B54ABC"/>
    <w:rsid w:val="00B56FBE"/>
    <w:rsid w:val="00B57A58"/>
    <w:rsid w:val="00B6097E"/>
    <w:rsid w:val="00B60ACF"/>
    <w:rsid w:val="00B62B58"/>
    <w:rsid w:val="00B648C2"/>
    <w:rsid w:val="00B65149"/>
    <w:rsid w:val="00B6525B"/>
    <w:rsid w:val="00B66567"/>
    <w:rsid w:val="00B66F52"/>
    <w:rsid w:val="00B66FE5"/>
    <w:rsid w:val="00B7118F"/>
    <w:rsid w:val="00B72880"/>
    <w:rsid w:val="00B758BF"/>
    <w:rsid w:val="00B77EC8"/>
    <w:rsid w:val="00B80A74"/>
    <w:rsid w:val="00B827A6"/>
    <w:rsid w:val="00B831CE"/>
    <w:rsid w:val="00B86677"/>
    <w:rsid w:val="00B867AB"/>
    <w:rsid w:val="00B87131"/>
    <w:rsid w:val="00B939B1"/>
    <w:rsid w:val="00B96D40"/>
    <w:rsid w:val="00B97386"/>
    <w:rsid w:val="00BA263B"/>
    <w:rsid w:val="00BA3DAE"/>
    <w:rsid w:val="00BA42B2"/>
    <w:rsid w:val="00BA58D4"/>
    <w:rsid w:val="00BA5B9E"/>
    <w:rsid w:val="00BA7C9A"/>
    <w:rsid w:val="00BB0F7B"/>
    <w:rsid w:val="00BB445B"/>
    <w:rsid w:val="00BB56F9"/>
    <w:rsid w:val="00BB5F8F"/>
    <w:rsid w:val="00BB657A"/>
    <w:rsid w:val="00BC1A4E"/>
    <w:rsid w:val="00BC2295"/>
    <w:rsid w:val="00BC22CE"/>
    <w:rsid w:val="00BC258B"/>
    <w:rsid w:val="00BC3D1D"/>
    <w:rsid w:val="00BC5DC7"/>
    <w:rsid w:val="00BC6B8B"/>
    <w:rsid w:val="00BC73D8"/>
    <w:rsid w:val="00BD1521"/>
    <w:rsid w:val="00BD21EF"/>
    <w:rsid w:val="00BD52D7"/>
    <w:rsid w:val="00BD5AD2"/>
    <w:rsid w:val="00BE0664"/>
    <w:rsid w:val="00BE22F3"/>
    <w:rsid w:val="00BE40B0"/>
    <w:rsid w:val="00BE480C"/>
    <w:rsid w:val="00BE5B52"/>
    <w:rsid w:val="00BE66E0"/>
    <w:rsid w:val="00BE7B8D"/>
    <w:rsid w:val="00BF0993"/>
    <w:rsid w:val="00BF10A9"/>
    <w:rsid w:val="00BF1703"/>
    <w:rsid w:val="00BF231C"/>
    <w:rsid w:val="00BF264F"/>
    <w:rsid w:val="00BF35FD"/>
    <w:rsid w:val="00BF51E5"/>
    <w:rsid w:val="00BF74A6"/>
    <w:rsid w:val="00C00EFA"/>
    <w:rsid w:val="00C013AD"/>
    <w:rsid w:val="00C04904"/>
    <w:rsid w:val="00C056B3"/>
    <w:rsid w:val="00C103E5"/>
    <w:rsid w:val="00C112C4"/>
    <w:rsid w:val="00C13319"/>
    <w:rsid w:val="00C13EE9"/>
    <w:rsid w:val="00C16CD0"/>
    <w:rsid w:val="00C20F57"/>
    <w:rsid w:val="00C21540"/>
    <w:rsid w:val="00C21906"/>
    <w:rsid w:val="00C21BFA"/>
    <w:rsid w:val="00C21E02"/>
    <w:rsid w:val="00C24C8D"/>
    <w:rsid w:val="00C25FE2"/>
    <w:rsid w:val="00C26044"/>
    <w:rsid w:val="00C26B53"/>
    <w:rsid w:val="00C279B2"/>
    <w:rsid w:val="00C3183A"/>
    <w:rsid w:val="00C31C6D"/>
    <w:rsid w:val="00C3375C"/>
    <w:rsid w:val="00C33E50"/>
    <w:rsid w:val="00C3400C"/>
    <w:rsid w:val="00C34C20"/>
    <w:rsid w:val="00C35A3E"/>
    <w:rsid w:val="00C3657E"/>
    <w:rsid w:val="00C412C4"/>
    <w:rsid w:val="00C42130"/>
    <w:rsid w:val="00C423A4"/>
    <w:rsid w:val="00C423E3"/>
    <w:rsid w:val="00C44BF5"/>
    <w:rsid w:val="00C46A63"/>
    <w:rsid w:val="00C46E80"/>
    <w:rsid w:val="00C51E07"/>
    <w:rsid w:val="00C521D6"/>
    <w:rsid w:val="00C531F4"/>
    <w:rsid w:val="00C55232"/>
    <w:rsid w:val="00C553A4"/>
    <w:rsid w:val="00C55A06"/>
    <w:rsid w:val="00C55D03"/>
    <w:rsid w:val="00C601BC"/>
    <w:rsid w:val="00C6329F"/>
    <w:rsid w:val="00C63340"/>
    <w:rsid w:val="00C63F3D"/>
    <w:rsid w:val="00C643F9"/>
    <w:rsid w:val="00C64BB3"/>
    <w:rsid w:val="00C64E95"/>
    <w:rsid w:val="00C70E08"/>
    <w:rsid w:val="00C71372"/>
    <w:rsid w:val="00C72410"/>
    <w:rsid w:val="00C727BD"/>
    <w:rsid w:val="00C7287F"/>
    <w:rsid w:val="00C73699"/>
    <w:rsid w:val="00C74E83"/>
    <w:rsid w:val="00C75F59"/>
    <w:rsid w:val="00C80CB8"/>
    <w:rsid w:val="00C815A4"/>
    <w:rsid w:val="00C819F8"/>
    <w:rsid w:val="00C8248C"/>
    <w:rsid w:val="00C84E33"/>
    <w:rsid w:val="00C86D6F"/>
    <w:rsid w:val="00C905FC"/>
    <w:rsid w:val="00C92D03"/>
    <w:rsid w:val="00C9319C"/>
    <w:rsid w:val="00C9422B"/>
    <w:rsid w:val="00C9435D"/>
    <w:rsid w:val="00C94DF2"/>
    <w:rsid w:val="00C95D59"/>
    <w:rsid w:val="00C9644C"/>
    <w:rsid w:val="00C96741"/>
    <w:rsid w:val="00C96B9C"/>
    <w:rsid w:val="00C9750C"/>
    <w:rsid w:val="00CA2D1B"/>
    <w:rsid w:val="00CA375D"/>
    <w:rsid w:val="00CA4768"/>
    <w:rsid w:val="00CA662A"/>
    <w:rsid w:val="00CA7AFD"/>
    <w:rsid w:val="00CA7C3C"/>
    <w:rsid w:val="00CA7EB6"/>
    <w:rsid w:val="00CB0189"/>
    <w:rsid w:val="00CB0BA2"/>
    <w:rsid w:val="00CB1450"/>
    <w:rsid w:val="00CB1A42"/>
    <w:rsid w:val="00CB1B0C"/>
    <w:rsid w:val="00CB22F4"/>
    <w:rsid w:val="00CB2C0B"/>
    <w:rsid w:val="00CB517D"/>
    <w:rsid w:val="00CB7306"/>
    <w:rsid w:val="00CC038D"/>
    <w:rsid w:val="00CC08DB"/>
    <w:rsid w:val="00CC1CF8"/>
    <w:rsid w:val="00CC304E"/>
    <w:rsid w:val="00CC39FF"/>
    <w:rsid w:val="00CC3C2F"/>
    <w:rsid w:val="00CC4AC8"/>
    <w:rsid w:val="00CC5233"/>
    <w:rsid w:val="00CC5DE6"/>
    <w:rsid w:val="00CC6E4E"/>
    <w:rsid w:val="00CC6FE8"/>
    <w:rsid w:val="00CC7202"/>
    <w:rsid w:val="00CD1C24"/>
    <w:rsid w:val="00CD2808"/>
    <w:rsid w:val="00CD28BF"/>
    <w:rsid w:val="00CD325D"/>
    <w:rsid w:val="00CD4092"/>
    <w:rsid w:val="00CD4A20"/>
    <w:rsid w:val="00CD50A1"/>
    <w:rsid w:val="00CD519E"/>
    <w:rsid w:val="00CD7817"/>
    <w:rsid w:val="00CE0C4F"/>
    <w:rsid w:val="00CE15E1"/>
    <w:rsid w:val="00CE30EA"/>
    <w:rsid w:val="00CE43DF"/>
    <w:rsid w:val="00CE61E5"/>
    <w:rsid w:val="00CF048A"/>
    <w:rsid w:val="00CF155A"/>
    <w:rsid w:val="00CF2947"/>
    <w:rsid w:val="00CF686F"/>
    <w:rsid w:val="00CF6E60"/>
    <w:rsid w:val="00CF7BCA"/>
    <w:rsid w:val="00D008FD"/>
    <w:rsid w:val="00D0321C"/>
    <w:rsid w:val="00D035EC"/>
    <w:rsid w:val="00D06AB1"/>
    <w:rsid w:val="00D06FC1"/>
    <w:rsid w:val="00D072ED"/>
    <w:rsid w:val="00D07A16"/>
    <w:rsid w:val="00D07A6E"/>
    <w:rsid w:val="00D1067E"/>
    <w:rsid w:val="00D10F50"/>
    <w:rsid w:val="00D11272"/>
    <w:rsid w:val="00D126F5"/>
    <w:rsid w:val="00D1489E"/>
    <w:rsid w:val="00D20737"/>
    <w:rsid w:val="00D20F59"/>
    <w:rsid w:val="00D21E81"/>
    <w:rsid w:val="00D223DE"/>
    <w:rsid w:val="00D238E9"/>
    <w:rsid w:val="00D25E37"/>
    <w:rsid w:val="00D2661A"/>
    <w:rsid w:val="00D27582"/>
    <w:rsid w:val="00D27EC4"/>
    <w:rsid w:val="00D32719"/>
    <w:rsid w:val="00D33333"/>
    <w:rsid w:val="00D352A2"/>
    <w:rsid w:val="00D37C98"/>
    <w:rsid w:val="00D37E60"/>
    <w:rsid w:val="00D4162B"/>
    <w:rsid w:val="00D4514F"/>
    <w:rsid w:val="00D451E2"/>
    <w:rsid w:val="00D45E27"/>
    <w:rsid w:val="00D45E89"/>
    <w:rsid w:val="00D45E8D"/>
    <w:rsid w:val="00D466AE"/>
    <w:rsid w:val="00D4734F"/>
    <w:rsid w:val="00D51BF3"/>
    <w:rsid w:val="00D55230"/>
    <w:rsid w:val="00D563DC"/>
    <w:rsid w:val="00D6460C"/>
    <w:rsid w:val="00D666C8"/>
    <w:rsid w:val="00D66846"/>
    <w:rsid w:val="00D675FB"/>
    <w:rsid w:val="00D71359"/>
    <w:rsid w:val="00D71F25"/>
    <w:rsid w:val="00D72A9C"/>
    <w:rsid w:val="00D77031"/>
    <w:rsid w:val="00D8418F"/>
    <w:rsid w:val="00D842D6"/>
    <w:rsid w:val="00D84941"/>
    <w:rsid w:val="00D84FA1"/>
    <w:rsid w:val="00D851F0"/>
    <w:rsid w:val="00D86DB7"/>
    <w:rsid w:val="00D87BF5"/>
    <w:rsid w:val="00D90721"/>
    <w:rsid w:val="00D91345"/>
    <w:rsid w:val="00D926D0"/>
    <w:rsid w:val="00D93030"/>
    <w:rsid w:val="00D950E1"/>
    <w:rsid w:val="00D952A6"/>
    <w:rsid w:val="00D95BB2"/>
    <w:rsid w:val="00D97F99"/>
    <w:rsid w:val="00DA02D6"/>
    <w:rsid w:val="00DA19F5"/>
    <w:rsid w:val="00DA1E08"/>
    <w:rsid w:val="00DA24F8"/>
    <w:rsid w:val="00DA28E8"/>
    <w:rsid w:val="00DA2FB4"/>
    <w:rsid w:val="00DA38D3"/>
    <w:rsid w:val="00DA3932"/>
    <w:rsid w:val="00DA3AFC"/>
    <w:rsid w:val="00DA52F0"/>
    <w:rsid w:val="00DA64F8"/>
    <w:rsid w:val="00DA6C15"/>
    <w:rsid w:val="00DB0258"/>
    <w:rsid w:val="00DB36D0"/>
    <w:rsid w:val="00DB38EE"/>
    <w:rsid w:val="00DB498B"/>
    <w:rsid w:val="00DB5276"/>
    <w:rsid w:val="00DB66CA"/>
    <w:rsid w:val="00DB6BCA"/>
    <w:rsid w:val="00DB6F54"/>
    <w:rsid w:val="00DB73F7"/>
    <w:rsid w:val="00DC0321"/>
    <w:rsid w:val="00DC3067"/>
    <w:rsid w:val="00DC370B"/>
    <w:rsid w:val="00DC5B90"/>
    <w:rsid w:val="00DC5BD4"/>
    <w:rsid w:val="00DD00FF"/>
    <w:rsid w:val="00DD0619"/>
    <w:rsid w:val="00DD07FB"/>
    <w:rsid w:val="00DD25C6"/>
    <w:rsid w:val="00DD4FE5"/>
    <w:rsid w:val="00DD54B0"/>
    <w:rsid w:val="00DD57EE"/>
    <w:rsid w:val="00DD6BCC"/>
    <w:rsid w:val="00DD72D9"/>
    <w:rsid w:val="00DE0A4B"/>
    <w:rsid w:val="00DE2410"/>
    <w:rsid w:val="00DE2939"/>
    <w:rsid w:val="00DE2F98"/>
    <w:rsid w:val="00DE6E81"/>
    <w:rsid w:val="00DE703F"/>
    <w:rsid w:val="00DE7595"/>
    <w:rsid w:val="00DE7AF8"/>
    <w:rsid w:val="00DF0A82"/>
    <w:rsid w:val="00DF1961"/>
    <w:rsid w:val="00DF44DE"/>
    <w:rsid w:val="00E01138"/>
    <w:rsid w:val="00E02DFB"/>
    <w:rsid w:val="00E030F9"/>
    <w:rsid w:val="00E0311A"/>
    <w:rsid w:val="00E03138"/>
    <w:rsid w:val="00E06404"/>
    <w:rsid w:val="00E0679E"/>
    <w:rsid w:val="00E078CB"/>
    <w:rsid w:val="00E111E5"/>
    <w:rsid w:val="00E11A85"/>
    <w:rsid w:val="00E12495"/>
    <w:rsid w:val="00E141FD"/>
    <w:rsid w:val="00E15CCD"/>
    <w:rsid w:val="00E202EF"/>
    <w:rsid w:val="00E2062C"/>
    <w:rsid w:val="00E210B5"/>
    <w:rsid w:val="00E2552F"/>
    <w:rsid w:val="00E26282"/>
    <w:rsid w:val="00E31365"/>
    <w:rsid w:val="00E3137A"/>
    <w:rsid w:val="00E32CCF"/>
    <w:rsid w:val="00E34A98"/>
    <w:rsid w:val="00E351E6"/>
    <w:rsid w:val="00E35D1E"/>
    <w:rsid w:val="00E36472"/>
    <w:rsid w:val="00E364F9"/>
    <w:rsid w:val="00E365FA"/>
    <w:rsid w:val="00E36789"/>
    <w:rsid w:val="00E43453"/>
    <w:rsid w:val="00E44A83"/>
    <w:rsid w:val="00E4641B"/>
    <w:rsid w:val="00E474B3"/>
    <w:rsid w:val="00E47CD8"/>
    <w:rsid w:val="00E502C1"/>
    <w:rsid w:val="00E502DD"/>
    <w:rsid w:val="00E50D3A"/>
    <w:rsid w:val="00E51387"/>
    <w:rsid w:val="00E51E68"/>
    <w:rsid w:val="00E52EFD"/>
    <w:rsid w:val="00E5408A"/>
    <w:rsid w:val="00E56800"/>
    <w:rsid w:val="00E60C63"/>
    <w:rsid w:val="00E62FF9"/>
    <w:rsid w:val="00E635D6"/>
    <w:rsid w:val="00E639BC"/>
    <w:rsid w:val="00E63BC0"/>
    <w:rsid w:val="00E664CC"/>
    <w:rsid w:val="00E67C2A"/>
    <w:rsid w:val="00E70388"/>
    <w:rsid w:val="00E70E29"/>
    <w:rsid w:val="00E70F92"/>
    <w:rsid w:val="00E72055"/>
    <w:rsid w:val="00E722A7"/>
    <w:rsid w:val="00E74313"/>
    <w:rsid w:val="00E74C24"/>
    <w:rsid w:val="00E74C54"/>
    <w:rsid w:val="00E77A03"/>
    <w:rsid w:val="00E822E8"/>
    <w:rsid w:val="00E82554"/>
    <w:rsid w:val="00E82606"/>
    <w:rsid w:val="00E831C1"/>
    <w:rsid w:val="00E832EF"/>
    <w:rsid w:val="00E846C8"/>
    <w:rsid w:val="00E84957"/>
    <w:rsid w:val="00E84A55"/>
    <w:rsid w:val="00E85BFF"/>
    <w:rsid w:val="00E86156"/>
    <w:rsid w:val="00E90391"/>
    <w:rsid w:val="00E906C2"/>
    <w:rsid w:val="00E9311F"/>
    <w:rsid w:val="00E934D1"/>
    <w:rsid w:val="00E94AF0"/>
    <w:rsid w:val="00E95D13"/>
    <w:rsid w:val="00E95DD3"/>
    <w:rsid w:val="00E969D5"/>
    <w:rsid w:val="00E97D99"/>
    <w:rsid w:val="00EA3268"/>
    <w:rsid w:val="00EA47EA"/>
    <w:rsid w:val="00EA58D1"/>
    <w:rsid w:val="00EA61BC"/>
    <w:rsid w:val="00EA681A"/>
    <w:rsid w:val="00EA735B"/>
    <w:rsid w:val="00EB0632"/>
    <w:rsid w:val="00EB1E69"/>
    <w:rsid w:val="00EB2086"/>
    <w:rsid w:val="00EB31ED"/>
    <w:rsid w:val="00EB346F"/>
    <w:rsid w:val="00EB5EDF"/>
    <w:rsid w:val="00EB60FE"/>
    <w:rsid w:val="00EB74DB"/>
    <w:rsid w:val="00EC5359"/>
    <w:rsid w:val="00EC55DE"/>
    <w:rsid w:val="00EC562A"/>
    <w:rsid w:val="00ED067A"/>
    <w:rsid w:val="00ED2B50"/>
    <w:rsid w:val="00ED2B56"/>
    <w:rsid w:val="00ED607E"/>
    <w:rsid w:val="00EE0350"/>
    <w:rsid w:val="00EE0719"/>
    <w:rsid w:val="00EE0E80"/>
    <w:rsid w:val="00EE1540"/>
    <w:rsid w:val="00EE1F18"/>
    <w:rsid w:val="00EE27A1"/>
    <w:rsid w:val="00EE3692"/>
    <w:rsid w:val="00EE36A8"/>
    <w:rsid w:val="00EE47D5"/>
    <w:rsid w:val="00EE5A0D"/>
    <w:rsid w:val="00EE613F"/>
    <w:rsid w:val="00EE6C0C"/>
    <w:rsid w:val="00EE6CB3"/>
    <w:rsid w:val="00EE7295"/>
    <w:rsid w:val="00EE73A0"/>
    <w:rsid w:val="00EE75D1"/>
    <w:rsid w:val="00EE7869"/>
    <w:rsid w:val="00EF054A"/>
    <w:rsid w:val="00EF1268"/>
    <w:rsid w:val="00EF3235"/>
    <w:rsid w:val="00EF47DA"/>
    <w:rsid w:val="00EF7E72"/>
    <w:rsid w:val="00F0078A"/>
    <w:rsid w:val="00F06D37"/>
    <w:rsid w:val="00F07B9D"/>
    <w:rsid w:val="00F11586"/>
    <w:rsid w:val="00F1183B"/>
    <w:rsid w:val="00F11C9F"/>
    <w:rsid w:val="00F12263"/>
    <w:rsid w:val="00F1344D"/>
    <w:rsid w:val="00F1409D"/>
    <w:rsid w:val="00F14214"/>
    <w:rsid w:val="00F14BF2"/>
    <w:rsid w:val="00F157A9"/>
    <w:rsid w:val="00F16773"/>
    <w:rsid w:val="00F16F00"/>
    <w:rsid w:val="00F2529C"/>
    <w:rsid w:val="00F25BB6"/>
    <w:rsid w:val="00F26B7E"/>
    <w:rsid w:val="00F27A3B"/>
    <w:rsid w:val="00F31AD8"/>
    <w:rsid w:val="00F32780"/>
    <w:rsid w:val="00F3281E"/>
    <w:rsid w:val="00F32EA9"/>
    <w:rsid w:val="00F33817"/>
    <w:rsid w:val="00F37A9B"/>
    <w:rsid w:val="00F40AFA"/>
    <w:rsid w:val="00F41487"/>
    <w:rsid w:val="00F420D5"/>
    <w:rsid w:val="00F437BE"/>
    <w:rsid w:val="00F45132"/>
    <w:rsid w:val="00F451EA"/>
    <w:rsid w:val="00F45447"/>
    <w:rsid w:val="00F456C6"/>
    <w:rsid w:val="00F4577B"/>
    <w:rsid w:val="00F46496"/>
    <w:rsid w:val="00F474D0"/>
    <w:rsid w:val="00F50179"/>
    <w:rsid w:val="00F504B8"/>
    <w:rsid w:val="00F5115B"/>
    <w:rsid w:val="00F515EE"/>
    <w:rsid w:val="00F5263B"/>
    <w:rsid w:val="00F54FBC"/>
    <w:rsid w:val="00F55615"/>
    <w:rsid w:val="00F56511"/>
    <w:rsid w:val="00F6194E"/>
    <w:rsid w:val="00F623AC"/>
    <w:rsid w:val="00F625EC"/>
    <w:rsid w:val="00F63607"/>
    <w:rsid w:val="00F63A01"/>
    <w:rsid w:val="00F64062"/>
    <w:rsid w:val="00F6412A"/>
    <w:rsid w:val="00F65893"/>
    <w:rsid w:val="00F66A4A"/>
    <w:rsid w:val="00F66AAF"/>
    <w:rsid w:val="00F70502"/>
    <w:rsid w:val="00F71E22"/>
    <w:rsid w:val="00F72142"/>
    <w:rsid w:val="00F72AE7"/>
    <w:rsid w:val="00F749C3"/>
    <w:rsid w:val="00F75836"/>
    <w:rsid w:val="00F769E6"/>
    <w:rsid w:val="00F833BA"/>
    <w:rsid w:val="00F84FD0"/>
    <w:rsid w:val="00F859A8"/>
    <w:rsid w:val="00F86D87"/>
    <w:rsid w:val="00F908D9"/>
    <w:rsid w:val="00F9108B"/>
    <w:rsid w:val="00F91349"/>
    <w:rsid w:val="00F93770"/>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5672"/>
    <w:rsid w:val="00FB5D91"/>
    <w:rsid w:val="00FB7054"/>
    <w:rsid w:val="00FB70AE"/>
    <w:rsid w:val="00FC17B7"/>
    <w:rsid w:val="00FC2CB7"/>
    <w:rsid w:val="00FC4090"/>
    <w:rsid w:val="00FC55B4"/>
    <w:rsid w:val="00FC615A"/>
    <w:rsid w:val="00FC719C"/>
    <w:rsid w:val="00FC73F8"/>
    <w:rsid w:val="00FD00E6"/>
    <w:rsid w:val="00FD09A1"/>
    <w:rsid w:val="00FD0F93"/>
    <w:rsid w:val="00FD2A7C"/>
    <w:rsid w:val="00FD59EB"/>
    <w:rsid w:val="00FD7299"/>
    <w:rsid w:val="00FE1FBE"/>
    <w:rsid w:val="00FE3901"/>
    <w:rsid w:val="00FE39D3"/>
    <w:rsid w:val="00FE3FE9"/>
    <w:rsid w:val="00FE4BCE"/>
    <w:rsid w:val="00FE54AE"/>
    <w:rsid w:val="00FE576A"/>
    <w:rsid w:val="00FE7E79"/>
    <w:rsid w:val="00FF3D68"/>
    <w:rsid w:val="00FF3E7D"/>
    <w:rsid w:val="00FF5B99"/>
    <w:rsid w:val="00FF6FA0"/>
    <w:rsid w:val="00FF730C"/>
    <w:rsid w:val="00FF73F4"/>
    <w:rsid w:val="00FF7CE4"/>
    <w:rsid w:val="00FF7E39"/>
    <w:rsid w:val="012F2443"/>
    <w:rsid w:val="04623E63"/>
    <w:rsid w:val="128674EF"/>
    <w:rsid w:val="15B517E0"/>
    <w:rsid w:val="15EE5FD1"/>
    <w:rsid w:val="17D60D86"/>
    <w:rsid w:val="21AB33D9"/>
    <w:rsid w:val="222E4058"/>
    <w:rsid w:val="2486099D"/>
    <w:rsid w:val="26D827BD"/>
    <w:rsid w:val="28C71A35"/>
    <w:rsid w:val="29E83F74"/>
    <w:rsid w:val="2A9D74AF"/>
    <w:rsid w:val="2ED84E74"/>
    <w:rsid w:val="33C341A1"/>
    <w:rsid w:val="366B240C"/>
    <w:rsid w:val="3E7F160D"/>
    <w:rsid w:val="436F6EAD"/>
    <w:rsid w:val="45FD527A"/>
    <w:rsid w:val="470628CB"/>
    <w:rsid w:val="4707737E"/>
    <w:rsid w:val="498618C4"/>
    <w:rsid w:val="4BAF623B"/>
    <w:rsid w:val="4BB21A20"/>
    <w:rsid w:val="50FE0AB7"/>
    <w:rsid w:val="52AB59C9"/>
    <w:rsid w:val="60065E94"/>
    <w:rsid w:val="62CE02E9"/>
    <w:rsid w:val="62EB3C14"/>
    <w:rsid w:val="69E57D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0" w:semiHidden="0" w:name="Body Text Indent 2"/>
    <w:lsdException w:qFormat="1" w:uiPriority="0" w:semiHidden="0" w:name="Body Text Indent 3"/>
    <w:lsdException w:uiPriority="99"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qFormat="1" w:uiPriority="0" w:semiHidden="0" w:name="HTML Acronym"/>
    <w:lsdException w:uiPriority="99" w:name="HTML Address"/>
    <w:lsdException w:qFormat="1" w:uiPriority="0" w:semiHidden="0" w:name="HTML Cite"/>
    <w:lsdException w:qFormat="1" w:uiPriority="0" w:semiHidden="0" w:name="HTML Code"/>
    <w:lsdException w:qFormat="1" w:uiPriority="0" w:semiHidden="0" w:name="HTML Definition"/>
    <w:lsdException w:qFormat="1" w:uiPriority="0" w:semiHidden="0" w:name="HTML Keyboard"/>
    <w:lsdException w:uiPriority="99" w:name="HTML Preformatted"/>
    <w:lsdException w:qFormat="1" w:uiPriority="0" w:semiHidden="0" w:name="HTML Sample"/>
    <w:lsdException w:uiPriority="99" w:name="HTML Typewriter"/>
    <w:lsdException w:qFormat="1" w:uiPriority="0" w:semiHidden="0"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after="160"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5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58"/>
    <w:qFormat/>
    <w:uiPriority w:val="0"/>
    <w:pPr>
      <w:keepNext/>
      <w:keepLines/>
      <w:spacing w:before="260" w:after="260" w:line="416" w:lineRule="auto"/>
      <w:outlineLvl w:val="2"/>
    </w:pPr>
    <w:rPr>
      <w:b/>
      <w:bCs/>
      <w:sz w:val="32"/>
      <w:szCs w:val="32"/>
    </w:rPr>
  </w:style>
  <w:style w:type="paragraph" w:styleId="5">
    <w:name w:val="heading 4"/>
    <w:basedOn w:val="1"/>
    <w:next w:val="1"/>
    <w:link w:val="59"/>
    <w:qFormat/>
    <w:uiPriority w:val="9"/>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6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6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6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6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64"/>
    <w:qFormat/>
    <w:uiPriority w:val="0"/>
    <w:pPr>
      <w:keepNext/>
      <w:keepLines/>
      <w:adjustRightInd/>
      <w:spacing w:before="240" w:after="64" w:line="320" w:lineRule="auto"/>
      <w:outlineLvl w:val="8"/>
    </w:pPr>
    <w:rPr>
      <w:rFonts w:ascii="Arial" w:hAnsi="Arial" w:eastAsia="黑体"/>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56"/>
    <w:qFormat/>
    <w:uiPriority w:val="0"/>
    <w:pPr>
      <w:adjustRightInd/>
      <w:spacing w:line="240" w:lineRule="auto"/>
    </w:pPr>
    <w:rPr>
      <w:rFonts w:ascii="宋体" w:hAnsi="Times New Roman"/>
      <w:sz w:val="18"/>
      <w:szCs w:val="18"/>
    </w:rPr>
  </w:style>
  <w:style w:type="paragraph" w:styleId="14">
    <w:name w:val="annotation text"/>
    <w:basedOn w:val="1"/>
    <w:link w:val="252"/>
    <w:unhideWhenUsed/>
    <w:qFormat/>
    <w:uiPriority w:val="99"/>
    <w:pPr>
      <w:adjustRightInd/>
      <w:spacing w:line="240" w:lineRule="auto"/>
      <w:jc w:val="left"/>
    </w:pPr>
    <w:rPr>
      <w:rFonts w:ascii="Times New Roman" w:hAnsi="Times New Roman"/>
      <w:szCs w:val="24"/>
    </w:rPr>
  </w:style>
  <w:style w:type="paragraph" w:styleId="15">
    <w:name w:val="Body Text"/>
    <w:basedOn w:val="1"/>
    <w:link w:val="108"/>
    <w:qFormat/>
    <w:uiPriority w:val="0"/>
    <w:pPr>
      <w:spacing w:after="120"/>
    </w:pPr>
  </w:style>
  <w:style w:type="paragraph" w:styleId="16">
    <w:name w:val="Body Text Indent"/>
    <w:basedOn w:val="1"/>
    <w:next w:val="1"/>
    <w:link w:val="257"/>
    <w:qFormat/>
    <w:uiPriority w:val="99"/>
    <w:pPr>
      <w:adjustRightInd/>
      <w:spacing w:after="120" w:line="240" w:lineRule="auto"/>
      <w:ind w:left="420" w:leftChars="200"/>
    </w:pPr>
    <w:rPr>
      <w:szCs w:val="24"/>
    </w:rPr>
  </w:style>
  <w:style w:type="paragraph" w:styleId="17">
    <w:name w:val="toc 5"/>
    <w:basedOn w:val="1"/>
    <w:next w:val="1"/>
    <w:unhideWhenUsed/>
    <w:qFormat/>
    <w:uiPriority w:val="39"/>
    <w:pPr>
      <w:ind w:left="839"/>
    </w:pPr>
    <w:rPr>
      <w:rFonts w:ascii="宋体"/>
    </w:rPr>
  </w:style>
  <w:style w:type="paragraph" w:styleId="18">
    <w:name w:val="toc 3"/>
    <w:basedOn w:val="1"/>
    <w:next w:val="1"/>
    <w:unhideWhenUsed/>
    <w:qFormat/>
    <w:uiPriority w:val="39"/>
    <w:pPr>
      <w:spacing w:line="300" w:lineRule="exact"/>
      <w:ind w:left="420"/>
    </w:pPr>
    <w:rPr>
      <w:rFonts w:ascii="宋体"/>
    </w:rPr>
  </w:style>
  <w:style w:type="paragraph" w:styleId="19">
    <w:name w:val="Plain Text"/>
    <w:basedOn w:val="1"/>
    <w:link w:val="258"/>
    <w:qFormat/>
    <w:uiPriority w:val="0"/>
    <w:pPr>
      <w:adjustRightInd/>
      <w:spacing w:line="240" w:lineRule="auto"/>
    </w:pPr>
    <w:rPr>
      <w:rFonts w:ascii="宋体" w:hAnsi="Courier New"/>
    </w:rPr>
  </w:style>
  <w:style w:type="paragraph" w:styleId="20">
    <w:name w:val="toc 8"/>
    <w:basedOn w:val="1"/>
    <w:next w:val="1"/>
    <w:unhideWhenUsed/>
    <w:qFormat/>
    <w:uiPriority w:val="39"/>
    <w:pPr>
      <w:adjustRightInd/>
      <w:spacing w:line="240" w:lineRule="auto"/>
      <w:ind w:left="2940" w:leftChars="1400"/>
    </w:pPr>
    <w:rPr>
      <w:rFonts w:asciiTheme="minorHAnsi" w:hAnsiTheme="minorHAnsi" w:eastAsiaTheme="minorEastAsia" w:cstheme="minorBidi"/>
      <w:szCs w:val="22"/>
    </w:rPr>
  </w:style>
  <w:style w:type="paragraph" w:styleId="21">
    <w:name w:val="Date"/>
    <w:basedOn w:val="1"/>
    <w:next w:val="1"/>
    <w:link w:val="259"/>
    <w:qFormat/>
    <w:uiPriority w:val="0"/>
    <w:pPr>
      <w:adjustRightInd/>
      <w:spacing w:line="240" w:lineRule="auto"/>
      <w:ind w:left="100" w:leftChars="2500"/>
    </w:pPr>
    <w:rPr>
      <w:rFonts w:ascii="Times New Roman" w:hAnsi="Times New Roman"/>
      <w:szCs w:val="24"/>
    </w:rPr>
  </w:style>
  <w:style w:type="paragraph" w:styleId="22">
    <w:name w:val="Body Text Indent 2"/>
    <w:basedOn w:val="1"/>
    <w:link w:val="260"/>
    <w:unhideWhenUsed/>
    <w:qFormat/>
    <w:uiPriority w:val="0"/>
    <w:pPr>
      <w:adjustRightInd/>
      <w:spacing w:after="120" w:line="480" w:lineRule="auto"/>
      <w:ind w:left="420" w:leftChars="200"/>
    </w:pPr>
    <w:rPr>
      <w:szCs w:val="20"/>
    </w:rPr>
  </w:style>
  <w:style w:type="paragraph" w:styleId="23">
    <w:name w:val="Balloon Text"/>
    <w:basedOn w:val="1"/>
    <w:link w:val="67"/>
    <w:unhideWhenUsed/>
    <w:qFormat/>
    <w:uiPriority w:val="0"/>
    <w:rPr>
      <w:sz w:val="18"/>
      <w:szCs w:val="18"/>
    </w:rPr>
  </w:style>
  <w:style w:type="paragraph" w:styleId="24">
    <w:name w:val="footer"/>
    <w:basedOn w:val="1"/>
    <w:link w:val="66"/>
    <w:qFormat/>
    <w:uiPriority w:val="99"/>
    <w:pPr>
      <w:tabs>
        <w:tab w:val="center" w:pos="4153"/>
        <w:tab w:val="right" w:pos="8306"/>
      </w:tabs>
      <w:adjustRightInd/>
      <w:snapToGrid w:val="0"/>
      <w:spacing w:line="240" w:lineRule="auto"/>
      <w:jc w:val="right"/>
    </w:pPr>
    <w:rPr>
      <w:rFonts w:ascii="宋体"/>
      <w:sz w:val="18"/>
      <w:szCs w:val="18"/>
    </w:rPr>
  </w:style>
  <w:style w:type="paragraph" w:styleId="25">
    <w:name w:val="header"/>
    <w:basedOn w:val="1"/>
    <w:link w:val="65"/>
    <w:qFormat/>
    <w:uiPriority w:val="99"/>
    <w:pPr>
      <w:tabs>
        <w:tab w:val="center" w:pos="4153"/>
        <w:tab w:val="right" w:pos="8306"/>
      </w:tabs>
      <w:adjustRightInd/>
      <w:snapToGrid w:val="0"/>
      <w:jc w:val="center"/>
    </w:pPr>
    <w:rPr>
      <w:sz w:val="18"/>
      <w:szCs w:val="18"/>
    </w:rPr>
  </w:style>
  <w:style w:type="paragraph" w:styleId="26">
    <w:name w:val="toc 1"/>
    <w:basedOn w:val="1"/>
    <w:next w:val="1"/>
    <w:unhideWhenUsed/>
    <w:qFormat/>
    <w:uiPriority w:val="39"/>
    <w:rPr>
      <w:rFonts w:ascii="宋体"/>
    </w:rPr>
  </w:style>
  <w:style w:type="paragraph" w:styleId="27">
    <w:name w:val="toc 4"/>
    <w:basedOn w:val="1"/>
    <w:next w:val="1"/>
    <w:unhideWhenUsed/>
    <w:qFormat/>
    <w:uiPriority w:val="39"/>
    <w:pPr>
      <w:tabs>
        <w:tab w:val="right" w:leader="dot" w:pos="9344"/>
      </w:tabs>
      <w:spacing w:line="300" w:lineRule="exact"/>
      <w:ind w:left="629"/>
    </w:pPr>
    <w:rPr>
      <w:rFonts w:ascii="宋体"/>
    </w:rPr>
  </w:style>
  <w:style w:type="paragraph" w:styleId="28">
    <w:name w:val="footnote text"/>
    <w:basedOn w:val="1"/>
    <w:next w:val="1"/>
    <w:link w:val="12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9">
    <w:name w:val="toc 6"/>
    <w:basedOn w:val="1"/>
    <w:next w:val="1"/>
    <w:unhideWhenUsed/>
    <w:qFormat/>
    <w:uiPriority w:val="39"/>
    <w:pPr>
      <w:spacing w:line="300" w:lineRule="exact"/>
      <w:ind w:left="1049"/>
    </w:pPr>
    <w:rPr>
      <w:rFonts w:ascii="宋体"/>
    </w:rPr>
  </w:style>
  <w:style w:type="paragraph" w:styleId="30">
    <w:name w:val="Body Text Indent 3"/>
    <w:basedOn w:val="1"/>
    <w:link w:val="261"/>
    <w:unhideWhenUsed/>
    <w:qFormat/>
    <w:uiPriority w:val="0"/>
    <w:pPr>
      <w:adjustRightInd/>
      <w:spacing w:line="300" w:lineRule="auto"/>
      <w:ind w:firstLine="480" w:firstLineChars="200"/>
    </w:pPr>
    <w:rPr>
      <w:rFonts w:ascii="宋体" w:hAnsi="宋体"/>
      <w:sz w:val="24"/>
      <w:szCs w:val="24"/>
    </w:rPr>
  </w:style>
  <w:style w:type="paragraph" w:styleId="31">
    <w:name w:val="table of figures"/>
    <w:basedOn w:val="1"/>
    <w:next w:val="1"/>
    <w:semiHidden/>
    <w:qFormat/>
    <w:uiPriority w:val="0"/>
    <w:pPr>
      <w:adjustRightInd/>
      <w:spacing w:line="240" w:lineRule="auto"/>
      <w:jc w:val="left"/>
    </w:pPr>
    <w:rPr>
      <w:szCs w:val="24"/>
    </w:rPr>
  </w:style>
  <w:style w:type="paragraph" w:styleId="32">
    <w:name w:val="toc 2"/>
    <w:basedOn w:val="1"/>
    <w:next w:val="1"/>
    <w:unhideWhenUsed/>
    <w:qFormat/>
    <w:uiPriority w:val="39"/>
    <w:pPr>
      <w:tabs>
        <w:tab w:val="right" w:leader="dot" w:pos="9344"/>
      </w:tabs>
      <w:spacing w:line="300" w:lineRule="exact"/>
      <w:ind w:left="210"/>
    </w:pPr>
    <w:rPr>
      <w:rFonts w:ascii="宋体"/>
    </w:rPr>
  </w:style>
  <w:style w:type="paragraph" w:styleId="33">
    <w:name w:val="toc 9"/>
    <w:basedOn w:val="1"/>
    <w:next w:val="1"/>
    <w:unhideWhenUsed/>
    <w:qFormat/>
    <w:uiPriority w:val="39"/>
    <w:pPr>
      <w:adjustRightInd/>
      <w:spacing w:line="240" w:lineRule="auto"/>
      <w:ind w:left="3360" w:leftChars="1600"/>
    </w:pPr>
    <w:rPr>
      <w:rFonts w:asciiTheme="minorHAnsi" w:hAnsiTheme="minorHAnsi" w:eastAsiaTheme="minorEastAsia" w:cstheme="minorBidi"/>
      <w:szCs w:val="22"/>
    </w:rPr>
  </w:style>
  <w:style w:type="paragraph" w:styleId="34">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35">
    <w:name w:val="Title"/>
    <w:basedOn w:val="1"/>
    <w:link w:val="70"/>
    <w:qFormat/>
    <w:uiPriority w:val="0"/>
    <w:pPr>
      <w:spacing w:before="240" w:after="60"/>
      <w:jc w:val="center"/>
      <w:outlineLvl w:val="0"/>
    </w:pPr>
    <w:rPr>
      <w:rFonts w:ascii="Arial" w:hAnsi="Arial" w:cs="Arial"/>
      <w:b/>
      <w:bCs/>
      <w:sz w:val="32"/>
      <w:szCs w:val="32"/>
    </w:rPr>
  </w:style>
  <w:style w:type="paragraph" w:styleId="36">
    <w:name w:val="annotation subject"/>
    <w:basedOn w:val="14"/>
    <w:next w:val="14"/>
    <w:link w:val="262"/>
    <w:unhideWhenUsed/>
    <w:qFormat/>
    <w:uiPriority w:val="0"/>
    <w:rPr>
      <w:b/>
      <w:bCs/>
    </w:rPr>
  </w:style>
  <w:style w:type="paragraph" w:styleId="37">
    <w:name w:val="Body Text First Indent 2"/>
    <w:basedOn w:val="16"/>
    <w:next w:val="1"/>
    <w:link w:val="263"/>
    <w:qFormat/>
    <w:uiPriority w:val="0"/>
    <w:pPr>
      <w:ind w:left="0" w:leftChars="0"/>
      <w:jc w:val="center"/>
    </w:pPr>
    <w:rPr>
      <w:rFonts w:ascii="黑体" w:hAnsi="黑体" w:eastAsia="黑体" w:cs="黑体"/>
      <w:sz w:val="32"/>
      <w:szCs w:val="32"/>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rPr>
      <w:rFonts w:ascii="宋体" w:hAnsi="Times New Roman" w:eastAsia="宋体"/>
      <w:sz w:val="18"/>
    </w:rPr>
  </w:style>
  <w:style w:type="character" w:styleId="43">
    <w:name w:val="FollowedHyperlink"/>
    <w:unhideWhenUsed/>
    <w:qFormat/>
    <w:uiPriority w:val="0"/>
    <w:rPr>
      <w:color w:val="338DE6"/>
      <w:u w:val="none"/>
    </w:rPr>
  </w:style>
  <w:style w:type="character" w:styleId="44">
    <w:name w:val="Emphasis"/>
    <w:qFormat/>
    <w:uiPriority w:val="20"/>
    <w:rPr>
      <w:i/>
      <w:iCs/>
    </w:rPr>
  </w:style>
  <w:style w:type="character" w:styleId="45">
    <w:name w:val="HTML Definition"/>
    <w:basedOn w:val="40"/>
    <w:unhideWhenUsed/>
    <w:qFormat/>
    <w:uiPriority w:val="0"/>
  </w:style>
  <w:style w:type="character" w:styleId="46">
    <w:name w:val="HTML Acronym"/>
    <w:basedOn w:val="40"/>
    <w:unhideWhenUsed/>
    <w:qFormat/>
    <w:uiPriority w:val="0"/>
    <w:rPr>
      <w:color w:val="FF6600"/>
    </w:rPr>
  </w:style>
  <w:style w:type="character" w:styleId="47">
    <w:name w:val="HTML Variable"/>
    <w:basedOn w:val="40"/>
    <w:unhideWhenUsed/>
    <w:qFormat/>
    <w:uiPriority w:val="0"/>
  </w:style>
  <w:style w:type="character" w:styleId="48">
    <w:name w:val="Hyperlink"/>
    <w:qFormat/>
    <w:uiPriority w:val="99"/>
    <w:rPr>
      <w:rFonts w:ascii="宋体" w:hAnsi="Times New Roman" w:eastAsia="宋体"/>
      <w:color w:val="auto"/>
      <w:spacing w:val="0"/>
      <w:w w:val="100"/>
      <w:position w:val="0"/>
      <w:sz w:val="21"/>
      <w:u w:val="none"/>
      <w:vertAlign w:val="baseline"/>
    </w:rPr>
  </w:style>
  <w:style w:type="character" w:styleId="49">
    <w:name w:val="HTML Code"/>
    <w:unhideWhenUsed/>
    <w:qFormat/>
    <w:uiPriority w:val="0"/>
    <w:rPr>
      <w:rFonts w:hint="default" w:ascii="monospace" w:hAnsi="monospace" w:eastAsia="monospace" w:cs="monospace"/>
      <w:sz w:val="21"/>
      <w:szCs w:val="21"/>
    </w:rPr>
  </w:style>
  <w:style w:type="character" w:styleId="50">
    <w:name w:val="annotation reference"/>
    <w:basedOn w:val="40"/>
    <w:unhideWhenUsed/>
    <w:qFormat/>
    <w:uiPriority w:val="0"/>
    <w:rPr>
      <w:sz w:val="21"/>
      <w:szCs w:val="21"/>
    </w:rPr>
  </w:style>
  <w:style w:type="character" w:styleId="51">
    <w:name w:val="HTML Cite"/>
    <w:basedOn w:val="40"/>
    <w:unhideWhenUsed/>
    <w:qFormat/>
    <w:uiPriority w:val="0"/>
  </w:style>
  <w:style w:type="character" w:styleId="52">
    <w:name w:val="footnote reference"/>
    <w:semiHidden/>
    <w:qFormat/>
    <w:uiPriority w:val="0"/>
    <w:rPr>
      <w:rFonts w:ascii="宋体" w:hAnsi="宋体" w:eastAsia="宋体" w:cs="Times New Roman"/>
      <w:spacing w:val="0"/>
      <w:sz w:val="18"/>
      <w:vertAlign w:val="superscript"/>
    </w:rPr>
  </w:style>
  <w:style w:type="character" w:styleId="53">
    <w:name w:val="HTML Keyboard"/>
    <w:unhideWhenUsed/>
    <w:qFormat/>
    <w:uiPriority w:val="0"/>
    <w:rPr>
      <w:rFonts w:hint="default" w:ascii="monospace" w:hAnsi="monospace" w:eastAsia="monospace" w:cs="monospace"/>
      <w:sz w:val="21"/>
      <w:szCs w:val="21"/>
    </w:rPr>
  </w:style>
  <w:style w:type="character" w:styleId="54">
    <w:name w:val="HTML Sample"/>
    <w:unhideWhenUsed/>
    <w:qFormat/>
    <w:uiPriority w:val="0"/>
    <w:rPr>
      <w:rFonts w:ascii="monospace" w:hAnsi="monospace" w:eastAsia="monospace" w:cs="monospace"/>
      <w:sz w:val="21"/>
      <w:szCs w:val="21"/>
    </w:rPr>
  </w:style>
  <w:style w:type="paragraph" w:customStyle="1" w:styleId="55">
    <w:name w:val="样式1"/>
    <w:basedOn w:val="1"/>
    <w:next w:val="1"/>
    <w:link w:val="253"/>
    <w:qFormat/>
    <w:uiPriority w:val="0"/>
    <w:pPr>
      <w:spacing w:line="240" w:lineRule="auto"/>
      <w:ind w:firstLine="600" w:firstLineChars="200"/>
    </w:pPr>
    <w:rPr>
      <w:szCs w:val="24"/>
    </w:rPr>
  </w:style>
  <w:style w:type="character" w:customStyle="1" w:styleId="56">
    <w:name w:val="标题 1 字符"/>
    <w:link w:val="2"/>
    <w:qFormat/>
    <w:uiPriority w:val="0"/>
    <w:rPr>
      <w:b/>
      <w:bCs/>
      <w:kern w:val="44"/>
      <w:sz w:val="44"/>
      <w:szCs w:val="44"/>
    </w:rPr>
  </w:style>
  <w:style w:type="character" w:customStyle="1" w:styleId="57">
    <w:name w:val="标题 2 字符"/>
    <w:link w:val="3"/>
    <w:qFormat/>
    <w:uiPriority w:val="0"/>
    <w:rPr>
      <w:rFonts w:ascii="Arial" w:hAnsi="Arial" w:eastAsia="黑体"/>
      <w:b/>
      <w:bCs/>
      <w:kern w:val="2"/>
      <w:sz w:val="32"/>
      <w:szCs w:val="32"/>
    </w:rPr>
  </w:style>
  <w:style w:type="character" w:customStyle="1" w:styleId="58">
    <w:name w:val="标题 3 字符"/>
    <w:link w:val="4"/>
    <w:qFormat/>
    <w:uiPriority w:val="0"/>
    <w:rPr>
      <w:b/>
      <w:bCs/>
      <w:kern w:val="2"/>
      <w:sz w:val="32"/>
      <w:szCs w:val="32"/>
    </w:rPr>
  </w:style>
  <w:style w:type="character" w:customStyle="1" w:styleId="59">
    <w:name w:val="标题 4 字符"/>
    <w:link w:val="5"/>
    <w:qFormat/>
    <w:uiPriority w:val="9"/>
    <w:rPr>
      <w:rFonts w:ascii="Arial" w:hAnsi="Arial" w:eastAsia="黑体"/>
      <w:b/>
      <w:bCs/>
      <w:kern w:val="2"/>
      <w:sz w:val="28"/>
      <w:szCs w:val="28"/>
    </w:rPr>
  </w:style>
  <w:style w:type="character" w:customStyle="1" w:styleId="60">
    <w:name w:val="标题 5 字符"/>
    <w:link w:val="6"/>
    <w:qFormat/>
    <w:uiPriority w:val="0"/>
    <w:rPr>
      <w:b/>
      <w:bCs/>
      <w:kern w:val="2"/>
      <w:sz w:val="28"/>
      <w:szCs w:val="28"/>
    </w:rPr>
  </w:style>
  <w:style w:type="character" w:customStyle="1" w:styleId="61">
    <w:name w:val="标题 6 字符"/>
    <w:link w:val="7"/>
    <w:qFormat/>
    <w:uiPriority w:val="0"/>
    <w:rPr>
      <w:rFonts w:ascii="Arial" w:hAnsi="Arial" w:eastAsia="黑体"/>
      <w:b/>
      <w:bCs/>
      <w:kern w:val="2"/>
      <w:sz w:val="24"/>
      <w:szCs w:val="24"/>
    </w:rPr>
  </w:style>
  <w:style w:type="character" w:customStyle="1" w:styleId="62">
    <w:name w:val="标题 7 字符"/>
    <w:link w:val="8"/>
    <w:qFormat/>
    <w:uiPriority w:val="0"/>
    <w:rPr>
      <w:b/>
      <w:bCs/>
      <w:kern w:val="2"/>
      <w:sz w:val="24"/>
      <w:szCs w:val="24"/>
    </w:rPr>
  </w:style>
  <w:style w:type="character" w:customStyle="1" w:styleId="63">
    <w:name w:val="标题 8 字符"/>
    <w:link w:val="9"/>
    <w:qFormat/>
    <w:uiPriority w:val="0"/>
    <w:rPr>
      <w:rFonts w:ascii="Arial" w:hAnsi="Arial" w:eastAsia="黑体"/>
      <w:kern w:val="2"/>
      <w:sz w:val="24"/>
      <w:szCs w:val="24"/>
    </w:rPr>
  </w:style>
  <w:style w:type="character" w:customStyle="1" w:styleId="64">
    <w:name w:val="标题 9 字符"/>
    <w:link w:val="10"/>
    <w:qFormat/>
    <w:uiPriority w:val="0"/>
    <w:rPr>
      <w:rFonts w:ascii="Arial" w:hAnsi="Arial" w:eastAsia="黑体"/>
      <w:kern w:val="2"/>
      <w:sz w:val="21"/>
      <w:szCs w:val="21"/>
    </w:rPr>
  </w:style>
  <w:style w:type="character" w:customStyle="1" w:styleId="65">
    <w:name w:val="页眉 字符"/>
    <w:link w:val="25"/>
    <w:qFormat/>
    <w:uiPriority w:val="99"/>
    <w:rPr>
      <w:kern w:val="2"/>
      <w:sz w:val="18"/>
      <w:szCs w:val="18"/>
    </w:rPr>
  </w:style>
  <w:style w:type="character" w:customStyle="1" w:styleId="66">
    <w:name w:val="页脚 字符"/>
    <w:link w:val="24"/>
    <w:qFormat/>
    <w:uiPriority w:val="99"/>
    <w:rPr>
      <w:rFonts w:ascii="宋体"/>
      <w:kern w:val="2"/>
      <w:sz w:val="18"/>
      <w:szCs w:val="18"/>
    </w:rPr>
  </w:style>
  <w:style w:type="character" w:customStyle="1" w:styleId="67">
    <w:name w:val="批注框文本 字符"/>
    <w:link w:val="23"/>
    <w:qFormat/>
    <w:uiPriority w:val="0"/>
    <w:rPr>
      <w:kern w:val="2"/>
      <w:sz w:val="18"/>
      <w:szCs w:val="18"/>
    </w:rPr>
  </w:style>
  <w:style w:type="paragraph" w:styleId="68">
    <w:name w:val="Quote"/>
    <w:basedOn w:val="1"/>
    <w:next w:val="1"/>
    <w:link w:val="69"/>
    <w:qFormat/>
    <w:uiPriority w:val="29"/>
    <w:rPr>
      <w:i/>
      <w:iCs/>
      <w:color w:val="000000"/>
    </w:rPr>
  </w:style>
  <w:style w:type="character" w:customStyle="1" w:styleId="69">
    <w:name w:val="引用 字符"/>
    <w:link w:val="68"/>
    <w:qFormat/>
    <w:uiPriority w:val="29"/>
    <w:rPr>
      <w:i/>
      <w:iCs/>
      <w:color w:val="000000"/>
      <w:kern w:val="2"/>
      <w:sz w:val="21"/>
      <w:szCs w:val="21"/>
    </w:rPr>
  </w:style>
  <w:style w:type="character" w:customStyle="1" w:styleId="70">
    <w:name w:val="标题 字符"/>
    <w:link w:val="35"/>
    <w:qFormat/>
    <w:uiPriority w:val="0"/>
    <w:rPr>
      <w:rFonts w:ascii="Arial" w:hAnsi="Arial" w:cs="Arial"/>
      <w:b/>
      <w:bCs/>
      <w:kern w:val="2"/>
      <w:sz w:val="32"/>
      <w:szCs w:val="32"/>
    </w:rPr>
  </w:style>
  <w:style w:type="paragraph" w:customStyle="1" w:styleId="71">
    <w:name w:val="标准标志"/>
    <w:next w:val="1"/>
    <w:qFormat/>
    <w:uiPriority w:val="0"/>
    <w:pPr>
      <w:framePr w:w="2268" w:h="1392" w:hRule="exact" w:wrap="around" w:vAnchor="margin" w:hAnchor="margin" w:x="6748" w:y="171" w:anchorLock="1"/>
      <w:shd w:val="solid" w:color="FFFFFF" w:fill="FFFFFF"/>
      <w:spacing w:after="160" w:line="0" w:lineRule="atLeast"/>
      <w:jc w:val="right"/>
    </w:pPr>
    <w:rPr>
      <w:rFonts w:ascii="Times New Roman" w:hAnsi="Times New Roman" w:eastAsia="宋体" w:cs="Times New Roman"/>
      <w:b/>
      <w:w w:val="130"/>
      <w:sz w:val="96"/>
      <w:lang w:val="en-US" w:eastAsia="zh-CN" w:bidi="ar-SA"/>
    </w:rPr>
  </w:style>
  <w:style w:type="paragraph" w:customStyle="1" w:styleId="7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eastAsia="宋体" w:cs="Times New Roman"/>
      <w:b/>
      <w:bCs/>
      <w:w w:val="148"/>
      <w:sz w:val="52"/>
      <w:lang w:val="en-US" w:eastAsia="zh-CN" w:bidi="ar-SA"/>
    </w:rPr>
  </w:style>
  <w:style w:type="paragraph" w:customStyle="1" w:styleId="73">
    <w:name w:val="标准文件_页脚偶数页"/>
    <w:qFormat/>
    <w:uiPriority w:val="0"/>
    <w:pPr>
      <w:spacing w:after="160" w:line="278" w:lineRule="auto"/>
      <w:ind w:left="198"/>
    </w:pPr>
    <w:rPr>
      <w:rFonts w:ascii="宋体" w:hAnsi="Times New Roman" w:eastAsia="宋体" w:cs="Times New Roman"/>
      <w:sz w:val="18"/>
      <w:lang w:val="en-US" w:eastAsia="zh-CN" w:bidi="ar-SA"/>
    </w:rPr>
  </w:style>
  <w:style w:type="paragraph" w:customStyle="1" w:styleId="74">
    <w:name w:val="标准文件_页脚奇数页"/>
    <w:qFormat/>
    <w:uiPriority w:val="0"/>
    <w:pPr>
      <w:spacing w:after="160" w:line="278" w:lineRule="auto"/>
      <w:ind w:right="227"/>
      <w:jc w:val="right"/>
    </w:pPr>
    <w:rPr>
      <w:rFonts w:ascii="宋体" w:hAnsi="Times New Roman" w:eastAsia="宋体" w:cs="Times New Roman"/>
      <w:sz w:val="18"/>
      <w:lang w:val="en-US" w:eastAsia="zh-CN" w:bidi="ar-SA"/>
    </w:rPr>
  </w:style>
  <w:style w:type="paragraph" w:customStyle="1" w:styleId="75">
    <w:name w:val="标准书眉一"/>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76">
    <w:name w:val="标准文件_ICS"/>
    <w:basedOn w:val="1"/>
    <w:qFormat/>
    <w:uiPriority w:val="0"/>
    <w:pPr>
      <w:spacing w:line="0" w:lineRule="atLeast"/>
    </w:pPr>
    <w:rPr>
      <w:rFonts w:ascii="黑体" w:hAnsi="宋体" w:eastAsia="黑体"/>
    </w:rPr>
  </w:style>
  <w:style w:type="paragraph" w:customStyle="1" w:styleId="77">
    <w:name w:val="标准文件_标准正文"/>
    <w:basedOn w:val="1"/>
    <w:next w:val="78"/>
    <w:qFormat/>
    <w:uiPriority w:val="0"/>
    <w:pPr>
      <w:snapToGrid w:val="0"/>
      <w:ind w:firstLine="200" w:firstLineChars="200"/>
    </w:pPr>
    <w:rPr>
      <w:kern w:val="0"/>
    </w:rPr>
  </w:style>
  <w:style w:type="paragraph" w:customStyle="1" w:styleId="78">
    <w:name w:val="标准文件_段"/>
    <w:link w:val="206"/>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79">
    <w:name w:val="标准文件_版本"/>
    <w:basedOn w:val="77"/>
    <w:qFormat/>
    <w:uiPriority w:val="0"/>
    <w:pPr>
      <w:adjustRightInd/>
      <w:snapToGrid/>
      <w:ind w:firstLine="0" w:firstLineChars="0"/>
    </w:pPr>
    <w:rPr>
      <w:rFonts w:ascii="宋体" w:hAnsi="宋体"/>
      <w:kern w:val="2"/>
    </w:rPr>
  </w:style>
  <w:style w:type="paragraph" w:customStyle="1" w:styleId="80">
    <w:name w:val="标准文件_标准部门"/>
    <w:basedOn w:val="1"/>
    <w:qFormat/>
    <w:uiPriority w:val="0"/>
    <w:pPr>
      <w:jc w:val="center"/>
    </w:pPr>
    <w:rPr>
      <w:rFonts w:ascii="黑体" w:eastAsia="黑体"/>
      <w:kern w:val="0"/>
      <w:sz w:val="44"/>
    </w:rPr>
  </w:style>
  <w:style w:type="paragraph" w:customStyle="1" w:styleId="81">
    <w:name w:val="标准文件_标准代替"/>
    <w:basedOn w:val="1"/>
    <w:next w:val="1"/>
    <w:qFormat/>
    <w:uiPriority w:val="0"/>
    <w:pPr>
      <w:spacing w:line="310" w:lineRule="exact"/>
      <w:jc w:val="right"/>
    </w:pPr>
    <w:rPr>
      <w:rFonts w:ascii="宋体" w:hAnsi="宋体"/>
      <w:kern w:val="0"/>
    </w:rPr>
  </w:style>
  <w:style w:type="paragraph" w:customStyle="1" w:styleId="8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83">
    <w:name w:val="标准文件_页眉奇数页"/>
    <w:next w:val="1"/>
    <w:qFormat/>
    <w:uiPriority w:val="0"/>
    <w:pPr>
      <w:tabs>
        <w:tab w:val="center" w:pos="4154"/>
        <w:tab w:val="right" w:pos="8306"/>
      </w:tabs>
      <w:spacing w:after="120" w:line="278" w:lineRule="auto"/>
      <w:jc w:val="right"/>
    </w:pPr>
    <w:rPr>
      <w:rFonts w:ascii="黑体" w:hAnsi="宋体" w:eastAsia="黑体" w:cs="Times New Roman"/>
      <w:sz w:val="21"/>
      <w:lang w:val="en-US" w:eastAsia="zh-CN" w:bidi="ar-SA"/>
    </w:rPr>
  </w:style>
  <w:style w:type="paragraph" w:customStyle="1" w:styleId="84">
    <w:name w:val="标准文件_页眉偶数页"/>
    <w:basedOn w:val="83"/>
    <w:next w:val="1"/>
    <w:qFormat/>
    <w:uiPriority w:val="0"/>
    <w:pPr>
      <w:jc w:val="left"/>
    </w:pPr>
  </w:style>
  <w:style w:type="paragraph" w:customStyle="1" w:styleId="8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86">
    <w:name w:val="标准文件_参考文献条目"/>
    <w:qFormat/>
    <w:uiPriority w:val="0"/>
    <w:pPr>
      <w:numPr>
        <w:ilvl w:val="0"/>
        <w:numId w:val="1"/>
      </w:numPr>
      <w:spacing w:after="160" w:line="278" w:lineRule="auto"/>
    </w:pPr>
    <w:rPr>
      <w:rFonts w:ascii="宋体" w:hAnsi="Times New Roman" w:eastAsia="宋体" w:cs="Times New Roman"/>
      <w:lang w:val="en-US" w:eastAsia="zh-CN" w:bidi="ar-SA"/>
    </w:rPr>
  </w:style>
  <w:style w:type="paragraph" w:customStyle="1" w:styleId="87">
    <w:name w:val="标准文件_二级条标题"/>
    <w:next w:val="78"/>
    <w:qFormat/>
    <w:uiPriority w:val="0"/>
    <w:pPr>
      <w:widowControl w:val="0"/>
      <w:numPr>
        <w:ilvl w:val="3"/>
        <w:numId w:val="2"/>
      </w:numPr>
      <w:spacing w:before="50" w:beforeLines="50" w:after="50" w:afterLines="50" w:line="278" w:lineRule="auto"/>
      <w:jc w:val="both"/>
      <w:outlineLvl w:val="2"/>
    </w:pPr>
    <w:rPr>
      <w:rFonts w:ascii="黑体" w:hAnsi="Times New Roman" w:eastAsia="黑体" w:cs="Times New Roman"/>
      <w:sz w:val="21"/>
      <w:lang w:val="en-US" w:eastAsia="zh-CN" w:bidi="ar-SA"/>
    </w:rPr>
  </w:style>
  <w:style w:type="character" w:customStyle="1" w:styleId="88">
    <w:name w:val="标准文件_发布"/>
    <w:qFormat/>
    <w:uiPriority w:val="0"/>
    <w:rPr>
      <w:rFonts w:ascii="黑体" w:eastAsia="黑体"/>
      <w:spacing w:val="0"/>
      <w:w w:val="100"/>
      <w:position w:val="3"/>
      <w:sz w:val="28"/>
    </w:rPr>
  </w:style>
  <w:style w:type="paragraph" w:customStyle="1" w:styleId="89">
    <w:name w:val="标准文件_方框数字列项"/>
    <w:basedOn w:val="78"/>
    <w:qFormat/>
    <w:uiPriority w:val="0"/>
    <w:pPr>
      <w:numPr>
        <w:ilvl w:val="0"/>
        <w:numId w:val="3"/>
      </w:numPr>
      <w:ind w:firstLine="0" w:firstLineChars="0"/>
    </w:pPr>
  </w:style>
  <w:style w:type="paragraph" w:customStyle="1" w:styleId="90">
    <w:name w:val="标准文件_封面标准编号"/>
    <w:basedOn w:val="1"/>
    <w:next w:val="81"/>
    <w:qFormat/>
    <w:uiPriority w:val="0"/>
    <w:pPr>
      <w:spacing w:line="310" w:lineRule="exact"/>
      <w:jc w:val="right"/>
    </w:pPr>
    <w:rPr>
      <w:rFonts w:ascii="黑体" w:eastAsia="黑体"/>
      <w:kern w:val="0"/>
      <w:sz w:val="28"/>
    </w:rPr>
  </w:style>
  <w:style w:type="paragraph" w:customStyle="1" w:styleId="91">
    <w:name w:val="标准文件_封面标准分类号"/>
    <w:basedOn w:val="1"/>
    <w:qFormat/>
    <w:uiPriority w:val="0"/>
    <w:rPr>
      <w:rFonts w:ascii="黑体" w:eastAsia="黑体"/>
      <w:b/>
      <w:kern w:val="0"/>
      <w:sz w:val="28"/>
    </w:rPr>
  </w:style>
  <w:style w:type="paragraph" w:customStyle="1" w:styleId="92">
    <w:name w:val="标准文件_封面标准名称"/>
    <w:basedOn w:val="1"/>
    <w:qFormat/>
    <w:uiPriority w:val="0"/>
    <w:pPr>
      <w:spacing w:line="240" w:lineRule="auto"/>
      <w:jc w:val="center"/>
    </w:pPr>
    <w:rPr>
      <w:rFonts w:ascii="黑体" w:eastAsia="黑体"/>
      <w:kern w:val="0"/>
      <w:sz w:val="52"/>
    </w:rPr>
  </w:style>
  <w:style w:type="paragraph" w:customStyle="1" w:styleId="93">
    <w:name w:val="标准文件_封面标准英文名称"/>
    <w:basedOn w:val="1"/>
    <w:qFormat/>
    <w:uiPriority w:val="0"/>
    <w:pPr>
      <w:spacing w:line="240" w:lineRule="auto"/>
      <w:jc w:val="center"/>
    </w:pPr>
    <w:rPr>
      <w:rFonts w:ascii="黑体" w:eastAsia="黑体"/>
      <w:b/>
      <w:sz w:val="28"/>
    </w:rPr>
  </w:style>
  <w:style w:type="paragraph" w:customStyle="1" w:styleId="94">
    <w:name w:val="标准文件_封面发布日期"/>
    <w:basedOn w:val="1"/>
    <w:qFormat/>
    <w:uiPriority w:val="0"/>
    <w:pPr>
      <w:spacing w:line="310" w:lineRule="exact"/>
    </w:pPr>
    <w:rPr>
      <w:rFonts w:ascii="黑体" w:eastAsia="黑体"/>
      <w:kern w:val="0"/>
      <w:sz w:val="28"/>
    </w:rPr>
  </w:style>
  <w:style w:type="paragraph" w:customStyle="1" w:styleId="95">
    <w:name w:val="标准文件_封面密级"/>
    <w:basedOn w:val="1"/>
    <w:qFormat/>
    <w:uiPriority w:val="0"/>
    <w:rPr>
      <w:rFonts w:eastAsia="黑体"/>
      <w:sz w:val="32"/>
    </w:rPr>
  </w:style>
  <w:style w:type="paragraph" w:customStyle="1" w:styleId="96">
    <w:name w:val="标准文件_封面实施日期"/>
    <w:basedOn w:val="1"/>
    <w:qFormat/>
    <w:uiPriority w:val="0"/>
    <w:pPr>
      <w:spacing w:line="310" w:lineRule="exact"/>
      <w:jc w:val="right"/>
    </w:pPr>
    <w:rPr>
      <w:rFonts w:ascii="黑体" w:eastAsia="黑体"/>
      <w:sz w:val="28"/>
    </w:rPr>
  </w:style>
  <w:style w:type="paragraph" w:customStyle="1" w:styleId="97">
    <w:name w:val="标准文件_封面抬头"/>
    <w:basedOn w:val="78"/>
    <w:qFormat/>
    <w:uiPriority w:val="0"/>
    <w:pPr>
      <w:adjustRightInd w:val="0"/>
      <w:spacing w:line="800" w:lineRule="exact"/>
      <w:ind w:firstLine="0" w:firstLineChars="0"/>
      <w:jc w:val="distribute"/>
    </w:pPr>
    <w:rPr>
      <w:rFonts w:ascii="黑体" w:eastAsia="黑体"/>
      <w:b/>
      <w:sz w:val="64"/>
    </w:rPr>
  </w:style>
  <w:style w:type="paragraph" w:customStyle="1" w:styleId="98">
    <w:name w:val="标准文件_附录标识"/>
    <w:next w:val="78"/>
    <w:qFormat/>
    <w:uiPriority w:val="0"/>
    <w:pPr>
      <w:numPr>
        <w:ilvl w:val="0"/>
        <w:numId w:val="4"/>
      </w:numPr>
      <w:shd w:val="clear" w:color="FFFFFF" w:fill="FFFFFF"/>
      <w:tabs>
        <w:tab w:val="left" w:pos="6406"/>
      </w:tabs>
      <w:spacing w:before="560" w:after="50" w:afterLines="50" w:line="278" w:lineRule="auto"/>
      <w:jc w:val="center"/>
      <w:outlineLvl w:val="0"/>
    </w:pPr>
    <w:rPr>
      <w:rFonts w:ascii="黑体" w:hAnsi="Times New Roman" w:eastAsia="黑体" w:cs="Times New Roman"/>
      <w:sz w:val="21"/>
      <w:lang w:val="en-US" w:eastAsia="zh-CN" w:bidi="ar-SA"/>
    </w:rPr>
  </w:style>
  <w:style w:type="paragraph" w:customStyle="1" w:styleId="99">
    <w:name w:val="标准文件_附录表标题"/>
    <w:next w:val="78"/>
    <w:qFormat/>
    <w:uiPriority w:val="0"/>
    <w:pPr>
      <w:numPr>
        <w:ilvl w:val="1"/>
        <w:numId w:val="5"/>
      </w:numPr>
      <w:adjustRightInd w:val="0"/>
      <w:snapToGrid w:val="0"/>
      <w:spacing w:before="50" w:beforeLines="50" w:after="50" w:afterLines="50" w:line="278" w:lineRule="auto"/>
      <w:jc w:val="center"/>
      <w:textAlignment w:val="baseline"/>
    </w:pPr>
    <w:rPr>
      <w:rFonts w:ascii="黑体" w:hAnsi="Times New Roman" w:eastAsia="黑体" w:cs="Times New Roman"/>
      <w:kern w:val="21"/>
      <w:sz w:val="21"/>
      <w:lang w:val="en-US" w:eastAsia="zh-CN" w:bidi="ar-SA"/>
    </w:rPr>
  </w:style>
  <w:style w:type="paragraph" w:customStyle="1" w:styleId="100">
    <w:name w:val="标准文件_附录一级条标题"/>
    <w:next w:val="78"/>
    <w:qFormat/>
    <w:uiPriority w:val="0"/>
    <w:pPr>
      <w:widowControl w:val="0"/>
      <w:numPr>
        <w:ilvl w:val="1"/>
        <w:numId w:val="4"/>
      </w:numPr>
      <w:spacing w:before="50" w:beforeLines="50" w:after="50" w:afterLines="50" w:line="278" w:lineRule="auto"/>
      <w:jc w:val="both"/>
      <w:outlineLvl w:val="2"/>
    </w:pPr>
    <w:rPr>
      <w:rFonts w:ascii="黑体" w:hAnsi="Times New Roman" w:eastAsia="黑体" w:cs="Times New Roman"/>
      <w:kern w:val="21"/>
      <w:sz w:val="21"/>
      <w:lang w:val="en-US" w:eastAsia="zh-CN" w:bidi="ar-SA"/>
    </w:rPr>
  </w:style>
  <w:style w:type="paragraph" w:customStyle="1" w:styleId="101">
    <w:name w:val="标准文件_附录二级条标题"/>
    <w:basedOn w:val="100"/>
    <w:next w:val="78"/>
    <w:qFormat/>
    <w:uiPriority w:val="0"/>
    <w:pPr>
      <w:widowControl/>
      <w:numPr>
        <w:ilvl w:val="2"/>
      </w:numPr>
      <w:wordWrap w:val="0"/>
      <w:overflowPunct w:val="0"/>
      <w:autoSpaceDE w:val="0"/>
      <w:autoSpaceDN w:val="0"/>
      <w:textAlignment w:val="baseline"/>
      <w:outlineLvl w:val="3"/>
    </w:pPr>
  </w:style>
  <w:style w:type="paragraph" w:customStyle="1" w:styleId="102">
    <w:name w:val="标准文件_附录公式"/>
    <w:basedOn w:val="77"/>
    <w:next w:val="7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103">
    <w:name w:val="标准文件_附录三级条标题"/>
    <w:next w:val="78"/>
    <w:qFormat/>
    <w:uiPriority w:val="0"/>
    <w:pPr>
      <w:widowControl w:val="0"/>
      <w:numPr>
        <w:ilvl w:val="3"/>
        <w:numId w:val="4"/>
      </w:numPr>
      <w:spacing w:before="50" w:beforeLines="50" w:after="50" w:afterLines="50" w:line="278" w:lineRule="auto"/>
      <w:jc w:val="both"/>
      <w:outlineLvl w:val="4"/>
    </w:pPr>
    <w:rPr>
      <w:rFonts w:ascii="黑体" w:hAnsi="Times New Roman" w:eastAsia="黑体" w:cs="Times New Roman"/>
      <w:kern w:val="21"/>
      <w:sz w:val="21"/>
      <w:lang w:val="en-US" w:eastAsia="zh-CN" w:bidi="ar-SA"/>
    </w:rPr>
  </w:style>
  <w:style w:type="paragraph" w:customStyle="1" w:styleId="104">
    <w:name w:val="标准文件_附录四级条标题"/>
    <w:next w:val="78"/>
    <w:qFormat/>
    <w:uiPriority w:val="0"/>
    <w:pPr>
      <w:widowControl w:val="0"/>
      <w:numPr>
        <w:ilvl w:val="4"/>
        <w:numId w:val="4"/>
      </w:numPr>
      <w:spacing w:before="50" w:beforeLines="50" w:after="50" w:afterLines="50" w:line="278" w:lineRule="auto"/>
      <w:jc w:val="both"/>
      <w:outlineLvl w:val="5"/>
    </w:pPr>
    <w:rPr>
      <w:rFonts w:ascii="黑体" w:hAnsi="Times New Roman" w:eastAsia="黑体" w:cs="Times New Roman"/>
      <w:kern w:val="21"/>
      <w:sz w:val="21"/>
      <w:lang w:val="en-US" w:eastAsia="zh-CN" w:bidi="ar-SA"/>
    </w:rPr>
  </w:style>
  <w:style w:type="paragraph" w:customStyle="1" w:styleId="105">
    <w:name w:val="标准文件_附录图标题"/>
    <w:next w:val="78"/>
    <w:qFormat/>
    <w:uiPriority w:val="0"/>
    <w:pPr>
      <w:numPr>
        <w:ilvl w:val="1"/>
        <w:numId w:val="6"/>
      </w:numPr>
      <w:adjustRightInd w:val="0"/>
      <w:snapToGrid w:val="0"/>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06">
    <w:name w:val="标准文件_附录五级条标题"/>
    <w:next w:val="78"/>
    <w:qFormat/>
    <w:uiPriority w:val="0"/>
    <w:pPr>
      <w:widowControl w:val="0"/>
      <w:numPr>
        <w:ilvl w:val="5"/>
        <w:numId w:val="4"/>
      </w:numPr>
      <w:spacing w:before="50" w:beforeLines="50" w:after="50" w:afterLines="50" w:line="278" w:lineRule="auto"/>
      <w:jc w:val="both"/>
      <w:outlineLvl w:val="6"/>
    </w:pPr>
    <w:rPr>
      <w:rFonts w:ascii="黑体" w:hAnsi="Times New Roman" w:eastAsia="黑体" w:cs="Times New Roman"/>
      <w:kern w:val="21"/>
      <w:sz w:val="21"/>
      <w:lang w:val="en-US" w:eastAsia="zh-CN" w:bidi="ar-SA"/>
    </w:rPr>
  </w:style>
  <w:style w:type="paragraph" w:customStyle="1" w:styleId="107">
    <w:name w:val="标准文件_附录英文标识"/>
    <w:next w:val="15"/>
    <w:qFormat/>
    <w:uiPriority w:val="0"/>
    <w:pPr>
      <w:numPr>
        <w:ilvl w:val="0"/>
        <w:numId w:val="7"/>
      </w:numPr>
      <w:tabs>
        <w:tab w:val="left" w:pos="6406"/>
      </w:tabs>
      <w:spacing w:before="220" w:after="320" w:line="278" w:lineRule="auto"/>
      <w:jc w:val="center"/>
      <w:outlineLvl w:val="0"/>
    </w:pPr>
    <w:rPr>
      <w:rFonts w:ascii="黑体" w:hAnsi="Times New Roman" w:eastAsia="黑体" w:cs="Times New Roman"/>
      <w:sz w:val="21"/>
      <w:lang w:val="en-US" w:eastAsia="zh-CN" w:bidi="ar-SA"/>
    </w:rPr>
  </w:style>
  <w:style w:type="character" w:customStyle="1" w:styleId="108">
    <w:name w:val="正文文本 字符"/>
    <w:link w:val="15"/>
    <w:qFormat/>
    <w:uiPriority w:val="0"/>
    <w:rPr>
      <w:kern w:val="2"/>
      <w:sz w:val="21"/>
      <w:szCs w:val="21"/>
    </w:rPr>
  </w:style>
  <w:style w:type="paragraph" w:customStyle="1" w:styleId="109">
    <w:name w:val="标准文件_附录章标题"/>
    <w:next w:val="78"/>
    <w:qFormat/>
    <w:uiPriority w:val="0"/>
    <w:pPr>
      <w:wordWrap w:val="0"/>
      <w:overflowPunct w:val="0"/>
      <w:autoSpaceDE w:val="0"/>
      <w:spacing w:beforeLines="50" w:after="160" w:afterLines="50" w:line="278"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110">
    <w:name w:val="标准文件_公式后的破折号"/>
    <w:basedOn w:val="78"/>
    <w:next w:val="78"/>
    <w:qFormat/>
    <w:uiPriority w:val="0"/>
    <w:pPr>
      <w:ind w:left="488" w:leftChars="200" w:hanging="289" w:hangingChars="290"/>
    </w:pPr>
  </w:style>
  <w:style w:type="paragraph" w:customStyle="1" w:styleId="111">
    <w:name w:val="标准文件_前言、引言标题"/>
    <w:next w:val="1"/>
    <w:qFormat/>
    <w:uiPriority w:val="0"/>
    <w:pPr>
      <w:numPr>
        <w:ilvl w:val="0"/>
        <w:numId w:val="8"/>
      </w:numPr>
      <w:shd w:val="clear" w:color="FFFFFF" w:fill="FFFFFF"/>
      <w:spacing w:before="480" w:after="150" w:afterLines="150" w:line="278" w:lineRule="auto"/>
      <w:jc w:val="center"/>
      <w:outlineLvl w:val="0"/>
    </w:pPr>
    <w:rPr>
      <w:rFonts w:ascii="黑体" w:hAnsi="Times New Roman" w:eastAsia="黑体" w:cs="Times New Roman"/>
      <w:sz w:val="32"/>
      <w:lang w:val="en-US" w:eastAsia="zh-CN" w:bidi="ar-SA"/>
    </w:rPr>
  </w:style>
  <w:style w:type="paragraph" w:customStyle="1" w:styleId="112">
    <w:name w:val="标准文件_目次、标准名称标题"/>
    <w:basedOn w:val="111"/>
    <w:next w:val="78"/>
    <w:qFormat/>
    <w:uiPriority w:val="0"/>
    <w:pPr>
      <w:spacing w:line="460" w:lineRule="exact"/>
      <w:ind w:left="0" w:firstLine="0"/>
    </w:pPr>
  </w:style>
  <w:style w:type="paragraph" w:customStyle="1" w:styleId="11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14">
    <w:name w:val="标准文件_破折号列项"/>
    <w:qFormat/>
    <w:uiPriority w:val="0"/>
    <w:pPr>
      <w:numPr>
        <w:ilvl w:val="0"/>
        <w:numId w:val="9"/>
      </w:numPr>
      <w:adjustRightInd w:val="0"/>
      <w:snapToGrid w:val="0"/>
      <w:spacing w:after="160" w:line="278" w:lineRule="auto"/>
    </w:pPr>
    <w:rPr>
      <w:rFonts w:ascii="Times New Roman" w:hAnsi="Times New Roman" w:eastAsia="宋体" w:cs="Times New Roman"/>
      <w:sz w:val="21"/>
      <w:lang w:val="en-US" w:eastAsia="zh-CN" w:bidi="ar-SA"/>
    </w:rPr>
  </w:style>
  <w:style w:type="paragraph" w:customStyle="1" w:styleId="115">
    <w:name w:val="标准文件_破折号列项（二级）"/>
    <w:basedOn w:val="114"/>
    <w:qFormat/>
    <w:uiPriority w:val="0"/>
    <w:pPr>
      <w:numPr>
        <w:numId w:val="10"/>
      </w:numPr>
    </w:pPr>
  </w:style>
  <w:style w:type="paragraph" w:customStyle="1" w:styleId="116">
    <w:name w:val="标准文件_三级条标题"/>
    <w:basedOn w:val="87"/>
    <w:next w:val="78"/>
    <w:qFormat/>
    <w:uiPriority w:val="0"/>
    <w:pPr>
      <w:widowControl/>
      <w:numPr>
        <w:ilvl w:val="4"/>
      </w:numPr>
      <w:outlineLvl w:val="3"/>
    </w:pPr>
  </w:style>
  <w:style w:type="character" w:customStyle="1" w:styleId="117">
    <w:name w:val="不明显参考1"/>
    <w:qFormat/>
    <w:uiPriority w:val="31"/>
    <w:rPr>
      <w:smallCaps/>
      <w:color w:val="C0504D"/>
      <w:u w:val="single"/>
    </w:rPr>
  </w:style>
  <w:style w:type="paragraph" w:customStyle="1" w:styleId="118">
    <w:name w:val="标准文件_示例后续"/>
    <w:basedOn w:val="1"/>
    <w:qFormat/>
    <w:uiPriority w:val="0"/>
    <w:pPr>
      <w:adjustRightInd/>
      <w:spacing w:line="240" w:lineRule="auto"/>
      <w:ind w:firstLine="200" w:firstLineChars="200"/>
    </w:pPr>
    <w:rPr>
      <w:sz w:val="18"/>
      <w:szCs w:val="24"/>
    </w:rPr>
  </w:style>
  <w:style w:type="paragraph" w:customStyle="1" w:styleId="119">
    <w:name w:val="标准文件_数字编号列项"/>
    <w:qFormat/>
    <w:uiPriority w:val="0"/>
    <w:pPr>
      <w:numPr>
        <w:ilvl w:val="0"/>
        <w:numId w:val="11"/>
      </w:numPr>
      <w:spacing w:after="160" w:line="278" w:lineRule="auto"/>
      <w:jc w:val="both"/>
    </w:pPr>
    <w:rPr>
      <w:rFonts w:ascii="宋体" w:hAnsi="宋体" w:eastAsia="宋体" w:cs="Times New Roman"/>
      <w:sz w:val="21"/>
      <w:lang w:val="en-US" w:eastAsia="zh-CN" w:bidi="ar-SA"/>
    </w:rPr>
  </w:style>
  <w:style w:type="paragraph" w:customStyle="1" w:styleId="120">
    <w:name w:val="标准文件_四级条标题"/>
    <w:next w:val="78"/>
    <w:qFormat/>
    <w:uiPriority w:val="0"/>
    <w:pPr>
      <w:widowControl w:val="0"/>
      <w:numPr>
        <w:ilvl w:val="5"/>
        <w:numId w:val="2"/>
      </w:numPr>
      <w:spacing w:before="50" w:beforeLines="50" w:after="50" w:afterLines="50" w:line="278" w:lineRule="auto"/>
      <w:jc w:val="both"/>
      <w:outlineLvl w:val="4"/>
    </w:pPr>
    <w:rPr>
      <w:rFonts w:ascii="黑体" w:hAnsi="Times New Roman" w:eastAsia="黑体" w:cs="Times New Roman"/>
      <w:sz w:val="21"/>
      <w:lang w:val="en-US" w:eastAsia="zh-CN" w:bidi="ar-SA"/>
    </w:rPr>
  </w:style>
  <w:style w:type="character" w:customStyle="1" w:styleId="121">
    <w:name w:val="脚注文本 字符"/>
    <w:link w:val="28"/>
    <w:semiHidden/>
    <w:qFormat/>
    <w:uiPriority w:val="0"/>
    <w:rPr>
      <w:rFonts w:ascii="宋体"/>
      <w:kern w:val="2"/>
      <w:sz w:val="18"/>
      <w:szCs w:val="18"/>
    </w:rPr>
  </w:style>
  <w:style w:type="paragraph" w:customStyle="1" w:styleId="122">
    <w:name w:val="标准文件_条文脚注"/>
    <w:basedOn w:val="28"/>
    <w:qFormat/>
    <w:uiPriority w:val="0"/>
    <w:pPr>
      <w:adjustRightInd w:val="0"/>
      <w:spacing w:line="240" w:lineRule="auto"/>
      <w:ind w:left="0" w:leftChars="0" w:firstLine="200" w:firstLineChars="200"/>
      <w:jc w:val="both"/>
    </w:pPr>
    <w:rPr>
      <w:rFonts w:hAnsi="宋体"/>
    </w:rPr>
  </w:style>
  <w:style w:type="paragraph" w:customStyle="1" w:styleId="123">
    <w:name w:val="标准文件_图表脚注"/>
    <w:basedOn w:val="1"/>
    <w:next w:val="78"/>
    <w:qFormat/>
    <w:uiPriority w:val="0"/>
    <w:pPr>
      <w:numPr>
        <w:ilvl w:val="0"/>
        <w:numId w:val="12"/>
      </w:numPr>
      <w:spacing w:line="240" w:lineRule="auto"/>
      <w:jc w:val="left"/>
    </w:pPr>
    <w:rPr>
      <w:rFonts w:ascii="宋体" w:hAnsi="宋体"/>
      <w:sz w:val="18"/>
    </w:rPr>
  </w:style>
  <w:style w:type="character" w:customStyle="1" w:styleId="124">
    <w:name w:val="标准文件_图表脚注内容"/>
    <w:qFormat/>
    <w:uiPriority w:val="0"/>
    <w:rPr>
      <w:rFonts w:ascii="宋体" w:hAnsi="宋体" w:eastAsia="宋体" w:cs="Times New Roman"/>
      <w:spacing w:val="0"/>
      <w:sz w:val="18"/>
      <w:vertAlign w:val="superscript"/>
    </w:rPr>
  </w:style>
  <w:style w:type="paragraph" w:customStyle="1" w:styleId="125">
    <w:name w:val="标准文件_五级条标题"/>
    <w:next w:val="78"/>
    <w:qFormat/>
    <w:uiPriority w:val="0"/>
    <w:pPr>
      <w:widowControl w:val="0"/>
      <w:numPr>
        <w:ilvl w:val="6"/>
        <w:numId w:val="2"/>
      </w:numPr>
      <w:spacing w:before="50" w:beforeLines="50" w:after="50" w:afterLines="50" w:line="278" w:lineRule="auto"/>
      <w:jc w:val="both"/>
      <w:outlineLvl w:val="5"/>
    </w:pPr>
    <w:rPr>
      <w:rFonts w:ascii="黑体" w:hAnsi="Times New Roman" w:eastAsia="黑体" w:cs="Times New Roman"/>
      <w:sz w:val="21"/>
      <w:lang w:val="en-US" w:eastAsia="zh-CN" w:bidi="ar-SA"/>
    </w:rPr>
  </w:style>
  <w:style w:type="paragraph" w:customStyle="1" w:styleId="126">
    <w:name w:val="标准文件_章标题"/>
    <w:next w:val="78"/>
    <w:qFormat/>
    <w:uiPriority w:val="0"/>
    <w:pPr>
      <w:numPr>
        <w:ilvl w:val="1"/>
        <w:numId w:val="2"/>
      </w:numPr>
      <w:spacing w:before="100" w:beforeLines="100" w:after="100" w:afterLines="100" w:line="278" w:lineRule="auto"/>
      <w:jc w:val="both"/>
      <w:outlineLvl w:val="0"/>
    </w:pPr>
    <w:rPr>
      <w:rFonts w:ascii="黑体" w:hAnsi="Times New Roman" w:eastAsia="黑体" w:cs="Times New Roman"/>
      <w:sz w:val="21"/>
      <w:lang w:val="en-US" w:eastAsia="zh-CN" w:bidi="ar-SA"/>
    </w:rPr>
  </w:style>
  <w:style w:type="paragraph" w:customStyle="1" w:styleId="127">
    <w:name w:val="标准文件_一级条标题"/>
    <w:basedOn w:val="126"/>
    <w:next w:val="78"/>
    <w:qFormat/>
    <w:uiPriority w:val="0"/>
    <w:pPr>
      <w:numPr>
        <w:ilvl w:val="2"/>
      </w:numPr>
      <w:spacing w:before="50" w:beforeLines="50" w:after="50" w:afterLines="50"/>
      <w:outlineLvl w:val="1"/>
    </w:pPr>
  </w:style>
  <w:style w:type="paragraph" w:customStyle="1" w:styleId="128">
    <w:name w:val="标准文件_一致程度"/>
    <w:basedOn w:val="1"/>
    <w:qFormat/>
    <w:uiPriority w:val="0"/>
    <w:pPr>
      <w:spacing w:line="440" w:lineRule="exact"/>
      <w:jc w:val="center"/>
    </w:pPr>
    <w:rPr>
      <w:sz w:val="28"/>
    </w:rPr>
  </w:style>
  <w:style w:type="paragraph" w:customStyle="1" w:styleId="129">
    <w:name w:val="标准文件_引言标题"/>
    <w:next w:val="1"/>
    <w:qFormat/>
    <w:uiPriority w:val="0"/>
    <w:p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30">
    <w:name w:val="标准文件_英文图表脚注"/>
    <w:basedOn w:val="77"/>
    <w:qFormat/>
    <w:uiPriority w:val="0"/>
    <w:pPr>
      <w:widowControl/>
      <w:adjustRightInd/>
      <w:snapToGrid/>
      <w:spacing w:line="240" w:lineRule="auto"/>
      <w:ind w:left="79" w:hanging="79" w:hangingChars="80"/>
    </w:pPr>
    <w:rPr>
      <w:rFonts w:ascii="宋体" w:hAnsi="宋体"/>
    </w:rPr>
  </w:style>
  <w:style w:type="paragraph" w:customStyle="1" w:styleId="131">
    <w:name w:val="标准文件_数字编号列项（二级）"/>
    <w:qFormat/>
    <w:uiPriority w:val="0"/>
    <w:pPr>
      <w:numPr>
        <w:ilvl w:val="1"/>
        <w:numId w:val="13"/>
      </w:numPr>
      <w:spacing w:after="160" w:line="278" w:lineRule="auto"/>
      <w:jc w:val="both"/>
    </w:pPr>
    <w:rPr>
      <w:rFonts w:ascii="宋体" w:hAnsi="Times New Roman" w:eastAsia="宋体" w:cs="Times New Roman"/>
      <w:sz w:val="21"/>
      <w:lang w:val="en-US" w:eastAsia="zh-CN" w:bidi="ar-SA"/>
    </w:rPr>
  </w:style>
  <w:style w:type="paragraph" w:customStyle="1" w:styleId="132">
    <w:name w:val="标准文件_英文注："/>
    <w:basedOn w:val="1"/>
    <w:next w:val="7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3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34">
    <w:name w:val="标准文件_正文表标题"/>
    <w:next w:val="78"/>
    <w:qFormat/>
    <w:uiPriority w:val="0"/>
    <w:pPr>
      <w:numPr>
        <w:ilvl w:val="0"/>
        <w:numId w:val="16"/>
      </w:numPr>
      <w:tabs>
        <w:tab w:val="left" w:pos="0"/>
      </w:tabs>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35">
    <w:name w:val="标准文件_正文公式"/>
    <w:basedOn w:val="1"/>
    <w:next w:val="77"/>
    <w:qFormat/>
    <w:uiPriority w:val="0"/>
    <w:pPr>
      <w:tabs>
        <w:tab w:val="center" w:pos="4678"/>
        <w:tab w:val="right" w:leader="middleDot" w:pos="9356"/>
      </w:tabs>
      <w:spacing w:line="240" w:lineRule="auto"/>
    </w:pPr>
    <w:rPr>
      <w:rFonts w:ascii="宋体" w:hAnsi="宋体"/>
    </w:rPr>
  </w:style>
  <w:style w:type="paragraph" w:customStyle="1" w:styleId="136">
    <w:name w:val="标准文件_正文图标题"/>
    <w:next w:val="78"/>
    <w:qFormat/>
    <w:uiPriority w:val="0"/>
    <w:pPr>
      <w:numPr>
        <w:ilvl w:val="0"/>
        <w:numId w:val="17"/>
      </w:numPr>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37">
    <w:name w:val="标准文件_正文英文表标题"/>
    <w:next w:val="78"/>
    <w:qFormat/>
    <w:uiPriority w:val="0"/>
    <w:pPr>
      <w:numPr>
        <w:ilvl w:val="0"/>
        <w:numId w:val="18"/>
      </w:numPr>
      <w:spacing w:after="160" w:line="278" w:lineRule="auto"/>
      <w:jc w:val="center"/>
    </w:pPr>
    <w:rPr>
      <w:rFonts w:ascii="黑体" w:hAnsi="Times New Roman" w:eastAsia="黑体" w:cs="Times New Roman"/>
      <w:sz w:val="21"/>
      <w:lang w:val="en-US" w:eastAsia="zh-CN" w:bidi="ar-SA"/>
    </w:rPr>
  </w:style>
  <w:style w:type="paragraph" w:customStyle="1" w:styleId="138">
    <w:name w:val="标准文件_正文英文图标题"/>
    <w:next w:val="78"/>
    <w:qFormat/>
    <w:uiPriority w:val="0"/>
    <w:pPr>
      <w:numPr>
        <w:ilvl w:val="0"/>
        <w:numId w:val="19"/>
      </w:numPr>
      <w:spacing w:after="160" w:line="278" w:lineRule="auto"/>
      <w:jc w:val="center"/>
    </w:pPr>
    <w:rPr>
      <w:rFonts w:ascii="黑体" w:hAnsi="Times New Roman" w:eastAsia="黑体" w:cs="Times New Roman"/>
      <w:sz w:val="21"/>
      <w:lang w:val="en-US" w:eastAsia="zh-CN" w:bidi="ar-SA"/>
    </w:rPr>
  </w:style>
  <w:style w:type="paragraph" w:customStyle="1" w:styleId="139">
    <w:name w:val="标准文件_编号列项（三级）"/>
    <w:qFormat/>
    <w:uiPriority w:val="0"/>
    <w:pPr>
      <w:numPr>
        <w:ilvl w:val="2"/>
        <w:numId w:val="13"/>
      </w:numPr>
      <w:spacing w:after="160" w:line="278" w:lineRule="auto"/>
    </w:pPr>
    <w:rPr>
      <w:rFonts w:ascii="宋体" w:hAnsi="Times New Roman" w:eastAsia="宋体" w:cs="Times New Roman"/>
      <w:sz w:val="21"/>
      <w:lang w:val="en-US" w:eastAsia="zh-CN" w:bidi="ar-SA"/>
    </w:rPr>
  </w:style>
  <w:style w:type="paragraph" w:customStyle="1" w:styleId="14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41">
    <w:name w:val="发布部门"/>
    <w:next w:val="78"/>
    <w:qFormat/>
    <w:uiPriority w:val="0"/>
    <w:pPr>
      <w:framePr w:w="7433" w:h="585" w:hRule="exact" w:hSpace="180" w:vSpace="180" w:wrap="around" w:vAnchor="margin" w:hAnchor="margin" w:xAlign="center" w:y="14401" w:anchorLock="1"/>
      <w:spacing w:after="160" w:line="278" w:lineRule="auto"/>
      <w:jc w:val="center"/>
    </w:pPr>
    <w:rPr>
      <w:rFonts w:ascii="宋体" w:hAnsi="Times New Roman" w:eastAsia="宋体" w:cs="Times New Roman"/>
      <w:b/>
      <w:w w:val="135"/>
      <w:sz w:val="36"/>
      <w:lang w:val="en-US" w:eastAsia="zh-CN" w:bidi="ar-SA"/>
    </w:rPr>
  </w:style>
  <w:style w:type="paragraph" w:customStyle="1" w:styleId="142">
    <w:name w:val="发布日期"/>
    <w:qFormat/>
    <w:uiPriority w:val="0"/>
    <w:pPr>
      <w:framePr w:w="4000" w:h="473" w:hRule="exact" w:hSpace="180" w:vSpace="180" w:wrap="around" w:vAnchor="margin" w:hAnchor="margin" w:y="13511" w:anchorLock="1"/>
      <w:spacing w:after="160" w:line="278" w:lineRule="auto"/>
    </w:pPr>
    <w:rPr>
      <w:rFonts w:ascii="Times New Roman" w:hAnsi="Times New Roman" w:eastAsia="黑体" w:cs="Times New Roman"/>
      <w:sz w:val="28"/>
      <w:lang w:val="en-US" w:eastAsia="zh-CN" w:bidi="ar-SA"/>
    </w:rPr>
  </w:style>
  <w:style w:type="paragraph" w:customStyle="1" w:styleId="143">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44">
    <w:name w:val="封面标准名称"/>
    <w:qFormat/>
    <w:uiPriority w:val="0"/>
    <w:pPr>
      <w:framePr w:w="9638" w:h="6917" w:hRule="exact" w:wrap="around" w:vAnchor="margin" w:hAnchor="margin" w:xAlign="center" w:y="5955" w:anchorLock="1"/>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45">
    <w:name w:val="封面标准文稿编辑信息"/>
    <w:qFormat/>
    <w:uiPriority w:val="0"/>
    <w:pPr>
      <w:spacing w:before="180" w:after="160" w:line="180" w:lineRule="exact"/>
      <w:jc w:val="center"/>
    </w:pPr>
    <w:rPr>
      <w:rFonts w:ascii="宋体" w:hAnsi="Times New Roman" w:eastAsia="宋体" w:cs="Times New Roman"/>
      <w:sz w:val="21"/>
      <w:lang w:val="en-US" w:eastAsia="zh-CN" w:bidi="ar-SA"/>
    </w:rPr>
  </w:style>
  <w:style w:type="paragraph" w:customStyle="1" w:styleId="146">
    <w:name w:val="封面标准文稿类别"/>
    <w:qFormat/>
    <w:uiPriority w:val="0"/>
    <w:pPr>
      <w:spacing w:before="440" w:after="160" w:line="400" w:lineRule="exact"/>
      <w:jc w:val="center"/>
    </w:pPr>
    <w:rPr>
      <w:rFonts w:ascii="宋体" w:hAnsi="Times New Roman" w:eastAsia="宋体" w:cs="Times New Roman"/>
      <w:sz w:val="24"/>
      <w:lang w:val="en-US" w:eastAsia="zh-CN" w:bidi="ar-SA"/>
    </w:rPr>
  </w:style>
  <w:style w:type="paragraph" w:customStyle="1" w:styleId="147">
    <w:name w:val="封面标准英文名称"/>
    <w:qFormat/>
    <w:uiPriority w:val="0"/>
    <w:pPr>
      <w:widowControl w:val="0"/>
      <w:spacing w:after="160" w:line="360" w:lineRule="exact"/>
      <w:jc w:val="center"/>
    </w:pPr>
    <w:rPr>
      <w:rFonts w:ascii="Times New Roman" w:hAnsi="Times New Roman" w:eastAsia="宋体" w:cs="Times New Roman"/>
      <w:sz w:val="28"/>
      <w:lang w:val="en-US" w:eastAsia="zh-CN" w:bidi="ar-SA"/>
    </w:rPr>
  </w:style>
  <w:style w:type="paragraph" w:customStyle="1" w:styleId="148">
    <w:name w:val="封面一致性程度标识"/>
    <w:qFormat/>
    <w:uiPriority w:val="0"/>
    <w:pPr>
      <w:spacing w:before="440" w:after="160" w:line="440" w:lineRule="exact"/>
      <w:jc w:val="center"/>
    </w:pPr>
    <w:rPr>
      <w:rFonts w:ascii="Times New Roman" w:hAnsi="Times New Roman" w:eastAsia="宋体" w:cs="Times New Roman"/>
      <w:sz w:val="28"/>
      <w:lang w:val="en-US" w:eastAsia="zh-CN" w:bidi="ar-SA"/>
    </w:rPr>
  </w:style>
  <w:style w:type="paragraph" w:customStyle="1" w:styleId="149">
    <w:name w:val="封面正文"/>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150">
    <w:name w:val="附录二级无标题条"/>
    <w:basedOn w:val="1"/>
    <w:next w:val="7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51">
    <w:name w:val="附录三级无标题条"/>
    <w:basedOn w:val="150"/>
    <w:next w:val="78"/>
    <w:qFormat/>
    <w:uiPriority w:val="0"/>
    <w:pPr>
      <w:outlineLvl w:val="4"/>
    </w:pPr>
  </w:style>
  <w:style w:type="paragraph" w:customStyle="1" w:styleId="152">
    <w:name w:val="附录四级无标题条"/>
    <w:basedOn w:val="151"/>
    <w:next w:val="78"/>
    <w:qFormat/>
    <w:uiPriority w:val="0"/>
    <w:pPr>
      <w:outlineLvl w:val="5"/>
    </w:pPr>
  </w:style>
  <w:style w:type="paragraph" w:customStyle="1" w:styleId="153">
    <w:name w:val="附录图"/>
    <w:next w:val="78"/>
    <w:qFormat/>
    <w:uiPriority w:val="0"/>
    <w:pPr>
      <w:wordWrap w:val="0"/>
      <w:overflowPunct w:val="0"/>
      <w:autoSpaceDE w:val="0"/>
      <w:spacing w:before="50" w:beforeLines="50" w:after="50" w:afterLines="50" w:line="278" w:lineRule="auto"/>
      <w:jc w:val="center"/>
      <w:textAlignment w:val="baseline"/>
      <w:outlineLvl w:val="1"/>
    </w:pPr>
    <w:rPr>
      <w:rFonts w:ascii="黑体" w:hAnsi="Times New Roman" w:eastAsia="黑体" w:cs="Times New Roman"/>
      <w:kern w:val="21"/>
      <w:sz w:val="21"/>
      <w:lang w:val="en-US" w:eastAsia="zh-CN" w:bidi="ar-SA"/>
    </w:rPr>
  </w:style>
  <w:style w:type="paragraph" w:customStyle="1" w:styleId="154">
    <w:name w:val="标准文件_一级项"/>
    <w:qFormat/>
    <w:uiPriority w:val="0"/>
    <w:pPr>
      <w:numPr>
        <w:ilvl w:val="0"/>
        <w:numId w:val="21"/>
      </w:numPr>
      <w:spacing w:after="160" w:line="278" w:lineRule="auto"/>
    </w:pPr>
    <w:rPr>
      <w:rFonts w:ascii="宋体" w:hAnsi="Times New Roman" w:eastAsia="宋体" w:cs="Times New Roman"/>
      <w:sz w:val="21"/>
      <w:lang w:val="en-US" w:eastAsia="zh-CN" w:bidi="ar-SA"/>
    </w:rPr>
  </w:style>
  <w:style w:type="paragraph" w:customStyle="1" w:styleId="155">
    <w:name w:val="附录五级无标题条"/>
    <w:basedOn w:val="152"/>
    <w:next w:val="78"/>
    <w:qFormat/>
    <w:uiPriority w:val="0"/>
    <w:pPr>
      <w:outlineLvl w:val="6"/>
    </w:pPr>
  </w:style>
  <w:style w:type="paragraph" w:customStyle="1" w:styleId="156">
    <w:name w:val="附录性质"/>
    <w:basedOn w:val="1"/>
    <w:qFormat/>
    <w:uiPriority w:val="0"/>
    <w:pPr>
      <w:widowControl/>
      <w:adjustRightInd/>
      <w:jc w:val="center"/>
    </w:pPr>
    <w:rPr>
      <w:rFonts w:ascii="黑体" w:eastAsia="黑体"/>
    </w:rPr>
  </w:style>
  <w:style w:type="paragraph" w:customStyle="1" w:styleId="157">
    <w:name w:val="附录一级无标题条"/>
    <w:basedOn w:val="109"/>
    <w:next w:val="78"/>
    <w:qFormat/>
    <w:uiPriority w:val="0"/>
    <w:pPr>
      <w:autoSpaceDN w:val="0"/>
      <w:outlineLvl w:val="2"/>
    </w:pPr>
    <w:rPr>
      <w:rFonts w:ascii="宋体" w:hAnsi="宋体" w:eastAsia="宋体"/>
    </w:rPr>
  </w:style>
  <w:style w:type="character" w:customStyle="1" w:styleId="158">
    <w:name w:val="个人答复风格"/>
    <w:qFormat/>
    <w:uiPriority w:val="0"/>
    <w:rPr>
      <w:rFonts w:ascii="Arial" w:hAnsi="Arial" w:eastAsia="宋体" w:cs="Arial"/>
      <w:color w:val="auto"/>
      <w:spacing w:val="0"/>
      <w:sz w:val="20"/>
    </w:rPr>
  </w:style>
  <w:style w:type="character" w:customStyle="1" w:styleId="159">
    <w:name w:val="个人撰写风格"/>
    <w:qFormat/>
    <w:uiPriority w:val="0"/>
    <w:rPr>
      <w:rFonts w:ascii="Arial" w:hAnsi="Arial" w:eastAsia="宋体" w:cs="Arial"/>
      <w:color w:val="auto"/>
      <w:spacing w:val="0"/>
      <w:sz w:val="20"/>
    </w:rPr>
  </w:style>
  <w:style w:type="paragraph" w:customStyle="1" w:styleId="160">
    <w:name w:val="脚注后续"/>
    <w:qFormat/>
    <w:uiPriority w:val="0"/>
    <w:pPr>
      <w:spacing w:after="160" w:line="278" w:lineRule="auto"/>
      <w:ind w:left="350" w:leftChars="350"/>
      <w:jc w:val="both"/>
    </w:pPr>
    <w:rPr>
      <w:rFonts w:ascii="宋体" w:hAnsi="Times New Roman" w:eastAsia="宋体" w:cs="Times New Roman"/>
      <w:sz w:val="18"/>
      <w:lang w:val="en-US" w:eastAsia="zh-CN" w:bidi="ar-SA"/>
    </w:rPr>
  </w:style>
  <w:style w:type="paragraph" w:customStyle="1" w:styleId="161">
    <w:name w:val="列项——"/>
    <w:qFormat/>
    <w:uiPriority w:val="0"/>
    <w:pPr>
      <w:widowControl w:val="0"/>
      <w:numPr>
        <w:ilvl w:val="0"/>
        <w:numId w:val="22"/>
      </w:numPr>
      <w:spacing w:after="160" w:line="278" w:lineRule="auto"/>
      <w:jc w:val="both"/>
    </w:pPr>
    <w:rPr>
      <w:rFonts w:ascii="宋体" w:hAnsi="宋体" w:eastAsia="宋体" w:cs="Times New Roman"/>
      <w:sz w:val="21"/>
      <w:lang w:val="en-US" w:eastAsia="zh-CN" w:bidi="ar-SA"/>
    </w:rPr>
  </w:style>
  <w:style w:type="paragraph" w:customStyle="1" w:styleId="162">
    <w:name w:val="列项·"/>
    <w:basedOn w:val="78"/>
    <w:qFormat/>
    <w:uiPriority w:val="0"/>
    <w:pPr>
      <w:tabs>
        <w:tab w:val="left" w:pos="840"/>
      </w:tabs>
    </w:pPr>
  </w:style>
  <w:style w:type="paragraph" w:customStyle="1" w:styleId="163">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164">
    <w:name w:val="目录 21"/>
    <w:basedOn w:val="1"/>
    <w:next w:val="1"/>
    <w:semiHidden/>
    <w:qFormat/>
    <w:uiPriority w:val="0"/>
    <w:pPr>
      <w:adjustRightInd/>
      <w:spacing w:line="240" w:lineRule="auto"/>
      <w:jc w:val="left"/>
    </w:pPr>
    <w:rPr>
      <w:bCs/>
      <w:iCs/>
    </w:rPr>
  </w:style>
  <w:style w:type="paragraph" w:customStyle="1" w:styleId="165">
    <w:name w:val="目录 31"/>
    <w:basedOn w:val="1"/>
    <w:next w:val="1"/>
    <w:semiHidden/>
    <w:qFormat/>
    <w:uiPriority w:val="0"/>
    <w:pPr>
      <w:spacing w:line="240" w:lineRule="auto"/>
    </w:pPr>
    <w:rPr>
      <w:rFonts w:ascii="宋体" w:hAnsi="宋体"/>
      <w:iCs/>
    </w:rPr>
  </w:style>
  <w:style w:type="paragraph" w:customStyle="1" w:styleId="166">
    <w:name w:val="目录 41"/>
    <w:basedOn w:val="1"/>
    <w:next w:val="1"/>
    <w:semiHidden/>
    <w:qFormat/>
    <w:uiPriority w:val="0"/>
    <w:pPr>
      <w:adjustRightInd/>
      <w:spacing w:line="240" w:lineRule="auto"/>
      <w:jc w:val="left"/>
    </w:pPr>
  </w:style>
  <w:style w:type="paragraph" w:customStyle="1" w:styleId="167">
    <w:name w:val="目录 51"/>
    <w:basedOn w:val="1"/>
    <w:next w:val="1"/>
    <w:semiHidden/>
    <w:qFormat/>
    <w:uiPriority w:val="0"/>
    <w:pPr>
      <w:spacing w:line="240" w:lineRule="auto"/>
    </w:pPr>
    <w:rPr>
      <w:rFonts w:ascii="宋体" w:hAnsi="宋体"/>
    </w:rPr>
  </w:style>
  <w:style w:type="paragraph" w:customStyle="1" w:styleId="168">
    <w:name w:val="目录 61"/>
    <w:basedOn w:val="1"/>
    <w:next w:val="1"/>
    <w:semiHidden/>
    <w:qFormat/>
    <w:uiPriority w:val="0"/>
    <w:pPr>
      <w:adjustRightInd/>
      <w:spacing w:line="240" w:lineRule="auto"/>
      <w:jc w:val="left"/>
    </w:pPr>
  </w:style>
  <w:style w:type="paragraph" w:customStyle="1" w:styleId="169">
    <w:name w:val="目录 71"/>
    <w:basedOn w:val="168"/>
    <w:semiHidden/>
    <w:qFormat/>
    <w:uiPriority w:val="0"/>
    <w:pPr>
      <w:ind w:left="1260"/>
    </w:pPr>
  </w:style>
  <w:style w:type="paragraph" w:customStyle="1" w:styleId="170">
    <w:name w:val="目录 81"/>
    <w:basedOn w:val="169"/>
    <w:semiHidden/>
    <w:qFormat/>
    <w:uiPriority w:val="0"/>
    <w:pPr>
      <w:ind w:left="1470"/>
    </w:pPr>
  </w:style>
  <w:style w:type="paragraph" w:customStyle="1" w:styleId="171">
    <w:name w:val="目录 91"/>
    <w:basedOn w:val="170"/>
    <w:semiHidden/>
    <w:qFormat/>
    <w:uiPriority w:val="0"/>
    <w:pPr>
      <w:ind w:left="1680"/>
    </w:pPr>
  </w:style>
  <w:style w:type="paragraph" w:customStyle="1" w:styleId="172">
    <w:name w:val="其他标准称谓"/>
    <w:qFormat/>
    <w:uiPriority w:val="0"/>
    <w:pPr>
      <w:spacing w:after="160" w:line="0" w:lineRule="atLeast"/>
      <w:jc w:val="distribute"/>
    </w:pPr>
    <w:rPr>
      <w:rFonts w:ascii="黑体" w:hAnsi="宋体" w:eastAsia="黑体" w:cs="Times New Roman"/>
      <w:sz w:val="52"/>
      <w:lang w:val="en-US" w:eastAsia="zh-CN" w:bidi="ar-SA"/>
    </w:rPr>
  </w:style>
  <w:style w:type="paragraph" w:customStyle="1" w:styleId="173">
    <w:name w:val="其他发布部门"/>
    <w:basedOn w:val="141"/>
    <w:qFormat/>
    <w:uiPriority w:val="0"/>
    <w:pPr>
      <w:framePr w:wrap="around"/>
      <w:spacing w:line="0" w:lineRule="atLeast"/>
    </w:pPr>
    <w:rPr>
      <w:rFonts w:ascii="黑体" w:eastAsia="黑体"/>
      <w:b w:val="0"/>
    </w:rPr>
  </w:style>
  <w:style w:type="paragraph" w:customStyle="1" w:styleId="174">
    <w:name w:val="前言标题"/>
    <w:next w:val="1"/>
    <w:qFormat/>
    <w:uiPriority w:val="0"/>
    <w:pPr>
      <w:numPr>
        <w:ilvl w:val="0"/>
        <w:numId w:val="2"/>
      </w:num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7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76">
    <w:name w:val="实施日期"/>
    <w:basedOn w:val="142"/>
    <w:qFormat/>
    <w:uiPriority w:val="0"/>
    <w:pPr>
      <w:framePr w:hSpace="0" w:wrap="around" w:xAlign="right"/>
      <w:jc w:val="right"/>
    </w:pPr>
  </w:style>
  <w:style w:type="paragraph" w:customStyle="1" w:styleId="177">
    <w:name w:val="四级无标题条"/>
    <w:basedOn w:val="1"/>
    <w:qFormat/>
    <w:uiPriority w:val="0"/>
    <w:pPr>
      <w:numPr>
        <w:ilvl w:val="5"/>
        <w:numId w:val="20"/>
      </w:numPr>
      <w:adjustRightInd/>
      <w:spacing w:line="240" w:lineRule="auto"/>
    </w:pPr>
    <w:rPr>
      <w:rFonts w:ascii="宋体" w:hAnsi="宋体"/>
      <w:szCs w:val="24"/>
    </w:rPr>
  </w:style>
  <w:style w:type="paragraph" w:customStyle="1" w:styleId="178">
    <w:name w:val="文献分类号"/>
    <w:qFormat/>
    <w:uiPriority w:val="0"/>
    <w:pPr>
      <w:framePr w:hSpace="180" w:vSpace="180" w:wrap="around" w:vAnchor="margin" w:hAnchor="margin" w:y="1" w:anchorLock="1"/>
      <w:widowControl w:val="0"/>
      <w:spacing w:after="160" w:line="278" w:lineRule="auto"/>
      <w:textAlignment w:val="center"/>
    </w:pPr>
    <w:rPr>
      <w:rFonts w:ascii="Times New Roman" w:hAnsi="Times New Roman" w:eastAsia="黑体" w:cs="Times New Roman"/>
      <w:sz w:val="21"/>
      <w:lang w:val="en-US" w:eastAsia="zh-CN" w:bidi="ar-SA"/>
    </w:rPr>
  </w:style>
  <w:style w:type="paragraph" w:customStyle="1" w:styleId="179">
    <w:name w:val="无标题条"/>
    <w:next w:val="78"/>
    <w:qFormat/>
    <w:uiPriority w:val="0"/>
    <w:pPr>
      <w:spacing w:after="160" w:line="278" w:lineRule="auto"/>
      <w:jc w:val="both"/>
    </w:pPr>
    <w:rPr>
      <w:rFonts w:ascii="宋体" w:hAnsi="宋体" w:eastAsia="宋体" w:cs="Times New Roman"/>
      <w:sz w:val="21"/>
      <w:lang w:val="en-US" w:eastAsia="zh-CN" w:bidi="ar-SA"/>
    </w:rPr>
  </w:style>
  <w:style w:type="paragraph" w:customStyle="1" w:styleId="180">
    <w:name w:val="五级无标题条"/>
    <w:basedOn w:val="1"/>
    <w:qFormat/>
    <w:uiPriority w:val="0"/>
    <w:pPr>
      <w:numPr>
        <w:ilvl w:val="6"/>
        <w:numId w:val="20"/>
      </w:numPr>
      <w:adjustRightInd/>
    </w:pPr>
    <w:rPr>
      <w:szCs w:val="24"/>
    </w:rPr>
  </w:style>
  <w:style w:type="paragraph" w:customStyle="1" w:styleId="181">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82">
    <w:name w:val="注:后续"/>
    <w:qFormat/>
    <w:uiPriority w:val="0"/>
    <w:pPr>
      <w:spacing w:after="160"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83">
    <w:name w:val="注×:后续"/>
    <w:basedOn w:val="182"/>
    <w:qFormat/>
    <w:uiPriority w:val="0"/>
    <w:pPr>
      <w:ind w:left="1406" w:leftChars="0" w:hanging="499" w:firstLineChars="0"/>
    </w:pPr>
  </w:style>
  <w:style w:type="paragraph" w:customStyle="1" w:styleId="184">
    <w:name w:val="标准文件_一级无标题"/>
    <w:basedOn w:val="127"/>
    <w:qFormat/>
    <w:uiPriority w:val="0"/>
    <w:pPr>
      <w:spacing w:before="0" w:beforeLines="0" w:after="0" w:afterLines="0"/>
      <w:outlineLvl w:val="9"/>
    </w:pPr>
    <w:rPr>
      <w:rFonts w:ascii="宋体" w:eastAsia="宋体"/>
    </w:rPr>
  </w:style>
  <w:style w:type="paragraph" w:customStyle="1" w:styleId="185">
    <w:name w:val="标准文件_五级无标题"/>
    <w:basedOn w:val="125"/>
    <w:qFormat/>
    <w:uiPriority w:val="0"/>
    <w:pPr>
      <w:spacing w:before="0" w:beforeLines="0" w:after="0" w:afterLines="0"/>
      <w:outlineLvl w:val="9"/>
    </w:pPr>
    <w:rPr>
      <w:rFonts w:ascii="宋体" w:eastAsia="宋体"/>
    </w:rPr>
  </w:style>
  <w:style w:type="paragraph" w:customStyle="1" w:styleId="186">
    <w:name w:val="标准文件_三级无标题"/>
    <w:basedOn w:val="116"/>
    <w:qFormat/>
    <w:uiPriority w:val="0"/>
    <w:pPr>
      <w:spacing w:before="0" w:beforeLines="0" w:after="0" w:afterLines="0"/>
      <w:outlineLvl w:val="9"/>
    </w:pPr>
    <w:rPr>
      <w:rFonts w:ascii="宋体" w:eastAsia="宋体"/>
    </w:rPr>
  </w:style>
  <w:style w:type="paragraph" w:customStyle="1" w:styleId="187">
    <w:name w:val="标准文件_二级无标题"/>
    <w:basedOn w:val="87"/>
    <w:qFormat/>
    <w:uiPriority w:val="0"/>
    <w:pPr>
      <w:spacing w:before="0" w:beforeLines="0" w:after="0" w:afterLines="0"/>
      <w:outlineLvl w:val="9"/>
    </w:pPr>
    <w:rPr>
      <w:rFonts w:ascii="宋体" w:eastAsia="宋体"/>
    </w:rPr>
  </w:style>
  <w:style w:type="paragraph" w:customStyle="1" w:styleId="188">
    <w:name w:val="标准_四级无标题"/>
    <w:basedOn w:val="120"/>
    <w:next w:val="78"/>
    <w:qFormat/>
    <w:uiPriority w:val="0"/>
    <w:rPr>
      <w:rFonts w:eastAsia="宋体"/>
    </w:rPr>
  </w:style>
  <w:style w:type="paragraph" w:customStyle="1" w:styleId="189">
    <w:name w:val="标准文件_四级无标题"/>
    <w:basedOn w:val="120"/>
    <w:qFormat/>
    <w:uiPriority w:val="0"/>
    <w:pPr>
      <w:spacing w:before="0" w:beforeLines="0" w:after="0" w:afterLines="0"/>
      <w:outlineLvl w:val="9"/>
    </w:pPr>
    <w:rPr>
      <w:rFonts w:ascii="宋体" w:hAnsi="黑体" w:eastAsia="宋体"/>
      <w:szCs w:val="52"/>
    </w:rPr>
  </w:style>
  <w:style w:type="paragraph" w:customStyle="1" w:styleId="190">
    <w:name w:val="标准文件_大写罗马数字编号列项"/>
    <w:basedOn w:val="78"/>
    <w:qFormat/>
    <w:uiPriority w:val="0"/>
    <w:pPr>
      <w:numPr>
        <w:ilvl w:val="0"/>
        <w:numId w:val="23"/>
      </w:numPr>
      <w:ind w:firstLine="0" w:firstLineChars="0"/>
    </w:pPr>
    <w:rPr>
      <w:rFonts w:ascii="Times New Roman" w:cs="Arial"/>
      <w:szCs w:val="28"/>
    </w:rPr>
  </w:style>
  <w:style w:type="paragraph" w:customStyle="1" w:styleId="191">
    <w:name w:val="标准文件_小写罗马数字编号列项"/>
    <w:basedOn w:val="78"/>
    <w:qFormat/>
    <w:uiPriority w:val="0"/>
    <w:pPr>
      <w:numPr>
        <w:ilvl w:val="0"/>
        <w:numId w:val="24"/>
      </w:numPr>
      <w:ind w:firstLine="0" w:firstLineChars="0"/>
    </w:pPr>
    <w:rPr>
      <w:rFonts w:cs="Arial"/>
      <w:szCs w:val="28"/>
    </w:rPr>
  </w:style>
  <w:style w:type="paragraph" w:customStyle="1" w:styleId="192">
    <w:name w:val="标准文件_附录标题"/>
    <w:basedOn w:val="98"/>
    <w:qFormat/>
    <w:uiPriority w:val="0"/>
    <w:pPr>
      <w:numPr>
        <w:numId w:val="0"/>
      </w:numPr>
      <w:spacing w:after="280"/>
      <w:outlineLvl w:val="9"/>
    </w:pPr>
  </w:style>
  <w:style w:type="paragraph" w:customStyle="1" w:styleId="193">
    <w:name w:val="标准文件_二级项"/>
    <w:qFormat/>
    <w:uiPriority w:val="0"/>
    <w:pPr>
      <w:spacing w:after="160" w:line="278" w:lineRule="auto"/>
    </w:pPr>
    <w:rPr>
      <w:rFonts w:ascii="宋体" w:hAnsi="Times New Roman" w:eastAsia="宋体" w:cs="Times New Roman"/>
      <w:sz w:val="21"/>
      <w:lang w:val="en-US" w:eastAsia="zh-CN" w:bidi="ar-SA"/>
    </w:rPr>
  </w:style>
  <w:style w:type="paragraph" w:customStyle="1" w:styleId="194">
    <w:name w:val="标准文件_三级项"/>
    <w:basedOn w:val="1"/>
    <w:qFormat/>
    <w:uiPriority w:val="0"/>
    <w:pPr>
      <w:numPr>
        <w:ilvl w:val="2"/>
        <w:numId w:val="21"/>
      </w:numPr>
      <w:spacing w:line="536870612" w:lineRule="auto"/>
    </w:pPr>
    <w:rPr>
      <w:rFonts w:ascii="Times New Roman" w:hAnsi="Times New Roman"/>
    </w:rPr>
  </w:style>
  <w:style w:type="paragraph" w:customStyle="1" w:styleId="195">
    <w:name w:val="图表脚注说明"/>
    <w:basedOn w:val="1"/>
    <w:next w:val="78"/>
    <w:qFormat/>
    <w:uiPriority w:val="0"/>
    <w:pPr>
      <w:numPr>
        <w:ilvl w:val="0"/>
        <w:numId w:val="25"/>
      </w:numPr>
      <w:adjustRightInd/>
      <w:spacing w:line="240" w:lineRule="auto"/>
    </w:pPr>
    <w:rPr>
      <w:rFonts w:ascii="宋体" w:hAnsi="Times New Roman"/>
      <w:sz w:val="18"/>
      <w:szCs w:val="18"/>
    </w:rPr>
  </w:style>
  <w:style w:type="paragraph" w:customStyle="1" w:styleId="196">
    <w:name w:val="标准文件_字母编号列项（一级）"/>
    <w:qFormat/>
    <w:uiPriority w:val="0"/>
    <w:pPr>
      <w:numPr>
        <w:ilvl w:val="0"/>
        <w:numId w:val="13"/>
      </w:numPr>
      <w:spacing w:after="160" w:line="278" w:lineRule="auto"/>
      <w:jc w:val="both"/>
    </w:pPr>
    <w:rPr>
      <w:rFonts w:ascii="宋体" w:hAnsi="Times New Roman" w:eastAsia="宋体" w:cs="Times New Roman"/>
      <w:sz w:val="21"/>
      <w:lang w:val="en-US" w:eastAsia="zh-CN" w:bidi="ar-SA"/>
    </w:rPr>
  </w:style>
  <w:style w:type="paragraph" w:customStyle="1" w:styleId="197">
    <w:name w:val="标准文件_索引字母"/>
    <w:next w:val="78"/>
    <w:qFormat/>
    <w:uiPriority w:val="0"/>
    <w:pPr>
      <w:spacing w:after="160" w:line="278" w:lineRule="auto"/>
      <w:jc w:val="center"/>
    </w:pPr>
    <w:rPr>
      <w:rFonts w:ascii="宋体" w:hAnsi="宋体" w:eastAsia="Times New Roman" w:cs="Times New Roman"/>
      <w:b/>
      <w:kern w:val="2"/>
      <w:sz w:val="21"/>
      <w:lang w:val="en-US" w:eastAsia="zh-CN" w:bidi="ar-SA"/>
    </w:rPr>
  </w:style>
  <w:style w:type="paragraph" w:customStyle="1" w:styleId="198">
    <w:name w:val="标准文件_附录前"/>
    <w:next w:val="78"/>
    <w:qFormat/>
    <w:uiPriority w:val="0"/>
    <w:pPr>
      <w:spacing w:after="160" w:line="20" w:lineRule="atLeast"/>
      <w:ind w:firstLine="200"/>
    </w:pPr>
    <w:rPr>
      <w:rFonts w:ascii="宋体" w:hAnsi="宋体" w:eastAsia="宋体" w:cs="Times New Roman"/>
      <w:kern w:val="2"/>
      <w:sz w:val="10"/>
      <w:lang w:val="en-US" w:eastAsia="zh-CN" w:bidi="ar-SA"/>
    </w:rPr>
  </w:style>
  <w:style w:type="paragraph" w:customStyle="1" w:styleId="19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00">
    <w:name w:val="标准文件_表格"/>
    <w:basedOn w:val="78"/>
    <w:qFormat/>
    <w:uiPriority w:val="0"/>
    <w:pPr>
      <w:ind w:firstLine="0" w:firstLineChars="0"/>
      <w:jc w:val="center"/>
    </w:pPr>
    <w:rPr>
      <w:sz w:val="18"/>
    </w:rPr>
  </w:style>
  <w:style w:type="paragraph" w:customStyle="1" w:styleId="201">
    <w:name w:val="标准文件_注："/>
    <w:next w:val="78"/>
    <w:qFormat/>
    <w:uiPriority w:val="0"/>
    <w:pPr>
      <w:widowControl w:val="0"/>
      <w:numPr>
        <w:ilvl w:val="0"/>
        <w:numId w:val="26"/>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202">
    <w:name w:val="标准文件_注×："/>
    <w:qFormat/>
    <w:uiPriority w:val="0"/>
    <w:pPr>
      <w:widowControl w:val="0"/>
      <w:numPr>
        <w:ilvl w:val="0"/>
        <w:numId w:val="27"/>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203">
    <w:name w:val="标准文件_示例："/>
    <w:next w:val="204"/>
    <w:qFormat/>
    <w:uiPriority w:val="0"/>
    <w:pPr>
      <w:widowControl w:val="0"/>
      <w:numPr>
        <w:ilvl w:val="0"/>
        <w:numId w:val="28"/>
      </w:numPr>
      <w:spacing w:after="160" w:line="278" w:lineRule="auto"/>
      <w:jc w:val="both"/>
    </w:pPr>
    <w:rPr>
      <w:rFonts w:ascii="宋体" w:hAnsi="Times New Roman" w:eastAsia="宋体" w:cs="Times New Roman"/>
      <w:sz w:val="18"/>
      <w:szCs w:val="18"/>
      <w:lang w:val="en-US" w:eastAsia="zh-CN" w:bidi="ar-SA"/>
    </w:rPr>
  </w:style>
  <w:style w:type="paragraph" w:customStyle="1" w:styleId="204">
    <w:name w:val="标准文件_示例内容"/>
    <w:basedOn w:val="78"/>
    <w:qFormat/>
    <w:uiPriority w:val="0"/>
    <w:pPr>
      <w:ind w:firstLine="420"/>
    </w:pPr>
    <w:rPr>
      <w:sz w:val="18"/>
    </w:rPr>
  </w:style>
  <w:style w:type="paragraph" w:customStyle="1" w:styleId="205">
    <w:name w:val="标准文件_示例×："/>
    <w:basedOn w:val="1"/>
    <w:next w:val="20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206">
    <w:name w:val="标准文件_段 Char"/>
    <w:link w:val="78"/>
    <w:qFormat/>
    <w:uiPriority w:val="0"/>
    <w:rPr>
      <w:rFonts w:ascii="宋体" w:hAnsi="Times New Roman"/>
      <w:sz w:val="21"/>
    </w:rPr>
  </w:style>
  <w:style w:type="paragraph" w:customStyle="1" w:styleId="207">
    <w:name w:val="标准文件_表格续"/>
    <w:basedOn w:val="78"/>
    <w:next w:val="78"/>
    <w:qFormat/>
    <w:uiPriority w:val="0"/>
    <w:pPr>
      <w:jc w:val="center"/>
    </w:pPr>
    <w:rPr>
      <w:rFonts w:ascii="黑体" w:hAnsi="黑体" w:eastAsia="黑体"/>
    </w:rPr>
  </w:style>
  <w:style w:type="character" w:styleId="208">
    <w:name w:val="Placeholder Text"/>
    <w:basedOn w:val="40"/>
    <w:semiHidden/>
    <w:qFormat/>
    <w:uiPriority w:val="99"/>
    <w:rPr>
      <w:color w:val="808080"/>
    </w:rPr>
  </w:style>
  <w:style w:type="paragraph" w:customStyle="1" w:styleId="209">
    <w:name w:val="标准文件_二级项2"/>
    <w:basedOn w:val="78"/>
    <w:qFormat/>
    <w:uiPriority w:val="0"/>
    <w:pPr>
      <w:numPr>
        <w:ilvl w:val="1"/>
        <w:numId w:val="21"/>
      </w:numPr>
      <w:ind w:firstLine="0" w:firstLineChars="0"/>
    </w:pPr>
  </w:style>
  <w:style w:type="paragraph" w:customStyle="1" w:styleId="210">
    <w:name w:val="标准文件_三级项2"/>
    <w:basedOn w:val="78"/>
    <w:qFormat/>
    <w:uiPriority w:val="0"/>
    <w:pPr>
      <w:numPr>
        <w:ilvl w:val="0"/>
        <w:numId w:val="30"/>
      </w:numPr>
      <w:spacing w:line="300" w:lineRule="exact"/>
      <w:ind w:firstLineChars="0"/>
    </w:pPr>
    <w:rPr>
      <w:rFonts w:ascii="Times New Roman"/>
    </w:rPr>
  </w:style>
  <w:style w:type="paragraph" w:customStyle="1" w:styleId="211">
    <w:name w:val="标准文件_一级项2"/>
    <w:basedOn w:val="78"/>
    <w:qFormat/>
    <w:uiPriority w:val="0"/>
    <w:pPr>
      <w:numPr>
        <w:ilvl w:val="0"/>
        <w:numId w:val="31"/>
      </w:numPr>
      <w:spacing w:line="300" w:lineRule="exact"/>
      <w:ind w:firstLineChars="0"/>
    </w:pPr>
    <w:rPr>
      <w:rFonts w:ascii="Times New Roman"/>
    </w:rPr>
  </w:style>
  <w:style w:type="paragraph" w:customStyle="1" w:styleId="212">
    <w:name w:val="标准文件_提示"/>
    <w:basedOn w:val="78"/>
    <w:next w:val="78"/>
    <w:qFormat/>
    <w:uiPriority w:val="0"/>
    <w:pPr>
      <w:ind w:firstLine="420"/>
    </w:pPr>
    <w:rPr>
      <w:rFonts w:ascii="黑体" w:eastAsia="黑体"/>
    </w:rPr>
  </w:style>
  <w:style w:type="character" w:customStyle="1" w:styleId="213">
    <w:name w:val="标准文件_来源"/>
    <w:basedOn w:val="40"/>
    <w:qFormat/>
    <w:uiPriority w:val="1"/>
    <w:rPr>
      <w:rFonts w:eastAsia="宋体"/>
      <w:sz w:val="21"/>
    </w:rPr>
  </w:style>
  <w:style w:type="paragraph" w:customStyle="1" w:styleId="214">
    <w:name w:val="标准文件_图表说明"/>
    <w:qFormat/>
    <w:uiPriority w:val="0"/>
    <w:pPr>
      <w:spacing w:after="160" w:line="276" w:lineRule="auto"/>
      <w:ind w:firstLine="420"/>
    </w:pPr>
    <w:rPr>
      <w:rFonts w:ascii="宋体" w:hAnsi="宋体" w:eastAsia="宋体" w:cs="Times New Roman"/>
      <w:kern w:val="2"/>
      <w:sz w:val="18"/>
      <w:lang w:val="en-US" w:eastAsia="zh-CN" w:bidi="ar-SA"/>
    </w:rPr>
  </w:style>
  <w:style w:type="paragraph" w:customStyle="1" w:styleId="215">
    <w:name w:val="其他发布日期"/>
    <w:basedOn w:val="142"/>
    <w:qFormat/>
    <w:uiPriority w:val="0"/>
    <w:pPr>
      <w:framePr w:w="3997" w:h="471" w:hRule="exact" w:hSpace="0" w:vSpace="181" w:wrap="around" w:vAnchor="page" w:hAnchor="page" w:x="1419" w:y="14097"/>
    </w:pPr>
  </w:style>
  <w:style w:type="paragraph" w:customStyle="1" w:styleId="216">
    <w:name w:val="其他实施日期"/>
    <w:basedOn w:val="176"/>
    <w:qFormat/>
    <w:uiPriority w:val="0"/>
    <w:pPr>
      <w:framePr w:w="3997" w:h="471" w:hRule="exact" w:vSpace="181" w:wrap="around" w:vAnchor="page" w:hAnchor="page" w:x="7089" w:y="14097"/>
    </w:pPr>
  </w:style>
  <w:style w:type="paragraph" w:customStyle="1" w:styleId="217">
    <w:name w:val="标准文件_文件编号"/>
    <w:basedOn w:val="78"/>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18">
    <w:name w:val="标准文件_替换文件编号"/>
    <w:basedOn w:val="217"/>
    <w:qFormat/>
    <w:uiPriority w:val="0"/>
    <w:pPr>
      <w:framePr w:wrap="around"/>
      <w:spacing w:before="57"/>
    </w:pPr>
    <w:rPr>
      <w:sz w:val="21"/>
    </w:rPr>
  </w:style>
  <w:style w:type="paragraph" w:customStyle="1" w:styleId="219">
    <w:name w:val="标准文件_文件名称"/>
    <w:basedOn w:val="78"/>
    <w:next w:val="78"/>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0">
    <w:name w:val="标准文件_附录图标号"/>
    <w:basedOn w:val="78"/>
    <w:next w:val="7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21">
    <w:name w:val="标准文件_附录表标号"/>
    <w:basedOn w:val="78"/>
    <w:next w:val="78"/>
    <w:qFormat/>
    <w:uiPriority w:val="0"/>
    <w:pPr>
      <w:numPr>
        <w:ilvl w:val="0"/>
        <w:numId w:val="5"/>
      </w:numPr>
      <w:spacing w:line="14" w:lineRule="exact"/>
      <w:ind w:firstLine="0" w:firstLineChars="0"/>
      <w:jc w:val="center"/>
    </w:pPr>
    <w:rPr>
      <w:rFonts w:eastAsia="黑体"/>
      <w:vanish/>
      <w:sz w:val="2"/>
    </w:rPr>
  </w:style>
  <w:style w:type="paragraph" w:customStyle="1" w:styleId="222">
    <w:name w:val="标准文件_引言一级条标题"/>
    <w:basedOn w:val="78"/>
    <w:next w:val="78"/>
    <w:qFormat/>
    <w:uiPriority w:val="0"/>
    <w:pPr>
      <w:numPr>
        <w:ilvl w:val="1"/>
        <w:numId w:val="8"/>
      </w:numPr>
      <w:spacing w:before="50" w:beforeLines="50" w:after="50" w:afterLines="50"/>
      <w:ind w:firstLineChars="0"/>
    </w:pPr>
    <w:rPr>
      <w:rFonts w:ascii="黑体" w:eastAsia="黑体"/>
    </w:rPr>
  </w:style>
  <w:style w:type="paragraph" w:customStyle="1" w:styleId="223">
    <w:name w:val="标准文件_引言二级条标题"/>
    <w:basedOn w:val="78"/>
    <w:next w:val="78"/>
    <w:qFormat/>
    <w:uiPriority w:val="0"/>
    <w:pPr>
      <w:numPr>
        <w:ilvl w:val="2"/>
        <w:numId w:val="8"/>
      </w:numPr>
      <w:spacing w:before="50" w:beforeLines="50" w:after="50" w:afterLines="50"/>
      <w:ind w:firstLineChars="0"/>
    </w:pPr>
    <w:rPr>
      <w:rFonts w:ascii="黑体" w:eastAsia="黑体"/>
    </w:rPr>
  </w:style>
  <w:style w:type="paragraph" w:customStyle="1" w:styleId="224">
    <w:name w:val="标准文件_引言三级条标题"/>
    <w:basedOn w:val="78"/>
    <w:next w:val="78"/>
    <w:qFormat/>
    <w:uiPriority w:val="0"/>
    <w:pPr>
      <w:numPr>
        <w:ilvl w:val="3"/>
        <w:numId w:val="8"/>
      </w:numPr>
      <w:spacing w:before="50" w:beforeLines="50" w:after="50" w:afterLines="50"/>
      <w:ind w:firstLineChars="0"/>
    </w:pPr>
    <w:rPr>
      <w:rFonts w:ascii="黑体" w:eastAsia="黑体"/>
    </w:rPr>
  </w:style>
  <w:style w:type="paragraph" w:customStyle="1" w:styleId="225">
    <w:name w:val="标准文件_引言四级条标题"/>
    <w:basedOn w:val="78"/>
    <w:next w:val="78"/>
    <w:qFormat/>
    <w:uiPriority w:val="0"/>
    <w:pPr>
      <w:numPr>
        <w:ilvl w:val="4"/>
        <w:numId w:val="8"/>
      </w:numPr>
      <w:spacing w:before="50" w:beforeLines="50" w:after="50" w:afterLines="50"/>
      <w:ind w:firstLineChars="0"/>
    </w:pPr>
    <w:rPr>
      <w:rFonts w:ascii="黑体" w:eastAsia="黑体"/>
    </w:rPr>
  </w:style>
  <w:style w:type="paragraph" w:customStyle="1" w:styleId="226">
    <w:name w:val="标准文件_引言五级条标题"/>
    <w:basedOn w:val="78"/>
    <w:next w:val="78"/>
    <w:qFormat/>
    <w:uiPriority w:val="0"/>
    <w:pPr>
      <w:numPr>
        <w:ilvl w:val="5"/>
        <w:numId w:val="8"/>
      </w:numPr>
      <w:spacing w:before="50" w:beforeLines="50" w:after="50" w:afterLines="50"/>
      <w:ind w:firstLineChars="0"/>
    </w:pPr>
    <w:rPr>
      <w:rFonts w:ascii="黑体" w:eastAsia="黑体"/>
    </w:rPr>
  </w:style>
  <w:style w:type="paragraph" w:customStyle="1" w:styleId="227">
    <w:name w:val="标准文件_注后"/>
    <w:basedOn w:val="78"/>
    <w:qFormat/>
    <w:uiPriority w:val="0"/>
    <w:pPr>
      <w:ind w:left="811" w:firstLine="0" w:firstLineChars="0"/>
    </w:pPr>
    <w:rPr>
      <w:sz w:val="18"/>
    </w:rPr>
  </w:style>
  <w:style w:type="paragraph" w:customStyle="1" w:styleId="228">
    <w:name w:val="标准文件_注X后"/>
    <w:basedOn w:val="78"/>
    <w:qFormat/>
    <w:uiPriority w:val="0"/>
    <w:pPr>
      <w:ind w:left="811" w:firstLine="0" w:firstLineChars="0"/>
    </w:pPr>
    <w:rPr>
      <w:sz w:val="18"/>
    </w:rPr>
  </w:style>
  <w:style w:type="paragraph" w:customStyle="1" w:styleId="229">
    <w:name w:val="标准文件_示例后"/>
    <w:basedOn w:val="78"/>
    <w:qFormat/>
    <w:uiPriority w:val="0"/>
    <w:pPr>
      <w:ind w:left="964" w:firstLine="0" w:firstLineChars="0"/>
    </w:pPr>
    <w:rPr>
      <w:sz w:val="18"/>
    </w:rPr>
  </w:style>
  <w:style w:type="paragraph" w:customStyle="1" w:styleId="230">
    <w:name w:val="标准文件_示例X后"/>
    <w:basedOn w:val="78"/>
    <w:link w:val="231"/>
    <w:qFormat/>
    <w:uiPriority w:val="0"/>
    <w:pPr>
      <w:ind w:left="1049" w:firstLine="0" w:firstLineChars="0"/>
    </w:pPr>
    <w:rPr>
      <w:sz w:val="18"/>
    </w:rPr>
  </w:style>
  <w:style w:type="character" w:customStyle="1" w:styleId="231">
    <w:name w:val="标准文件_示例X后 字符"/>
    <w:basedOn w:val="206"/>
    <w:link w:val="230"/>
    <w:qFormat/>
    <w:uiPriority w:val="0"/>
    <w:rPr>
      <w:rFonts w:ascii="宋体" w:hAnsi="Times New Roman"/>
      <w:sz w:val="18"/>
    </w:rPr>
  </w:style>
  <w:style w:type="paragraph" w:customStyle="1" w:styleId="232">
    <w:name w:val="标准文件_索引项"/>
    <w:basedOn w:val="78"/>
    <w:next w:val="78"/>
    <w:qFormat/>
    <w:uiPriority w:val="0"/>
    <w:pPr>
      <w:tabs>
        <w:tab w:val="right" w:leader="dot" w:pos="9356"/>
      </w:tabs>
      <w:ind w:left="210" w:hanging="210" w:firstLineChars="0"/>
      <w:jc w:val="left"/>
    </w:pPr>
  </w:style>
  <w:style w:type="paragraph" w:customStyle="1" w:styleId="233">
    <w:name w:val="标准文件_附录一级无标题"/>
    <w:basedOn w:val="100"/>
    <w:qFormat/>
    <w:uiPriority w:val="0"/>
    <w:pPr>
      <w:spacing w:before="0" w:beforeLines="0" w:after="0" w:afterLines="0" w:line="276" w:lineRule="auto"/>
      <w:outlineLvl w:val="9"/>
    </w:pPr>
    <w:rPr>
      <w:rFonts w:ascii="宋体" w:eastAsia="宋体"/>
    </w:rPr>
  </w:style>
  <w:style w:type="paragraph" w:customStyle="1" w:styleId="234">
    <w:name w:val="标准文件_附录二级无标题"/>
    <w:basedOn w:val="101"/>
    <w:qFormat/>
    <w:uiPriority w:val="0"/>
    <w:pPr>
      <w:spacing w:before="0" w:beforeLines="0" w:after="0" w:afterLines="0" w:line="276" w:lineRule="auto"/>
      <w:outlineLvl w:val="9"/>
    </w:pPr>
    <w:rPr>
      <w:rFonts w:ascii="宋体" w:eastAsia="宋体"/>
    </w:rPr>
  </w:style>
  <w:style w:type="paragraph" w:customStyle="1" w:styleId="235">
    <w:name w:val="标准文件_附录三级无标题"/>
    <w:basedOn w:val="103"/>
    <w:qFormat/>
    <w:uiPriority w:val="0"/>
    <w:pPr>
      <w:spacing w:before="0" w:beforeLines="0" w:after="0" w:afterLines="0" w:line="276" w:lineRule="auto"/>
      <w:outlineLvl w:val="9"/>
    </w:pPr>
    <w:rPr>
      <w:rFonts w:ascii="宋体" w:eastAsia="宋体"/>
    </w:rPr>
  </w:style>
  <w:style w:type="paragraph" w:customStyle="1" w:styleId="236">
    <w:name w:val="标准文件_附录四级无标题"/>
    <w:basedOn w:val="104"/>
    <w:qFormat/>
    <w:uiPriority w:val="0"/>
    <w:pPr>
      <w:spacing w:before="0" w:beforeLines="0" w:after="0" w:afterLines="0" w:line="276" w:lineRule="auto"/>
      <w:outlineLvl w:val="9"/>
    </w:pPr>
    <w:rPr>
      <w:rFonts w:ascii="宋体" w:eastAsia="宋体"/>
    </w:rPr>
  </w:style>
  <w:style w:type="paragraph" w:customStyle="1" w:styleId="237">
    <w:name w:val="标准文件_附录五级无标题"/>
    <w:basedOn w:val="106"/>
    <w:qFormat/>
    <w:uiPriority w:val="0"/>
    <w:pPr>
      <w:spacing w:before="0" w:beforeLines="0" w:after="0" w:afterLines="0" w:line="276" w:lineRule="auto"/>
      <w:outlineLvl w:val="9"/>
    </w:pPr>
    <w:rPr>
      <w:rFonts w:ascii="宋体" w:eastAsia="宋体"/>
    </w:rPr>
  </w:style>
  <w:style w:type="paragraph" w:customStyle="1" w:styleId="238">
    <w:name w:val="标准文件_引言一级无标题"/>
    <w:basedOn w:val="222"/>
    <w:next w:val="78"/>
    <w:qFormat/>
    <w:uiPriority w:val="0"/>
    <w:pPr>
      <w:spacing w:before="0" w:beforeLines="0" w:after="0" w:afterLines="0" w:line="276" w:lineRule="auto"/>
    </w:pPr>
    <w:rPr>
      <w:rFonts w:ascii="宋体" w:eastAsia="宋体"/>
    </w:rPr>
  </w:style>
  <w:style w:type="paragraph" w:customStyle="1" w:styleId="239">
    <w:name w:val="标准文件_引言二级无标题"/>
    <w:basedOn w:val="223"/>
    <w:next w:val="78"/>
    <w:qFormat/>
    <w:uiPriority w:val="0"/>
    <w:pPr>
      <w:spacing w:before="0" w:beforeLines="0" w:after="0" w:afterLines="0" w:line="276" w:lineRule="auto"/>
    </w:pPr>
    <w:rPr>
      <w:rFonts w:ascii="宋体" w:eastAsia="宋体"/>
    </w:rPr>
  </w:style>
  <w:style w:type="paragraph" w:customStyle="1" w:styleId="240">
    <w:name w:val="标准文件_引言三级无标题"/>
    <w:basedOn w:val="224"/>
    <w:qFormat/>
    <w:uiPriority w:val="0"/>
    <w:pPr>
      <w:spacing w:before="0" w:beforeLines="0" w:after="0" w:afterLines="0" w:line="276" w:lineRule="auto"/>
    </w:pPr>
    <w:rPr>
      <w:rFonts w:ascii="宋体" w:eastAsia="宋体"/>
    </w:rPr>
  </w:style>
  <w:style w:type="paragraph" w:customStyle="1" w:styleId="241">
    <w:name w:val="标准文件_引言四级无标题"/>
    <w:basedOn w:val="225"/>
    <w:next w:val="78"/>
    <w:qFormat/>
    <w:uiPriority w:val="0"/>
    <w:pPr>
      <w:spacing w:before="0" w:beforeLines="0" w:after="0" w:afterLines="0" w:line="276" w:lineRule="auto"/>
    </w:pPr>
    <w:rPr>
      <w:rFonts w:ascii="宋体" w:eastAsia="宋体"/>
    </w:rPr>
  </w:style>
  <w:style w:type="paragraph" w:customStyle="1" w:styleId="242">
    <w:name w:val="标准文件_引言五级无标题"/>
    <w:basedOn w:val="226"/>
    <w:next w:val="78"/>
    <w:qFormat/>
    <w:uiPriority w:val="0"/>
    <w:pPr>
      <w:spacing w:before="0" w:beforeLines="0" w:after="0" w:afterLines="0" w:line="276" w:lineRule="auto"/>
    </w:pPr>
    <w:rPr>
      <w:rFonts w:ascii="宋体" w:eastAsia="宋体"/>
    </w:rPr>
  </w:style>
  <w:style w:type="paragraph" w:customStyle="1" w:styleId="243">
    <w:name w:val="标准文件_索引标题"/>
    <w:basedOn w:val="85"/>
    <w:next w:val="78"/>
    <w:qFormat/>
    <w:uiPriority w:val="0"/>
    <w:rPr>
      <w:rFonts w:hAnsi="黑体"/>
    </w:rPr>
  </w:style>
  <w:style w:type="paragraph" w:customStyle="1" w:styleId="244">
    <w:name w:val="标准文件_脚注内容"/>
    <w:basedOn w:val="78"/>
    <w:qFormat/>
    <w:uiPriority w:val="0"/>
    <w:pPr>
      <w:ind w:left="400" w:leftChars="200" w:hanging="200" w:hangingChars="200"/>
    </w:pPr>
    <w:rPr>
      <w:sz w:val="15"/>
    </w:rPr>
  </w:style>
  <w:style w:type="paragraph" w:customStyle="1" w:styleId="245">
    <w:name w:val="标准文件_术语条一"/>
    <w:basedOn w:val="184"/>
    <w:next w:val="78"/>
    <w:qFormat/>
    <w:uiPriority w:val="0"/>
  </w:style>
  <w:style w:type="paragraph" w:customStyle="1" w:styleId="246">
    <w:name w:val="标准文件_术语条二"/>
    <w:basedOn w:val="187"/>
    <w:next w:val="78"/>
    <w:qFormat/>
    <w:uiPriority w:val="0"/>
  </w:style>
  <w:style w:type="paragraph" w:customStyle="1" w:styleId="247">
    <w:name w:val="标准文件_术语条三"/>
    <w:basedOn w:val="186"/>
    <w:next w:val="78"/>
    <w:qFormat/>
    <w:uiPriority w:val="0"/>
  </w:style>
  <w:style w:type="paragraph" w:customStyle="1" w:styleId="248">
    <w:name w:val="标准文件_术语条四"/>
    <w:basedOn w:val="189"/>
    <w:next w:val="78"/>
    <w:qFormat/>
    <w:uiPriority w:val="0"/>
  </w:style>
  <w:style w:type="paragraph" w:customStyle="1" w:styleId="249">
    <w:name w:val="标准文件_术语条五"/>
    <w:basedOn w:val="185"/>
    <w:next w:val="78"/>
    <w:qFormat/>
    <w:uiPriority w:val="0"/>
  </w:style>
  <w:style w:type="paragraph" w:customStyle="1" w:styleId="250">
    <w:name w:val="Default"/>
    <w:qFormat/>
    <w:uiPriority w:val="99"/>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character" w:customStyle="1" w:styleId="251">
    <w:name w:val="发布"/>
    <w:basedOn w:val="40"/>
    <w:qFormat/>
    <w:uiPriority w:val="0"/>
    <w:rPr>
      <w:rFonts w:ascii="黑体" w:eastAsia="黑体"/>
      <w:spacing w:val="85"/>
      <w:w w:val="100"/>
      <w:position w:val="3"/>
      <w:sz w:val="28"/>
      <w:szCs w:val="28"/>
    </w:rPr>
  </w:style>
  <w:style w:type="character" w:customStyle="1" w:styleId="252">
    <w:name w:val="批注文字 字符"/>
    <w:basedOn w:val="40"/>
    <w:link w:val="14"/>
    <w:qFormat/>
    <w:uiPriority w:val="99"/>
    <w:rPr>
      <w:rFonts w:ascii="Times New Roman" w:hAnsi="Times New Roman"/>
      <w:kern w:val="2"/>
      <w:sz w:val="21"/>
      <w:szCs w:val="24"/>
    </w:rPr>
  </w:style>
  <w:style w:type="character" w:customStyle="1" w:styleId="253">
    <w:name w:val="样式1 Char Char"/>
    <w:link w:val="55"/>
    <w:qFormat/>
    <w:uiPriority w:val="0"/>
    <w:rPr>
      <w:kern w:val="2"/>
      <w:sz w:val="21"/>
      <w:szCs w:val="24"/>
    </w:rPr>
  </w:style>
  <w:style w:type="paragraph" w:customStyle="1" w:styleId="254">
    <w:name w:val="表头"/>
    <w:basedOn w:val="1"/>
    <w:link w:val="255"/>
    <w:qFormat/>
    <w:uiPriority w:val="0"/>
    <w:pPr>
      <w:tabs>
        <w:tab w:val="center" w:pos="4706"/>
        <w:tab w:val="right" w:pos="9214"/>
      </w:tabs>
      <w:topLinePunct/>
      <w:adjustRightInd/>
      <w:spacing w:before="160" w:after="60" w:line="312" w:lineRule="exact"/>
      <w:jc w:val="center"/>
    </w:pPr>
    <w:rPr>
      <w:rFonts w:ascii="EU-F1" w:hAnsi="Times New Roman" w:eastAsia="黑体"/>
    </w:rPr>
  </w:style>
  <w:style w:type="character" w:customStyle="1" w:styleId="255">
    <w:name w:val="表头 Char"/>
    <w:link w:val="254"/>
    <w:qFormat/>
    <w:locked/>
    <w:uiPriority w:val="0"/>
    <w:rPr>
      <w:rFonts w:ascii="EU-F1" w:hAnsi="Times New Roman" w:eastAsia="黑体"/>
      <w:kern w:val="2"/>
      <w:sz w:val="21"/>
      <w:szCs w:val="21"/>
    </w:rPr>
  </w:style>
  <w:style w:type="character" w:customStyle="1" w:styleId="256">
    <w:name w:val="文档结构图 字符"/>
    <w:basedOn w:val="40"/>
    <w:link w:val="13"/>
    <w:qFormat/>
    <w:uiPriority w:val="0"/>
    <w:rPr>
      <w:rFonts w:ascii="宋体" w:hAnsi="Times New Roman"/>
      <w:kern w:val="2"/>
      <w:sz w:val="18"/>
      <w:szCs w:val="18"/>
    </w:rPr>
  </w:style>
  <w:style w:type="character" w:customStyle="1" w:styleId="257">
    <w:name w:val="正文文本缩进 字符"/>
    <w:basedOn w:val="40"/>
    <w:link w:val="16"/>
    <w:qFormat/>
    <w:uiPriority w:val="99"/>
    <w:rPr>
      <w:kern w:val="2"/>
      <w:sz w:val="21"/>
      <w:szCs w:val="24"/>
    </w:rPr>
  </w:style>
  <w:style w:type="character" w:customStyle="1" w:styleId="258">
    <w:name w:val="纯文本 字符"/>
    <w:basedOn w:val="40"/>
    <w:link w:val="19"/>
    <w:qFormat/>
    <w:uiPriority w:val="0"/>
    <w:rPr>
      <w:rFonts w:ascii="宋体" w:hAnsi="Courier New"/>
      <w:kern w:val="2"/>
      <w:sz w:val="21"/>
      <w:szCs w:val="21"/>
    </w:rPr>
  </w:style>
  <w:style w:type="character" w:customStyle="1" w:styleId="259">
    <w:name w:val="日期 字符"/>
    <w:basedOn w:val="40"/>
    <w:link w:val="21"/>
    <w:qFormat/>
    <w:uiPriority w:val="0"/>
    <w:rPr>
      <w:rFonts w:ascii="Times New Roman" w:hAnsi="Times New Roman"/>
      <w:kern w:val="2"/>
      <w:sz w:val="21"/>
      <w:szCs w:val="24"/>
    </w:rPr>
  </w:style>
  <w:style w:type="character" w:customStyle="1" w:styleId="260">
    <w:name w:val="正文文本缩进 2 字符"/>
    <w:basedOn w:val="40"/>
    <w:link w:val="22"/>
    <w:qFormat/>
    <w:uiPriority w:val="0"/>
    <w:rPr>
      <w:kern w:val="2"/>
      <w:sz w:val="21"/>
    </w:rPr>
  </w:style>
  <w:style w:type="character" w:customStyle="1" w:styleId="261">
    <w:name w:val="正文文本缩进 3 字符"/>
    <w:basedOn w:val="40"/>
    <w:link w:val="30"/>
    <w:qFormat/>
    <w:uiPriority w:val="0"/>
    <w:rPr>
      <w:rFonts w:ascii="宋体" w:hAnsi="宋体"/>
      <w:kern w:val="2"/>
      <w:sz w:val="24"/>
      <w:szCs w:val="24"/>
    </w:rPr>
  </w:style>
  <w:style w:type="character" w:customStyle="1" w:styleId="262">
    <w:name w:val="批注主题 字符"/>
    <w:basedOn w:val="252"/>
    <w:link w:val="36"/>
    <w:qFormat/>
    <w:uiPriority w:val="0"/>
    <w:rPr>
      <w:rFonts w:ascii="Times New Roman" w:hAnsi="Times New Roman"/>
      <w:b/>
      <w:bCs/>
      <w:kern w:val="2"/>
      <w:sz w:val="21"/>
      <w:szCs w:val="24"/>
    </w:rPr>
  </w:style>
  <w:style w:type="character" w:customStyle="1" w:styleId="263">
    <w:name w:val="正文文本首行缩进 2 字符"/>
    <w:basedOn w:val="257"/>
    <w:link w:val="37"/>
    <w:qFormat/>
    <w:uiPriority w:val="0"/>
    <w:rPr>
      <w:rFonts w:ascii="黑体" w:hAnsi="黑体" w:eastAsia="黑体" w:cs="黑体"/>
      <w:kern w:val="2"/>
      <w:sz w:val="32"/>
      <w:szCs w:val="32"/>
    </w:rPr>
  </w:style>
  <w:style w:type="character" w:customStyle="1" w:styleId="264">
    <w:name w:val="fontborder"/>
    <w:qFormat/>
    <w:uiPriority w:val="0"/>
    <w:rPr>
      <w:bdr w:val="single" w:color="000000" w:sz="4" w:space="0"/>
    </w:rPr>
  </w:style>
  <w:style w:type="character" w:customStyle="1" w:styleId="265">
    <w:name w:val="解释 Char"/>
    <w:link w:val="266"/>
    <w:qFormat/>
    <w:uiPriority w:val="0"/>
    <w:rPr>
      <w:rFonts w:ascii="楷体_GB2312" w:hAnsi="楷体" w:eastAsia="楷体_GB2312"/>
      <w:kern w:val="2"/>
      <w:sz w:val="18"/>
      <w:szCs w:val="18"/>
      <w:lang w:val="zh-CN"/>
    </w:rPr>
  </w:style>
  <w:style w:type="paragraph" w:customStyle="1" w:styleId="266">
    <w:name w:val="解释"/>
    <w:basedOn w:val="267"/>
    <w:link w:val="265"/>
    <w:qFormat/>
    <w:uiPriority w:val="0"/>
    <w:pPr>
      <w:adjustRightInd w:val="0"/>
      <w:snapToGrid w:val="0"/>
      <w:spacing w:line="360" w:lineRule="exact"/>
    </w:pPr>
  </w:style>
  <w:style w:type="paragraph" w:customStyle="1" w:styleId="267">
    <w:name w:val="p0"/>
    <w:basedOn w:val="1"/>
    <w:qFormat/>
    <w:uiPriority w:val="0"/>
    <w:pPr>
      <w:widowControl/>
      <w:adjustRightInd/>
      <w:spacing w:line="380" w:lineRule="exact"/>
      <w:ind w:left="2485" w:hanging="360"/>
      <w:jc w:val="left"/>
    </w:pPr>
    <w:rPr>
      <w:rFonts w:ascii="楷体_GB2312" w:hAnsi="楷体" w:eastAsia="楷体_GB2312"/>
      <w:sz w:val="18"/>
      <w:szCs w:val="18"/>
      <w:lang w:val="zh-CN"/>
    </w:rPr>
  </w:style>
  <w:style w:type="character" w:customStyle="1" w:styleId="268">
    <w:name w:val="fontstrikethrough"/>
    <w:qFormat/>
    <w:uiPriority w:val="0"/>
    <w:rPr>
      <w:strike/>
    </w:rPr>
  </w:style>
  <w:style w:type="character" w:customStyle="1" w:styleId="269">
    <w:name w:val="表中文字 Char"/>
    <w:link w:val="270"/>
    <w:qFormat/>
    <w:uiPriority w:val="0"/>
    <w:rPr>
      <w:rFonts w:ascii="宋体" w:hAnsi="宋体" w:cs="宋体"/>
      <w:kern w:val="2"/>
      <w:sz w:val="18"/>
      <w:szCs w:val="18"/>
    </w:rPr>
  </w:style>
  <w:style w:type="paragraph" w:customStyle="1" w:styleId="270">
    <w:name w:val="表中文字"/>
    <w:basedOn w:val="1"/>
    <w:link w:val="269"/>
    <w:qFormat/>
    <w:uiPriority w:val="0"/>
    <w:pPr>
      <w:widowControl/>
      <w:tabs>
        <w:tab w:val="left" w:pos="600"/>
      </w:tabs>
      <w:adjustRightInd/>
      <w:spacing w:line="240" w:lineRule="auto"/>
    </w:pPr>
    <w:rPr>
      <w:rFonts w:ascii="宋体" w:hAnsi="宋体" w:cs="宋体"/>
      <w:sz w:val="18"/>
      <w:szCs w:val="18"/>
    </w:rPr>
  </w:style>
  <w:style w:type="paragraph" w:customStyle="1" w:styleId="271">
    <w:name w:val="列出段落1"/>
    <w:basedOn w:val="1"/>
    <w:qFormat/>
    <w:uiPriority w:val="34"/>
    <w:pPr>
      <w:adjustRightInd/>
      <w:spacing w:line="240" w:lineRule="auto"/>
      <w:ind w:firstLine="420" w:firstLineChars="200"/>
    </w:pPr>
    <w:rPr>
      <w:szCs w:val="24"/>
    </w:rPr>
  </w:style>
  <w:style w:type="paragraph" w:customStyle="1" w:styleId="272">
    <w:name w:val="列出段落111"/>
    <w:basedOn w:val="1"/>
    <w:qFormat/>
    <w:uiPriority w:val="34"/>
    <w:pPr>
      <w:adjustRightInd/>
      <w:spacing w:line="240" w:lineRule="auto"/>
      <w:ind w:firstLine="420" w:firstLineChars="200"/>
    </w:pPr>
    <w:rPr>
      <w:szCs w:val="24"/>
    </w:rPr>
  </w:style>
  <w:style w:type="paragraph" w:customStyle="1" w:styleId="273">
    <w:name w:val="章编号和标题 Char"/>
    <w:basedOn w:val="1"/>
    <w:qFormat/>
    <w:uiPriority w:val="0"/>
    <w:pPr>
      <w:adjustRightInd/>
      <w:spacing w:line="240" w:lineRule="auto"/>
    </w:pPr>
    <w:rPr>
      <w:szCs w:val="22"/>
    </w:rPr>
  </w:style>
  <w:style w:type="paragraph" w:customStyle="1" w:styleId="274">
    <w:name w:val="列出段落11"/>
    <w:basedOn w:val="1"/>
    <w:qFormat/>
    <w:uiPriority w:val="99"/>
    <w:pPr>
      <w:adjustRightInd/>
      <w:spacing w:line="240" w:lineRule="auto"/>
      <w:ind w:firstLine="420" w:firstLineChars="200"/>
    </w:pPr>
    <w:rPr>
      <w:szCs w:val="24"/>
    </w:rPr>
  </w:style>
  <w:style w:type="paragraph" w:customStyle="1" w:styleId="275">
    <w:name w:val="正文 A"/>
    <w:qFormat/>
    <w:uiPriority w:val="0"/>
    <w:pPr>
      <w:widowControl w:val="0"/>
      <w:spacing w:after="160" w:line="278" w:lineRule="auto"/>
      <w:jc w:val="both"/>
    </w:pPr>
    <w:rPr>
      <w:rFonts w:ascii="Calibri" w:hAnsi="Calibri" w:eastAsia="Calibri" w:cs="Calibri"/>
      <w:color w:val="000000"/>
      <w:kern w:val="2"/>
      <w:sz w:val="21"/>
      <w:szCs w:val="21"/>
      <w:lang w:val="en-US" w:eastAsia="zh-CN" w:bidi="ar-SA"/>
    </w:rPr>
  </w:style>
  <w:style w:type="paragraph" w:customStyle="1" w:styleId="276">
    <w:name w:val="列出段落2"/>
    <w:basedOn w:val="1"/>
    <w:qFormat/>
    <w:uiPriority w:val="34"/>
    <w:pPr>
      <w:adjustRightInd/>
      <w:spacing w:line="240" w:lineRule="auto"/>
      <w:ind w:firstLine="420" w:firstLineChars="200"/>
    </w:pPr>
    <w:rPr>
      <w:szCs w:val="22"/>
    </w:rPr>
  </w:style>
  <w:style w:type="paragraph" w:customStyle="1" w:styleId="277">
    <w:name w:val="正文首行缩进 Char Char Char"/>
    <w:basedOn w:val="1"/>
    <w:qFormat/>
    <w:uiPriority w:val="0"/>
    <w:pPr>
      <w:tabs>
        <w:tab w:val="left" w:pos="720"/>
      </w:tabs>
      <w:adjustRightInd/>
      <w:spacing w:line="240" w:lineRule="auto"/>
      <w:ind w:left="720" w:hanging="720"/>
    </w:pPr>
    <w:rPr>
      <w:szCs w:val="22"/>
    </w:rPr>
  </w:style>
  <w:style w:type="paragraph" w:customStyle="1" w:styleId="278">
    <w:name w:val="无间隔1"/>
    <w:qFormat/>
    <w:uiPriority w:val="99"/>
    <w:pPr>
      <w:widowControl w:val="0"/>
      <w:spacing w:after="160" w:line="278" w:lineRule="auto"/>
      <w:jc w:val="both"/>
    </w:pPr>
    <w:rPr>
      <w:rFonts w:ascii="Calibri" w:hAnsi="Calibri" w:eastAsia="宋体" w:cs="Times New Roman"/>
      <w:kern w:val="2"/>
      <w:sz w:val="21"/>
      <w:szCs w:val="24"/>
      <w:lang w:val="en-US" w:eastAsia="zh-CN" w:bidi="ar-SA"/>
    </w:rPr>
  </w:style>
  <w:style w:type="paragraph" w:customStyle="1" w:styleId="279">
    <w:name w:val="列出段落3"/>
    <w:basedOn w:val="1"/>
    <w:qFormat/>
    <w:uiPriority w:val="34"/>
    <w:pPr>
      <w:adjustRightInd/>
      <w:spacing w:line="240" w:lineRule="auto"/>
      <w:ind w:firstLine="420" w:firstLineChars="200"/>
    </w:pPr>
    <w:rPr>
      <w:szCs w:val="24"/>
    </w:rPr>
  </w:style>
  <w:style w:type="paragraph" w:customStyle="1" w:styleId="280">
    <w:name w:val="修订1"/>
    <w:hidden/>
    <w:semiHidden/>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81">
    <w:name w:val="修订2"/>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82">
    <w:name w:val="WPSOffice手动目录 1"/>
    <w:qFormat/>
    <w:uiPriority w:val="0"/>
    <w:pPr>
      <w:spacing w:after="160" w:line="278" w:lineRule="auto"/>
    </w:pPr>
    <w:rPr>
      <w:rFonts w:ascii="Times New Roman" w:hAnsi="Times New Roman" w:eastAsia="宋体" w:cs="Times New Roman"/>
      <w:lang w:val="en-US" w:eastAsia="zh-CN" w:bidi="ar-SA"/>
    </w:rPr>
  </w:style>
  <w:style w:type="paragraph" w:customStyle="1" w:styleId="283">
    <w:name w:val="修订3"/>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84">
    <w:name w:val="修订31"/>
    <w:unhideWhenUsed/>
    <w:qFormat/>
    <w:uiPriority w:val="99"/>
    <w:pPr>
      <w:spacing w:after="160" w:line="278" w:lineRule="auto"/>
    </w:pPr>
    <w:rPr>
      <w:rFonts w:ascii="Calibri" w:hAnsi="Calibri" w:eastAsia="宋体" w:cs="Times New Roman"/>
      <w:kern w:val="2"/>
      <w:sz w:val="21"/>
      <w:szCs w:val="24"/>
      <w:lang w:val="en-US" w:eastAsia="zh-CN" w:bidi="ar-SA"/>
    </w:rPr>
  </w:style>
  <w:style w:type="character" w:customStyle="1" w:styleId="285">
    <w:name w:val="sp2"/>
    <w:basedOn w:val="40"/>
    <w:qFormat/>
    <w:uiPriority w:val="0"/>
  </w:style>
  <w:style w:type="character" w:customStyle="1" w:styleId="286">
    <w:name w:val="sp21"/>
    <w:basedOn w:val="40"/>
    <w:qFormat/>
    <w:uiPriority w:val="0"/>
  </w:style>
  <w:style w:type="paragraph" w:customStyle="1" w:styleId="287">
    <w:name w:val="修订4"/>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styleId="288">
    <w:name w:val="List Paragraph"/>
    <w:basedOn w:val="1"/>
    <w:unhideWhenUsed/>
    <w:qFormat/>
    <w:uiPriority w:val="1"/>
    <w:pPr>
      <w:adjustRightInd/>
      <w:spacing w:line="240" w:lineRule="auto"/>
      <w:ind w:firstLine="420" w:firstLineChars="200"/>
    </w:pPr>
    <w:rPr>
      <w:szCs w:val="24"/>
    </w:rPr>
  </w:style>
  <w:style w:type="table" w:customStyle="1" w:styleId="289">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90">
    <w:name w:val="Table Paragraph"/>
    <w:basedOn w:val="1"/>
    <w:qFormat/>
    <w:uiPriority w:val="1"/>
    <w:pPr>
      <w:autoSpaceDE w:val="0"/>
      <w:autoSpaceDN w:val="0"/>
      <w:adjustRightInd/>
      <w:spacing w:before="50" w:line="240" w:lineRule="auto"/>
      <w:ind w:left="413" w:right="389"/>
      <w:jc w:val="left"/>
    </w:pPr>
    <w:rPr>
      <w:rFonts w:ascii="宋体" w:hAnsi="宋体" w:cs="宋体"/>
      <w:kern w:val="0"/>
      <w:sz w:val="22"/>
      <w:szCs w:val="22"/>
      <w:lang w:eastAsia="en-US"/>
    </w:rPr>
  </w:style>
  <w:style w:type="paragraph" w:customStyle="1" w:styleId="291">
    <w:name w:val="TOC 标题1"/>
    <w:basedOn w:val="2"/>
    <w:next w:val="1"/>
    <w:unhideWhenUsed/>
    <w:qFormat/>
    <w:uiPriority w:val="39"/>
    <w:pPr>
      <w:widowControl/>
      <w:adjustRightInd/>
      <w:spacing w:before="240" w:after="0" w:line="259" w:lineRule="auto"/>
      <w:jc w:val="center"/>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92">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293">
    <w:name w:val="Table Text"/>
    <w:basedOn w:val="1"/>
    <w:qFormat/>
    <w:uiPriority w:val="0"/>
    <w:rPr>
      <w:rFonts w:hint="eastAsia" w:ascii="宋体" w:hAnsi="宋体"/>
      <w:sz w:val="18"/>
      <w:szCs w:val="18"/>
    </w:rPr>
  </w:style>
  <w:style w:type="paragraph" w:customStyle="1" w:styleId="294">
    <w:name w:val="TOC 标题2"/>
    <w:basedOn w:val="2"/>
    <w:next w:val="1"/>
    <w:unhideWhenUsed/>
    <w:qFormat/>
    <w:uiPriority w:val="39"/>
    <w:pPr>
      <w:widowControl/>
      <w:adjustRightInd/>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295">
    <w:name w:val="样式3"/>
    <w:basedOn w:val="1"/>
    <w:qFormat/>
    <w:uiPriority w:val="0"/>
    <w:pPr>
      <w:keepNext/>
      <w:keepLines/>
      <w:topLinePunct/>
      <w:adjustRightInd/>
      <w:spacing w:line="312" w:lineRule="exact"/>
    </w:pPr>
    <w:rPr>
      <w:rFonts w:ascii="EU-F1" w:hAnsi="Times New Roman" w:eastAsia="黑体"/>
    </w:rPr>
  </w:style>
  <w:style w:type="paragraph" w:customStyle="1" w:styleId="296">
    <w:name w:val="修订5"/>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paragraph" w:customStyle="1" w:styleId="297">
    <w:name w:val="修订6"/>
    <w:hidden/>
    <w:unhideWhenUsed/>
    <w:qFormat/>
    <w:uiPriority w:val="99"/>
    <w:pPr>
      <w:spacing w:after="160" w:line="278" w:lineRule="auto"/>
    </w:pPr>
    <w:rPr>
      <w:rFonts w:ascii="Calibri" w:hAnsi="Calibri" w:eastAsia="宋体" w:cs="Times New Roman"/>
      <w:kern w:val="2"/>
      <w:sz w:val="21"/>
      <w:szCs w:val="24"/>
      <w:lang w:val="en-US" w:eastAsia="zh-CN" w:bidi="ar-SA"/>
    </w:rPr>
  </w:style>
  <w:style w:type="table" w:customStyle="1" w:styleId="298">
    <w:name w:val="网格型4"/>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9">
    <w:name w:val="修订7"/>
    <w:hidden/>
    <w:unhideWhenUsed/>
    <w:qFormat/>
    <w:uiPriority w:val="99"/>
    <w:pPr>
      <w:spacing w:after="160" w:line="278" w:lineRule="auto"/>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A8B4E53FFDE42688B6350DDA1905DA3"/>
        <w:style w:val=""/>
        <w:category>
          <w:name w:val="常规"/>
          <w:gallery w:val="placeholder"/>
        </w:category>
        <w:types>
          <w:type w:val="bbPlcHdr"/>
        </w:types>
        <w:behaviors>
          <w:behavior w:val="content"/>
        </w:behaviors>
        <w:description w:val=""/>
        <w:guid w:val="{071518EE-675C-413F-8ADC-65D64A92D7BB}"/>
      </w:docPartPr>
      <w:docPartBody>
        <w:p w14:paraId="28BB4644">
          <w:pPr>
            <w:pStyle w:val="5"/>
            <w:rPr>
              <w:rFonts w:hint="eastAsia"/>
            </w:rPr>
          </w:pPr>
          <w:r>
            <w:rPr>
              <w:rStyle w:val="4"/>
              <w:rFonts w:hint="eastAsia"/>
            </w:rPr>
            <w:t>单击或点击此处输入文字。</w:t>
          </w:r>
        </w:p>
      </w:docPartBody>
    </w:docPart>
    <w:docPart>
      <w:docPartPr>
        <w:name w:val="D5F7AADE5BB745B5A7BE32F684B4BDD8"/>
        <w:style w:val=""/>
        <w:category>
          <w:name w:val="常规"/>
          <w:gallery w:val="placeholder"/>
        </w:category>
        <w:types>
          <w:type w:val="bbPlcHdr"/>
        </w:types>
        <w:behaviors>
          <w:behavior w:val="content"/>
        </w:behaviors>
        <w:description w:val=""/>
        <w:guid w:val="{B22DF17B-3E11-4A3D-8D24-9C000FE5F3C3}"/>
      </w:docPartPr>
      <w:docPartBody>
        <w:p w14:paraId="08896831">
          <w:pPr>
            <w:pStyle w:val="6"/>
            <w:rPr>
              <w:rFonts w:hint="eastAsia"/>
            </w:rPr>
          </w:pPr>
          <w:r>
            <w:rPr>
              <w:rStyle w:val="4"/>
              <w:rFonts w:hint="eastAsia"/>
            </w:rPr>
            <w:t>选择一项。</w:t>
          </w:r>
        </w:p>
      </w:docPartBody>
    </w:docPart>
    <w:docPart>
      <w:docPartPr>
        <w:name w:val="48BF37026A304D108E9FBB0E25F148C8"/>
        <w:style w:val=""/>
        <w:category>
          <w:name w:val="常规"/>
          <w:gallery w:val="placeholder"/>
        </w:category>
        <w:types>
          <w:type w:val="bbPlcHdr"/>
        </w:types>
        <w:behaviors>
          <w:behavior w:val="content"/>
        </w:behaviors>
        <w:description w:val=""/>
        <w:guid w:val="{C9539159-B60F-4892-85BD-A5FC51B804A5}"/>
      </w:docPartPr>
      <w:docPartBody>
        <w:p w14:paraId="12AB9805">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283"/>
    <w:rsid w:val="00043238"/>
    <w:rsid w:val="0004415F"/>
    <w:rsid w:val="00045C0C"/>
    <w:rsid w:val="00050961"/>
    <w:rsid w:val="00070A8F"/>
    <w:rsid w:val="00070AE9"/>
    <w:rsid w:val="000820FD"/>
    <w:rsid w:val="00096018"/>
    <w:rsid w:val="000E1332"/>
    <w:rsid w:val="000F0A33"/>
    <w:rsid w:val="001078A0"/>
    <w:rsid w:val="00121DBE"/>
    <w:rsid w:val="00151044"/>
    <w:rsid w:val="00161D1D"/>
    <w:rsid w:val="001A7C7B"/>
    <w:rsid w:val="001B30A5"/>
    <w:rsid w:val="001D133C"/>
    <w:rsid w:val="001D2E10"/>
    <w:rsid w:val="0021362D"/>
    <w:rsid w:val="00214CEE"/>
    <w:rsid w:val="00247600"/>
    <w:rsid w:val="0025364A"/>
    <w:rsid w:val="002E463B"/>
    <w:rsid w:val="002E5646"/>
    <w:rsid w:val="002F1CC8"/>
    <w:rsid w:val="00325607"/>
    <w:rsid w:val="0035686B"/>
    <w:rsid w:val="00384436"/>
    <w:rsid w:val="003C78AD"/>
    <w:rsid w:val="00456F98"/>
    <w:rsid w:val="004D0B18"/>
    <w:rsid w:val="00525619"/>
    <w:rsid w:val="00542EA2"/>
    <w:rsid w:val="00575006"/>
    <w:rsid w:val="00581B97"/>
    <w:rsid w:val="00582D82"/>
    <w:rsid w:val="005B241F"/>
    <w:rsid w:val="005B294A"/>
    <w:rsid w:val="005B652B"/>
    <w:rsid w:val="005E2DC6"/>
    <w:rsid w:val="006C4283"/>
    <w:rsid w:val="006C5E2B"/>
    <w:rsid w:val="006E6B97"/>
    <w:rsid w:val="00735D74"/>
    <w:rsid w:val="007D2359"/>
    <w:rsid w:val="007D6B14"/>
    <w:rsid w:val="008205A2"/>
    <w:rsid w:val="00827663"/>
    <w:rsid w:val="00845612"/>
    <w:rsid w:val="008703E2"/>
    <w:rsid w:val="008809B2"/>
    <w:rsid w:val="008A788C"/>
    <w:rsid w:val="008D2E17"/>
    <w:rsid w:val="009011F5"/>
    <w:rsid w:val="00907017"/>
    <w:rsid w:val="00963039"/>
    <w:rsid w:val="0097080D"/>
    <w:rsid w:val="009C2FBA"/>
    <w:rsid w:val="00A67CEE"/>
    <w:rsid w:val="00A818E6"/>
    <w:rsid w:val="00AD4A8A"/>
    <w:rsid w:val="00B07415"/>
    <w:rsid w:val="00B14E0B"/>
    <w:rsid w:val="00B41041"/>
    <w:rsid w:val="00B47835"/>
    <w:rsid w:val="00B51A19"/>
    <w:rsid w:val="00B536D3"/>
    <w:rsid w:val="00B53A7E"/>
    <w:rsid w:val="00BA7D5C"/>
    <w:rsid w:val="00BB25EC"/>
    <w:rsid w:val="00BE3DF3"/>
    <w:rsid w:val="00C26044"/>
    <w:rsid w:val="00C3183A"/>
    <w:rsid w:val="00C3400C"/>
    <w:rsid w:val="00C600E5"/>
    <w:rsid w:val="00C70F2A"/>
    <w:rsid w:val="00C727BD"/>
    <w:rsid w:val="00CF4D26"/>
    <w:rsid w:val="00D235E5"/>
    <w:rsid w:val="00D74137"/>
    <w:rsid w:val="00D8418F"/>
    <w:rsid w:val="00DD7AFC"/>
    <w:rsid w:val="00E02B82"/>
    <w:rsid w:val="00E111E5"/>
    <w:rsid w:val="00E2428B"/>
    <w:rsid w:val="00EB0782"/>
    <w:rsid w:val="00ED43A4"/>
    <w:rsid w:val="00EE75D1"/>
    <w:rsid w:val="00F31AD8"/>
    <w:rsid w:val="00F45132"/>
    <w:rsid w:val="00F54FBC"/>
    <w:rsid w:val="00F64062"/>
    <w:rsid w:val="00F677C2"/>
    <w:rsid w:val="00FF66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2A8B4E53FFDE42688B6350DDA1905DA3"/>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D5F7AADE5BB745B5A7BE32F684B4BDD8"/>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48BF37026A304D108E9FBB0E25F148C8"/>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32</Pages>
  <Words>20764</Words>
  <Characters>21926</Characters>
  <Lines>818</Lines>
  <Paragraphs>962</Paragraphs>
  <TotalTime>408</TotalTime>
  <ScaleCrop>false</ScaleCrop>
  <LinksUpToDate>false</LinksUpToDate>
  <CharactersWithSpaces>22597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2025-04-14T02:23:00Z</dcterms:created>
  <dc:creator>JP Y</dc:creator>
  <cp:lastModifiedBy>16555</cp:lastModifiedBy>
  <cp:lastPrinted>2025-03-20T06:56:00Z</cp:lastPrinted>
  <dcterms:modified xsi:type="dcterms:W3CDTF">2025-05-16T08:28:48Z</dcterms:modified>
  <dc:title>团体标准</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08AC367F84F943DEA5251C0CA791C8EA_12</vt:lpwstr>
  </property>
  <property fmtid="{D5CDD505-2E9C-101B-9397-08002B2CF9AE}" pid="16" name="KSOTemplateDocerSaveRecord">
    <vt:lpwstr>eyJoZGlkIjoiMDljYzUzMWQ4OWI0YzBkYjYzMDRhZTY5ZjZkYmFmYTgiLCJ1c2VySWQiOiI1MDYyMCJ9</vt:lpwstr>
  </property>
</Properties>
</file>