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864B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9AC6215">
            <w:pPr>
              <w:pStyle w:val="25"/>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53B8B89">
            <w:pPr>
              <w:pStyle w:val="25"/>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29.240</w:t>
            </w:r>
            <w:r>
              <w:rPr>
                <w:rFonts w:ascii="黑体" w:hAnsi="黑体" w:eastAsia="黑体"/>
                <w:sz w:val="21"/>
                <w:szCs w:val="21"/>
              </w:rPr>
              <w:fldChar w:fldCharType="end"/>
            </w:r>
            <w:bookmarkEnd w:id="0"/>
          </w:p>
        </w:tc>
      </w:tr>
      <w:tr w14:paraId="2CE73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B4CB46E">
            <w:pPr>
              <w:pStyle w:val="25"/>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AE246E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8B2B54E">
                  <w:pPr>
                    <w:pStyle w:val="71"/>
                    <w:framePr w:wrap="notBeside" w:vAnchor="page" w:hAnchor="page" w:x="1372" w:y="568"/>
                    <w:ind w:left="420" w:right="624"/>
                    <w:rPr>
                      <w:rFonts w:hint="eastAsia" w:ascii="宋体" w:hAnsi="宋体"/>
                      <w:sz w:val="28"/>
                      <w:szCs w:val="28"/>
                    </w:rPr>
                  </w:pPr>
                </w:p>
              </w:tc>
            </w:tr>
          </w:tbl>
          <w:p w14:paraId="35C6F664">
            <w:pPr>
              <w:pStyle w:val="25"/>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F  29</w:t>
            </w:r>
            <w:r>
              <w:rPr>
                <w:rFonts w:ascii="黑体" w:hAnsi="黑体" w:eastAsia="黑体"/>
                <w:sz w:val="21"/>
                <w:szCs w:val="21"/>
              </w:rPr>
              <w:fldChar w:fldCharType="end"/>
            </w:r>
            <w:bookmarkEnd w:id="1"/>
          </w:p>
        </w:tc>
      </w:tr>
    </w:tbl>
    <w:p w14:paraId="3D6CFFEC">
      <w:pPr>
        <w:pStyle w:val="218"/>
        <w:framePr w:w="8871" w:h="1417" w:hRule="exact" w:wrap="around" w:x="1704" w:y="2209"/>
        <w:adjustRightInd w:val="0"/>
        <w:snapToGrid w:val="0"/>
        <w:spacing w:before="0" w:line="240" w:lineRule="auto"/>
        <w:jc w:val="center"/>
        <w:rPr>
          <w:sz w:val="48"/>
          <w:szCs w:val="20"/>
        </w:rPr>
      </w:pPr>
    </w:p>
    <w:p w14:paraId="19A2D568">
      <w:pPr>
        <w:pStyle w:val="218"/>
        <w:framePr w:w="8871" w:h="1417" w:hRule="exact" w:wrap="around" w:x="1704" w:y="2209"/>
        <w:adjustRightInd w:val="0"/>
        <w:snapToGrid w:val="0"/>
        <w:spacing w:before="0" w:line="240" w:lineRule="auto"/>
        <w:jc w:val="distribute"/>
        <w:rPr>
          <w:rFonts w:hint="eastAsia" w:hAnsi="黑体"/>
        </w:rPr>
      </w:pPr>
      <w:r>
        <w:rPr>
          <w:rFonts w:hint="eastAsia"/>
          <w:sz w:val="48"/>
          <w:szCs w:val="20"/>
        </w:rPr>
        <w:t>中国电力建设企业协会标准</w:t>
      </w:r>
    </w:p>
    <w:p w14:paraId="16E1B400">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BC326D5">
      <w:pPr>
        <w:pStyle w:val="72"/>
        <w:framePr w:w="9639" w:h="6976" w:hRule="exact" w:hSpace="0" w:vSpace="0" w:wrap="around" w:hAnchor="page" w:y="6408"/>
        <w:jc w:val="center"/>
        <w:rPr>
          <w:rFonts w:hint="eastAsia" w:ascii="黑体" w:hAnsi="黑体" w:eastAsia="黑体"/>
          <w:b w:val="0"/>
          <w:bCs w:val="0"/>
          <w:w w:val="100"/>
        </w:rPr>
      </w:pPr>
    </w:p>
    <w:p w14:paraId="38B5BA7B">
      <w:pPr>
        <w:pStyle w:val="219"/>
        <w:framePr w:h="6974" w:hRule="exact" w:wrap="around" w:x="1419" w:anchorLock="1"/>
        <w:rPr>
          <w:rFonts w:hint="eastAsia"/>
        </w:rPr>
      </w:pPr>
      <w:r>
        <w:rPr>
          <w:rFonts w:hint="eastAsia"/>
        </w:rPr>
        <w:fldChar w:fldCharType="begin">
          <w:ffData>
            <w:name w:val="CSTD_NAME"/>
            <w:enabled/>
            <w:calcOnExit w:val="0"/>
            <w:textInput>
              <w:default w:val="电力建设门式起重机安全使用规程"/>
            </w:textInput>
          </w:ffData>
        </w:fldChar>
      </w:r>
      <w:bookmarkStart w:id="2" w:name="CSTD_NAME"/>
      <w:r>
        <w:rPr>
          <w:rFonts w:hint="eastAsia"/>
        </w:rPr>
        <w:instrText xml:space="preserve"> </w:instrText>
      </w:r>
      <w:r>
        <w:instrText xml:space="preserve">FORMTEXT</w:instrText>
      </w:r>
      <w:r>
        <w:rPr>
          <w:rFonts w:hint="eastAsia"/>
        </w:rPr>
        <w:instrText xml:space="preserve"> </w:instrText>
      </w:r>
      <w:r>
        <w:rPr>
          <w:rFonts w:hint="eastAsia"/>
        </w:rPr>
        <w:fldChar w:fldCharType="separate"/>
      </w:r>
      <w:r>
        <w:rPr>
          <w:rFonts w:hint="eastAsia"/>
        </w:rPr>
        <w:t>电力建设门式起重机安全使用规程</w:t>
      </w:r>
      <w:r>
        <w:rPr>
          <w:rFonts w:hint="eastAsia"/>
        </w:rPr>
        <w:fldChar w:fldCharType="end"/>
      </w:r>
      <w:bookmarkEnd w:id="2"/>
    </w:p>
    <w:p w14:paraId="2EBFD953">
      <w:pPr>
        <w:framePr w:w="9639" w:h="6974" w:hRule="exact" w:wrap="around" w:vAnchor="page" w:hAnchor="page" w:x="1419" w:y="6408" w:anchorLock="1"/>
        <w:ind w:left="-1418"/>
      </w:pPr>
    </w:p>
    <w:p w14:paraId="11011A6D">
      <w:pPr>
        <w:pStyle w:val="14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Code of practice for the safe use of gantry crane in power engineering construction"/>
            </w:textInput>
          </w:ffData>
        </w:fldChar>
      </w:r>
      <w:bookmarkStart w:id="3" w:name="ESTD_NAME"/>
      <w:r>
        <w:rPr>
          <w:rFonts w:eastAsia="黑体"/>
          <w:szCs w:val="28"/>
        </w:rPr>
        <w:instrText xml:space="preserve"> FORMTEXT </w:instrText>
      </w:r>
      <w:r>
        <w:rPr>
          <w:rFonts w:eastAsia="黑体"/>
          <w:szCs w:val="28"/>
        </w:rPr>
        <w:fldChar w:fldCharType="separate"/>
      </w:r>
      <w:r>
        <w:rPr>
          <w:rFonts w:eastAsia="黑体"/>
          <w:szCs w:val="28"/>
        </w:rPr>
        <w:t>Code of practice for the safe use of gantry crane in power engineering construction</w:t>
      </w:r>
      <w:r>
        <w:rPr>
          <w:rFonts w:eastAsia="黑体"/>
          <w:szCs w:val="28"/>
        </w:rPr>
        <w:fldChar w:fldCharType="end"/>
      </w:r>
      <w:bookmarkEnd w:id="3"/>
    </w:p>
    <w:p w14:paraId="725F6FD5">
      <w:pPr>
        <w:framePr w:w="9639" w:h="6974" w:hRule="exact" w:wrap="around" w:vAnchor="page" w:hAnchor="page" w:x="1419" w:y="6408" w:anchorLock="1"/>
        <w:spacing w:line="760" w:lineRule="exact"/>
        <w:ind w:left="-1418"/>
      </w:pPr>
    </w:p>
    <w:p w14:paraId="52522CF9">
      <w:pPr>
        <w:pStyle w:val="147"/>
        <w:framePr w:w="9639" w:h="6974" w:hRule="exact" w:wrap="around" w:vAnchor="page" w:hAnchor="page" w:x="1419" w:y="6408" w:anchorLock="1"/>
        <w:textAlignment w:val="bottom"/>
        <w:rPr>
          <w:rFonts w:eastAsia="黑体"/>
          <w:szCs w:val="28"/>
        </w:rPr>
      </w:pPr>
    </w:p>
    <w:p w14:paraId="35942A31">
      <w:pPr>
        <w:pStyle w:val="147"/>
        <w:framePr w:w="9639" w:h="6974" w:hRule="exact" w:wrap="around" w:vAnchor="page" w:hAnchor="page" w:x="1419" w:y="6408" w:anchorLock="1"/>
        <w:spacing w:before="440"/>
        <w:textAlignment w:val="bottom"/>
        <w:rPr>
          <w:sz w:val="24"/>
          <w:szCs w:val="28"/>
        </w:rPr>
      </w:pPr>
      <w:bookmarkStart w:id="4" w:name="下拉1"/>
      <w:r>
        <w:rPr>
          <w:rFonts w:hint="eastAsia"/>
          <w:sz w:val="24"/>
          <w:szCs w:val="28"/>
        </w:rPr>
        <w:t>（征求意见稿）</w:t>
      </w:r>
      <w:bookmarkEnd w:id="4"/>
    </w:p>
    <w:p w14:paraId="10237C8F">
      <w:pPr>
        <w:pStyle w:val="147"/>
        <w:framePr w:w="9639" w:h="6974" w:hRule="exact" w:wrap="around" w:vAnchor="page" w:hAnchor="page" w:x="1419" w:y="6408" w:anchorLock="1"/>
        <w:spacing w:before="720" w:beforeLines="300" w:after="72" w:afterLines="30" w:line="240" w:lineRule="auto"/>
        <w:textAlignment w:val="bottom"/>
        <w:rPr>
          <w:b/>
          <w:sz w:val="21"/>
          <w:szCs w:val="28"/>
        </w:rPr>
      </w:pPr>
      <w:bookmarkStart w:id="5" w:name="下拉2"/>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FORMDROPDOWN</w:instrText>
      </w:r>
      <w:r>
        <w:rPr>
          <w:b/>
          <w:sz w:val="21"/>
          <w:szCs w:val="28"/>
        </w:rPr>
        <w:fldChar w:fldCharType="separate"/>
      </w:r>
      <w:r>
        <w:rPr>
          <w:b/>
          <w:sz w:val="21"/>
          <w:szCs w:val="28"/>
        </w:rPr>
        <w:fldChar w:fldCharType="end"/>
      </w:r>
      <w:bookmarkEnd w:id="5"/>
    </w:p>
    <w:p w14:paraId="3C6E3CDC">
      <w:pPr>
        <w:pStyle w:val="215"/>
        <w:framePr w:wrap="around" w:y="14176"/>
      </w:pPr>
      <w:r>
        <w:rPr>
          <w:rFonts w:ascii="黑体"/>
        </w:rPr>
        <w:fldChar w:fldCharType="begin">
          <w:ffData>
            <w:name w:val="PLSH_DATE_Y"/>
            <w:enabled/>
            <w:calcOnExit w:val="0"/>
            <w:textInput>
              <w:default w:val="20XX"/>
              <w:maxLength w:val="4"/>
            </w:textInput>
          </w:ffData>
        </w:fldChar>
      </w:r>
      <w:bookmarkStart w:id="6" w:name="PLSH_DATE_Y"/>
      <w:r>
        <w:rPr>
          <w:rFonts w:ascii="黑体"/>
        </w:rPr>
        <w:instrText xml:space="preserve"> FORMTEXT </w:instrText>
      </w:r>
      <w:r>
        <w:rPr>
          <w:rFonts w:ascii="黑体"/>
        </w:rPr>
        <w:fldChar w:fldCharType="separate"/>
      </w:r>
      <w:r>
        <w:rPr>
          <w:rFonts w:ascii="黑体"/>
        </w:rPr>
        <w:t>20XX</w:t>
      </w:r>
      <w:r>
        <w:rPr>
          <w:rFonts w:ascii="黑体"/>
        </w:rPr>
        <w:fldChar w:fldCharType="end"/>
      </w:r>
      <w:bookmarkEnd w:id="6"/>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7"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8"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hint="eastAsia"/>
        </w:rPr>
        <w:t>发布</w:t>
      </w:r>
    </w:p>
    <w:p w14:paraId="6C21A5A0">
      <w:pPr>
        <w:pStyle w:val="216"/>
        <w:framePr w:wrap="around" w:y="14176"/>
      </w:pPr>
      <w:r>
        <w:rPr>
          <w:rFonts w:ascii="黑体"/>
        </w:rPr>
        <w:fldChar w:fldCharType="begin">
          <w:ffData>
            <w:name w:val="CROT_DATE_Y"/>
            <w:enabled/>
            <w:calcOnExit w:val="0"/>
            <w:textInput>
              <w:default w:val="XXXX"/>
              <w:maxLength w:val="4"/>
            </w:textInput>
          </w:ffData>
        </w:fldChar>
      </w:r>
      <w:bookmarkStart w:id="9"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0"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1"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实施</w:t>
      </w:r>
    </w:p>
    <w:p w14:paraId="61DBE5EE">
      <w:pPr>
        <w:pStyle w:val="173"/>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12"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中国电力建设企业协会</w:t>
      </w:r>
      <w:r>
        <w:rPr>
          <w:rFonts w:hAnsi="黑体"/>
          <w:w w:val="100"/>
          <w:sz w:val="28"/>
        </w:rPr>
        <w:fldChar w:fldCharType="end"/>
      </w:r>
      <w:bookmarkEnd w:id="12"/>
      <w:r>
        <w:rPr>
          <w:rFonts w:ascii="Times New Roman"/>
          <w:w w:val="100"/>
          <w:sz w:val="28"/>
        </w:rPr>
        <w:t>  </w:t>
      </w:r>
      <w:r>
        <w:rPr>
          <w:rStyle w:val="251"/>
          <w:rFonts w:hint="eastAsia" w:hAnsi="黑体"/>
          <w:position w:val="0"/>
        </w:rPr>
        <w:t>发</w:t>
      </w:r>
      <w:r>
        <w:rPr>
          <w:rStyle w:val="251"/>
          <w:rFonts w:hint="eastAsia" w:hAnsi="黑体"/>
          <w:spacing w:val="0"/>
          <w:position w:val="0"/>
        </w:rPr>
        <w:t>布</w:t>
      </w:r>
    </w:p>
    <w:p w14:paraId="4C10D093">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C1E6D92">
      <w:pPr>
        <w:pStyle w:val="113"/>
        <w:spacing w:after="360"/>
      </w:pPr>
      <w:bookmarkStart w:id="13" w:name="BookMark1"/>
      <w:bookmarkStart w:id="14" w:name="_Toc179748219"/>
      <w:bookmarkStart w:id="15" w:name="_Toc180146087"/>
      <w:r>
        <w:rPr>
          <w:rFonts w:hint="eastAsia"/>
          <w:spacing w:val="320"/>
        </w:rPr>
        <w:t>目</w:t>
      </w:r>
      <w:r>
        <w:rPr>
          <w:rFonts w:hint="eastAsia"/>
        </w:rPr>
        <w:t>次</w:t>
      </w:r>
    </w:p>
    <w:p w14:paraId="7422125D">
      <w:pPr>
        <w:pStyle w:val="26"/>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"_Toc197967327" </w:instrText>
      </w:r>
      <w:r>
        <w:fldChar w:fldCharType="separate"/>
      </w:r>
      <w:r>
        <w:rPr>
          <w:rStyle w:val="48"/>
          <w:rFonts w:hint="eastAsia"/>
          <w:spacing w:val="320"/>
        </w:rPr>
        <w:t>前</w:t>
      </w:r>
      <w:r>
        <w:rPr>
          <w:rStyle w:val="48"/>
          <w:rFonts w:hint="eastAsia"/>
        </w:rPr>
        <w:t>言</w:t>
      </w:r>
      <w:r>
        <w:rPr>
          <w:rFonts w:hint="eastAsia"/>
        </w:rPr>
        <w:tab/>
      </w:r>
      <w:r>
        <w:rPr>
          <w:rFonts w:hint="eastAsia"/>
        </w:rPr>
        <w:fldChar w:fldCharType="begin"/>
      </w:r>
      <w:r>
        <w:rPr>
          <w:rFonts w:hint="eastAsia"/>
        </w:rPr>
        <w:instrText xml:space="preserve"> </w:instrText>
      </w:r>
      <w:r>
        <w:instrText xml:space="preserve">PAGEREF _Toc197967327 \h</w:instrText>
      </w:r>
      <w:r>
        <w:rPr>
          <w:rFonts w:hint="eastAsia"/>
        </w:rPr>
        <w:instrText xml:space="preserve"> </w:instrText>
      </w:r>
      <w:r>
        <w:fldChar w:fldCharType="separate"/>
      </w:r>
      <w:r>
        <w:t>III</w:t>
      </w:r>
      <w:r>
        <w:rPr>
          <w:rFonts w:hint="eastAsia"/>
        </w:rPr>
        <w:fldChar w:fldCharType="end"/>
      </w:r>
      <w:r>
        <w:rPr>
          <w:rFonts w:hint="eastAsia"/>
        </w:rPr>
        <w:fldChar w:fldCharType="end"/>
      </w:r>
    </w:p>
    <w:p w14:paraId="5A276F32">
      <w:pPr>
        <w:pStyle w:val="26"/>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"_Toc197967328" </w:instrText>
      </w:r>
      <w:r>
        <w:fldChar w:fldCharType="separate"/>
      </w:r>
      <w:r>
        <w:rPr>
          <w:rStyle w:val="48"/>
          <w:rFonts w:hint="eastAsia"/>
        </w:rPr>
        <w:t>1 范围</w:t>
      </w:r>
      <w:r>
        <w:rPr>
          <w:rFonts w:hint="eastAsia"/>
        </w:rPr>
        <w:tab/>
      </w:r>
      <w:r>
        <w:rPr>
          <w:rFonts w:hint="eastAsia"/>
        </w:rPr>
        <w:fldChar w:fldCharType="begin"/>
      </w:r>
      <w:r>
        <w:rPr>
          <w:rFonts w:hint="eastAsia"/>
        </w:rPr>
        <w:instrText xml:space="preserve"> </w:instrText>
      </w:r>
      <w:r>
        <w:instrText xml:space="preserve">PAGEREF _Toc197967328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35E1C348">
      <w:pPr>
        <w:pStyle w:val="26"/>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"_Toc197967329" </w:instrText>
      </w:r>
      <w:r>
        <w:fldChar w:fldCharType="separate"/>
      </w:r>
      <w:r>
        <w:rPr>
          <w:rStyle w:val="48"/>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_Toc197967329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310D6D23">
      <w:pPr>
        <w:pStyle w:val="26"/>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"_Toc197967330" </w:instrText>
      </w:r>
      <w:r>
        <w:fldChar w:fldCharType="separate"/>
      </w:r>
      <w:r>
        <w:rPr>
          <w:rStyle w:val="48"/>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_Toc197967330 \h</w:instrText>
      </w:r>
      <w:r>
        <w:rPr>
          <w:rFonts w:hint="eastAsia"/>
        </w:rPr>
        <w:instrText xml:space="preserve"> </w:instrText>
      </w:r>
      <w:r>
        <w:fldChar w:fldCharType="separate"/>
      </w:r>
      <w:r>
        <w:t>1</w:t>
      </w:r>
      <w:r>
        <w:rPr>
          <w:rFonts w:hint="eastAsia"/>
        </w:rPr>
        <w:fldChar w:fldCharType="end"/>
      </w:r>
      <w:r>
        <w:rPr>
          <w:rFonts w:hint="eastAsia"/>
        </w:rPr>
        <w:fldChar w:fldCharType="end"/>
      </w:r>
    </w:p>
    <w:p w14:paraId="6B20923B">
      <w:pPr>
        <w:pStyle w:val="26"/>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"_Toc197967331" </w:instrText>
      </w:r>
      <w:r>
        <w:fldChar w:fldCharType="separate"/>
      </w:r>
      <w:r>
        <w:rPr>
          <w:rStyle w:val="48"/>
          <w:rFonts w:hint="eastAsia"/>
        </w:rPr>
        <w:t>4 总体要求</w:t>
      </w:r>
      <w:r>
        <w:rPr>
          <w:rFonts w:hint="eastAsia"/>
        </w:rPr>
        <w:tab/>
      </w:r>
      <w:r>
        <w:rPr>
          <w:rFonts w:hint="eastAsia"/>
        </w:rPr>
        <w:fldChar w:fldCharType="begin"/>
      </w:r>
      <w:r>
        <w:rPr>
          <w:rFonts w:hint="eastAsia"/>
        </w:rPr>
        <w:instrText xml:space="preserve"> </w:instrText>
      </w:r>
      <w:r>
        <w:instrText xml:space="preserve">PAGEREF _Toc197967331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5B96DC51">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"_Toc197967332" </w:instrText>
      </w:r>
      <w:r>
        <w:fldChar w:fldCharType="separate"/>
      </w:r>
      <w:r>
        <w:rPr>
          <w:rStyle w:val="48"/>
          <w:rFonts w:hint="eastAsia"/>
          <w14:scene3d w14:prst="orthographicFront">
            <w14:lightRig w14:rig="threePt" w14:dir="t">
              <w14:rot w14:lat="0" w14:lon="0" w14:rev="0"/>
            </w14:lightRig>
          </w14:scene3d>
        </w:rPr>
        <w:t>4.1</w:t>
      </w:r>
      <w:r>
        <w:rPr>
          <w:rStyle w:val="48"/>
          <w:rFonts w:hint="eastAsia"/>
        </w:rPr>
        <w:t xml:space="preserve"> 安装、使用和租赁单位</w:t>
      </w:r>
      <w:r>
        <w:rPr>
          <w:rFonts w:hint="eastAsia"/>
        </w:rPr>
        <w:tab/>
      </w:r>
      <w:r>
        <w:rPr>
          <w:rFonts w:hint="eastAsia"/>
        </w:rPr>
        <w:fldChar w:fldCharType="begin"/>
      </w:r>
      <w:r>
        <w:rPr>
          <w:rFonts w:hint="eastAsia"/>
        </w:rPr>
        <w:instrText xml:space="preserve"> </w:instrText>
      </w:r>
      <w:r>
        <w:instrText xml:space="preserve">PAGEREF _Toc197967332 \h</w:instrText>
      </w:r>
      <w:r>
        <w:rPr>
          <w:rFonts w:hint="eastAsia"/>
        </w:rPr>
        <w:instrText xml:space="preserve"> </w:instrText>
      </w:r>
      <w:r>
        <w:fldChar w:fldCharType="separate"/>
      </w:r>
      <w:r>
        <w:t>2</w:t>
      </w:r>
      <w:r>
        <w:rPr>
          <w:rFonts w:hint="eastAsia"/>
        </w:rPr>
        <w:fldChar w:fldCharType="end"/>
      </w:r>
      <w:r>
        <w:rPr>
          <w:rFonts w:hint="eastAsia"/>
        </w:rPr>
        <w:fldChar w:fldCharType="end"/>
      </w:r>
    </w:p>
    <w:p w14:paraId="458EE512">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"_Toc197967333" </w:instrText>
      </w:r>
      <w:r>
        <w:fldChar w:fldCharType="separate"/>
      </w:r>
      <w:r>
        <w:rPr>
          <w:rStyle w:val="48"/>
          <w:rFonts w:hint="eastAsia"/>
          <w14:scene3d w14:prst="orthographicFront">
            <w14:lightRig w14:rig="threePt" w14:dir="t">
              <w14:rot w14:lat="0" w14:lon="0" w14:rev="0"/>
            </w14:lightRig>
          </w14:scene3d>
        </w:rPr>
        <w:t>4.2</w:t>
      </w:r>
      <w:r>
        <w:rPr>
          <w:rStyle w:val="48"/>
          <w:rFonts w:hint="eastAsia"/>
        </w:rPr>
        <w:t xml:space="preserve"> 人员</w:t>
      </w:r>
      <w:r>
        <w:rPr>
          <w:rFonts w:hint="eastAsia"/>
        </w:rPr>
        <w:tab/>
      </w:r>
      <w:r>
        <w:rPr>
          <w:rFonts w:hint="eastAsia"/>
        </w:rPr>
        <w:fldChar w:fldCharType="begin"/>
      </w:r>
      <w:r>
        <w:rPr>
          <w:rFonts w:hint="eastAsia"/>
        </w:rPr>
        <w:instrText xml:space="preserve"> </w:instrText>
      </w:r>
      <w:r>
        <w:instrText xml:space="preserve">PAGEREF _Toc197967333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15F6AE9F">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"_Toc197967334" </w:instrText>
      </w:r>
      <w:r>
        <w:fldChar w:fldCharType="separate"/>
      </w:r>
      <w:r>
        <w:rPr>
          <w:rStyle w:val="48"/>
          <w:rFonts w:hint="eastAsia"/>
          <w14:scene3d w14:prst="orthographicFront">
            <w14:lightRig w14:rig="threePt" w14:dir="t">
              <w14:rot w14:lat="0" w14:lon="0" w14:rev="0"/>
            </w14:lightRig>
          </w14:scene3d>
        </w:rPr>
        <w:t>4.3</w:t>
      </w:r>
      <w:r>
        <w:rPr>
          <w:rStyle w:val="48"/>
          <w:rFonts w:hint="eastAsia"/>
        </w:rPr>
        <w:t xml:space="preserve"> 专项施工方案</w:t>
      </w:r>
      <w:r>
        <w:rPr>
          <w:rFonts w:hint="eastAsia"/>
        </w:rPr>
        <w:tab/>
      </w:r>
      <w:r>
        <w:rPr>
          <w:rFonts w:hint="eastAsia"/>
        </w:rPr>
        <w:fldChar w:fldCharType="begin"/>
      </w:r>
      <w:r>
        <w:rPr>
          <w:rFonts w:hint="eastAsia"/>
        </w:rPr>
        <w:instrText xml:space="preserve"> </w:instrText>
      </w:r>
      <w:r>
        <w:instrText xml:space="preserve">PAGEREF _Toc197967334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3395BD63">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"_Toc197967335" </w:instrText>
      </w:r>
      <w:r>
        <w:fldChar w:fldCharType="separate"/>
      </w:r>
      <w:r>
        <w:rPr>
          <w:rStyle w:val="48"/>
          <w:rFonts w:hint="eastAsia"/>
          <w14:scene3d w14:prst="orthographicFront">
            <w14:lightRig w14:rig="threePt" w14:dir="t">
              <w14:rot w14:lat="0" w14:lon="0" w14:rev="0"/>
            </w14:lightRig>
          </w14:scene3d>
        </w:rPr>
        <w:t>4.4</w:t>
      </w:r>
      <w:r>
        <w:rPr>
          <w:rStyle w:val="48"/>
          <w:rFonts w:hint="eastAsia"/>
        </w:rPr>
        <w:t xml:space="preserve"> 档案</w:t>
      </w:r>
      <w:r>
        <w:rPr>
          <w:rFonts w:hint="eastAsia"/>
        </w:rPr>
        <w:tab/>
      </w:r>
      <w:r>
        <w:rPr>
          <w:rFonts w:hint="eastAsia"/>
        </w:rPr>
        <w:fldChar w:fldCharType="begin"/>
      </w:r>
      <w:r>
        <w:rPr>
          <w:rFonts w:hint="eastAsia"/>
        </w:rPr>
        <w:instrText xml:space="preserve"> </w:instrText>
      </w:r>
      <w:r>
        <w:instrText xml:space="preserve">PAGEREF _Toc197967335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128F5E94">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"_Toc197967336" </w:instrText>
      </w:r>
      <w:r>
        <w:fldChar w:fldCharType="separate"/>
      </w:r>
      <w:r>
        <w:rPr>
          <w:rStyle w:val="48"/>
          <w:rFonts w:hint="eastAsia"/>
          <w14:scene3d w14:prst="orthographicFront">
            <w14:lightRig w14:rig="threePt" w14:dir="t">
              <w14:rot w14:lat="0" w14:lon="0" w14:rev="0"/>
            </w14:lightRig>
          </w14:scene3d>
        </w:rPr>
        <w:t>4.5</w:t>
      </w:r>
      <w:r>
        <w:rPr>
          <w:rStyle w:val="48"/>
          <w:rFonts w:hint="eastAsia"/>
        </w:rPr>
        <w:t xml:space="preserve"> 其它</w:t>
      </w:r>
      <w:r>
        <w:rPr>
          <w:rFonts w:hint="eastAsia"/>
        </w:rPr>
        <w:tab/>
      </w:r>
      <w:r>
        <w:rPr>
          <w:rFonts w:hint="eastAsia"/>
        </w:rPr>
        <w:fldChar w:fldCharType="begin"/>
      </w:r>
      <w:r>
        <w:rPr>
          <w:rFonts w:hint="eastAsia"/>
        </w:rPr>
        <w:instrText xml:space="preserve"> </w:instrText>
      </w:r>
      <w:r>
        <w:instrText xml:space="preserve">PAGEREF _Toc197967336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212BFE8D">
      <w:pPr>
        <w:pStyle w:val="26"/>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"_Toc197967337" </w:instrText>
      </w:r>
      <w:r>
        <w:fldChar w:fldCharType="separate"/>
      </w:r>
      <w:r>
        <w:rPr>
          <w:rStyle w:val="48"/>
          <w:rFonts w:hint="eastAsia"/>
        </w:rPr>
        <w:t>5 入场验收</w:t>
      </w:r>
      <w:r>
        <w:rPr>
          <w:rFonts w:hint="eastAsia"/>
        </w:rPr>
        <w:tab/>
      </w:r>
      <w:r>
        <w:rPr>
          <w:rFonts w:hint="eastAsia"/>
        </w:rPr>
        <w:fldChar w:fldCharType="begin"/>
      </w:r>
      <w:r>
        <w:rPr>
          <w:rFonts w:hint="eastAsia"/>
        </w:rPr>
        <w:instrText xml:space="preserve"> </w:instrText>
      </w:r>
      <w:r>
        <w:instrText xml:space="preserve">PAGEREF _Toc197967337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2FD13633">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"_Toc197967338" </w:instrText>
      </w:r>
      <w:r>
        <w:fldChar w:fldCharType="separate"/>
      </w:r>
      <w:r>
        <w:rPr>
          <w:rStyle w:val="48"/>
          <w:rFonts w:hint="eastAsia"/>
          <w14:scene3d w14:prst="orthographicFront">
            <w14:lightRig w14:rig="threePt" w14:dir="t">
              <w14:rot w14:lat="0" w14:lon="0" w14:rev="0"/>
            </w14:lightRig>
          </w14:scene3d>
        </w:rPr>
        <w:t>5.1</w:t>
      </w:r>
      <w:r>
        <w:rPr>
          <w:rStyle w:val="48"/>
          <w:rFonts w:hint="eastAsia"/>
        </w:rPr>
        <w:t xml:space="preserve"> 验收组织</w:t>
      </w:r>
      <w:r>
        <w:rPr>
          <w:rFonts w:hint="eastAsia"/>
        </w:rPr>
        <w:tab/>
      </w:r>
      <w:r>
        <w:rPr>
          <w:rFonts w:hint="eastAsia"/>
        </w:rPr>
        <w:fldChar w:fldCharType="begin"/>
      </w:r>
      <w:r>
        <w:rPr>
          <w:rFonts w:hint="eastAsia"/>
        </w:rPr>
        <w:instrText xml:space="preserve"> </w:instrText>
      </w:r>
      <w:r>
        <w:instrText xml:space="preserve">PAGEREF _Toc197967338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0819073E">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"_Toc197967339" </w:instrText>
      </w:r>
      <w:r>
        <w:fldChar w:fldCharType="separate"/>
      </w:r>
      <w:r>
        <w:rPr>
          <w:rStyle w:val="48"/>
          <w:rFonts w:hint="eastAsia"/>
          <w14:scene3d w14:prst="orthographicFront">
            <w14:lightRig w14:rig="threePt" w14:dir="t">
              <w14:rot w14:lat="0" w14:lon="0" w14:rev="0"/>
            </w14:lightRig>
          </w14:scene3d>
        </w:rPr>
        <w:t>5.2</w:t>
      </w:r>
      <w:r>
        <w:rPr>
          <w:rStyle w:val="48"/>
          <w:rFonts w:hint="eastAsia"/>
        </w:rPr>
        <w:t xml:space="preserve"> 资料验收</w:t>
      </w:r>
      <w:r>
        <w:rPr>
          <w:rFonts w:hint="eastAsia"/>
        </w:rPr>
        <w:tab/>
      </w:r>
      <w:r>
        <w:rPr>
          <w:rFonts w:hint="eastAsia"/>
        </w:rPr>
        <w:fldChar w:fldCharType="begin"/>
      </w:r>
      <w:r>
        <w:rPr>
          <w:rFonts w:hint="eastAsia"/>
        </w:rPr>
        <w:instrText xml:space="preserve"> </w:instrText>
      </w:r>
      <w:r>
        <w:instrText xml:space="preserve">PAGEREF _Toc197967339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4337784A">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"_Toc197967340" </w:instrText>
      </w:r>
      <w:r>
        <w:fldChar w:fldCharType="separate"/>
      </w:r>
      <w:r>
        <w:rPr>
          <w:rStyle w:val="48"/>
          <w:rFonts w:hint="eastAsia"/>
          <w14:scene3d w14:prst="orthographicFront">
            <w14:lightRig w14:rig="threePt" w14:dir="t">
              <w14:rot w14:lat="0" w14:lon="0" w14:rev="0"/>
            </w14:lightRig>
          </w14:scene3d>
        </w:rPr>
        <w:t>5.3</w:t>
      </w:r>
      <w:r>
        <w:rPr>
          <w:rStyle w:val="48"/>
          <w:rFonts w:hint="eastAsia"/>
        </w:rPr>
        <w:t xml:space="preserve"> 现场验收</w:t>
      </w:r>
      <w:r>
        <w:rPr>
          <w:rFonts w:hint="eastAsia"/>
        </w:rPr>
        <w:tab/>
      </w:r>
      <w:r>
        <w:rPr>
          <w:rFonts w:hint="eastAsia"/>
        </w:rPr>
        <w:fldChar w:fldCharType="begin"/>
      </w:r>
      <w:r>
        <w:rPr>
          <w:rFonts w:hint="eastAsia"/>
        </w:rPr>
        <w:instrText xml:space="preserve"> </w:instrText>
      </w:r>
      <w:r>
        <w:instrText xml:space="preserve">PAGEREF _Toc197967340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420E9383">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"_Toc197967341" </w:instrText>
      </w:r>
      <w:r>
        <w:fldChar w:fldCharType="separate"/>
      </w:r>
      <w:r>
        <w:rPr>
          <w:rStyle w:val="48"/>
          <w:rFonts w:hint="eastAsia"/>
          <w14:scene3d w14:prst="orthographicFront">
            <w14:lightRig w14:rig="threePt" w14:dir="t">
              <w14:rot w14:lat="0" w14:lon="0" w14:rev="0"/>
            </w14:lightRig>
          </w14:scene3d>
        </w:rPr>
        <w:t>5.4</w:t>
      </w:r>
      <w:r>
        <w:rPr>
          <w:rStyle w:val="48"/>
          <w:rFonts w:hint="eastAsia"/>
        </w:rPr>
        <w:t xml:space="preserve"> 其它</w:t>
      </w:r>
      <w:r>
        <w:rPr>
          <w:rFonts w:hint="eastAsia"/>
        </w:rPr>
        <w:tab/>
      </w:r>
      <w:r>
        <w:rPr>
          <w:rFonts w:hint="eastAsia"/>
        </w:rPr>
        <w:fldChar w:fldCharType="begin"/>
      </w:r>
      <w:r>
        <w:rPr>
          <w:rFonts w:hint="eastAsia"/>
        </w:rPr>
        <w:instrText xml:space="preserve"> </w:instrText>
      </w:r>
      <w:r>
        <w:instrText xml:space="preserve">PAGEREF _Toc197967341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443DE042">
      <w:pPr>
        <w:pStyle w:val="26"/>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"_Toc197967342" </w:instrText>
      </w:r>
      <w:r>
        <w:fldChar w:fldCharType="separate"/>
      </w:r>
      <w:r>
        <w:rPr>
          <w:rStyle w:val="48"/>
          <w:rFonts w:hint="eastAsia"/>
        </w:rPr>
        <w:t>6 安装与拆卸</w:t>
      </w:r>
      <w:r>
        <w:rPr>
          <w:rFonts w:hint="eastAsia"/>
        </w:rPr>
        <w:tab/>
      </w:r>
      <w:r>
        <w:rPr>
          <w:rFonts w:hint="eastAsia"/>
        </w:rPr>
        <w:fldChar w:fldCharType="begin"/>
      </w:r>
      <w:r>
        <w:rPr>
          <w:rFonts w:hint="eastAsia"/>
        </w:rPr>
        <w:instrText xml:space="preserve"> </w:instrText>
      </w:r>
      <w:r>
        <w:instrText xml:space="preserve">PAGEREF _Toc197967342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14D10B63">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"_Toc197967343" </w:instrText>
      </w:r>
      <w:r>
        <w:fldChar w:fldCharType="separate"/>
      </w:r>
      <w:r>
        <w:rPr>
          <w:rStyle w:val="48"/>
          <w:rFonts w:hint="eastAsia"/>
          <w14:scene3d w14:prst="orthographicFront">
            <w14:lightRig w14:rig="threePt" w14:dir="t">
              <w14:rot w14:lat="0" w14:lon="0" w14:rev="0"/>
            </w14:lightRig>
          </w14:scene3d>
        </w:rPr>
        <w:t>6.1</w:t>
      </w:r>
      <w:r>
        <w:rPr>
          <w:rStyle w:val="48"/>
          <w:rFonts w:hint="eastAsia"/>
        </w:rPr>
        <w:t xml:space="preserve"> 选型</w:t>
      </w:r>
      <w:r>
        <w:rPr>
          <w:rFonts w:hint="eastAsia"/>
        </w:rPr>
        <w:tab/>
      </w:r>
      <w:r>
        <w:rPr>
          <w:rFonts w:hint="eastAsia"/>
        </w:rPr>
        <w:fldChar w:fldCharType="begin"/>
      </w:r>
      <w:r>
        <w:rPr>
          <w:rFonts w:hint="eastAsia"/>
        </w:rPr>
        <w:instrText xml:space="preserve"> </w:instrText>
      </w:r>
      <w:r>
        <w:instrText xml:space="preserve">PAGEREF _Toc197967343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32AE8C6A">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"_Toc197967344" </w:instrText>
      </w:r>
      <w:r>
        <w:fldChar w:fldCharType="separate"/>
      </w:r>
      <w:r>
        <w:rPr>
          <w:rStyle w:val="48"/>
          <w:rFonts w:hint="eastAsia"/>
          <w14:scene3d w14:prst="orthographicFront">
            <w14:lightRig w14:rig="threePt" w14:dir="t">
              <w14:rot w14:lat="0" w14:lon="0" w14:rev="0"/>
            </w14:lightRig>
          </w14:scene3d>
        </w:rPr>
        <w:t>6.2</w:t>
      </w:r>
      <w:r>
        <w:rPr>
          <w:rStyle w:val="48"/>
          <w:rFonts w:hint="eastAsia"/>
        </w:rPr>
        <w:t xml:space="preserve"> 安装选址与环境要求</w:t>
      </w:r>
      <w:r>
        <w:rPr>
          <w:rFonts w:hint="eastAsia"/>
        </w:rPr>
        <w:tab/>
      </w:r>
      <w:r>
        <w:rPr>
          <w:rFonts w:hint="eastAsia"/>
        </w:rPr>
        <w:fldChar w:fldCharType="begin"/>
      </w:r>
      <w:r>
        <w:rPr>
          <w:rFonts w:hint="eastAsia"/>
        </w:rPr>
        <w:instrText xml:space="preserve"> </w:instrText>
      </w:r>
      <w:r>
        <w:instrText xml:space="preserve">PAGEREF _Toc197967344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6D4D81DE">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"_Toc197967345" </w:instrText>
      </w:r>
      <w:r>
        <w:fldChar w:fldCharType="separate"/>
      </w:r>
      <w:r>
        <w:rPr>
          <w:rStyle w:val="48"/>
          <w:rFonts w:hint="eastAsia"/>
          <w14:scene3d w14:prst="orthographicFront">
            <w14:lightRig w14:rig="threePt" w14:dir="t">
              <w14:rot w14:lat="0" w14:lon="0" w14:rev="0"/>
            </w14:lightRig>
          </w14:scene3d>
        </w:rPr>
        <w:t>6.3</w:t>
      </w:r>
      <w:r>
        <w:rPr>
          <w:rStyle w:val="48"/>
          <w:rFonts w:hint="eastAsia"/>
        </w:rPr>
        <w:t xml:space="preserve"> 基础要求</w:t>
      </w:r>
      <w:r>
        <w:rPr>
          <w:rFonts w:hint="eastAsia"/>
        </w:rPr>
        <w:tab/>
      </w:r>
      <w:r>
        <w:rPr>
          <w:rFonts w:hint="eastAsia"/>
        </w:rPr>
        <w:fldChar w:fldCharType="begin"/>
      </w:r>
      <w:r>
        <w:rPr>
          <w:rFonts w:hint="eastAsia"/>
        </w:rPr>
        <w:instrText xml:space="preserve"> </w:instrText>
      </w:r>
      <w:r>
        <w:instrText xml:space="preserve">PAGEREF _Toc197967345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517C06CD">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"_Toc197967346" </w:instrText>
      </w:r>
      <w:r>
        <w:fldChar w:fldCharType="separate"/>
      </w:r>
      <w:r>
        <w:rPr>
          <w:rStyle w:val="48"/>
          <w:rFonts w:hint="eastAsia"/>
          <w14:scene3d w14:prst="orthographicFront">
            <w14:lightRig w14:rig="threePt" w14:dir="t">
              <w14:rot w14:lat="0" w14:lon="0" w14:rev="0"/>
            </w14:lightRig>
          </w14:scene3d>
        </w:rPr>
        <w:t>6.4</w:t>
      </w:r>
      <w:r>
        <w:rPr>
          <w:rStyle w:val="48"/>
          <w:rFonts w:hint="eastAsia"/>
        </w:rPr>
        <w:t xml:space="preserve"> 安装与拆卸作业</w:t>
      </w:r>
      <w:r>
        <w:rPr>
          <w:rFonts w:hint="eastAsia"/>
        </w:rPr>
        <w:tab/>
      </w:r>
      <w:r>
        <w:rPr>
          <w:rFonts w:hint="eastAsia"/>
        </w:rPr>
        <w:fldChar w:fldCharType="begin"/>
      </w:r>
      <w:r>
        <w:rPr>
          <w:rFonts w:hint="eastAsia"/>
        </w:rPr>
        <w:instrText xml:space="preserve"> </w:instrText>
      </w:r>
      <w:r>
        <w:instrText xml:space="preserve">PAGEREF _Toc197967346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1E1DC8B5">
      <w:pPr>
        <w:pStyle w:val="26"/>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"_Toc197967347" </w:instrText>
      </w:r>
      <w:r>
        <w:fldChar w:fldCharType="separate"/>
      </w:r>
      <w:r>
        <w:rPr>
          <w:rStyle w:val="48"/>
          <w:rFonts w:hint="eastAsia"/>
        </w:rPr>
        <w:t>7 使用</w:t>
      </w:r>
      <w:r>
        <w:rPr>
          <w:rFonts w:hint="eastAsia"/>
        </w:rPr>
        <w:tab/>
      </w:r>
      <w:r>
        <w:rPr>
          <w:rFonts w:hint="eastAsia"/>
        </w:rPr>
        <w:fldChar w:fldCharType="begin"/>
      </w:r>
      <w:r>
        <w:rPr>
          <w:rFonts w:hint="eastAsia"/>
        </w:rPr>
        <w:instrText xml:space="preserve"> </w:instrText>
      </w:r>
      <w:r>
        <w:instrText xml:space="preserve">PAGEREF _Toc197967347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77A9803F">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"_Toc197967348" </w:instrText>
      </w:r>
      <w:r>
        <w:fldChar w:fldCharType="separate"/>
      </w:r>
      <w:r>
        <w:rPr>
          <w:rStyle w:val="48"/>
          <w:rFonts w:hint="eastAsia"/>
          <w14:scene3d w14:prst="orthographicFront">
            <w14:lightRig w14:rig="threePt" w14:dir="t">
              <w14:rot w14:lat="0" w14:lon="0" w14:rev="0"/>
            </w14:lightRig>
          </w14:scene3d>
        </w:rPr>
        <w:t>7.1</w:t>
      </w:r>
      <w:r>
        <w:rPr>
          <w:rStyle w:val="48"/>
          <w:rFonts w:hint="eastAsia"/>
        </w:rPr>
        <w:t xml:space="preserve"> 一般规定</w:t>
      </w:r>
      <w:r>
        <w:rPr>
          <w:rFonts w:hint="eastAsia"/>
        </w:rPr>
        <w:tab/>
      </w:r>
      <w:r>
        <w:rPr>
          <w:rFonts w:hint="eastAsia"/>
        </w:rPr>
        <w:fldChar w:fldCharType="begin"/>
      </w:r>
      <w:r>
        <w:rPr>
          <w:rFonts w:hint="eastAsia"/>
        </w:rPr>
        <w:instrText xml:space="preserve"> </w:instrText>
      </w:r>
      <w:r>
        <w:instrText xml:space="preserve">PAGEREF _Toc197967348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3CA9EF71">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"_Toc197967349" </w:instrText>
      </w:r>
      <w:r>
        <w:fldChar w:fldCharType="separate"/>
      </w:r>
      <w:r>
        <w:rPr>
          <w:rStyle w:val="48"/>
          <w:rFonts w:hint="eastAsia"/>
          <w14:scene3d w14:prst="orthographicFront">
            <w14:lightRig w14:rig="threePt" w14:dir="t">
              <w14:rot w14:lat="0" w14:lon="0" w14:rev="0"/>
            </w14:lightRig>
          </w14:scene3d>
        </w:rPr>
        <w:t>7.2</w:t>
      </w:r>
      <w:r>
        <w:rPr>
          <w:rStyle w:val="48"/>
          <w:rFonts w:hint="eastAsia"/>
        </w:rPr>
        <w:t xml:space="preserve"> 作业前准备</w:t>
      </w:r>
      <w:r>
        <w:rPr>
          <w:rFonts w:hint="eastAsia"/>
        </w:rPr>
        <w:tab/>
      </w:r>
      <w:r>
        <w:rPr>
          <w:rFonts w:hint="eastAsia"/>
        </w:rPr>
        <w:fldChar w:fldCharType="begin"/>
      </w:r>
      <w:r>
        <w:rPr>
          <w:rFonts w:hint="eastAsia"/>
        </w:rPr>
        <w:instrText xml:space="preserve"> </w:instrText>
      </w:r>
      <w:r>
        <w:instrText xml:space="preserve">PAGEREF _Toc197967349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5E5393F2">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"_Toc197967350" </w:instrText>
      </w:r>
      <w:r>
        <w:fldChar w:fldCharType="separate"/>
      </w:r>
      <w:r>
        <w:rPr>
          <w:rStyle w:val="48"/>
          <w:rFonts w:hint="eastAsia"/>
          <w14:scene3d w14:prst="orthographicFront">
            <w14:lightRig w14:rig="threePt" w14:dir="t">
              <w14:rot w14:lat="0" w14:lon="0" w14:rev="0"/>
            </w14:lightRig>
          </w14:scene3d>
        </w:rPr>
        <w:t>7.3</w:t>
      </w:r>
      <w:r>
        <w:rPr>
          <w:rStyle w:val="48"/>
          <w:rFonts w:hint="eastAsia"/>
        </w:rPr>
        <w:t xml:space="preserve"> 作业</w:t>
      </w:r>
      <w:r>
        <w:rPr>
          <w:rFonts w:hint="eastAsia"/>
        </w:rPr>
        <w:tab/>
      </w:r>
      <w:r>
        <w:rPr>
          <w:rFonts w:hint="eastAsia"/>
        </w:rPr>
        <w:fldChar w:fldCharType="begin"/>
      </w:r>
      <w:r>
        <w:rPr>
          <w:rFonts w:hint="eastAsia"/>
        </w:rPr>
        <w:instrText xml:space="preserve"> </w:instrText>
      </w:r>
      <w:r>
        <w:instrText xml:space="preserve">PAGEREF _Toc197967350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475F9935">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"_Toc197967351" </w:instrText>
      </w:r>
      <w:r>
        <w:fldChar w:fldCharType="separate"/>
      </w:r>
      <w:r>
        <w:rPr>
          <w:rStyle w:val="48"/>
          <w:rFonts w:hint="eastAsia"/>
          <w14:scene3d w14:prst="orthographicFront">
            <w14:lightRig w14:rig="threePt" w14:dir="t">
              <w14:rot w14:lat="0" w14:lon="0" w14:rev="0"/>
            </w14:lightRig>
          </w14:scene3d>
        </w:rPr>
        <w:t>7.4</w:t>
      </w:r>
      <w:r>
        <w:rPr>
          <w:rStyle w:val="48"/>
          <w:rFonts w:hint="eastAsia"/>
        </w:rPr>
        <w:t xml:space="preserve"> 交接班</w:t>
      </w:r>
      <w:r>
        <w:rPr>
          <w:rFonts w:hint="eastAsia"/>
        </w:rPr>
        <w:tab/>
      </w:r>
      <w:r>
        <w:rPr>
          <w:rFonts w:hint="eastAsia"/>
        </w:rPr>
        <w:fldChar w:fldCharType="begin"/>
      </w:r>
      <w:r>
        <w:rPr>
          <w:rFonts w:hint="eastAsia"/>
        </w:rPr>
        <w:instrText xml:space="preserve"> </w:instrText>
      </w:r>
      <w:r>
        <w:instrText xml:space="preserve">PAGEREF _Toc197967351 \h</w:instrText>
      </w:r>
      <w:r>
        <w:rPr>
          <w:rFonts w:hint="eastAsia"/>
        </w:rPr>
        <w:instrText xml:space="preserve"> </w:instrText>
      </w:r>
      <w:r>
        <w:fldChar w:fldCharType="separate"/>
      </w:r>
      <w:r>
        <w:t>11</w:t>
      </w:r>
      <w:r>
        <w:rPr>
          <w:rFonts w:hint="eastAsia"/>
        </w:rPr>
        <w:fldChar w:fldCharType="end"/>
      </w:r>
      <w:r>
        <w:rPr>
          <w:rFonts w:hint="eastAsia"/>
        </w:rPr>
        <w:fldChar w:fldCharType="end"/>
      </w:r>
    </w:p>
    <w:p w14:paraId="39856E7B">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"_Toc197967352" </w:instrText>
      </w:r>
      <w:r>
        <w:fldChar w:fldCharType="separate"/>
      </w:r>
      <w:r>
        <w:rPr>
          <w:rStyle w:val="48"/>
          <w:rFonts w:hint="eastAsia"/>
          <w14:scene3d w14:prst="orthographicFront">
            <w14:lightRig w14:rig="threePt" w14:dir="t">
              <w14:rot w14:lat="0" w14:lon="0" w14:rev="0"/>
            </w14:lightRig>
          </w14:scene3d>
        </w:rPr>
        <w:t>7.5</w:t>
      </w:r>
      <w:r>
        <w:rPr>
          <w:rStyle w:val="48"/>
          <w:rFonts w:hint="eastAsia"/>
        </w:rPr>
        <w:t xml:space="preserve"> 检查</w:t>
      </w:r>
      <w:r>
        <w:rPr>
          <w:rFonts w:hint="eastAsia"/>
        </w:rPr>
        <w:tab/>
      </w:r>
      <w:r>
        <w:rPr>
          <w:rFonts w:hint="eastAsia"/>
        </w:rPr>
        <w:fldChar w:fldCharType="begin"/>
      </w:r>
      <w:r>
        <w:rPr>
          <w:rFonts w:hint="eastAsia"/>
        </w:rPr>
        <w:instrText xml:space="preserve"> </w:instrText>
      </w:r>
      <w:r>
        <w:instrText xml:space="preserve">PAGEREF _Toc197967352 \h</w:instrText>
      </w:r>
      <w:r>
        <w:rPr>
          <w:rFonts w:hint="eastAsia"/>
        </w:rPr>
        <w:instrText xml:space="preserve"> </w:instrText>
      </w:r>
      <w:r>
        <w:fldChar w:fldCharType="separate"/>
      </w:r>
      <w:r>
        <w:t>11</w:t>
      </w:r>
      <w:r>
        <w:rPr>
          <w:rFonts w:hint="eastAsia"/>
        </w:rPr>
        <w:fldChar w:fldCharType="end"/>
      </w:r>
      <w:r>
        <w:rPr>
          <w:rFonts w:hint="eastAsia"/>
        </w:rPr>
        <w:fldChar w:fldCharType="end"/>
      </w:r>
    </w:p>
    <w:p w14:paraId="4EEC318F">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"_Toc197967353" </w:instrText>
      </w:r>
      <w:r>
        <w:fldChar w:fldCharType="separate"/>
      </w:r>
      <w:r>
        <w:rPr>
          <w:rStyle w:val="48"/>
          <w:rFonts w:hint="eastAsia"/>
          <w14:scene3d w14:prst="orthographicFront">
            <w14:lightRig w14:rig="threePt" w14:dir="t">
              <w14:rot w14:lat="0" w14:lon="0" w14:rev="0"/>
            </w14:lightRig>
          </w14:scene3d>
        </w:rPr>
        <w:t>7.6</w:t>
      </w:r>
      <w:r>
        <w:rPr>
          <w:rStyle w:val="48"/>
          <w:rFonts w:hint="eastAsia"/>
        </w:rPr>
        <w:t xml:space="preserve"> 维护</w:t>
      </w:r>
      <w:r>
        <w:rPr>
          <w:rFonts w:hint="eastAsia"/>
        </w:rPr>
        <w:tab/>
      </w:r>
      <w:r>
        <w:rPr>
          <w:rFonts w:hint="eastAsia"/>
        </w:rPr>
        <w:fldChar w:fldCharType="begin"/>
      </w:r>
      <w:r>
        <w:rPr>
          <w:rFonts w:hint="eastAsia"/>
        </w:rPr>
        <w:instrText xml:space="preserve"> </w:instrText>
      </w:r>
      <w:r>
        <w:instrText xml:space="preserve">PAGEREF _Toc197967353 \h</w:instrText>
      </w:r>
      <w:r>
        <w:rPr>
          <w:rFonts w:hint="eastAsia"/>
        </w:rPr>
        <w:instrText xml:space="preserve"> </w:instrText>
      </w:r>
      <w:r>
        <w:fldChar w:fldCharType="separate"/>
      </w:r>
      <w:r>
        <w:t>12</w:t>
      </w:r>
      <w:r>
        <w:rPr>
          <w:rFonts w:hint="eastAsia"/>
        </w:rPr>
        <w:fldChar w:fldCharType="end"/>
      </w:r>
      <w:r>
        <w:rPr>
          <w:rFonts w:hint="eastAsia"/>
        </w:rPr>
        <w:fldChar w:fldCharType="end"/>
      </w:r>
    </w:p>
    <w:p w14:paraId="563622B9">
      <w:pPr>
        <w:pStyle w:val="26"/>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"_Toc197967354" </w:instrText>
      </w:r>
      <w:r>
        <w:fldChar w:fldCharType="separate"/>
      </w:r>
      <w:r>
        <w:rPr>
          <w:rStyle w:val="48"/>
          <w:rFonts w:hint="eastAsia"/>
        </w:rPr>
        <w:t>8 专项安全技术措施</w:t>
      </w:r>
      <w:r>
        <w:rPr>
          <w:rFonts w:hint="eastAsia"/>
        </w:rPr>
        <w:tab/>
      </w:r>
      <w:r>
        <w:rPr>
          <w:rFonts w:hint="eastAsia"/>
        </w:rPr>
        <w:fldChar w:fldCharType="begin"/>
      </w:r>
      <w:r>
        <w:rPr>
          <w:rFonts w:hint="eastAsia"/>
        </w:rPr>
        <w:instrText xml:space="preserve"> </w:instrText>
      </w:r>
      <w:r>
        <w:instrText xml:space="preserve">PAGEREF _Toc197967354 \h</w:instrText>
      </w:r>
      <w:r>
        <w:rPr>
          <w:rFonts w:hint="eastAsia"/>
        </w:rPr>
        <w:instrText xml:space="preserve"> </w:instrText>
      </w:r>
      <w:r>
        <w:fldChar w:fldCharType="separate"/>
      </w:r>
      <w:r>
        <w:t>13</w:t>
      </w:r>
      <w:r>
        <w:rPr>
          <w:rFonts w:hint="eastAsia"/>
        </w:rPr>
        <w:fldChar w:fldCharType="end"/>
      </w:r>
      <w:r>
        <w:rPr>
          <w:rFonts w:hint="eastAsia"/>
        </w:rPr>
        <w:fldChar w:fldCharType="end"/>
      </w:r>
    </w:p>
    <w:p w14:paraId="75DF02FF">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"_Toc197967355" </w:instrText>
      </w:r>
      <w:r>
        <w:fldChar w:fldCharType="separate"/>
      </w:r>
      <w:r>
        <w:rPr>
          <w:rStyle w:val="48"/>
          <w:rFonts w:hint="eastAsia"/>
          <w14:scene3d w14:prst="orthographicFront">
            <w14:lightRig w14:rig="threePt" w14:dir="t">
              <w14:rot w14:lat="0" w14:lon="0" w14:rev="0"/>
            </w14:lightRig>
          </w14:scene3d>
        </w:rPr>
        <w:t>8.1</w:t>
      </w:r>
      <w:r>
        <w:rPr>
          <w:rStyle w:val="48"/>
          <w:rFonts w:hint="eastAsia"/>
        </w:rPr>
        <w:t xml:space="preserve"> 特殊环境管理要求</w:t>
      </w:r>
      <w:r>
        <w:rPr>
          <w:rFonts w:hint="eastAsia"/>
        </w:rPr>
        <w:tab/>
      </w:r>
      <w:r>
        <w:rPr>
          <w:rFonts w:hint="eastAsia"/>
        </w:rPr>
        <w:fldChar w:fldCharType="begin"/>
      </w:r>
      <w:r>
        <w:rPr>
          <w:rFonts w:hint="eastAsia"/>
        </w:rPr>
        <w:instrText xml:space="preserve"> </w:instrText>
      </w:r>
      <w:r>
        <w:instrText xml:space="preserve">PAGEREF _Toc197967355 \h</w:instrText>
      </w:r>
      <w:r>
        <w:rPr>
          <w:rFonts w:hint="eastAsia"/>
        </w:rPr>
        <w:instrText xml:space="preserve"> </w:instrText>
      </w:r>
      <w:r>
        <w:fldChar w:fldCharType="separate"/>
      </w:r>
      <w:r>
        <w:t>13</w:t>
      </w:r>
      <w:r>
        <w:rPr>
          <w:rFonts w:hint="eastAsia"/>
        </w:rPr>
        <w:fldChar w:fldCharType="end"/>
      </w:r>
      <w:r>
        <w:rPr>
          <w:rFonts w:hint="eastAsia"/>
        </w:rPr>
        <w:fldChar w:fldCharType="end"/>
      </w:r>
    </w:p>
    <w:p w14:paraId="0782F124">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"_Toc197967356" </w:instrText>
      </w:r>
      <w:r>
        <w:fldChar w:fldCharType="separate"/>
      </w:r>
      <w:r>
        <w:rPr>
          <w:rStyle w:val="48"/>
          <w:rFonts w:hint="eastAsia"/>
          <w14:scene3d w14:prst="orthographicFront">
            <w14:lightRig w14:rig="threePt" w14:dir="t">
              <w14:rot w14:lat="0" w14:lon="0" w14:rev="0"/>
            </w14:lightRig>
          </w14:scene3d>
        </w:rPr>
        <w:t>8.2</w:t>
      </w:r>
      <w:r>
        <w:rPr>
          <w:rStyle w:val="48"/>
          <w:rFonts w:hint="eastAsia"/>
        </w:rPr>
        <w:t xml:space="preserve"> 防风和防台风措施</w:t>
      </w:r>
      <w:r>
        <w:rPr>
          <w:rFonts w:hint="eastAsia"/>
        </w:rPr>
        <w:tab/>
      </w:r>
      <w:r>
        <w:rPr>
          <w:rFonts w:hint="eastAsia"/>
        </w:rPr>
        <w:fldChar w:fldCharType="begin"/>
      </w:r>
      <w:r>
        <w:rPr>
          <w:rFonts w:hint="eastAsia"/>
        </w:rPr>
        <w:instrText xml:space="preserve"> </w:instrText>
      </w:r>
      <w:r>
        <w:instrText xml:space="preserve">PAGEREF _Toc197967356 \h</w:instrText>
      </w:r>
      <w:r>
        <w:rPr>
          <w:rFonts w:hint="eastAsia"/>
        </w:rPr>
        <w:instrText xml:space="preserve"> </w:instrText>
      </w:r>
      <w:r>
        <w:fldChar w:fldCharType="separate"/>
      </w:r>
      <w:r>
        <w:t>14</w:t>
      </w:r>
      <w:r>
        <w:rPr>
          <w:rFonts w:hint="eastAsia"/>
        </w:rPr>
        <w:fldChar w:fldCharType="end"/>
      </w:r>
      <w:r>
        <w:rPr>
          <w:rFonts w:hint="eastAsia"/>
        </w:rPr>
        <w:fldChar w:fldCharType="end"/>
      </w:r>
    </w:p>
    <w:p w14:paraId="4569B956">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"_Toc197967357" </w:instrText>
      </w:r>
      <w:r>
        <w:fldChar w:fldCharType="separate"/>
      </w:r>
      <w:r>
        <w:rPr>
          <w:rStyle w:val="48"/>
          <w:rFonts w:hint="eastAsia"/>
          <w14:scene3d w14:prst="orthographicFront">
            <w14:lightRig w14:rig="threePt" w14:dir="t">
              <w14:rot w14:lat="0" w14:lon="0" w14:rev="0"/>
            </w14:lightRig>
          </w14:scene3d>
        </w:rPr>
        <w:t>8.3</w:t>
      </w:r>
      <w:r>
        <w:rPr>
          <w:rStyle w:val="48"/>
          <w:rFonts w:hint="eastAsia"/>
        </w:rPr>
        <w:t xml:space="preserve"> 专项防碰撞措施</w:t>
      </w:r>
      <w:r>
        <w:rPr>
          <w:rFonts w:hint="eastAsia"/>
        </w:rPr>
        <w:tab/>
      </w:r>
      <w:r>
        <w:rPr>
          <w:rFonts w:hint="eastAsia"/>
        </w:rPr>
        <w:fldChar w:fldCharType="begin"/>
      </w:r>
      <w:r>
        <w:rPr>
          <w:rFonts w:hint="eastAsia"/>
        </w:rPr>
        <w:instrText xml:space="preserve"> </w:instrText>
      </w:r>
      <w:r>
        <w:instrText xml:space="preserve">PAGEREF _Toc197967357 \h</w:instrText>
      </w:r>
      <w:r>
        <w:rPr>
          <w:rFonts w:hint="eastAsia"/>
        </w:rPr>
        <w:instrText xml:space="preserve"> </w:instrText>
      </w:r>
      <w:r>
        <w:fldChar w:fldCharType="separate"/>
      </w:r>
      <w:r>
        <w:t>15</w:t>
      </w:r>
      <w:r>
        <w:rPr>
          <w:rFonts w:hint="eastAsia"/>
        </w:rPr>
        <w:fldChar w:fldCharType="end"/>
      </w:r>
      <w:r>
        <w:rPr>
          <w:rFonts w:hint="eastAsia"/>
        </w:rPr>
        <w:fldChar w:fldCharType="end"/>
      </w:r>
    </w:p>
    <w:p w14:paraId="03F7E81F">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"_Toc197967358" </w:instrText>
      </w:r>
      <w:r>
        <w:fldChar w:fldCharType="separate"/>
      </w:r>
      <w:r>
        <w:rPr>
          <w:rStyle w:val="48"/>
          <w:rFonts w:hint="eastAsia"/>
          <w14:scene3d w14:prst="orthographicFront">
            <w14:lightRig w14:rig="threePt" w14:dir="t">
              <w14:rot w14:lat="0" w14:lon="0" w14:rev="0"/>
            </w14:lightRig>
          </w14:scene3d>
        </w:rPr>
        <w:t>8.4</w:t>
      </w:r>
      <w:r>
        <w:rPr>
          <w:rStyle w:val="48"/>
          <w:rFonts w:hint="eastAsia"/>
        </w:rPr>
        <w:t xml:space="preserve"> 防雷电措施</w:t>
      </w:r>
      <w:r>
        <w:rPr>
          <w:rFonts w:hint="eastAsia"/>
        </w:rPr>
        <w:tab/>
      </w:r>
      <w:r>
        <w:rPr>
          <w:rFonts w:hint="eastAsia"/>
        </w:rPr>
        <w:fldChar w:fldCharType="begin"/>
      </w:r>
      <w:r>
        <w:rPr>
          <w:rFonts w:hint="eastAsia"/>
        </w:rPr>
        <w:instrText xml:space="preserve"> </w:instrText>
      </w:r>
      <w:r>
        <w:instrText xml:space="preserve">PAGEREF _Toc197967358 \h</w:instrText>
      </w:r>
      <w:r>
        <w:rPr>
          <w:rFonts w:hint="eastAsia"/>
        </w:rPr>
        <w:instrText xml:space="preserve"> </w:instrText>
      </w:r>
      <w:r>
        <w:fldChar w:fldCharType="separate"/>
      </w:r>
      <w:r>
        <w:t>15</w:t>
      </w:r>
      <w:r>
        <w:rPr>
          <w:rFonts w:hint="eastAsia"/>
        </w:rPr>
        <w:fldChar w:fldCharType="end"/>
      </w:r>
      <w:r>
        <w:rPr>
          <w:rFonts w:hint="eastAsia"/>
        </w:rPr>
        <w:fldChar w:fldCharType="end"/>
      </w:r>
    </w:p>
    <w:p w14:paraId="58909280">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"_Toc197967359" </w:instrText>
      </w:r>
      <w:r>
        <w:fldChar w:fldCharType="separate"/>
      </w:r>
      <w:r>
        <w:rPr>
          <w:rStyle w:val="48"/>
          <w:rFonts w:hint="eastAsia"/>
          <w14:scene3d w14:prst="orthographicFront">
            <w14:lightRig w14:rig="threePt" w14:dir="t">
              <w14:rot w14:lat="0" w14:lon="0" w14:rev="0"/>
            </w14:lightRig>
          </w14:scene3d>
        </w:rPr>
        <w:t>8.5</w:t>
      </w:r>
      <w:r>
        <w:rPr>
          <w:rStyle w:val="48"/>
          <w:rFonts w:hint="eastAsia"/>
        </w:rPr>
        <w:t xml:space="preserve"> 安全应急处置措施</w:t>
      </w:r>
      <w:r>
        <w:rPr>
          <w:rFonts w:hint="eastAsia"/>
        </w:rPr>
        <w:tab/>
      </w:r>
      <w:r>
        <w:rPr>
          <w:rFonts w:hint="eastAsia"/>
        </w:rPr>
        <w:fldChar w:fldCharType="begin"/>
      </w:r>
      <w:r>
        <w:rPr>
          <w:rFonts w:hint="eastAsia"/>
        </w:rPr>
        <w:instrText xml:space="preserve"> </w:instrText>
      </w:r>
      <w:r>
        <w:instrText xml:space="preserve">PAGEREF _Toc197967359 \h</w:instrText>
      </w:r>
      <w:r>
        <w:rPr>
          <w:rFonts w:hint="eastAsia"/>
        </w:rPr>
        <w:instrText xml:space="preserve"> </w:instrText>
      </w:r>
      <w:r>
        <w:fldChar w:fldCharType="separate"/>
      </w:r>
      <w:r>
        <w:t>15</w:t>
      </w:r>
      <w:r>
        <w:rPr>
          <w:rFonts w:hint="eastAsia"/>
        </w:rPr>
        <w:fldChar w:fldCharType="end"/>
      </w:r>
      <w:r>
        <w:rPr>
          <w:rFonts w:hint="eastAsia"/>
        </w:rPr>
        <w:fldChar w:fldCharType="end"/>
      </w:r>
    </w:p>
    <w:p w14:paraId="3D511CE8">
      <w:pPr>
        <w:pStyle w:val="26"/>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"_Toc197967360" </w:instrText>
      </w:r>
      <w:r>
        <w:fldChar w:fldCharType="separate"/>
      </w:r>
      <w:r>
        <w:rPr>
          <w:rStyle w:val="48"/>
          <w:rFonts w:hint="eastAsia"/>
        </w:rPr>
        <w:t>9 运输和贮存</w:t>
      </w:r>
      <w:r>
        <w:rPr>
          <w:rFonts w:hint="eastAsia"/>
        </w:rPr>
        <w:tab/>
      </w:r>
      <w:r>
        <w:rPr>
          <w:rFonts w:hint="eastAsia"/>
        </w:rPr>
        <w:fldChar w:fldCharType="begin"/>
      </w:r>
      <w:r>
        <w:rPr>
          <w:rFonts w:hint="eastAsia"/>
        </w:rPr>
        <w:instrText xml:space="preserve"> </w:instrText>
      </w:r>
      <w:r>
        <w:instrText xml:space="preserve">PAGEREF _Toc197967360 \h</w:instrText>
      </w:r>
      <w:r>
        <w:rPr>
          <w:rFonts w:hint="eastAsia"/>
        </w:rPr>
        <w:instrText xml:space="preserve"> </w:instrText>
      </w:r>
      <w:r>
        <w:fldChar w:fldCharType="separate"/>
      </w:r>
      <w:r>
        <w:t>15</w:t>
      </w:r>
      <w:r>
        <w:rPr>
          <w:rFonts w:hint="eastAsia"/>
        </w:rPr>
        <w:fldChar w:fldCharType="end"/>
      </w:r>
      <w:r>
        <w:rPr>
          <w:rFonts w:hint="eastAsia"/>
        </w:rPr>
        <w:fldChar w:fldCharType="end"/>
      </w:r>
    </w:p>
    <w:p w14:paraId="6BCEB30A">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"_Toc197967361" </w:instrText>
      </w:r>
      <w:r>
        <w:fldChar w:fldCharType="separate"/>
      </w:r>
      <w:r>
        <w:rPr>
          <w:rStyle w:val="48"/>
          <w:rFonts w:hint="eastAsia"/>
          <w14:scene3d w14:prst="orthographicFront">
            <w14:lightRig w14:rig="threePt" w14:dir="t">
              <w14:rot w14:lat="0" w14:lon="0" w14:rev="0"/>
            </w14:lightRig>
          </w14:scene3d>
        </w:rPr>
        <w:t>9.1</w:t>
      </w:r>
      <w:r>
        <w:rPr>
          <w:rStyle w:val="48"/>
          <w:rFonts w:hint="eastAsia"/>
        </w:rPr>
        <w:t xml:space="preserve"> 运输</w:t>
      </w:r>
      <w:r>
        <w:rPr>
          <w:rFonts w:hint="eastAsia"/>
        </w:rPr>
        <w:tab/>
      </w:r>
      <w:r>
        <w:rPr>
          <w:rFonts w:hint="eastAsia"/>
        </w:rPr>
        <w:fldChar w:fldCharType="begin"/>
      </w:r>
      <w:r>
        <w:rPr>
          <w:rFonts w:hint="eastAsia"/>
        </w:rPr>
        <w:instrText xml:space="preserve"> </w:instrText>
      </w:r>
      <w:r>
        <w:instrText xml:space="preserve">PAGEREF _Toc197967361 \h</w:instrText>
      </w:r>
      <w:r>
        <w:rPr>
          <w:rFonts w:hint="eastAsia"/>
        </w:rPr>
        <w:instrText xml:space="preserve"> </w:instrText>
      </w:r>
      <w:r>
        <w:fldChar w:fldCharType="separate"/>
      </w:r>
      <w:r>
        <w:t>15</w:t>
      </w:r>
      <w:r>
        <w:rPr>
          <w:rFonts w:hint="eastAsia"/>
        </w:rPr>
        <w:fldChar w:fldCharType="end"/>
      </w:r>
      <w:r>
        <w:rPr>
          <w:rFonts w:hint="eastAsia"/>
        </w:rPr>
        <w:fldChar w:fldCharType="end"/>
      </w:r>
    </w:p>
    <w:p w14:paraId="73B780C3">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"_Toc197967362" </w:instrText>
      </w:r>
      <w:r>
        <w:fldChar w:fldCharType="separate"/>
      </w:r>
      <w:r>
        <w:rPr>
          <w:rStyle w:val="48"/>
          <w:rFonts w:hint="eastAsia"/>
          <w14:scene3d w14:prst="orthographicFront">
            <w14:lightRig w14:rig="threePt" w14:dir="t">
              <w14:rot w14:lat="0" w14:lon="0" w14:rev="0"/>
            </w14:lightRig>
          </w14:scene3d>
        </w:rPr>
        <w:t>9.2</w:t>
      </w:r>
      <w:r>
        <w:rPr>
          <w:rStyle w:val="48"/>
          <w:rFonts w:hint="eastAsia"/>
        </w:rPr>
        <w:t xml:space="preserve"> 贮存</w:t>
      </w:r>
      <w:r>
        <w:rPr>
          <w:rFonts w:hint="eastAsia"/>
        </w:rPr>
        <w:tab/>
      </w:r>
      <w:r>
        <w:rPr>
          <w:rFonts w:hint="eastAsia"/>
        </w:rPr>
        <w:fldChar w:fldCharType="begin"/>
      </w:r>
      <w:r>
        <w:rPr>
          <w:rFonts w:hint="eastAsia"/>
        </w:rPr>
        <w:instrText xml:space="preserve"> </w:instrText>
      </w:r>
      <w:r>
        <w:instrText xml:space="preserve">PAGEREF _Toc197967362 \h</w:instrText>
      </w:r>
      <w:r>
        <w:rPr>
          <w:rFonts w:hint="eastAsia"/>
        </w:rPr>
        <w:instrText xml:space="preserve"> </w:instrText>
      </w:r>
      <w:r>
        <w:fldChar w:fldCharType="separate"/>
      </w:r>
      <w:r>
        <w:t>16</w:t>
      </w:r>
      <w:r>
        <w:rPr>
          <w:rFonts w:hint="eastAsia"/>
        </w:rPr>
        <w:fldChar w:fldCharType="end"/>
      </w:r>
      <w:r>
        <w:rPr>
          <w:rFonts w:hint="eastAsia"/>
        </w:rPr>
        <w:fldChar w:fldCharType="end"/>
      </w:r>
    </w:p>
    <w:p w14:paraId="61D3BC0A">
      <w:pPr>
        <w:pStyle w:val="26"/>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"_Toc197967363" </w:instrText>
      </w:r>
      <w:r>
        <w:fldChar w:fldCharType="separate"/>
      </w:r>
      <w:r>
        <w:rPr>
          <w:rStyle w:val="48"/>
          <w:rFonts w:hint="eastAsia"/>
        </w:rPr>
        <w:t>10 绿色节能和智能操作</w:t>
      </w:r>
      <w:r>
        <w:rPr>
          <w:rFonts w:hint="eastAsia"/>
        </w:rPr>
        <w:tab/>
      </w:r>
      <w:r>
        <w:rPr>
          <w:rFonts w:hint="eastAsia"/>
        </w:rPr>
        <w:fldChar w:fldCharType="begin"/>
      </w:r>
      <w:r>
        <w:rPr>
          <w:rFonts w:hint="eastAsia"/>
        </w:rPr>
        <w:instrText xml:space="preserve"> </w:instrText>
      </w:r>
      <w:r>
        <w:instrText xml:space="preserve">PAGEREF _Toc197967363 \h</w:instrText>
      </w:r>
      <w:r>
        <w:rPr>
          <w:rFonts w:hint="eastAsia"/>
        </w:rPr>
        <w:instrText xml:space="preserve"> </w:instrText>
      </w:r>
      <w:r>
        <w:fldChar w:fldCharType="separate"/>
      </w:r>
      <w:r>
        <w:t>16</w:t>
      </w:r>
      <w:r>
        <w:rPr>
          <w:rFonts w:hint="eastAsia"/>
        </w:rPr>
        <w:fldChar w:fldCharType="end"/>
      </w:r>
      <w:r>
        <w:rPr>
          <w:rFonts w:hint="eastAsia"/>
        </w:rPr>
        <w:fldChar w:fldCharType="end"/>
      </w:r>
    </w:p>
    <w:p w14:paraId="12E1A793">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"_Toc197967364" </w:instrText>
      </w:r>
      <w:r>
        <w:fldChar w:fldCharType="separate"/>
      </w:r>
      <w:r>
        <w:rPr>
          <w:rStyle w:val="48"/>
          <w:rFonts w:hint="eastAsia"/>
          <w14:scene3d w14:prst="orthographicFront">
            <w14:lightRig w14:rig="threePt" w14:dir="t">
              <w14:rot w14:lat="0" w14:lon="0" w14:rev="0"/>
            </w14:lightRig>
          </w14:scene3d>
        </w:rPr>
        <w:t>10.1</w:t>
      </w:r>
      <w:r>
        <w:rPr>
          <w:rStyle w:val="48"/>
          <w:rFonts w:hint="eastAsia"/>
        </w:rPr>
        <w:t xml:space="preserve"> 绿色节能</w:t>
      </w:r>
      <w:r>
        <w:rPr>
          <w:rFonts w:hint="eastAsia"/>
        </w:rPr>
        <w:tab/>
      </w:r>
      <w:r>
        <w:rPr>
          <w:rFonts w:hint="eastAsia"/>
        </w:rPr>
        <w:fldChar w:fldCharType="begin"/>
      </w:r>
      <w:r>
        <w:rPr>
          <w:rFonts w:hint="eastAsia"/>
        </w:rPr>
        <w:instrText xml:space="preserve"> </w:instrText>
      </w:r>
      <w:r>
        <w:instrText xml:space="preserve">PAGEREF _Toc197967364 \h</w:instrText>
      </w:r>
      <w:r>
        <w:rPr>
          <w:rFonts w:hint="eastAsia"/>
        </w:rPr>
        <w:instrText xml:space="preserve"> </w:instrText>
      </w:r>
      <w:r>
        <w:fldChar w:fldCharType="separate"/>
      </w:r>
      <w:r>
        <w:t>16</w:t>
      </w:r>
      <w:r>
        <w:rPr>
          <w:rFonts w:hint="eastAsia"/>
        </w:rPr>
        <w:fldChar w:fldCharType="end"/>
      </w:r>
      <w:r>
        <w:rPr>
          <w:rFonts w:hint="eastAsia"/>
        </w:rPr>
        <w:fldChar w:fldCharType="end"/>
      </w:r>
    </w:p>
    <w:p w14:paraId="75E66101">
      <w:pPr>
        <w:pStyle w:val="32"/>
        <w:rPr>
          <w:rFonts w:hint="eastAsia" w:asciiTheme="minorHAnsi" w:hAnsiTheme="minorHAnsi" w:eastAsiaTheme="minorEastAsia" w:cstheme="minorBidi"/>
          <w:sz w:val="22"/>
          <w:szCs w:val="24"/>
          <w14:ligatures w14:val="standardContextual"/>
        </w:rPr>
      </w:pPr>
      <w:r>
        <w:fldChar w:fldCharType="begin"/>
      </w:r>
      <w:r>
        <w:instrText xml:space="preserve"> HYPERLINK \l "_Toc197967365" </w:instrText>
      </w:r>
      <w:r>
        <w:fldChar w:fldCharType="separate"/>
      </w:r>
      <w:r>
        <w:rPr>
          <w:rStyle w:val="48"/>
          <w:rFonts w:hint="eastAsia"/>
          <w14:scene3d w14:prst="orthographicFront">
            <w14:lightRig w14:rig="threePt" w14:dir="t">
              <w14:rot w14:lat="0" w14:lon="0" w14:rev="0"/>
            </w14:lightRig>
          </w14:scene3d>
        </w:rPr>
        <w:t>10.2</w:t>
      </w:r>
      <w:r>
        <w:rPr>
          <w:rStyle w:val="48"/>
          <w:rFonts w:hint="eastAsia"/>
        </w:rPr>
        <w:t xml:space="preserve"> 智能操作</w:t>
      </w:r>
      <w:r>
        <w:rPr>
          <w:rFonts w:hint="eastAsia"/>
        </w:rPr>
        <w:tab/>
      </w:r>
      <w:r>
        <w:rPr>
          <w:rFonts w:hint="eastAsia"/>
        </w:rPr>
        <w:fldChar w:fldCharType="begin"/>
      </w:r>
      <w:r>
        <w:rPr>
          <w:rFonts w:hint="eastAsia"/>
        </w:rPr>
        <w:instrText xml:space="preserve"> </w:instrText>
      </w:r>
      <w:r>
        <w:instrText xml:space="preserve">PAGEREF _Toc197967365 \h</w:instrText>
      </w:r>
      <w:r>
        <w:rPr>
          <w:rFonts w:hint="eastAsia"/>
        </w:rPr>
        <w:instrText xml:space="preserve"> </w:instrText>
      </w:r>
      <w:r>
        <w:fldChar w:fldCharType="separate"/>
      </w:r>
      <w:r>
        <w:t>16</w:t>
      </w:r>
      <w:r>
        <w:rPr>
          <w:rFonts w:hint="eastAsia"/>
        </w:rPr>
        <w:fldChar w:fldCharType="end"/>
      </w:r>
      <w:r>
        <w:rPr>
          <w:rFonts w:hint="eastAsia"/>
        </w:rPr>
        <w:fldChar w:fldCharType="end"/>
      </w:r>
    </w:p>
    <w:p w14:paraId="222462D2">
      <w:pPr>
        <w:pStyle w:val="26"/>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"_Toc197967366" </w:instrText>
      </w:r>
      <w:r>
        <w:fldChar w:fldCharType="separate"/>
      </w:r>
      <w:r>
        <w:rPr>
          <w:rStyle w:val="48"/>
          <w:rFonts w:hint="eastAsia"/>
          <w:spacing w:val="100"/>
        </w:rPr>
        <w:t>附录A</w:t>
      </w:r>
      <w:r>
        <w:rPr>
          <w:rStyle w:val="48"/>
          <w:rFonts w:hint="eastAsia"/>
        </w:rPr>
        <w:t xml:space="preserve"> （资料性） 门机入场验收表</w:t>
      </w:r>
      <w:r>
        <w:rPr>
          <w:rFonts w:hint="eastAsia"/>
        </w:rPr>
        <w:tab/>
      </w:r>
      <w:r>
        <w:rPr>
          <w:rFonts w:hint="eastAsia"/>
        </w:rPr>
        <w:fldChar w:fldCharType="begin"/>
      </w:r>
      <w:r>
        <w:rPr>
          <w:rFonts w:hint="eastAsia"/>
        </w:rPr>
        <w:instrText xml:space="preserve"> </w:instrText>
      </w:r>
      <w:r>
        <w:instrText xml:space="preserve">PAGEREF _Toc197967366 \h</w:instrText>
      </w:r>
      <w:r>
        <w:rPr>
          <w:rFonts w:hint="eastAsia"/>
        </w:rPr>
        <w:instrText xml:space="preserve"> </w:instrText>
      </w:r>
      <w:r>
        <w:fldChar w:fldCharType="separate"/>
      </w:r>
      <w:r>
        <w:t>17</w:t>
      </w:r>
      <w:r>
        <w:rPr>
          <w:rFonts w:hint="eastAsia"/>
        </w:rPr>
        <w:fldChar w:fldCharType="end"/>
      </w:r>
      <w:r>
        <w:rPr>
          <w:rFonts w:hint="eastAsia"/>
        </w:rPr>
        <w:fldChar w:fldCharType="end"/>
      </w:r>
    </w:p>
    <w:p w14:paraId="68EFC4B7">
      <w:pPr>
        <w:pStyle w:val="26"/>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"_Toc197967367" </w:instrText>
      </w:r>
      <w:r>
        <w:fldChar w:fldCharType="separate"/>
      </w:r>
      <w:r>
        <w:rPr>
          <w:rStyle w:val="48"/>
          <w:rFonts w:hint="eastAsia"/>
          <w:spacing w:val="100"/>
        </w:rPr>
        <w:t>附录B</w:t>
      </w:r>
      <w:r>
        <w:rPr>
          <w:rStyle w:val="48"/>
          <w:rFonts w:hint="eastAsia"/>
        </w:rPr>
        <w:t xml:space="preserve"> （资料性） 门机轨道安装验收表</w:t>
      </w:r>
      <w:r>
        <w:rPr>
          <w:rFonts w:hint="eastAsia"/>
        </w:rPr>
        <w:tab/>
      </w:r>
      <w:r>
        <w:rPr>
          <w:rFonts w:hint="eastAsia"/>
        </w:rPr>
        <w:fldChar w:fldCharType="begin"/>
      </w:r>
      <w:r>
        <w:rPr>
          <w:rFonts w:hint="eastAsia"/>
        </w:rPr>
        <w:instrText xml:space="preserve"> </w:instrText>
      </w:r>
      <w:r>
        <w:instrText xml:space="preserve">PAGEREF _Toc197967367 \h</w:instrText>
      </w:r>
      <w:r>
        <w:rPr>
          <w:rFonts w:hint="eastAsia"/>
        </w:rPr>
        <w:instrText xml:space="preserve"> </w:instrText>
      </w:r>
      <w:r>
        <w:fldChar w:fldCharType="separate"/>
      </w:r>
      <w:r>
        <w:t>19</w:t>
      </w:r>
      <w:r>
        <w:rPr>
          <w:rFonts w:hint="eastAsia"/>
        </w:rPr>
        <w:fldChar w:fldCharType="end"/>
      </w:r>
      <w:r>
        <w:rPr>
          <w:rFonts w:hint="eastAsia"/>
        </w:rPr>
        <w:fldChar w:fldCharType="end"/>
      </w:r>
    </w:p>
    <w:p w14:paraId="56700C25">
      <w:pPr>
        <w:pStyle w:val="113"/>
        <w:spacing w:after="360"/>
      </w:pPr>
      <w:r>
        <w:fldChar w:fldCharType="end"/>
      </w:r>
    </w:p>
    <w:p w14:paraId="238ED54A"/>
    <w:p w14:paraId="3999364C"/>
    <w:p w14:paraId="45C4E736"/>
    <w:p w14:paraId="2DE6E825"/>
    <w:p w14:paraId="0E64B201"/>
    <w:p w14:paraId="480D8CAE"/>
    <w:p w14:paraId="4ADAD184">
      <w:pPr>
        <w:tabs>
          <w:tab w:val="left" w:pos="2938"/>
        </w:tabs>
        <w:jc w:val="left"/>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r>
        <w:rPr>
          <w:rFonts w:hint="eastAsia"/>
        </w:rPr>
        <w:tab/>
      </w:r>
    </w:p>
    <w:bookmarkEnd w:id="13"/>
    <w:p w14:paraId="47A49AC8">
      <w:pPr>
        <w:pStyle w:val="111"/>
        <w:spacing w:before="900" w:after="360"/>
        <w:ind w:left="0" w:firstLine="0"/>
      </w:pPr>
      <w:bookmarkStart w:id="16" w:name="_Toc197967327"/>
      <w:bookmarkStart w:id="17" w:name="BookMark2"/>
      <w:r>
        <w:rPr>
          <w:rFonts w:hint="eastAsia"/>
          <w:spacing w:val="320"/>
        </w:rPr>
        <w:t>前</w:t>
      </w:r>
      <w:r>
        <w:rPr>
          <w:rFonts w:hint="eastAsia"/>
        </w:rPr>
        <w:t>言</w:t>
      </w:r>
      <w:bookmarkEnd w:id="14"/>
      <w:bookmarkEnd w:id="15"/>
      <w:bookmarkEnd w:id="16"/>
    </w:p>
    <w:p w14:paraId="10D2BEBB">
      <w:pPr>
        <w:pStyle w:val="78"/>
        <w:ind w:firstLine="420"/>
      </w:pPr>
      <w:r>
        <w:rPr>
          <w:rFonts w:hint="eastAsia"/>
        </w:rPr>
        <w:t>本文件根据《关于印发2024年第二批中国电力建设企业协会团体标准制定计划的通知》（中电建协〔2024〕302 号）的要求，由中国电力建设企业协会施工机械专业委</w:t>
      </w:r>
      <w:bookmarkStart w:id="102" w:name="_GoBack"/>
      <w:bookmarkEnd w:id="102"/>
      <w:r>
        <w:rPr>
          <w:rFonts w:hint="eastAsia"/>
        </w:rPr>
        <w:t>员会组织制定。</w:t>
      </w:r>
    </w:p>
    <w:p w14:paraId="7FEBB7C3">
      <w:pPr>
        <w:pStyle w:val="78"/>
        <w:ind w:firstLine="420"/>
      </w:pPr>
      <w:r>
        <w:rPr>
          <w:rFonts w:hint="eastAsia"/>
        </w:rPr>
        <w:t>本文件按照GB/T 1.1—2020《标准化工作导则  第1部分：标准化文件的结构和起草规则》的规定起草。</w:t>
      </w:r>
    </w:p>
    <w:p w14:paraId="10F5BE03">
      <w:pPr>
        <w:pStyle w:val="78"/>
        <w:ind w:firstLine="420"/>
      </w:pPr>
      <w:r>
        <w:rPr>
          <w:rFonts w:hint="eastAsia"/>
        </w:rPr>
        <w:t>请注意本文件的某些内容可能涉及专利。本文件的发布机构不承担识别专利的责任。</w:t>
      </w:r>
    </w:p>
    <w:p w14:paraId="3E872A78">
      <w:pPr>
        <w:pStyle w:val="78"/>
        <w:ind w:firstLine="420"/>
      </w:pPr>
      <w:r>
        <w:rPr>
          <w:rFonts w:hint="eastAsia"/>
        </w:rPr>
        <w:t>本文件由中国电力建设企业协会施工机械专业委员会提出。</w:t>
      </w:r>
    </w:p>
    <w:p w14:paraId="62750BF8">
      <w:pPr>
        <w:pStyle w:val="78"/>
        <w:ind w:firstLine="420"/>
      </w:pPr>
      <w:r>
        <w:rPr>
          <w:rFonts w:hint="eastAsia"/>
        </w:rPr>
        <w:t>本文件由中国电力建设企业协会归口并解释。</w:t>
      </w:r>
    </w:p>
    <w:p w14:paraId="3F5902C9">
      <w:pPr>
        <w:pStyle w:val="78"/>
        <w:ind w:firstLine="420"/>
      </w:pPr>
      <w:r>
        <w:rPr>
          <w:rFonts w:hint="eastAsia"/>
        </w:rPr>
        <w:t xml:space="preserve">本文件主要起草单位： </w:t>
      </w:r>
    </w:p>
    <w:p w14:paraId="54CC9CC1">
      <w:pPr>
        <w:pStyle w:val="78"/>
        <w:ind w:firstLine="420"/>
      </w:pPr>
      <w:r>
        <w:rPr>
          <w:rFonts w:hint="eastAsia"/>
        </w:rPr>
        <w:t>本文件参加起草单位：</w:t>
      </w:r>
    </w:p>
    <w:p w14:paraId="48A679BF">
      <w:pPr>
        <w:pStyle w:val="78"/>
        <w:ind w:firstLine="420"/>
      </w:pPr>
      <w:r>
        <w:rPr>
          <w:rFonts w:hint="eastAsia"/>
        </w:rPr>
        <w:t xml:space="preserve">本文件主要起草人： </w:t>
      </w:r>
    </w:p>
    <w:p w14:paraId="359961DD">
      <w:pPr>
        <w:pStyle w:val="78"/>
        <w:ind w:firstLine="420"/>
      </w:pPr>
    </w:p>
    <w:p w14:paraId="584C2E14">
      <w:pPr>
        <w:pStyle w:val="78"/>
        <w:ind w:firstLine="420"/>
      </w:pPr>
      <w:r>
        <w:rPr>
          <w:rFonts w:hint="eastAsia"/>
        </w:rPr>
        <w:t>本文件主要审查人：</w:t>
      </w:r>
    </w:p>
    <w:p w14:paraId="7D90AA73">
      <w:pPr>
        <w:pStyle w:val="78"/>
        <w:ind w:firstLine="420"/>
      </w:pPr>
    </w:p>
    <w:p w14:paraId="31E80147">
      <w:pPr>
        <w:pStyle w:val="78"/>
        <w:ind w:firstLine="420"/>
      </w:pPr>
      <w:r>
        <w:rPr>
          <w:rFonts w:hint="eastAsia"/>
        </w:rPr>
        <w:t>本文件为首次制定。</w:t>
      </w:r>
    </w:p>
    <w:p w14:paraId="2C85D23E">
      <w:pPr>
        <w:pStyle w:val="78"/>
        <w:ind w:firstLine="420"/>
      </w:pPr>
    </w:p>
    <w:p w14:paraId="24DF5903">
      <w:pPr>
        <w:pStyle w:val="78"/>
        <w:ind w:firstLine="420"/>
      </w:pPr>
      <w:r>
        <w:rPr>
          <w:rFonts w:hint="eastAsia"/>
        </w:rPr>
        <w:t>本文件在执行过程中的意见或建议反馈至中国电力建设企业协会（北京市丰台区西四环南路35号中都科技大厦3层，100166）。</w:t>
      </w:r>
    </w:p>
    <w:p w14:paraId="27667C51">
      <w:pPr>
        <w:pStyle w:val="78"/>
        <w:ind w:firstLine="420"/>
        <w:sectPr>
          <w:pgSz w:w="11906" w:h="16838"/>
          <w:pgMar w:top="1928" w:right="1134" w:bottom="1134" w:left="1134" w:header="1418" w:footer="1134" w:gutter="284"/>
          <w:pgNumType w:fmt="upperRoman"/>
          <w:cols w:space="425" w:num="1"/>
          <w:formProt w:val="0"/>
          <w:docGrid w:linePitch="312" w:charSpace="0"/>
        </w:sectPr>
      </w:pPr>
    </w:p>
    <w:bookmarkEnd w:id="17"/>
    <w:p w14:paraId="21BBFA0E">
      <w:pPr>
        <w:spacing w:line="20" w:lineRule="exact"/>
        <w:jc w:val="center"/>
        <w:rPr>
          <w:rFonts w:hint="eastAsia" w:ascii="黑体" w:hAnsi="黑体" w:eastAsia="黑体"/>
          <w:sz w:val="32"/>
          <w:szCs w:val="32"/>
        </w:rPr>
      </w:pPr>
      <w:bookmarkStart w:id="18" w:name="BookMark4"/>
    </w:p>
    <w:p w14:paraId="4374C1A1">
      <w:pPr>
        <w:spacing w:line="20" w:lineRule="exact"/>
        <w:jc w:val="center"/>
        <w:rPr>
          <w:rFonts w:hint="eastAsia" w:ascii="黑体" w:hAnsi="黑体" w:eastAsia="黑体"/>
          <w:sz w:val="32"/>
          <w:szCs w:val="32"/>
        </w:rPr>
      </w:pPr>
    </w:p>
    <w:sdt>
      <w:sdtPr>
        <w:tag w:val="NEW_STAND_NAME"/>
        <w:id w:val="595910757"/>
        <w:lock w:val="sdtLocked"/>
        <w:placeholder>
          <w:docPart w:val="2A8B4E53FFDE42688B6350DDA1905DA3"/>
        </w:placeholder>
      </w:sdtPr>
      <w:sdtContent>
        <w:p w14:paraId="71350F75">
          <w:pPr>
            <w:pStyle w:val="199"/>
            <w:spacing w:before="2" w:beforeLines="1" w:after="528" w:afterLines="220"/>
            <w:rPr>
              <w:rFonts w:hint="eastAsia"/>
            </w:rPr>
          </w:pPr>
          <w:bookmarkStart w:id="19" w:name="NEW_STAND_NAME"/>
          <w:r>
            <w:rPr>
              <w:rFonts w:hint="eastAsia"/>
            </w:rPr>
            <w:t>电力建设门式起重机安全使用规程</w:t>
          </w:r>
        </w:p>
      </w:sdtContent>
    </w:sdt>
    <w:bookmarkEnd w:id="19"/>
    <w:p w14:paraId="1B9EF0C5">
      <w:pPr>
        <w:pStyle w:val="126"/>
        <w:spacing w:before="240" w:after="240"/>
      </w:pPr>
      <w:bookmarkStart w:id="20" w:name="_Toc17233325"/>
      <w:bookmarkStart w:id="21" w:name="_Toc24884218"/>
      <w:bookmarkStart w:id="22" w:name="_Toc26986771"/>
      <w:bookmarkStart w:id="23" w:name="_Toc97192964"/>
      <w:bookmarkStart w:id="24" w:name="_Toc17233333"/>
      <w:bookmarkStart w:id="25" w:name="_Toc26986530"/>
      <w:bookmarkStart w:id="26" w:name="_Toc180146088"/>
      <w:bookmarkStart w:id="27" w:name="_Toc26648465"/>
      <w:bookmarkStart w:id="28" w:name="_Toc197967328"/>
      <w:bookmarkStart w:id="29" w:name="_Toc24884211"/>
      <w:bookmarkStart w:id="30" w:name="_Toc26718930"/>
      <w:bookmarkStart w:id="31" w:name="_Toc179748220"/>
      <w:r>
        <w:rPr>
          <w:rFonts w:hint="eastAsia"/>
        </w:rPr>
        <w:t>范围</w:t>
      </w:r>
      <w:bookmarkEnd w:id="20"/>
      <w:bookmarkEnd w:id="21"/>
      <w:bookmarkEnd w:id="22"/>
      <w:bookmarkEnd w:id="23"/>
      <w:bookmarkEnd w:id="24"/>
      <w:bookmarkEnd w:id="25"/>
      <w:bookmarkEnd w:id="26"/>
      <w:bookmarkEnd w:id="27"/>
      <w:bookmarkEnd w:id="28"/>
      <w:bookmarkEnd w:id="29"/>
      <w:bookmarkEnd w:id="30"/>
      <w:bookmarkEnd w:id="31"/>
    </w:p>
    <w:p w14:paraId="3B877362">
      <w:pPr>
        <w:pStyle w:val="78"/>
        <w:ind w:firstLine="420"/>
      </w:pPr>
      <w:bookmarkStart w:id="32" w:name="_Toc24884212"/>
      <w:bookmarkStart w:id="33" w:name="_Toc26648466"/>
      <w:bookmarkStart w:id="34" w:name="_Toc17233326"/>
      <w:bookmarkStart w:id="35" w:name="_Toc24884219"/>
      <w:bookmarkStart w:id="36" w:name="_Toc17233334"/>
      <w:r>
        <w:rPr>
          <w:rFonts w:hint="eastAsia"/>
        </w:rPr>
        <w:t>本文件规定了电力建设工程中门式起重机（以下简称门机）在项目入场验收、安装与拆卸、使用、专项安全技术措施、运输和贮存、绿色节能和智能操作等方面安全使用的相关要求。</w:t>
      </w:r>
    </w:p>
    <w:p w14:paraId="56624AD2">
      <w:pPr>
        <w:pStyle w:val="78"/>
        <w:ind w:firstLine="420"/>
      </w:pPr>
      <w:r>
        <w:rPr>
          <w:rFonts w:hint="eastAsia"/>
        </w:rPr>
        <w:t>本文件适用于电力建设新建、改建、扩建、检修和拆除工程中通用门式起重机的安全使用，其他类型的门机参照执行。</w:t>
      </w:r>
    </w:p>
    <w:bookmarkEnd w:id="32"/>
    <w:bookmarkEnd w:id="33"/>
    <w:bookmarkEnd w:id="34"/>
    <w:bookmarkEnd w:id="35"/>
    <w:bookmarkEnd w:id="36"/>
    <w:p w14:paraId="13DD3A6D">
      <w:pPr>
        <w:pStyle w:val="126"/>
        <w:spacing w:before="240" w:after="240"/>
      </w:pPr>
      <w:bookmarkStart w:id="37" w:name="_Toc26986772"/>
      <w:bookmarkStart w:id="38" w:name="_Toc26718931"/>
      <w:bookmarkStart w:id="39" w:name="_Toc180146089"/>
      <w:bookmarkStart w:id="40" w:name="_Toc97192965"/>
      <w:bookmarkStart w:id="41" w:name="_Toc26986531"/>
      <w:bookmarkStart w:id="42" w:name="_Toc179748221"/>
      <w:bookmarkStart w:id="43" w:name="_Toc197967329"/>
      <w:bookmarkStart w:id="44" w:name="_Toc97192966"/>
      <w:bookmarkStart w:id="45" w:name="_Toc179748222"/>
      <w:r>
        <w:rPr>
          <w:rFonts w:hint="eastAsia"/>
        </w:rPr>
        <w:t>规范性引用文件</w:t>
      </w:r>
      <w:bookmarkEnd w:id="37"/>
      <w:bookmarkEnd w:id="38"/>
      <w:bookmarkEnd w:id="39"/>
      <w:bookmarkEnd w:id="40"/>
      <w:bookmarkEnd w:id="41"/>
      <w:bookmarkEnd w:id="42"/>
      <w:bookmarkEnd w:id="43"/>
    </w:p>
    <w:sdt>
      <w:sdtPr>
        <w:rPr>
          <w:rFonts w:hint="eastAsia"/>
        </w:rPr>
        <w:id w:val="715848253"/>
        <w:placeholder>
          <w:docPart w:val="48BF37026A304D108E9FBB0E25F148C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9171CCC">
          <w:pPr>
            <w:pStyle w:val="7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6B89699">
      <w:pPr>
        <w:pStyle w:val="78"/>
        <w:spacing w:after="0"/>
        <w:ind w:firstLine="420"/>
      </w:pPr>
      <w:r>
        <w:rPr>
          <w:rFonts w:hint="eastAsia"/>
        </w:rPr>
        <w:t>GB/T 6067.1  起重机械安全规程 第1部分：总则</w:t>
      </w:r>
    </w:p>
    <w:p w14:paraId="22765947">
      <w:pPr>
        <w:pStyle w:val="78"/>
        <w:spacing w:after="0"/>
        <w:ind w:firstLine="420"/>
      </w:pPr>
      <w:r>
        <w:rPr>
          <w:rFonts w:hint="eastAsia"/>
        </w:rPr>
        <w:t>GB/T 6067.5 起重机械安全规程 第5部分：桥式和门式起重机</w:t>
      </w:r>
    </w:p>
    <w:p w14:paraId="314BCFA3">
      <w:pPr>
        <w:pStyle w:val="78"/>
        <w:spacing w:after="0"/>
        <w:ind w:firstLine="420"/>
      </w:pPr>
      <w:r>
        <w:rPr>
          <w:rFonts w:hint="eastAsia"/>
        </w:rPr>
        <w:t>GB/T 6974.5 起重机 术语 第5部分：桥式和门式起重机</w:t>
      </w:r>
    </w:p>
    <w:p w14:paraId="446967B2">
      <w:pPr>
        <w:pStyle w:val="78"/>
        <w:spacing w:after="0"/>
        <w:ind w:firstLine="420"/>
      </w:pPr>
      <w:r>
        <w:rPr>
          <w:rFonts w:hint="eastAsia"/>
        </w:rPr>
        <w:t>GB/T 10183 桥式和门式起重机 制造及轨道安装公差</w:t>
      </w:r>
    </w:p>
    <w:p w14:paraId="1ABBFC72">
      <w:pPr>
        <w:pStyle w:val="78"/>
        <w:spacing w:after="0"/>
        <w:ind w:firstLine="420"/>
      </w:pPr>
      <w:r>
        <w:rPr>
          <w:rFonts w:hint="eastAsia"/>
        </w:rPr>
        <w:t>GB/T 14406 通用门式起重机</w:t>
      </w:r>
    </w:p>
    <w:p w14:paraId="38D060A8">
      <w:pPr>
        <w:pStyle w:val="78"/>
        <w:spacing w:after="0"/>
        <w:ind w:firstLine="420"/>
      </w:pPr>
      <w:r>
        <w:rPr>
          <w:rFonts w:hint="eastAsia"/>
        </w:rPr>
        <w:t>GB/T 23723.1 起重机 安全使用 第1部分：总则</w:t>
      </w:r>
    </w:p>
    <w:p w14:paraId="2D18CC33">
      <w:pPr>
        <w:pStyle w:val="78"/>
        <w:spacing w:after="0"/>
        <w:ind w:firstLine="420"/>
      </w:pPr>
      <w:r>
        <w:rPr>
          <w:rFonts w:hint="eastAsia"/>
        </w:rPr>
        <w:t>GB/T 23723.5 起重机 安全使用 第5部分：桥式和门式起重机</w:t>
      </w:r>
    </w:p>
    <w:p w14:paraId="2B5E78BA">
      <w:pPr>
        <w:pStyle w:val="78"/>
        <w:spacing w:after="0"/>
        <w:ind w:firstLine="420"/>
      </w:pPr>
      <w:r>
        <w:rPr>
          <w:rFonts w:hint="eastAsia"/>
        </w:rPr>
        <w:t>GB/T 23724.1 起重机 检查 第1部分：总则</w:t>
      </w:r>
    </w:p>
    <w:p w14:paraId="624A33E3">
      <w:pPr>
        <w:pStyle w:val="78"/>
        <w:spacing w:after="0"/>
        <w:ind w:firstLine="420"/>
      </w:pPr>
      <w:r>
        <w:rPr>
          <w:rFonts w:hint="eastAsia"/>
        </w:rPr>
        <w:t>GB/T 28758  起重机 检查人员的资格要求</w:t>
      </w:r>
    </w:p>
    <w:p w14:paraId="53B56DC5">
      <w:pPr>
        <w:pStyle w:val="78"/>
        <w:spacing w:after="0"/>
        <w:ind w:firstLine="420"/>
      </w:pPr>
      <w:r>
        <w:rPr>
          <w:rFonts w:hint="eastAsia"/>
        </w:rPr>
        <w:t>GB/T 31052.1 起重机械 检查与维护规程 第1部分：总则</w:t>
      </w:r>
    </w:p>
    <w:p w14:paraId="72410464">
      <w:pPr>
        <w:pStyle w:val="78"/>
        <w:spacing w:after="0"/>
        <w:ind w:firstLine="420"/>
      </w:pPr>
      <w:r>
        <w:rPr>
          <w:rFonts w:hint="eastAsia"/>
        </w:rPr>
        <w:t>GB/T 31052.5 起重机械 检查与维护规程 第5部分：桥式和门式起重机</w:t>
      </w:r>
    </w:p>
    <w:p w14:paraId="43526AC3">
      <w:pPr>
        <w:pStyle w:val="78"/>
        <w:spacing w:after="0"/>
        <w:ind w:firstLine="420"/>
      </w:pPr>
      <w:r>
        <w:rPr>
          <w:rFonts w:hint="eastAsia"/>
        </w:rPr>
        <w:t>NB/T 10096 电力建设工程施工安全管理导则</w:t>
      </w:r>
    </w:p>
    <w:p w14:paraId="4BD68D30">
      <w:pPr>
        <w:pStyle w:val="78"/>
        <w:spacing w:after="0"/>
        <w:ind w:firstLine="420"/>
      </w:pPr>
      <w:r>
        <w:rPr>
          <w:rFonts w:hint="eastAsia"/>
        </w:rPr>
        <w:t>T/CEC 210-2019 火电工程大型起重机械安全管理导则</w:t>
      </w:r>
    </w:p>
    <w:p w14:paraId="00F335D2">
      <w:pPr>
        <w:pStyle w:val="126"/>
        <w:spacing w:before="240" w:after="240"/>
      </w:pPr>
      <w:bookmarkStart w:id="46" w:name="_Toc180146090"/>
      <w:bookmarkStart w:id="47" w:name="_Toc197967330"/>
      <w:r>
        <w:rPr>
          <w:rFonts w:hint="eastAsia"/>
          <w:szCs w:val="21"/>
        </w:rPr>
        <w:t>术语和定义</w:t>
      </w:r>
      <w:bookmarkEnd w:id="44"/>
      <w:bookmarkEnd w:id="45"/>
      <w:bookmarkEnd w:id="46"/>
      <w:bookmarkEnd w:id="47"/>
    </w:p>
    <w:sdt>
      <w:sdtPr>
        <w:rPr>
          <w:rFonts w:hint="eastAsia"/>
        </w:rPr>
        <w:id w:val="-1909835108"/>
        <w:placeholder>
          <w:docPart w:val="D5F7AADE5BB745B5A7BE32F684B4BDD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14:paraId="0D64626E">
          <w:pPr>
            <w:pStyle w:val="78"/>
            <w:ind w:firstLine="420"/>
          </w:pPr>
          <w:bookmarkStart w:id="48" w:name="_Toc26986532"/>
          <w:bookmarkEnd w:id="48"/>
          <w:r>
            <w:rPr>
              <w:rFonts w:hint="eastAsia"/>
            </w:rPr>
            <w:t>GB/T 6974.1、GB/T 6974.5、GB/T 14406、GB/T31052.1和T/CEC 210-2019界定的以及下列术语和定义适用于本文件。</w:t>
          </w:r>
        </w:p>
      </w:sdtContent>
    </w:sdt>
    <w:p w14:paraId="5F20BEB9">
      <w:pPr>
        <w:pStyle w:val="245"/>
        <w:ind w:left="420" w:hanging="420" w:hangingChars="200"/>
        <w:rPr>
          <w:rFonts w:hint="eastAsia" w:ascii="黑体" w:hAnsi="黑体" w:eastAsia="黑体"/>
        </w:rPr>
      </w:pPr>
    </w:p>
    <w:p w14:paraId="06419D5C">
      <w:pPr>
        <w:pStyle w:val="245"/>
        <w:numPr>
          <w:ilvl w:val="0"/>
          <w:numId w:val="0"/>
        </w:numPr>
        <w:ind w:left="420"/>
        <w:rPr>
          <w:rFonts w:hint="eastAsia" w:ascii="黑体" w:hAnsi="黑体" w:eastAsia="黑体" w:cs="宋体"/>
          <w:szCs w:val="21"/>
        </w:rPr>
      </w:pPr>
      <w:r>
        <w:rPr>
          <w:rFonts w:hint="eastAsia" w:ascii="黑体" w:hAnsi="黑体" w:eastAsia="黑体" w:cs="宋体"/>
          <w:szCs w:val="21"/>
        </w:rPr>
        <w:t>电力建设工程 electric power construction project</w:t>
      </w:r>
    </w:p>
    <w:p w14:paraId="1E3E7BA3">
      <w:pPr>
        <w:pStyle w:val="245"/>
        <w:numPr>
          <w:ilvl w:val="0"/>
          <w:numId w:val="0"/>
        </w:numPr>
        <w:ind w:left="420"/>
      </w:pPr>
      <w:r>
        <w:rPr>
          <w:rFonts w:hint="eastAsia"/>
        </w:rPr>
        <w:t>火电、水电、核电(除核岛外)、新能源发电（包含风力、太阳能、生物质等）、储能等发电建设工程和输变电等电网建设工程。</w:t>
      </w:r>
    </w:p>
    <w:p w14:paraId="5E19CBF1">
      <w:pPr>
        <w:pStyle w:val="245"/>
        <w:ind w:left="0"/>
      </w:pPr>
    </w:p>
    <w:p w14:paraId="1EB1D171">
      <w:pPr>
        <w:pStyle w:val="245"/>
        <w:numPr>
          <w:ilvl w:val="0"/>
          <w:numId w:val="0"/>
        </w:numPr>
        <w:ind w:left="420" w:leftChars="200"/>
      </w:pPr>
      <w:r>
        <w:rPr>
          <w:rFonts w:hint="eastAsia" w:ascii="黑体" w:hAnsi="黑体" w:eastAsia="黑体" w:cs="宋体"/>
          <w:szCs w:val="21"/>
        </w:rPr>
        <w:t>施工单位　</w:t>
      </w:r>
      <w:r>
        <w:rPr>
          <w:rFonts w:ascii="黑体" w:hAnsi="黑体" w:eastAsia="黑体" w:cs="宋体"/>
          <w:szCs w:val="21"/>
        </w:rPr>
        <w:t>construction unit</w:t>
      </w:r>
      <w:r>
        <w:rPr>
          <w:rFonts w:ascii="黑体" w:hAnsi="黑体" w:eastAsia="黑体" w:cs="宋体"/>
          <w:szCs w:val="21"/>
        </w:rPr>
        <w:br w:type="textWrapping"/>
      </w:r>
      <w:r>
        <w:rPr>
          <w:rFonts w:hint="eastAsia"/>
        </w:rPr>
        <w:t>具有相应的资质等级，具备国家规定的安全生产条件，取得安全生产许可证，在许可的范围内从</w:t>
      </w:r>
    </w:p>
    <w:p w14:paraId="26BC9D51">
      <w:pPr>
        <w:pStyle w:val="245"/>
        <w:numPr>
          <w:ilvl w:val="0"/>
          <w:numId w:val="0"/>
        </w:numPr>
        <w:ind w:firstLine="420" w:firstLineChars="200"/>
      </w:pPr>
      <w:r>
        <w:rPr>
          <w:rFonts w:hint="eastAsia"/>
        </w:rPr>
        <w:t>事电力建设工程施工活动的单位。</w:t>
      </w:r>
    </w:p>
    <w:p w14:paraId="2CEBE7EC">
      <w:pPr>
        <w:pStyle w:val="245"/>
        <w:numPr>
          <w:ilvl w:val="0"/>
          <w:numId w:val="0"/>
        </w:numPr>
        <w:ind w:left="420"/>
      </w:pPr>
      <w:r>
        <w:rPr>
          <w:rFonts w:hint="eastAsia"/>
        </w:rPr>
        <w:t>[来源：T/CEC210-2019，3.5]</w:t>
      </w:r>
    </w:p>
    <w:p w14:paraId="712D04C0">
      <w:pPr>
        <w:pStyle w:val="245"/>
        <w:ind w:left="420" w:hanging="420" w:hangingChars="200"/>
      </w:pPr>
    </w:p>
    <w:p w14:paraId="671C268B">
      <w:pPr>
        <w:pStyle w:val="245"/>
        <w:numPr>
          <w:ilvl w:val="0"/>
          <w:numId w:val="0"/>
        </w:numPr>
        <w:ind w:left="420"/>
      </w:pPr>
      <w:r>
        <w:rPr>
          <w:rFonts w:hint="eastAsia" w:ascii="黑体" w:hAnsi="黑体" w:eastAsia="黑体" w:cs="宋体"/>
          <w:szCs w:val="21"/>
        </w:rPr>
        <w:t>安装单位</w:t>
      </w:r>
      <w:r>
        <w:rPr>
          <w:rFonts w:hint="eastAsia" w:ascii="黑体" w:hAnsi="黑体" w:eastAsia="黑体"/>
        </w:rPr>
        <w:t>　</w:t>
      </w:r>
      <w:r>
        <w:rPr>
          <w:rFonts w:ascii="黑体" w:hAnsi="黑体" w:eastAsia="黑体"/>
        </w:rPr>
        <w:t>installation unit</w:t>
      </w:r>
      <w:r>
        <w:rPr>
          <w:rFonts w:ascii="黑体" w:hAnsi="黑体" w:eastAsia="黑体"/>
        </w:rPr>
        <w:br w:type="textWrapping"/>
      </w:r>
      <w:r>
        <w:rPr>
          <w:rFonts w:hint="eastAsia"/>
        </w:rPr>
        <w:t>具有相应的特种设备（起重机械）安装许可证或起重设备安装工程专业承包资质，在许可的范围</w:t>
      </w:r>
    </w:p>
    <w:p w14:paraId="3DFF98CF">
      <w:pPr>
        <w:pStyle w:val="245"/>
        <w:numPr>
          <w:ilvl w:val="0"/>
          <w:numId w:val="0"/>
        </w:numPr>
      </w:pPr>
      <w:r>
        <w:rPr>
          <w:rFonts w:hint="eastAsia"/>
        </w:rPr>
        <w:t>内从事起重机械安装、拆卸的单位。</w:t>
      </w:r>
    </w:p>
    <w:p w14:paraId="11960FC6">
      <w:pPr>
        <w:pStyle w:val="245"/>
        <w:numPr>
          <w:ilvl w:val="0"/>
          <w:numId w:val="0"/>
        </w:numPr>
        <w:ind w:left="420"/>
      </w:pPr>
      <w:r>
        <w:rPr>
          <w:rFonts w:hint="eastAsia"/>
        </w:rPr>
        <w:t>[来源：T/CEC210-2019,3.6，有修改]</w:t>
      </w:r>
      <w:r>
        <w:t xml:space="preserve"> </w:t>
      </w:r>
    </w:p>
    <w:p w14:paraId="44E7D8D9">
      <w:pPr>
        <w:pStyle w:val="245"/>
        <w:ind w:left="420" w:hanging="420" w:hangingChars="200"/>
      </w:pPr>
    </w:p>
    <w:p w14:paraId="0D76E656">
      <w:pPr>
        <w:pStyle w:val="245"/>
        <w:numPr>
          <w:ilvl w:val="0"/>
          <w:numId w:val="0"/>
        </w:numPr>
        <w:ind w:left="420"/>
      </w:pPr>
      <w:r>
        <w:rPr>
          <w:rFonts w:hint="eastAsia" w:ascii="黑体" w:hAnsi="黑体" w:eastAsia="黑体"/>
        </w:rPr>
        <w:t>使用单位　</w:t>
      </w:r>
      <w:r>
        <w:rPr>
          <w:rFonts w:ascii="黑体" w:hAnsi="黑体" w:eastAsia="黑体"/>
        </w:rPr>
        <w:t>using unit</w:t>
      </w:r>
      <w:r>
        <w:rPr>
          <w:rFonts w:ascii="黑体" w:hAnsi="黑体" w:eastAsia="黑体"/>
        </w:rPr>
        <w:br w:type="textWrapping"/>
      </w:r>
      <w:r>
        <w:rPr>
          <w:rFonts w:hint="eastAsia"/>
        </w:rPr>
        <w:t>具有特种设备使用管理权的单位或者具有完全民事能力的自然人。</w:t>
      </w:r>
    </w:p>
    <w:p w14:paraId="256F1B21">
      <w:pPr>
        <w:pStyle w:val="78"/>
        <w:ind w:firstLine="420"/>
      </w:pPr>
      <w:r>
        <w:rPr>
          <w:rFonts w:hint="eastAsia"/>
        </w:rPr>
        <w:t xml:space="preserve">注：对于属于市场监督管理总局监管的起重机械，一般是指特种设备的产权单位（产权所有人），也可以是产权单位通过符合法律规定的合同关系确立的特种设备实际使用管理者。法律另有规定或者当事人合同约定的，从其规定或约定。 </w:t>
      </w:r>
    </w:p>
    <w:p w14:paraId="32708912">
      <w:pPr>
        <w:pStyle w:val="245"/>
        <w:numPr>
          <w:ilvl w:val="0"/>
          <w:numId w:val="0"/>
        </w:numPr>
        <w:ind w:firstLine="420" w:firstLineChars="200"/>
      </w:pPr>
      <w:r>
        <w:rPr>
          <w:rFonts w:hint="eastAsia"/>
        </w:rPr>
        <w:t>对于属于住房和城乡建设部监管的建筑起重机械，是指使用建筑起重机械的施工单位。</w:t>
      </w:r>
    </w:p>
    <w:p w14:paraId="22474757">
      <w:pPr>
        <w:pStyle w:val="245"/>
        <w:numPr>
          <w:ilvl w:val="0"/>
          <w:numId w:val="0"/>
        </w:numPr>
        <w:ind w:left="420"/>
      </w:pPr>
      <w:r>
        <w:rPr>
          <w:rFonts w:hint="eastAsia"/>
        </w:rPr>
        <w:t>[来源：T/CEC210-2019，3.7，有修改]</w:t>
      </w:r>
    </w:p>
    <w:p w14:paraId="2388993E">
      <w:pPr>
        <w:pStyle w:val="245"/>
        <w:ind w:left="420" w:hanging="420" w:hangingChars="200"/>
      </w:pPr>
    </w:p>
    <w:p w14:paraId="4A6BA1AF">
      <w:pPr>
        <w:pStyle w:val="245"/>
        <w:numPr>
          <w:ilvl w:val="0"/>
          <w:numId w:val="0"/>
        </w:numPr>
        <w:ind w:left="420"/>
      </w:pPr>
      <w:r>
        <w:rPr>
          <w:rFonts w:hint="eastAsia" w:ascii="黑体" w:hAnsi="黑体" w:eastAsia="黑体" w:cs="宋体"/>
          <w:szCs w:val="21"/>
        </w:rPr>
        <w:t>特种设备作业人员</w:t>
      </w:r>
      <w:r>
        <w:rPr>
          <w:rFonts w:hint="eastAsia" w:ascii="黑体" w:hAnsi="黑体" w:eastAsia="黑体"/>
        </w:rPr>
        <w:t>　</w:t>
      </w:r>
      <w:r>
        <w:rPr>
          <w:rFonts w:ascii="黑体" w:hAnsi="黑体" w:eastAsia="黑体"/>
        </w:rPr>
        <w:t>operators of special equipment</w:t>
      </w:r>
      <w:r>
        <w:rPr>
          <w:rFonts w:ascii="黑体" w:hAnsi="黑体" w:eastAsia="黑体"/>
        </w:rPr>
        <w:br w:type="textWrapping"/>
      </w:r>
      <w:r>
        <w:rPr>
          <w:rFonts w:hint="eastAsia"/>
        </w:rPr>
        <w:t>锅炉、压力容器（含气瓶）、压力管道、电梯、起重机械、客运索道、大型游乐设施、场（厂）内</w:t>
      </w:r>
    </w:p>
    <w:p w14:paraId="1E269F54">
      <w:pPr>
        <w:pStyle w:val="245"/>
        <w:numPr>
          <w:ilvl w:val="0"/>
          <w:numId w:val="0"/>
        </w:numPr>
      </w:pPr>
      <w:r>
        <w:rPr>
          <w:rFonts w:hint="eastAsia"/>
        </w:rPr>
        <w:t>专用机动车辆等特种设备的作业人员及其相关管理人员。</w:t>
      </w:r>
    </w:p>
    <w:p w14:paraId="4ABB0A72">
      <w:pPr>
        <w:pStyle w:val="245"/>
        <w:numPr>
          <w:ilvl w:val="0"/>
          <w:numId w:val="0"/>
        </w:numPr>
        <w:ind w:left="420"/>
      </w:pPr>
      <w:r>
        <w:rPr>
          <w:rFonts w:hint="eastAsia"/>
        </w:rPr>
        <w:t>注：特种设备作业人员作业种类与项目目录由市场监管管理总局统一发布。</w:t>
      </w:r>
    </w:p>
    <w:p w14:paraId="048C8259">
      <w:pPr>
        <w:pStyle w:val="245"/>
        <w:numPr>
          <w:ilvl w:val="0"/>
          <w:numId w:val="0"/>
        </w:numPr>
        <w:ind w:left="420"/>
      </w:pPr>
      <w:r>
        <w:rPr>
          <w:rFonts w:hint="eastAsia"/>
        </w:rPr>
        <w:t>[来源：T/CEC210-2019，3.8，有修改]</w:t>
      </w:r>
    </w:p>
    <w:p w14:paraId="1D713606">
      <w:pPr>
        <w:pStyle w:val="245"/>
        <w:ind w:left="420" w:hanging="420" w:hangingChars="200"/>
      </w:pPr>
    </w:p>
    <w:p w14:paraId="1B3245AB">
      <w:pPr>
        <w:pStyle w:val="245"/>
        <w:numPr>
          <w:ilvl w:val="0"/>
          <w:numId w:val="0"/>
        </w:numPr>
        <w:ind w:left="420"/>
      </w:pPr>
      <w:r>
        <w:rPr>
          <w:rFonts w:hint="eastAsia" w:ascii="黑体" w:hAnsi="黑体" w:eastAsia="黑体"/>
        </w:rPr>
        <w:t xml:space="preserve">移装 </w:t>
      </w:r>
      <w:r>
        <w:rPr>
          <w:rFonts w:ascii="黑体" w:hAnsi="黑体" w:eastAsia="黑体"/>
        </w:rPr>
        <w:t>re-erection</w:t>
      </w:r>
      <w:r>
        <w:rPr>
          <w:rFonts w:ascii="黑体" w:hAnsi="黑体" w:eastAsia="黑体"/>
        </w:rPr>
        <w:br w:type="textWrapping"/>
      </w:r>
      <w:r>
        <w:rPr>
          <w:rFonts w:hint="eastAsia"/>
        </w:rPr>
        <w:t>门机从一个使用场地拆卸、检查维护、运输到另一使用场地再安装架设的全过程。</w:t>
      </w:r>
    </w:p>
    <w:p w14:paraId="72A78184">
      <w:pPr>
        <w:pStyle w:val="245"/>
        <w:numPr>
          <w:ilvl w:val="0"/>
          <w:numId w:val="0"/>
        </w:numPr>
        <w:ind w:left="420"/>
      </w:pPr>
      <w:r>
        <w:rPr>
          <w:rFonts w:hint="eastAsia"/>
        </w:rPr>
        <w:t>[来源：GB/T 31052.3-2016，3.1，有修改]</w:t>
      </w:r>
    </w:p>
    <w:p w14:paraId="1F20A156">
      <w:pPr>
        <w:pStyle w:val="245"/>
        <w:ind w:left="420" w:hanging="420" w:hangingChars="200"/>
      </w:pPr>
    </w:p>
    <w:p w14:paraId="41DA27CD">
      <w:pPr>
        <w:pStyle w:val="245"/>
        <w:numPr>
          <w:ilvl w:val="0"/>
          <w:numId w:val="0"/>
        </w:numPr>
        <w:ind w:left="420"/>
      </w:pPr>
      <w:r>
        <w:rPr>
          <w:rFonts w:hint="eastAsia" w:ascii="黑体" w:hAnsi="黑体" w:eastAsia="黑体"/>
        </w:rPr>
        <w:t>入场验收 a</w:t>
      </w:r>
      <w:r>
        <w:rPr>
          <w:rFonts w:ascii="黑体" w:hAnsi="黑体" w:eastAsia="黑体"/>
        </w:rPr>
        <w:t>dmission acceptanc</w:t>
      </w:r>
      <w:r>
        <w:rPr>
          <w:rFonts w:ascii="黑体" w:hAnsi="黑体" w:eastAsia="黑体"/>
        </w:rPr>
        <w:br w:type="textWrapping"/>
      </w:r>
      <w:r>
        <w:rPr>
          <w:rFonts w:hint="eastAsia"/>
        </w:rPr>
        <w:t>门机进入工程项目时对门机部件外观、金属机构、重要零部件、资质文件等进行的全面检查和接收。</w:t>
      </w:r>
    </w:p>
    <w:p w14:paraId="6935A8DB">
      <w:pPr>
        <w:pStyle w:val="245"/>
        <w:ind w:left="420" w:hanging="420" w:hangingChars="200"/>
      </w:pPr>
    </w:p>
    <w:p w14:paraId="4A9BBB0A">
      <w:pPr>
        <w:pStyle w:val="245"/>
        <w:numPr>
          <w:ilvl w:val="0"/>
          <w:numId w:val="0"/>
        </w:numPr>
        <w:ind w:left="420"/>
      </w:pPr>
      <w:r>
        <w:rPr>
          <w:rFonts w:hint="eastAsia" w:ascii="黑体" w:hAnsi="黑体" w:eastAsia="黑体"/>
        </w:rPr>
        <w:t xml:space="preserve">保养 </w:t>
      </w:r>
      <w:r>
        <w:rPr>
          <w:rFonts w:ascii="黑体" w:hAnsi="黑体" w:eastAsia="黑体"/>
        </w:rPr>
        <w:t>preventing maintenance</w:t>
      </w:r>
      <w:r>
        <w:rPr>
          <w:rFonts w:ascii="黑体" w:hAnsi="黑体" w:eastAsia="黑体"/>
        </w:rPr>
        <w:br w:type="textWrapping"/>
      </w:r>
      <w:r>
        <w:rPr>
          <w:rFonts w:hint="eastAsia"/>
        </w:rPr>
        <w:t>为保证起重机正常及安全运行,而按计划所进行的必要的作业,包括：清洁、润滑、紧固、调整、防</w:t>
      </w:r>
    </w:p>
    <w:p w14:paraId="53635489">
      <w:pPr>
        <w:pStyle w:val="245"/>
        <w:numPr>
          <w:ilvl w:val="0"/>
          <w:numId w:val="0"/>
        </w:numPr>
      </w:pPr>
      <w:r>
        <w:rPr>
          <w:rFonts w:hint="eastAsia"/>
        </w:rPr>
        <w:t>腐等。</w:t>
      </w:r>
    </w:p>
    <w:p w14:paraId="24AEE6CF">
      <w:pPr>
        <w:pStyle w:val="245"/>
        <w:numPr>
          <w:ilvl w:val="0"/>
          <w:numId w:val="0"/>
        </w:numPr>
        <w:ind w:left="420"/>
      </w:pPr>
      <w:r>
        <w:rPr>
          <w:rFonts w:hint="eastAsia"/>
        </w:rPr>
        <w:t>[来源：GB/T 31052.3-2016，3.6]</w:t>
      </w:r>
    </w:p>
    <w:p w14:paraId="64D96146">
      <w:pPr>
        <w:pStyle w:val="245"/>
        <w:ind w:left="420" w:hanging="420" w:hangingChars="200"/>
      </w:pPr>
    </w:p>
    <w:p w14:paraId="02759E9D">
      <w:pPr>
        <w:pStyle w:val="245"/>
        <w:numPr>
          <w:ilvl w:val="0"/>
          <w:numId w:val="0"/>
        </w:numPr>
        <w:ind w:left="420"/>
      </w:pPr>
      <w:r>
        <w:rPr>
          <w:rFonts w:hint="eastAsia" w:ascii="黑体" w:hAnsi="黑体" w:eastAsia="黑体"/>
        </w:rPr>
        <w:t xml:space="preserve">修理 </w:t>
      </w:r>
      <w:r>
        <w:rPr>
          <w:rFonts w:ascii="黑体" w:hAnsi="黑体" w:eastAsia="黑体"/>
        </w:rPr>
        <w:t>repair</w:t>
      </w:r>
      <w:r>
        <w:rPr>
          <w:rFonts w:ascii="黑体" w:hAnsi="黑体" w:eastAsia="黑体"/>
        </w:rPr>
        <w:br w:type="textWrapping"/>
      </w:r>
      <w:r>
        <w:rPr>
          <w:rFonts w:hint="eastAsia"/>
        </w:rPr>
        <w:t>针对日常的或不正常的原因而造成影响起重机正常工作的设备损坏及故障等,通过修理或更换受损的零部件,使设备功能得到恢复的一系列工作。</w:t>
      </w:r>
    </w:p>
    <w:p w14:paraId="75529AE3">
      <w:pPr>
        <w:pStyle w:val="245"/>
        <w:numPr>
          <w:ilvl w:val="0"/>
          <w:numId w:val="0"/>
        </w:numPr>
        <w:ind w:left="420"/>
      </w:pPr>
      <w:r>
        <w:rPr>
          <w:rFonts w:hint="eastAsia"/>
        </w:rPr>
        <w:t>[来源：GB/T 31052.3-2016，3.7]</w:t>
      </w:r>
    </w:p>
    <w:p w14:paraId="7D0CFCF6">
      <w:pPr>
        <w:pStyle w:val="126"/>
        <w:spacing w:before="240" w:after="240"/>
      </w:pPr>
      <w:bookmarkStart w:id="49" w:name="_Toc197967331"/>
      <w:bookmarkStart w:id="50" w:name="_Hlk501038686"/>
      <w:r>
        <w:rPr>
          <w:rFonts w:hint="eastAsia"/>
        </w:rPr>
        <w:t>总体要求</w:t>
      </w:r>
      <w:bookmarkEnd w:id="49"/>
    </w:p>
    <w:p w14:paraId="76515BEE">
      <w:pPr>
        <w:pStyle w:val="127"/>
        <w:spacing w:before="120" w:after="120"/>
      </w:pPr>
      <w:bookmarkStart w:id="51" w:name="_Toc193374552"/>
      <w:bookmarkStart w:id="52" w:name="_Toc197967332"/>
      <w:r>
        <w:rPr>
          <w:rFonts w:hint="eastAsia"/>
        </w:rPr>
        <w:t>安装、使用和租赁单位</w:t>
      </w:r>
      <w:bookmarkEnd w:id="51"/>
      <w:bookmarkEnd w:id="52"/>
    </w:p>
    <w:p w14:paraId="2A40AF53">
      <w:pPr>
        <w:pStyle w:val="187"/>
      </w:pPr>
      <w:r>
        <w:rPr>
          <w:rFonts w:hint="eastAsia"/>
        </w:rPr>
        <w:t>门机安全使用工作应当坚持安全第一、预防为主、节能环保、综合治理的原则，建立“企业负责、职工参与、行业自律、政府监管、社会监督”的管理机制。</w:t>
      </w:r>
    </w:p>
    <w:p w14:paraId="0E92D25B">
      <w:pPr>
        <w:pStyle w:val="187"/>
      </w:pPr>
      <w:r>
        <w:rPr>
          <w:rFonts w:hint="eastAsia"/>
        </w:rPr>
        <w:t>门机安装、使用、租赁等单位应落实安全生产主体责任，建立安全生产责任制，建立健全安全生产保证体系和监督体系，健全安全管理规章制度，保障安全生产投入，加强安全教育培训，推进安全生产标准化建设，依靠科学管理和技术进步，提高门机安全管理水平。</w:t>
      </w:r>
    </w:p>
    <w:p w14:paraId="319CA050">
      <w:pPr>
        <w:pStyle w:val="187"/>
        <w:rPr>
          <w:color w:val="FF0000"/>
        </w:rPr>
      </w:pPr>
      <w:r>
        <w:rPr>
          <w:rFonts w:hint="eastAsia"/>
        </w:rPr>
        <w:t>门机使用单位应当建立健全门机安全和节能责任制度，加强安全和节能管理，确保门机使用安全，符合节能和绿色施工要求。</w:t>
      </w:r>
    </w:p>
    <w:p w14:paraId="60BED9D4">
      <w:pPr>
        <w:pStyle w:val="187"/>
      </w:pPr>
      <w:r>
        <w:rPr>
          <w:rFonts w:hint="eastAsia"/>
        </w:rPr>
        <w:t>门机安装、使用、租赁等单位及其主要负责人对其安装、使用的门机安全负责。</w:t>
      </w:r>
    </w:p>
    <w:p w14:paraId="14B77FC5">
      <w:pPr>
        <w:pStyle w:val="187"/>
      </w:pPr>
      <w:r>
        <w:rPr>
          <w:rFonts w:hint="eastAsia"/>
        </w:rPr>
        <w:t>门机安装单位应取得安装许可资质。</w:t>
      </w:r>
    </w:p>
    <w:p w14:paraId="5EAD75AB">
      <w:pPr>
        <w:pStyle w:val="78"/>
        <w:spacing w:after="0"/>
        <w:ind w:firstLine="420"/>
      </w:pPr>
      <w:r>
        <w:rPr>
          <w:rFonts w:hint="eastAsia"/>
        </w:rPr>
        <w:t>适用于市场监督管理总局监管的门机，安装单位具备相应的特种设备(起重机械)安装许可证。</w:t>
      </w:r>
    </w:p>
    <w:p w14:paraId="3F87F770">
      <w:pPr>
        <w:pStyle w:val="78"/>
        <w:spacing w:after="0"/>
        <w:ind w:firstLine="420"/>
      </w:pPr>
      <w:r>
        <w:rPr>
          <w:rFonts w:hint="eastAsia"/>
        </w:rPr>
        <w:t>适用于</w:t>
      </w:r>
      <w:bookmarkStart w:id="53" w:name="_Hlk195102260"/>
      <w:r>
        <w:rPr>
          <w:rFonts w:hint="eastAsia"/>
        </w:rPr>
        <w:t>住房和城乡建设部</w:t>
      </w:r>
      <w:bookmarkEnd w:id="53"/>
      <w:r>
        <w:rPr>
          <w:rFonts w:hint="eastAsia"/>
        </w:rPr>
        <w:t>监管的门机，安装单位具备相应的起重设备安装工程专业承包资质和建筑施工企业安全生产许可证，在许可的范围内从事门机安装、拆卸。</w:t>
      </w:r>
    </w:p>
    <w:p w14:paraId="5E2C671E">
      <w:pPr>
        <w:pStyle w:val="187"/>
      </w:pPr>
      <w:r>
        <w:rPr>
          <w:rFonts w:hint="eastAsia"/>
        </w:rPr>
        <w:t>门机改造应委托原生产厂家或有相应资质的单位进行。</w:t>
      </w:r>
    </w:p>
    <w:p w14:paraId="687CC529">
      <w:pPr>
        <w:pStyle w:val="127"/>
        <w:spacing w:before="120" w:after="120"/>
      </w:pPr>
      <w:bookmarkStart w:id="54" w:name="_Toc197967333"/>
      <w:r>
        <w:rPr>
          <w:rFonts w:hint="eastAsia"/>
        </w:rPr>
        <w:t>人员</w:t>
      </w:r>
      <w:bookmarkEnd w:id="54"/>
    </w:p>
    <w:p w14:paraId="15A498E1">
      <w:pPr>
        <w:pStyle w:val="187"/>
      </w:pPr>
      <w:r>
        <w:rPr>
          <w:rFonts w:hint="eastAsia"/>
        </w:rPr>
        <w:t>门机特种作业人员和特种设备作业人员应按照国家有关规定经过专门的安全作业培训，取得特种作业操作证、建筑施工特种作业人员操作资格证、特种设备作业人员证，方可从事相应的作业。</w:t>
      </w:r>
    </w:p>
    <w:p w14:paraId="6689A130">
      <w:pPr>
        <w:pStyle w:val="78"/>
        <w:spacing w:after="0"/>
        <w:ind w:firstLine="420"/>
      </w:pPr>
      <w:r>
        <w:rPr>
          <w:rFonts w:hint="eastAsia"/>
        </w:rPr>
        <w:t>适用于市场监督管理总局监管的门机，用人单位应当聘(雇)用取得特种设备作业人员证的人员从事相关管理和作业工作。</w:t>
      </w:r>
    </w:p>
    <w:p w14:paraId="48F9AA25">
      <w:pPr>
        <w:pStyle w:val="78"/>
        <w:spacing w:after="0"/>
        <w:ind w:firstLine="420"/>
      </w:pPr>
      <w:r>
        <w:rPr>
          <w:rFonts w:hint="eastAsia"/>
        </w:rPr>
        <w:t>适用于住房和城乡建设部所监管的门机，建筑施工特种作业人员应经建设主管部门考核合格，取得建筑施工特种作业人员操作资格证书。</w:t>
      </w:r>
    </w:p>
    <w:p w14:paraId="2D012303">
      <w:pPr>
        <w:pStyle w:val="187"/>
      </w:pPr>
      <w:r>
        <w:rPr>
          <w:rFonts w:hint="eastAsia"/>
        </w:rPr>
        <w:t>特种设备作业人员、特种作业人员和建筑施工特种作业人员资格证书应在有效期内，且符合GB/T 6067.1的规定要求，经用人单位的法定代表人或其授权人雇(聘)用后，方可在许可范围内作业。</w:t>
      </w:r>
    </w:p>
    <w:p w14:paraId="1FA8EE34">
      <w:pPr>
        <w:pStyle w:val="187"/>
        <w:rPr>
          <w:color w:val="000000" w:themeColor="text1"/>
          <w14:textFill>
            <w14:solidFill>
              <w14:schemeClr w14:val="tx1"/>
            </w14:solidFill>
          </w14:textFill>
        </w:rPr>
      </w:pPr>
      <w:r>
        <w:rPr>
          <w:rFonts w:hint="eastAsia"/>
          <w:color w:val="000000" w:themeColor="text1"/>
          <w14:textFill>
            <w14:solidFill>
              <w14:schemeClr w14:val="tx1"/>
            </w14:solidFill>
          </w14:textFill>
        </w:rPr>
        <w:t>地面操作人员或遥控操作人员不需要取得《特种设备作业人员证》，由使用单位进行培训和管理。</w:t>
      </w:r>
    </w:p>
    <w:p w14:paraId="2EC6F8A3">
      <w:pPr>
        <w:pStyle w:val="187"/>
      </w:pPr>
      <w:r>
        <w:rPr>
          <w:rFonts w:hint="eastAsia"/>
        </w:rPr>
        <w:t>检查人员和维护人员应符合 GB/T  23723.3、GB/T  28758 的要求并具有相应的资格或经培训合格。</w:t>
      </w:r>
    </w:p>
    <w:p w14:paraId="223D6473">
      <w:pPr>
        <w:pStyle w:val="127"/>
        <w:spacing w:before="120" w:after="120"/>
      </w:pPr>
      <w:bookmarkStart w:id="55" w:name="_Toc197967334"/>
      <w:r>
        <w:rPr>
          <w:rFonts w:hint="eastAsia"/>
        </w:rPr>
        <w:t>专项施工方案</w:t>
      </w:r>
      <w:bookmarkEnd w:id="55"/>
    </w:p>
    <w:p w14:paraId="28436473">
      <w:pPr>
        <w:pStyle w:val="187"/>
      </w:pPr>
      <w:r>
        <w:rPr>
          <w:rFonts w:hint="eastAsia"/>
        </w:rPr>
        <w:t>门机安装与拆卸前，安装单位应编制专项施工方案，指导作业人员实施安装与拆卸作业。门机自身的安装、拆卸都属于危险性较大的分部分项工程，起重量600kN及以上或搭设基础标高在200m及上的安装、拆卸工程都属于超过一定规模的危险性较大的分部分项工程。专项施工方案内容及审批程序应符合NB/T 10096要求。</w:t>
      </w:r>
    </w:p>
    <w:p w14:paraId="3C714CFF">
      <w:pPr>
        <w:pStyle w:val="78"/>
        <w:spacing w:after="0"/>
        <w:ind w:firstLine="420"/>
      </w:pPr>
      <w:r>
        <w:rPr>
          <w:rFonts w:hint="eastAsia"/>
        </w:rPr>
        <w:t>适用于住房和城乡建设部监管的门机，专项施工方案内容参照《危险性较大的分部分项工程专项施工方案编制指南》（建办质〔2021〕48 号）文件要求，审批程序应符合《危险性较大的分部分项工程安全管理规定》（住房和城乡建设部令第37号）要求。</w:t>
      </w:r>
    </w:p>
    <w:p w14:paraId="61A39579">
      <w:pPr>
        <w:pStyle w:val="187"/>
      </w:pPr>
      <w:r>
        <w:rPr>
          <w:rFonts w:hint="eastAsia"/>
        </w:rPr>
        <w:t>受台风影响的地区门机安装、拆卸和使用，专项施工方案应有防台风预案内容。</w:t>
      </w:r>
    </w:p>
    <w:p w14:paraId="5BAA1DB2">
      <w:pPr>
        <w:pStyle w:val="127"/>
        <w:spacing w:before="120" w:after="120"/>
      </w:pPr>
      <w:bookmarkStart w:id="56" w:name="_Toc197967335"/>
      <w:r>
        <w:rPr>
          <w:rFonts w:hint="eastAsia"/>
        </w:rPr>
        <w:t>档案</w:t>
      </w:r>
      <w:bookmarkEnd w:id="56"/>
    </w:p>
    <w:p w14:paraId="28420E3B">
      <w:pPr>
        <w:pStyle w:val="187"/>
      </w:pPr>
      <w:r>
        <w:rPr>
          <w:rFonts w:hint="eastAsia"/>
        </w:rPr>
        <w:t>使用单位应逐台建立并保存门机安全与节能技术档案，档案内容至少应包括：</w:t>
      </w:r>
    </w:p>
    <w:p w14:paraId="23D88451">
      <w:pPr>
        <w:pStyle w:val="196"/>
        <w:numPr>
          <w:ilvl w:val="0"/>
          <w:numId w:val="32"/>
        </w:numPr>
        <w:spacing w:after="0"/>
      </w:pPr>
      <w:r>
        <w:rPr>
          <w:rFonts w:hint="eastAsia"/>
        </w:rPr>
        <w:t>使用登记证；</w:t>
      </w:r>
    </w:p>
    <w:p w14:paraId="4458D7A4">
      <w:pPr>
        <w:pStyle w:val="196"/>
        <w:numPr>
          <w:ilvl w:val="0"/>
          <w:numId w:val="32"/>
        </w:numPr>
        <w:spacing w:after="0"/>
      </w:pPr>
      <w:r>
        <w:rPr>
          <w:rFonts w:hint="eastAsia"/>
        </w:rPr>
        <w:t>设计、制造技术资料和文件；</w:t>
      </w:r>
    </w:p>
    <w:p w14:paraId="1F557B9B">
      <w:pPr>
        <w:pStyle w:val="196"/>
        <w:numPr>
          <w:ilvl w:val="0"/>
          <w:numId w:val="32"/>
        </w:numPr>
        <w:spacing w:after="0"/>
      </w:pPr>
      <w:r>
        <w:rPr>
          <w:rFonts w:hint="eastAsia"/>
        </w:rPr>
        <w:t>安装、拆卸、大修、改造的方案、记录及报告；</w:t>
      </w:r>
    </w:p>
    <w:p w14:paraId="2D73B8A9">
      <w:pPr>
        <w:pStyle w:val="196"/>
        <w:numPr>
          <w:ilvl w:val="0"/>
          <w:numId w:val="32"/>
        </w:numPr>
        <w:spacing w:after="0"/>
      </w:pPr>
      <w:r>
        <w:rPr>
          <w:rFonts w:hint="eastAsia"/>
        </w:rPr>
        <w:t>日常使用状况记录；</w:t>
      </w:r>
    </w:p>
    <w:p w14:paraId="2E75ADCB">
      <w:pPr>
        <w:pStyle w:val="196"/>
        <w:numPr>
          <w:ilvl w:val="0"/>
          <w:numId w:val="32"/>
        </w:numPr>
        <w:spacing w:after="0"/>
      </w:pPr>
      <w:r>
        <w:rPr>
          <w:rFonts w:hint="eastAsia"/>
        </w:rPr>
        <w:t>定期检查记录和报告;</w:t>
      </w:r>
    </w:p>
    <w:p w14:paraId="4CD29EFB">
      <w:pPr>
        <w:pStyle w:val="196"/>
        <w:numPr>
          <w:ilvl w:val="0"/>
          <w:numId w:val="32"/>
        </w:numPr>
        <w:spacing w:after="0"/>
      </w:pPr>
      <w:r>
        <w:rPr>
          <w:rFonts w:hint="eastAsia"/>
        </w:rPr>
        <w:t>运行故障和事故记录及事故处理报告;</w:t>
      </w:r>
    </w:p>
    <w:p w14:paraId="1AEB3D02">
      <w:pPr>
        <w:pStyle w:val="196"/>
        <w:numPr>
          <w:ilvl w:val="0"/>
          <w:numId w:val="32"/>
        </w:numPr>
        <w:spacing w:after="0"/>
      </w:pPr>
      <w:r>
        <w:rPr>
          <w:rFonts w:hint="eastAsia"/>
        </w:rPr>
        <w:t>安全附件和安全保护装置、仪器仪表维护保养、校验记录和报告；</w:t>
      </w:r>
    </w:p>
    <w:p w14:paraId="179D4F64">
      <w:pPr>
        <w:pStyle w:val="196"/>
        <w:numPr>
          <w:ilvl w:val="0"/>
          <w:numId w:val="32"/>
        </w:numPr>
        <w:spacing w:after="0"/>
        <w:rPr>
          <w:rFonts w:hint="eastAsia"/>
        </w:rPr>
      </w:pPr>
      <w:r>
        <w:rPr>
          <w:rFonts w:hint="eastAsia"/>
        </w:rPr>
        <w:t>与门机安全有关的评估报告。</w:t>
      </w:r>
    </w:p>
    <w:p w14:paraId="7AAD2D8F">
      <w:pPr>
        <w:pStyle w:val="127"/>
        <w:spacing w:before="120" w:after="120"/>
      </w:pPr>
      <w:bookmarkStart w:id="57" w:name="_Toc197967336"/>
      <w:bookmarkStart w:id="58" w:name="_Toc193374556"/>
      <w:r>
        <w:rPr>
          <w:rFonts w:hint="eastAsia"/>
        </w:rPr>
        <w:t>其它</w:t>
      </w:r>
      <w:bookmarkEnd w:id="57"/>
      <w:bookmarkEnd w:id="58"/>
    </w:p>
    <w:p w14:paraId="60B9D0AA">
      <w:pPr>
        <w:pStyle w:val="78"/>
        <w:ind w:firstLine="420"/>
      </w:pPr>
      <w:r>
        <w:rPr>
          <w:rFonts w:hint="eastAsia"/>
        </w:rPr>
        <w:t>门机安全使用管理除应符合本文件外，尚应执行起重机械法律法规、部门规章、安全技术规范及相关标准。</w:t>
      </w:r>
    </w:p>
    <w:p w14:paraId="53870490">
      <w:pPr>
        <w:pStyle w:val="126"/>
        <w:spacing w:before="240" w:after="240"/>
      </w:pPr>
      <w:bookmarkStart w:id="59" w:name="_Toc197967337"/>
      <w:r>
        <w:rPr>
          <w:rFonts w:hint="eastAsia"/>
        </w:rPr>
        <w:t>入场验收</w:t>
      </w:r>
      <w:bookmarkEnd w:id="59"/>
    </w:p>
    <w:p w14:paraId="7DC6FD59">
      <w:pPr>
        <w:pStyle w:val="127"/>
        <w:spacing w:before="120" w:after="120"/>
      </w:pPr>
      <w:bookmarkStart w:id="60" w:name="_Toc197967338"/>
      <w:r>
        <w:rPr>
          <w:rFonts w:hint="eastAsia"/>
        </w:rPr>
        <w:t>验收组织</w:t>
      </w:r>
      <w:bookmarkEnd w:id="60"/>
    </w:p>
    <w:p w14:paraId="55F234E5">
      <w:pPr>
        <w:pStyle w:val="187"/>
      </w:pPr>
      <w:r>
        <w:rPr>
          <w:rFonts w:hint="eastAsia"/>
        </w:rPr>
        <w:t>门机入场验收由施工单位组织，并填写门机入场验收表（见附件A）。</w:t>
      </w:r>
    </w:p>
    <w:p w14:paraId="47E40EE1">
      <w:pPr>
        <w:pStyle w:val="187"/>
      </w:pPr>
      <w:r>
        <w:rPr>
          <w:rFonts w:hint="eastAsia"/>
        </w:rPr>
        <w:t>租赁的门机进场时，由施工单位组织对门机技术、安全状况以及5.2规定的资料等进行检查验收，符合要求才能准予进场。</w:t>
      </w:r>
    </w:p>
    <w:p w14:paraId="131BB7D7">
      <w:pPr>
        <w:pStyle w:val="187"/>
      </w:pPr>
      <w:r>
        <w:rPr>
          <w:rFonts w:hint="eastAsia"/>
        </w:rPr>
        <w:t>实行工程总承包的，工程总承包单位应对施工单位的门机入厂检验情况进行审查，并报送监理单位统一进行确认。</w:t>
      </w:r>
    </w:p>
    <w:p w14:paraId="29686E60">
      <w:pPr>
        <w:pStyle w:val="187"/>
      </w:pPr>
      <w:r>
        <w:rPr>
          <w:rFonts w:hint="eastAsia"/>
        </w:rPr>
        <w:t>监理单位应对进场门机的基本状况进行检查，编制基本情况报告，并报建设单位备案。</w:t>
      </w:r>
    </w:p>
    <w:p w14:paraId="265F265A">
      <w:pPr>
        <w:pStyle w:val="127"/>
        <w:spacing w:before="120" w:after="120"/>
      </w:pPr>
      <w:bookmarkStart w:id="61" w:name="_Toc197967339"/>
      <w:r>
        <w:rPr>
          <w:rFonts w:hint="eastAsia"/>
        </w:rPr>
        <w:t>资料验收</w:t>
      </w:r>
      <w:bookmarkEnd w:id="61"/>
    </w:p>
    <w:p w14:paraId="2B4F1D7E">
      <w:pPr>
        <w:pStyle w:val="78"/>
        <w:ind w:firstLine="420"/>
      </w:pPr>
      <w:r>
        <w:rPr>
          <w:rFonts w:hint="eastAsia"/>
        </w:rPr>
        <w:t>门机入场前，应验收安全技术规范要求的设计文件、生产许可证和型式试验合格证、产品质量合格证明、安装及使用维护保养说明书、使用登记证、安装单位资质、特种设备作业人员、特种作业人员及相关人员资格等技术资料和文件。对于房屋建筑和市政基础设施工程的门机还应有产权备案证明。</w:t>
      </w:r>
    </w:p>
    <w:p w14:paraId="152B399A">
      <w:pPr>
        <w:pStyle w:val="127"/>
        <w:spacing w:before="120" w:after="120"/>
      </w:pPr>
      <w:bookmarkStart w:id="62" w:name="_Toc197967340"/>
      <w:r>
        <w:rPr>
          <w:rFonts w:hint="eastAsia"/>
        </w:rPr>
        <w:t>现场验收</w:t>
      </w:r>
      <w:bookmarkEnd w:id="62"/>
    </w:p>
    <w:p w14:paraId="364D7FB8">
      <w:pPr>
        <w:pStyle w:val="187"/>
      </w:pPr>
      <w:r>
        <w:rPr>
          <w:rFonts w:hint="eastAsia"/>
        </w:rPr>
        <w:t>门机到达现场，应对照零部件清单，核对零部件、安全装置及</w:t>
      </w:r>
      <w:bookmarkStart w:id="63" w:name="OLE_LINK3"/>
      <w:r>
        <w:rPr>
          <w:rFonts w:hint="eastAsia"/>
          <w:color w:val="FF0000"/>
        </w:rPr>
        <w:t>视频监控系统</w:t>
      </w:r>
      <w:bookmarkEnd w:id="63"/>
      <w:r>
        <w:rPr>
          <w:rFonts w:hint="eastAsia"/>
        </w:rPr>
        <w:t>等是否齐全并符合出厂配置要求。零部件、安全装置有缺损的，应告知门机产权单位补齐、更换。</w:t>
      </w:r>
    </w:p>
    <w:p w14:paraId="56298737">
      <w:pPr>
        <w:pStyle w:val="187"/>
      </w:pPr>
      <w:r>
        <w:rPr>
          <w:rFonts w:hint="eastAsia"/>
        </w:rPr>
        <w:t>对结构件进行检查，若发现结构件有可见裂纹、严重锈蚀、整体或局部塑性变形，连接销轴（孔）有严重磨损变形以及焊缝开焊、裂纹的情形时，应进行修复。</w:t>
      </w:r>
    </w:p>
    <w:p w14:paraId="12352CDD">
      <w:pPr>
        <w:pStyle w:val="187"/>
      </w:pPr>
      <w:r>
        <w:rPr>
          <w:rFonts w:hint="eastAsia"/>
        </w:rPr>
        <w:t>起重量20t及以上的门机，应安装有起重量指示器。</w:t>
      </w:r>
    </w:p>
    <w:p w14:paraId="1D06D2A2">
      <w:pPr>
        <w:pStyle w:val="127"/>
        <w:spacing w:before="120" w:after="120"/>
      </w:pPr>
      <w:bookmarkStart w:id="64" w:name="_Toc197967341"/>
      <w:r>
        <w:rPr>
          <w:rFonts w:hint="eastAsia"/>
        </w:rPr>
        <w:t>其它</w:t>
      </w:r>
      <w:bookmarkEnd w:id="64"/>
    </w:p>
    <w:p w14:paraId="29CB5B1B">
      <w:pPr>
        <w:pStyle w:val="187"/>
      </w:pPr>
      <w:r>
        <w:rPr>
          <w:rFonts w:hint="eastAsia"/>
        </w:rPr>
        <w:t>使用单位外租门机时，宜到外租门机所在场地进行初次验收，门机进场后再次组织验收。</w:t>
      </w:r>
    </w:p>
    <w:p w14:paraId="7972F4DF">
      <w:pPr>
        <w:pStyle w:val="187"/>
      </w:pPr>
      <w:r>
        <w:rPr>
          <w:rFonts w:hint="eastAsia"/>
        </w:rPr>
        <w:t>新购门机首次入场时，使用单位应协同安装单位与门机生产厂家三方共同验收。</w:t>
      </w:r>
    </w:p>
    <w:p w14:paraId="4A28F597">
      <w:pPr>
        <w:pStyle w:val="187"/>
        <w:adjustRightInd w:val="0"/>
        <w:snapToGrid w:val="0"/>
      </w:pPr>
      <w:r>
        <w:rPr>
          <w:rFonts w:hint="eastAsia"/>
        </w:rPr>
        <w:t>特殊环境条件下（高寒、高温、高原、高盐雾等）使用的门机应与生产厂家联系按相关规定进行验收。</w:t>
      </w:r>
    </w:p>
    <w:p w14:paraId="20626EF5">
      <w:pPr>
        <w:pStyle w:val="187"/>
      </w:pPr>
      <w:r>
        <w:rPr>
          <w:rFonts w:hint="eastAsia"/>
        </w:rPr>
        <w:t>有下列情况之一的门机不应入场使用：</w:t>
      </w:r>
    </w:p>
    <w:p w14:paraId="7B478351">
      <w:pPr>
        <w:pStyle w:val="115"/>
        <w:spacing w:after="0"/>
      </w:pPr>
      <w:r>
        <w:rPr>
          <w:rFonts w:hint="eastAsia"/>
        </w:rPr>
        <w:t>国家明令淘汰的产品；</w:t>
      </w:r>
    </w:p>
    <w:p w14:paraId="0185C439">
      <w:pPr>
        <w:pStyle w:val="115"/>
        <w:spacing w:after="0"/>
      </w:pPr>
      <w:r>
        <w:rPr>
          <w:rFonts w:hint="eastAsia"/>
        </w:rPr>
        <w:t>超过规定使用年限经评估不合格的产品；</w:t>
      </w:r>
    </w:p>
    <w:p w14:paraId="03C573AF">
      <w:pPr>
        <w:pStyle w:val="115"/>
        <w:spacing w:after="0"/>
      </w:pPr>
      <w:r>
        <w:rPr>
          <w:rFonts w:hint="eastAsia"/>
        </w:rPr>
        <w:t>不符合国家现行相关标准的产品；</w:t>
      </w:r>
    </w:p>
    <w:p w14:paraId="48F3C429">
      <w:pPr>
        <w:pStyle w:val="115"/>
        <w:spacing w:after="0"/>
      </w:pPr>
      <w:r>
        <w:rPr>
          <w:rFonts w:hint="eastAsia"/>
        </w:rPr>
        <w:t>没有完整安全技术档案的产品；</w:t>
      </w:r>
    </w:p>
    <w:p w14:paraId="4AB93816">
      <w:pPr>
        <w:pStyle w:val="115"/>
        <w:spacing w:after="0"/>
      </w:pPr>
      <w:r>
        <w:rPr>
          <w:rFonts w:hint="eastAsia"/>
        </w:rPr>
        <w:t>没有齐全有效的安全保护装置的产品。</w:t>
      </w:r>
      <w:r>
        <w:t xml:space="preserve"> </w:t>
      </w:r>
    </w:p>
    <w:p w14:paraId="3EA980C1">
      <w:pPr>
        <w:pStyle w:val="126"/>
        <w:spacing w:before="240" w:after="240"/>
      </w:pPr>
      <w:bookmarkStart w:id="65" w:name="_Toc197967342"/>
      <w:bookmarkStart w:id="66" w:name="_Hlk173075048"/>
      <w:r>
        <w:rPr>
          <w:rFonts w:hint="eastAsia"/>
        </w:rPr>
        <w:t>安装与拆卸</w:t>
      </w:r>
      <w:bookmarkEnd w:id="65"/>
    </w:p>
    <w:p w14:paraId="07BD4103">
      <w:pPr>
        <w:pStyle w:val="127"/>
        <w:spacing w:before="120" w:after="120"/>
      </w:pPr>
      <w:bookmarkStart w:id="67" w:name="_Toc197967343"/>
      <w:r>
        <w:rPr>
          <w:rFonts w:hint="eastAsia"/>
        </w:rPr>
        <w:t>选型</w:t>
      </w:r>
      <w:bookmarkEnd w:id="67"/>
    </w:p>
    <w:p w14:paraId="0273BBDA">
      <w:pPr>
        <w:pStyle w:val="187"/>
      </w:pPr>
      <w:r>
        <w:rPr>
          <w:rFonts w:hint="eastAsia"/>
        </w:rPr>
        <w:t>施工单位应根据门机的载荷状态和施工现场工作环境，选择适应使用条件要求的门机。</w:t>
      </w:r>
    </w:p>
    <w:p w14:paraId="2CFA50AB">
      <w:pPr>
        <w:pStyle w:val="187"/>
      </w:pPr>
      <w:r>
        <w:rPr>
          <w:rFonts w:hint="eastAsia"/>
        </w:rPr>
        <w:t>选用门机应考虑下列内容：</w:t>
      </w:r>
    </w:p>
    <w:p w14:paraId="394385C0">
      <w:pPr>
        <w:pStyle w:val="196"/>
        <w:numPr>
          <w:ilvl w:val="0"/>
          <w:numId w:val="33"/>
        </w:numPr>
        <w:spacing w:after="0"/>
        <w:rPr>
          <w:color w:val="000000" w:themeColor="text1"/>
          <w14:textFill>
            <w14:solidFill>
              <w14:schemeClr w14:val="tx1"/>
            </w14:solidFill>
          </w14:textFill>
        </w:rPr>
      </w:pPr>
      <w:r>
        <w:rPr>
          <w:rFonts w:hint="eastAsia"/>
          <w:color w:val="000000" w:themeColor="text1"/>
          <w14:textFill>
            <w14:solidFill>
              <w14:schemeClr w14:val="tx1"/>
            </w14:solidFill>
          </w14:textFill>
        </w:rPr>
        <w:t>起重量、跨度、起升高度；</w:t>
      </w:r>
    </w:p>
    <w:p w14:paraId="6E6EF681">
      <w:pPr>
        <w:pStyle w:val="196"/>
        <w:numPr>
          <w:ilvl w:val="0"/>
          <w:numId w:val="33"/>
        </w:numPr>
        <w:spacing w:after="0"/>
        <w:rPr>
          <w:color w:val="000000" w:themeColor="text1"/>
          <w14:textFill>
            <w14:solidFill>
              <w14:schemeClr w14:val="tx1"/>
            </w14:solidFill>
          </w14:textFill>
        </w:rPr>
      </w:pPr>
      <w:r>
        <w:rPr>
          <w:rFonts w:hint="eastAsia"/>
          <w:color w:val="000000" w:themeColor="text1"/>
          <w14:textFill>
            <w14:solidFill>
              <w14:schemeClr w14:val="tx1"/>
            </w14:solidFill>
          </w14:textFill>
        </w:rPr>
        <w:t>工作速度、使用效率、工作区域；</w:t>
      </w:r>
    </w:p>
    <w:p w14:paraId="31F3B850">
      <w:pPr>
        <w:pStyle w:val="196"/>
        <w:numPr>
          <w:ilvl w:val="0"/>
          <w:numId w:val="33"/>
        </w:numPr>
        <w:spacing w:after="0"/>
        <w:rPr>
          <w:color w:val="000000" w:themeColor="text1"/>
          <w14:textFill>
            <w14:solidFill>
              <w14:schemeClr w14:val="tx1"/>
            </w14:solidFill>
          </w14:textFill>
        </w:rPr>
      </w:pPr>
      <w:r>
        <w:rPr>
          <w:rFonts w:hint="eastAsia"/>
          <w:color w:val="000000" w:themeColor="text1"/>
          <w14:textFill>
            <w14:solidFill>
              <w14:schemeClr w14:val="tx1"/>
            </w14:solidFill>
          </w14:textFill>
        </w:rPr>
        <w:t>整机工作级别、结构件零部件工作级别、机构工作级别；</w:t>
      </w:r>
    </w:p>
    <w:p w14:paraId="6DF29BDE">
      <w:pPr>
        <w:pStyle w:val="196"/>
        <w:numPr>
          <w:ilvl w:val="0"/>
          <w:numId w:val="33"/>
        </w:numPr>
        <w:spacing w:after="0"/>
        <w:rPr>
          <w:color w:val="000000" w:themeColor="text1"/>
          <w14:textFill>
            <w14:solidFill>
              <w14:schemeClr w14:val="tx1"/>
            </w14:solidFill>
          </w14:textFill>
        </w:rPr>
      </w:pPr>
      <w:r>
        <w:rPr>
          <w:rFonts w:hint="eastAsia"/>
          <w:color w:val="000000" w:themeColor="text1"/>
          <w14:textFill>
            <w14:solidFill>
              <w14:schemeClr w14:val="tx1"/>
            </w14:solidFill>
          </w14:textFill>
        </w:rPr>
        <w:t>场地和环境条件（温度、湿度、海拔、风力、腐蚀性、易燃易爆等）或现有建筑物形成的障碍；</w:t>
      </w:r>
    </w:p>
    <w:p w14:paraId="0F528671">
      <w:pPr>
        <w:pStyle w:val="196"/>
        <w:numPr>
          <w:ilvl w:val="0"/>
          <w:numId w:val="33"/>
        </w:numPr>
        <w:spacing w:after="0"/>
        <w:rPr>
          <w:color w:val="000000" w:themeColor="text1"/>
          <w14:textFill>
            <w14:solidFill>
              <w14:schemeClr w14:val="tx1"/>
            </w14:solidFill>
          </w14:textFill>
        </w:rPr>
      </w:pPr>
      <w:r>
        <w:rPr>
          <w:rFonts w:hint="eastAsia"/>
          <w:color w:val="000000" w:themeColor="text1"/>
          <w14:textFill>
            <w14:solidFill>
              <w14:schemeClr w14:val="tx1"/>
            </w14:solidFill>
          </w14:textFill>
        </w:rPr>
        <w:t>门机的通道、安装、运行、操作和拆卸所需用的空间；</w:t>
      </w:r>
    </w:p>
    <w:p w14:paraId="6BFC5B04">
      <w:pPr>
        <w:pStyle w:val="196"/>
        <w:numPr>
          <w:ilvl w:val="0"/>
          <w:numId w:val="33"/>
        </w:numPr>
        <w:spacing w:after="0"/>
        <w:rPr>
          <w:color w:val="000000" w:themeColor="text1"/>
          <w14:textFill>
            <w14:solidFill>
              <w14:schemeClr w14:val="tx1"/>
            </w14:solidFill>
          </w14:textFill>
        </w:rPr>
      </w:pPr>
      <w:r>
        <w:rPr>
          <w:rFonts w:hint="eastAsia"/>
          <w:color w:val="000000" w:themeColor="text1"/>
          <w14:textFill>
            <w14:solidFill>
              <w14:schemeClr w14:val="tx1"/>
            </w14:solidFill>
          </w14:textFill>
        </w:rPr>
        <w:t>门机的操作类型、可靠性、安全、灵活及经济性；</w:t>
      </w:r>
    </w:p>
    <w:p w14:paraId="62B7CE74">
      <w:pPr>
        <w:pStyle w:val="196"/>
        <w:numPr>
          <w:ilvl w:val="0"/>
          <w:numId w:val="33"/>
        </w:numPr>
        <w:spacing w:after="0"/>
        <w:rPr>
          <w:color w:val="000000" w:themeColor="text1"/>
          <w14:textFill>
            <w14:solidFill>
              <w14:schemeClr w14:val="tx1"/>
            </w14:solidFill>
          </w14:textFill>
        </w:rPr>
      </w:pPr>
      <w:r>
        <w:rPr>
          <w:rFonts w:hint="eastAsia"/>
          <w:color w:val="000000" w:themeColor="text1"/>
          <w14:textFill>
            <w14:solidFill>
              <w14:schemeClr w14:val="tx1"/>
            </w14:solidFill>
          </w14:textFill>
        </w:rPr>
        <w:t>其他特殊操作要求或强制性规定。</w:t>
      </w:r>
    </w:p>
    <w:p w14:paraId="1F7E865C">
      <w:pPr>
        <w:pStyle w:val="187"/>
      </w:pPr>
      <w:r>
        <w:rPr>
          <w:rFonts w:hint="eastAsia"/>
        </w:rPr>
        <w:t>宜选择节能型产品，在动力系统、控制系统等方面采用先进节能技术。</w:t>
      </w:r>
    </w:p>
    <w:p w14:paraId="2AF37237">
      <w:pPr>
        <w:pStyle w:val="187"/>
      </w:pPr>
      <w:r>
        <w:rPr>
          <w:rFonts w:hint="eastAsia"/>
        </w:rPr>
        <w:t>在受台风影响地区使用的塔机，应根据当地气象资料或现场相关单位的要求确定门机需满足的防台风等级。</w:t>
      </w:r>
    </w:p>
    <w:p w14:paraId="2E8B287C">
      <w:pPr>
        <w:pStyle w:val="127"/>
        <w:spacing w:before="120" w:after="120"/>
      </w:pPr>
      <w:bookmarkStart w:id="68" w:name="_Toc197967344"/>
      <w:r>
        <w:rPr>
          <w:rFonts w:hint="eastAsia"/>
        </w:rPr>
        <w:t>安装选址与环境要求</w:t>
      </w:r>
      <w:bookmarkEnd w:id="68"/>
    </w:p>
    <w:p w14:paraId="2B9CE521">
      <w:pPr>
        <w:pStyle w:val="187"/>
      </w:pPr>
      <w:r>
        <w:rPr>
          <w:rFonts w:hint="eastAsia"/>
        </w:rPr>
        <w:t>门机架设和运行时应避开周边障碍物且对周边不造成影响,包括附近建筑物、其他起重机、场内道路等。在门机及其吊物不能避开这类障碍时，必要时应增加抗干扰、防碰撞保护措施。</w:t>
      </w:r>
    </w:p>
    <w:p w14:paraId="3D0EF2CA">
      <w:pPr>
        <w:pStyle w:val="187"/>
      </w:pPr>
      <w:r>
        <w:rPr>
          <w:rFonts w:hint="eastAsia"/>
        </w:rPr>
        <w:t>门机安装位置的选择应考虑所有影响其安全操作的因素，至少应包括以下方面：</w:t>
      </w:r>
    </w:p>
    <w:p w14:paraId="0184F405">
      <w:pPr>
        <w:pStyle w:val="196"/>
        <w:numPr>
          <w:ilvl w:val="0"/>
          <w:numId w:val="32"/>
        </w:numPr>
        <w:spacing w:after="0"/>
      </w:pPr>
      <w:bookmarkStart w:id="69" w:name="_Hlk197968110"/>
      <w:r>
        <w:rPr>
          <w:rFonts w:hint="eastAsia"/>
        </w:rPr>
        <w:t>吊装覆盖范围满足要求，并能吊装覆盖范围内的设备和材料；</w:t>
      </w:r>
    </w:p>
    <w:p w14:paraId="649225FA">
      <w:pPr>
        <w:pStyle w:val="196"/>
        <w:numPr>
          <w:ilvl w:val="0"/>
          <w:numId w:val="32"/>
        </w:numPr>
        <w:spacing w:after="0"/>
      </w:pPr>
      <w:r>
        <w:rPr>
          <w:rFonts w:hint="eastAsia"/>
        </w:rPr>
        <w:t>门机轨道地基承载力和操作室朝向；</w:t>
      </w:r>
    </w:p>
    <w:p w14:paraId="55C7D092">
      <w:pPr>
        <w:pStyle w:val="196"/>
        <w:numPr>
          <w:ilvl w:val="0"/>
          <w:numId w:val="32"/>
        </w:numPr>
        <w:spacing w:after="0"/>
      </w:pPr>
      <w:r>
        <w:rPr>
          <w:rFonts w:hint="eastAsia"/>
        </w:rPr>
        <w:t>现场和附近的其他危险因素；</w:t>
      </w:r>
    </w:p>
    <w:p w14:paraId="6D9953CB">
      <w:pPr>
        <w:pStyle w:val="196"/>
        <w:numPr>
          <w:ilvl w:val="0"/>
          <w:numId w:val="32"/>
        </w:numPr>
        <w:spacing w:after="0"/>
      </w:pPr>
      <w:r>
        <w:rPr>
          <w:rFonts w:hint="eastAsia"/>
        </w:rPr>
        <w:t>在工作和非工作状态下风力的影响；</w:t>
      </w:r>
    </w:p>
    <w:bookmarkEnd w:id="69"/>
    <w:p w14:paraId="2E307C06">
      <w:pPr>
        <w:pStyle w:val="196"/>
        <w:numPr>
          <w:ilvl w:val="0"/>
          <w:numId w:val="32"/>
        </w:numPr>
        <w:spacing w:after="0"/>
      </w:pPr>
      <w:r>
        <w:rPr>
          <w:rFonts w:hint="eastAsia"/>
        </w:rPr>
        <w:t xml:space="preserve">安装拆卸空间、运输通道的影响； </w:t>
      </w:r>
    </w:p>
    <w:p w14:paraId="1512AD9A">
      <w:pPr>
        <w:pStyle w:val="196"/>
        <w:numPr>
          <w:ilvl w:val="0"/>
          <w:numId w:val="32"/>
        </w:numPr>
        <w:spacing w:after="0"/>
      </w:pPr>
      <w:r>
        <w:rPr>
          <w:rFonts w:hint="eastAsia"/>
        </w:rPr>
        <w:t xml:space="preserve">安装和拆卸时辅助机械的站位要求； </w:t>
      </w:r>
    </w:p>
    <w:p w14:paraId="089AA200">
      <w:pPr>
        <w:pStyle w:val="196"/>
        <w:numPr>
          <w:ilvl w:val="0"/>
          <w:numId w:val="32"/>
        </w:numPr>
        <w:spacing w:after="0"/>
      </w:pPr>
      <w:r>
        <w:rPr>
          <w:rFonts w:hint="eastAsia"/>
        </w:rPr>
        <w:t>安装、使用和拆卸时可能倒塌覆盖的范围内不应设置有临时建筑；</w:t>
      </w:r>
    </w:p>
    <w:p w14:paraId="2F457E31">
      <w:pPr>
        <w:pStyle w:val="196"/>
        <w:numPr>
          <w:ilvl w:val="0"/>
          <w:numId w:val="32"/>
        </w:numPr>
        <w:spacing w:after="0"/>
      </w:pPr>
      <w:r>
        <w:rPr>
          <w:rFonts w:hint="eastAsia"/>
        </w:rPr>
        <w:t>门机停放时应考虑防风地锚和缆风绳对周边的影响；</w:t>
      </w:r>
    </w:p>
    <w:p w14:paraId="1806ED61">
      <w:pPr>
        <w:pStyle w:val="196"/>
        <w:numPr>
          <w:ilvl w:val="0"/>
          <w:numId w:val="32"/>
        </w:numPr>
        <w:spacing w:after="0"/>
      </w:pPr>
      <w:r>
        <w:rPr>
          <w:rFonts w:hint="eastAsia"/>
        </w:rPr>
        <w:t>在其他条件允许的情况时宜考虑常年主风向。</w:t>
      </w:r>
    </w:p>
    <w:p w14:paraId="4BCE659E">
      <w:pPr>
        <w:pStyle w:val="187"/>
      </w:pPr>
      <w:r>
        <w:rPr>
          <w:rFonts w:hint="eastAsia"/>
        </w:rPr>
        <w:t>门机基础下方或周边区域存在地下设施的影响因素应采取措施避开，否则应采取安全保护措施。</w:t>
      </w:r>
    </w:p>
    <w:p w14:paraId="481D4606">
      <w:pPr>
        <w:pStyle w:val="187"/>
      </w:pPr>
      <w:r>
        <w:rPr>
          <w:rFonts w:hint="eastAsia"/>
        </w:rPr>
        <w:t>安装在组合场的门机位置应充分考虑同锅炉主力起重机械配合抬吊大件设备时的协同。</w:t>
      </w:r>
    </w:p>
    <w:p w14:paraId="2614360A">
      <w:pPr>
        <w:pStyle w:val="187"/>
        <w:rPr>
          <w:color w:val="000000" w:themeColor="text1"/>
          <w14:textFill>
            <w14:solidFill>
              <w14:schemeClr w14:val="tx1"/>
            </w14:solidFill>
          </w14:textFill>
        </w:rPr>
      </w:pPr>
      <w:r>
        <w:rPr>
          <w:rFonts w:hint="eastAsia"/>
          <w:color w:val="000000" w:themeColor="text1"/>
          <w14:textFill>
            <w14:solidFill>
              <w14:schemeClr w14:val="tx1"/>
            </w14:solidFill>
          </w14:textFill>
        </w:rPr>
        <w:t>沿海地区或常年风力较大地区，门机主梁宜顺主风向布置。</w:t>
      </w:r>
    </w:p>
    <w:p w14:paraId="7069D9A6">
      <w:pPr>
        <w:pStyle w:val="187"/>
      </w:pPr>
      <w:r>
        <w:rPr>
          <w:rFonts w:hint="eastAsia"/>
        </w:rPr>
        <w:t>运行区域内门机结构与周边固定障碍物间的最小距离不得小于 0.5m，与人员通道保持安全距</w:t>
      </w:r>
      <w:r>
        <w:rPr>
          <w:rFonts w:hint="eastAsia"/>
          <w:color w:val="000000" w:themeColor="text1"/>
          <w14:textFill>
            <w14:solidFill>
              <w14:schemeClr w14:val="tx1"/>
            </w14:solidFill>
          </w14:textFill>
        </w:rPr>
        <w:t>离。</w:t>
      </w:r>
    </w:p>
    <w:p w14:paraId="27CFA21A">
      <w:pPr>
        <w:pStyle w:val="187"/>
      </w:pPr>
      <w:r>
        <w:rPr>
          <w:rFonts w:hint="eastAsia"/>
        </w:rPr>
        <w:t>有架空输电线的环境时,门机的任何部位与输电线的安全距离,应符合表1的规定。如因条件限制不能保证表1中的安全距离,应与有关部门协商,并采取安全防护措施后方可安装使用。</w:t>
      </w:r>
    </w:p>
    <w:p w14:paraId="638A8F64">
      <w:pPr>
        <w:pStyle w:val="254"/>
      </w:pPr>
      <w:r>
        <w:rPr>
          <w:rFonts w:hint="eastAsia"/>
        </w:rPr>
        <w:t>表 1  门机与输电线的最小安全距离</w:t>
      </w:r>
    </w:p>
    <w:tbl>
      <w:tblPr>
        <w:tblStyle w:val="298"/>
        <w:tblW w:w="8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8"/>
        <w:gridCol w:w="783"/>
        <w:gridCol w:w="726"/>
        <w:gridCol w:w="888"/>
        <w:gridCol w:w="737"/>
        <w:gridCol w:w="645"/>
        <w:gridCol w:w="715"/>
        <w:gridCol w:w="703"/>
        <w:gridCol w:w="715"/>
        <w:gridCol w:w="726"/>
      </w:tblGrid>
      <w:tr w14:paraId="750B4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0" w:hRule="atLeast"/>
          <w:jc w:val="center"/>
        </w:trPr>
        <w:tc>
          <w:tcPr>
            <w:tcW w:w="1578" w:type="dxa"/>
            <w:vAlign w:val="center"/>
          </w:tcPr>
          <w:p w14:paraId="55ABE843">
            <w:pPr>
              <w:pStyle w:val="270"/>
              <w:spacing w:after="0"/>
              <w:jc w:val="center"/>
              <w:rPr>
                <w:rFonts w:hint="eastAsia"/>
              </w:rPr>
            </w:pPr>
            <w:r>
              <w:rPr>
                <w:rFonts w:hint="eastAsia"/>
              </w:rPr>
              <w:t>输电线路电压</w:t>
            </w:r>
          </w:p>
          <w:p w14:paraId="3EFA32A0">
            <w:pPr>
              <w:pStyle w:val="270"/>
              <w:spacing w:after="0"/>
              <w:jc w:val="center"/>
              <w:rPr>
                <w:rFonts w:hint="eastAsia"/>
              </w:rPr>
            </w:pPr>
            <w:r>
              <w:rPr>
                <w:rFonts w:hint="eastAsia"/>
              </w:rPr>
              <w:t>kV</w:t>
            </w:r>
          </w:p>
        </w:tc>
        <w:tc>
          <w:tcPr>
            <w:tcW w:w="783" w:type="dxa"/>
            <w:vAlign w:val="center"/>
          </w:tcPr>
          <w:p w14:paraId="1F74E743">
            <w:pPr>
              <w:pStyle w:val="270"/>
              <w:spacing w:after="0"/>
              <w:jc w:val="center"/>
              <w:rPr>
                <w:rFonts w:hint="eastAsia"/>
              </w:rPr>
            </w:pPr>
            <w:r>
              <w:rPr>
                <w:rFonts w:hint="eastAsia"/>
              </w:rPr>
              <w:t>＜1</w:t>
            </w:r>
          </w:p>
        </w:tc>
        <w:tc>
          <w:tcPr>
            <w:tcW w:w="726" w:type="dxa"/>
            <w:vAlign w:val="center"/>
          </w:tcPr>
          <w:p w14:paraId="62D8C596">
            <w:pPr>
              <w:pStyle w:val="270"/>
              <w:spacing w:after="0"/>
              <w:jc w:val="center"/>
              <w:rPr>
                <w:rFonts w:hint="eastAsia"/>
              </w:rPr>
            </w:pPr>
            <w:r>
              <w:rPr>
                <w:rFonts w:hint="eastAsia"/>
              </w:rPr>
              <w:t>1～20</w:t>
            </w:r>
          </w:p>
        </w:tc>
        <w:tc>
          <w:tcPr>
            <w:tcW w:w="888" w:type="dxa"/>
            <w:vAlign w:val="center"/>
          </w:tcPr>
          <w:p w14:paraId="3120F9F0">
            <w:pPr>
              <w:pStyle w:val="270"/>
              <w:spacing w:after="0"/>
              <w:jc w:val="center"/>
              <w:rPr>
                <w:rFonts w:hint="eastAsia"/>
              </w:rPr>
            </w:pPr>
            <w:r>
              <w:rPr>
                <w:rFonts w:hint="eastAsia"/>
              </w:rPr>
              <w:t>35～110</w:t>
            </w:r>
          </w:p>
        </w:tc>
        <w:tc>
          <w:tcPr>
            <w:tcW w:w="737" w:type="dxa"/>
            <w:vAlign w:val="center"/>
          </w:tcPr>
          <w:p w14:paraId="59213BFC">
            <w:pPr>
              <w:pStyle w:val="270"/>
              <w:spacing w:after="0"/>
              <w:jc w:val="center"/>
              <w:rPr>
                <w:rFonts w:hint="eastAsia"/>
              </w:rPr>
            </w:pPr>
            <w:r>
              <w:rPr>
                <w:rFonts w:hint="eastAsia"/>
              </w:rPr>
              <w:t>154</w:t>
            </w:r>
          </w:p>
        </w:tc>
        <w:tc>
          <w:tcPr>
            <w:tcW w:w="645" w:type="dxa"/>
            <w:vAlign w:val="center"/>
          </w:tcPr>
          <w:p w14:paraId="6B071D8B">
            <w:pPr>
              <w:pStyle w:val="270"/>
              <w:spacing w:after="0"/>
              <w:jc w:val="center"/>
              <w:rPr>
                <w:rFonts w:hint="eastAsia"/>
              </w:rPr>
            </w:pPr>
            <w:r>
              <w:rPr>
                <w:rFonts w:hint="eastAsia"/>
              </w:rPr>
              <w:t>220</w:t>
            </w:r>
          </w:p>
        </w:tc>
        <w:tc>
          <w:tcPr>
            <w:tcW w:w="715" w:type="dxa"/>
            <w:vAlign w:val="center"/>
          </w:tcPr>
          <w:p w14:paraId="0B054606">
            <w:pPr>
              <w:pStyle w:val="270"/>
              <w:spacing w:after="0"/>
              <w:jc w:val="center"/>
              <w:rPr>
                <w:rFonts w:hint="eastAsia"/>
              </w:rPr>
            </w:pPr>
            <w:r>
              <w:rPr>
                <w:rFonts w:hint="eastAsia"/>
              </w:rPr>
              <w:t>330</w:t>
            </w:r>
          </w:p>
        </w:tc>
        <w:tc>
          <w:tcPr>
            <w:tcW w:w="703" w:type="dxa"/>
            <w:vAlign w:val="center"/>
          </w:tcPr>
          <w:p w14:paraId="645C16A4">
            <w:pPr>
              <w:pStyle w:val="270"/>
              <w:spacing w:after="0"/>
              <w:jc w:val="center"/>
              <w:rPr>
                <w:rFonts w:hint="eastAsia"/>
              </w:rPr>
            </w:pPr>
            <w:r>
              <w:rPr>
                <w:rFonts w:hint="eastAsia"/>
              </w:rPr>
              <w:t>500</w:t>
            </w:r>
          </w:p>
        </w:tc>
        <w:tc>
          <w:tcPr>
            <w:tcW w:w="715" w:type="dxa"/>
            <w:vAlign w:val="center"/>
          </w:tcPr>
          <w:p w14:paraId="3BDD6FD7">
            <w:pPr>
              <w:pStyle w:val="270"/>
              <w:spacing w:after="0"/>
              <w:jc w:val="center"/>
              <w:rPr>
                <w:rFonts w:hint="eastAsia"/>
              </w:rPr>
            </w:pPr>
            <w:r>
              <w:rPr>
                <w:rFonts w:hint="eastAsia"/>
              </w:rPr>
              <w:t>750</w:t>
            </w:r>
          </w:p>
        </w:tc>
        <w:tc>
          <w:tcPr>
            <w:tcW w:w="726" w:type="dxa"/>
            <w:vAlign w:val="center"/>
          </w:tcPr>
          <w:p w14:paraId="391851EA">
            <w:pPr>
              <w:pStyle w:val="270"/>
              <w:spacing w:after="0"/>
              <w:jc w:val="center"/>
              <w:rPr>
                <w:rFonts w:hint="eastAsia"/>
              </w:rPr>
            </w:pPr>
            <w:r>
              <w:rPr>
                <w:rFonts w:hint="eastAsia"/>
              </w:rPr>
              <w:t>1000</w:t>
            </w:r>
          </w:p>
        </w:tc>
      </w:tr>
      <w:tr w14:paraId="6AE10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578" w:type="dxa"/>
            <w:vAlign w:val="center"/>
          </w:tcPr>
          <w:p w14:paraId="4D3368A7">
            <w:pPr>
              <w:pStyle w:val="270"/>
              <w:spacing w:after="0"/>
              <w:jc w:val="center"/>
              <w:rPr>
                <w:rFonts w:hint="eastAsia"/>
              </w:rPr>
            </w:pPr>
            <w:r>
              <w:rPr>
                <w:rFonts w:hint="eastAsia"/>
              </w:rPr>
              <w:t>最小安全距离</w:t>
            </w:r>
          </w:p>
          <w:p w14:paraId="4842B0E6">
            <w:pPr>
              <w:pStyle w:val="270"/>
              <w:spacing w:after="0"/>
              <w:jc w:val="center"/>
              <w:rPr>
                <w:rFonts w:hint="eastAsia"/>
              </w:rPr>
            </w:pPr>
            <w:r>
              <w:rPr>
                <w:rFonts w:hint="eastAsia"/>
              </w:rPr>
              <w:t>m</w:t>
            </w:r>
          </w:p>
        </w:tc>
        <w:tc>
          <w:tcPr>
            <w:tcW w:w="783" w:type="dxa"/>
            <w:vAlign w:val="center"/>
          </w:tcPr>
          <w:p w14:paraId="4189466A">
            <w:pPr>
              <w:pStyle w:val="270"/>
              <w:spacing w:after="0"/>
              <w:jc w:val="center"/>
              <w:rPr>
                <w:rFonts w:hint="eastAsia"/>
              </w:rPr>
            </w:pPr>
            <w:r>
              <w:rPr>
                <w:rFonts w:hint="eastAsia"/>
              </w:rPr>
              <w:t>1.50</w:t>
            </w:r>
          </w:p>
        </w:tc>
        <w:tc>
          <w:tcPr>
            <w:tcW w:w="726" w:type="dxa"/>
            <w:vAlign w:val="center"/>
          </w:tcPr>
          <w:p w14:paraId="4A5F28B3">
            <w:pPr>
              <w:pStyle w:val="270"/>
              <w:spacing w:after="0"/>
              <w:jc w:val="center"/>
              <w:rPr>
                <w:rFonts w:hint="eastAsia"/>
              </w:rPr>
            </w:pPr>
            <w:r>
              <w:rPr>
                <w:rFonts w:hint="eastAsia"/>
              </w:rPr>
              <w:t>2.00</w:t>
            </w:r>
          </w:p>
        </w:tc>
        <w:tc>
          <w:tcPr>
            <w:tcW w:w="888" w:type="dxa"/>
            <w:vAlign w:val="center"/>
          </w:tcPr>
          <w:p w14:paraId="3FA92CD9">
            <w:pPr>
              <w:pStyle w:val="270"/>
              <w:spacing w:after="0"/>
              <w:jc w:val="center"/>
              <w:rPr>
                <w:rFonts w:hint="eastAsia"/>
              </w:rPr>
            </w:pPr>
            <w:r>
              <w:rPr>
                <w:rFonts w:hint="eastAsia"/>
              </w:rPr>
              <w:t>4.00</w:t>
            </w:r>
          </w:p>
        </w:tc>
        <w:tc>
          <w:tcPr>
            <w:tcW w:w="737" w:type="dxa"/>
            <w:vAlign w:val="center"/>
          </w:tcPr>
          <w:p w14:paraId="582A6828">
            <w:pPr>
              <w:pStyle w:val="270"/>
              <w:spacing w:after="0"/>
              <w:jc w:val="center"/>
              <w:rPr>
                <w:rFonts w:hint="eastAsia"/>
              </w:rPr>
            </w:pPr>
            <w:r>
              <w:rPr>
                <w:rFonts w:hint="eastAsia"/>
              </w:rPr>
              <w:t>5.00</w:t>
            </w:r>
          </w:p>
        </w:tc>
        <w:tc>
          <w:tcPr>
            <w:tcW w:w="645" w:type="dxa"/>
            <w:vAlign w:val="center"/>
          </w:tcPr>
          <w:p w14:paraId="6DEAB2E0">
            <w:pPr>
              <w:pStyle w:val="270"/>
              <w:spacing w:after="0"/>
              <w:jc w:val="center"/>
              <w:rPr>
                <w:rFonts w:hint="eastAsia"/>
              </w:rPr>
            </w:pPr>
            <w:r>
              <w:rPr>
                <w:rFonts w:hint="eastAsia"/>
              </w:rPr>
              <w:t>6.00</w:t>
            </w:r>
          </w:p>
        </w:tc>
        <w:tc>
          <w:tcPr>
            <w:tcW w:w="715" w:type="dxa"/>
            <w:vAlign w:val="center"/>
          </w:tcPr>
          <w:p w14:paraId="5FDD2E3D">
            <w:pPr>
              <w:pStyle w:val="270"/>
              <w:spacing w:after="0"/>
              <w:jc w:val="center"/>
              <w:rPr>
                <w:rFonts w:hint="eastAsia"/>
              </w:rPr>
            </w:pPr>
            <w:r>
              <w:rPr>
                <w:rFonts w:hint="eastAsia"/>
              </w:rPr>
              <w:t>7.00</w:t>
            </w:r>
          </w:p>
        </w:tc>
        <w:tc>
          <w:tcPr>
            <w:tcW w:w="703" w:type="dxa"/>
            <w:vAlign w:val="center"/>
          </w:tcPr>
          <w:p w14:paraId="4343C588">
            <w:pPr>
              <w:pStyle w:val="270"/>
              <w:spacing w:after="0"/>
              <w:jc w:val="center"/>
              <w:rPr>
                <w:rFonts w:hint="eastAsia"/>
              </w:rPr>
            </w:pPr>
            <w:r>
              <w:rPr>
                <w:rFonts w:hint="eastAsia"/>
              </w:rPr>
              <w:t>8.00</w:t>
            </w:r>
          </w:p>
        </w:tc>
        <w:tc>
          <w:tcPr>
            <w:tcW w:w="715" w:type="dxa"/>
            <w:vAlign w:val="center"/>
          </w:tcPr>
          <w:p w14:paraId="19FDD76A">
            <w:pPr>
              <w:pStyle w:val="270"/>
              <w:spacing w:after="0"/>
              <w:jc w:val="center"/>
              <w:rPr>
                <w:rFonts w:hint="eastAsia"/>
              </w:rPr>
            </w:pPr>
            <w:r>
              <w:rPr>
                <w:rFonts w:hint="eastAsia"/>
              </w:rPr>
              <w:t>11.00</w:t>
            </w:r>
          </w:p>
        </w:tc>
        <w:tc>
          <w:tcPr>
            <w:tcW w:w="726" w:type="dxa"/>
            <w:vAlign w:val="center"/>
          </w:tcPr>
          <w:p w14:paraId="3A3DAB4A">
            <w:pPr>
              <w:pStyle w:val="270"/>
              <w:spacing w:after="0"/>
              <w:jc w:val="center"/>
              <w:rPr>
                <w:rFonts w:hint="eastAsia"/>
              </w:rPr>
            </w:pPr>
            <w:r>
              <w:rPr>
                <w:rFonts w:hint="eastAsia"/>
              </w:rPr>
              <w:t>13.00</w:t>
            </w:r>
          </w:p>
        </w:tc>
      </w:tr>
      <w:tr w14:paraId="44AA2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8216" w:type="dxa"/>
            <w:gridSpan w:val="10"/>
            <w:vAlign w:val="center"/>
          </w:tcPr>
          <w:p w14:paraId="570B1F0B">
            <w:pPr>
              <w:adjustRightInd/>
              <w:spacing w:after="0" w:line="240" w:lineRule="auto"/>
              <w:ind w:firstLine="181" w:firstLineChars="100"/>
              <w:rPr>
                <w:rFonts w:hint="eastAsia" w:ascii="宋体" w:hAnsi="宋体" w:cs="宋体"/>
                <w:sz w:val="18"/>
                <w:szCs w:val="18"/>
              </w:rPr>
            </w:pPr>
            <w:r>
              <w:rPr>
                <w:rFonts w:hint="eastAsia" w:ascii="宋体" w:hAnsi="宋体" w:cs="宋体"/>
                <w:b/>
                <w:bCs/>
                <w:sz w:val="18"/>
                <w:szCs w:val="18"/>
              </w:rPr>
              <w:t xml:space="preserve">注1: </w:t>
            </w:r>
            <w:r>
              <w:rPr>
                <w:rFonts w:hint="eastAsia" w:ascii="宋体" w:hAnsi="宋体" w:cs="宋体"/>
                <w:sz w:val="18"/>
                <w:szCs w:val="18"/>
              </w:rPr>
              <w:t>750kV电压等级的数据是按海拔2000m校正的，其他电压等级数据是按照海拔1000m校正的。</w:t>
            </w:r>
          </w:p>
          <w:p w14:paraId="60B2C12F">
            <w:pPr>
              <w:adjustRightInd/>
              <w:spacing w:after="0" w:line="240" w:lineRule="auto"/>
              <w:ind w:firstLine="181" w:firstLineChars="100"/>
            </w:pPr>
            <w:r>
              <w:rPr>
                <w:rFonts w:hint="eastAsia" w:hAnsi="宋体" w:cs="宋体"/>
                <w:b/>
                <w:bCs/>
                <w:sz w:val="18"/>
                <w:szCs w:val="18"/>
              </w:rPr>
              <w:t>注2：</w:t>
            </w:r>
            <w:r>
              <w:rPr>
                <w:rFonts w:hint="eastAsia" w:hAnsi="宋体" w:cs="宋体"/>
                <w:sz w:val="18"/>
                <w:szCs w:val="18"/>
              </w:rPr>
              <w:t>表中未列电压等级按高一档电压等级的安全距离执行。</w:t>
            </w:r>
          </w:p>
        </w:tc>
      </w:tr>
    </w:tbl>
    <w:p w14:paraId="4DA46B4D">
      <w:pPr>
        <w:pStyle w:val="254"/>
        <w:jc w:val="both"/>
      </w:pPr>
    </w:p>
    <w:p w14:paraId="37B55552">
      <w:pPr>
        <w:pStyle w:val="187"/>
      </w:pPr>
      <w:r>
        <w:rPr>
          <w:rFonts w:hint="eastAsia"/>
        </w:rPr>
        <w:t>当门机在强磁场区域(如电视发射台、发射塔、雷达站附近等)安装使用时,应采取保护措施以防止门机运行切割磁力线发电而对人员造成伤害,并应确认磁场不会对门机控制系统造成影响。</w:t>
      </w:r>
    </w:p>
    <w:p w14:paraId="5281949F">
      <w:pPr>
        <w:pStyle w:val="187"/>
      </w:pPr>
      <w:r>
        <w:rPr>
          <w:rFonts w:hint="eastAsia"/>
        </w:rPr>
        <w:t>门机电源为三相交流（三相四线制），频率为50Hz/60Hz,电压≤1000V(根据需要也可为3kV、6kV或10kV)。供电系统在门机馈电线接人处的电压波动不应超过额定电压的士10%，门机内部电压损失应符合GB/T3811的规定。</w:t>
      </w:r>
    </w:p>
    <w:p w14:paraId="10E5484B">
      <w:pPr>
        <w:pStyle w:val="187"/>
      </w:pPr>
      <w:r>
        <w:rPr>
          <w:rFonts w:hint="eastAsia"/>
        </w:rPr>
        <w:t>门机工作时的气候条件应符合GB/T 14406 5.1.6相关要求。</w:t>
      </w:r>
    </w:p>
    <w:p w14:paraId="4296F74B">
      <w:pPr>
        <w:pStyle w:val="127"/>
        <w:spacing w:before="120" w:after="120"/>
      </w:pPr>
      <w:bookmarkStart w:id="70" w:name="_Toc197967345"/>
      <w:r>
        <w:rPr>
          <w:rFonts w:hint="eastAsia"/>
        </w:rPr>
        <w:t>基础要求</w:t>
      </w:r>
      <w:bookmarkEnd w:id="70"/>
    </w:p>
    <w:p w14:paraId="3499BD2E">
      <w:pPr>
        <w:pStyle w:val="87"/>
        <w:spacing w:before="120" w:after="120"/>
      </w:pPr>
      <w:r>
        <w:rPr>
          <w:rFonts w:hint="eastAsia"/>
        </w:rPr>
        <w:t>一般要求</w:t>
      </w:r>
    </w:p>
    <w:p w14:paraId="08FB6BC0">
      <w:pPr>
        <w:pStyle w:val="186"/>
      </w:pPr>
      <w:r>
        <w:rPr>
          <w:rFonts w:hint="eastAsia"/>
        </w:rPr>
        <w:t>门机的基础形式应根据工程地质情况、现场条件、轮压等要求确定。地基承载力达不到说明书要求时，应另行设计基础，并符合</w:t>
      </w:r>
      <w:r>
        <w:rPr>
          <w:rFonts w:hAnsi="宋体"/>
        </w:rPr>
        <w:t>GB 50007</w:t>
      </w:r>
      <w:r>
        <w:rPr>
          <w:rFonts w:hint="eastAsia" w:hAnsi="宋体"/>
        </w:rPr>
        <w:t>中的</w:t>
      </w:r>
      <w:r>
        <w:rPr>
          <w:rFonts w:hint="eastAsia"/>
        </w:rPr>
        <w:t>规定。</w:t>
      </w:r>
    </w:p>
    <w:p w14:paraId="306156A7">
      <w:pPr>
        <w:pStyle w:val="186"/>
      </w:pPr>
      <w:r>
        <w:rPr>
          <w:rFonts w:hint="eastAsia"/>
        </w:rPr>
        <w:t>门机轨道基础一般设计有混凝土条形基础、道砟枕木和预应力混凝土轨枕基础等形式。</w:t>
      </w:r>
    </w:p>
    <w:p w14:paraId="21461D76">
      <w:pPr>
        <w:pStyle w:val="186"/>
      </w:pPr>
      <w:r>
        <w:rPr>
          <w:rFonts w:hint="eastAsia"/>
        </w:rPr>
        <w:t>门机运行过施工现场道路时，应考虑轨道标高与地面标高相适应，防止过往车辆对轨道造成冲击，同时应考虑设置有电缆槽。</w:t>
      </w:r>
    </w:p>
    <w:p w14:paraId="19E4F4B6">
      <w:pPr>
        <w:pStyle w:val="186"/>
      </w:pPr>
      <w:bookmarkStart w:id="71" w:name="_Hlk197510985"/>
      <w:r>
        <w:rPr>
          <w:rFonts w:hint="eastAsia"/>
        </w:rPr>
        <w:t>门机轨道</w:t>
      </w:r>
      <w:bookmarkEnd w:id="71"/>
      <w:r>
        <w:rPr>
          <w:rFonts w:hint="eastAsia"/>
        </w:rPr>
        <w:t>基础和防台风用地锚宜一并设计。</w:t>
      </w:r>
    </w:p>
    <w:p w14:paraId="7F8CB079">
      <w:pPr>
        <w:pStyle w:val="186"/>
      </w:pPr>
      <w:r>
        <w:rPr>
          <w:rFonts w:hint="eastAsia"/>
        </w:rPr>
        <w:t>门机轨道基础上表面宜略高于地面，基础周围应采取有效的排水措施。</w:t>
      </w:r>
    </w:p>
    <w:p w14:paraId="535B014D">
      <w:pPr>
        <w:pStyle w:val="186"/>
      </w:pPr>
      <w:r>
        <w:rPr>
          <w:rFonts w:hint="eastAsia"/>
        </w:rPr>
        <w:t>沿轨道基础边缘开挖时，开挖边缘与轨道中心的安全距离应根据地质情况和轮压进行计算。</w:t>
      </w:r>
    </w:p>
    <w:p w14:paraId="654DBDD0">
      <w:pPr>
        <w:pStyle w:val="186"/>
      </w:pPr>
      <w:r>
        <w:rPr>
          <w:rFonts w:hint="eastAsia"/>
        </w:rPr>
        <w:t>门机基础制作时，宜设置动力电缆运行托架装置。</w:t>
      </w:r>
    </w:p>
    <w:p w14:paraId="7277C268">
      <w:pPr>
        <w:pStyle w:val="87"/>
        <w:spacing w:before="120" w:after="120"/>
      </w:pPr>
      <w:r>
        <w:rPr>
          <w:rFonts w:hint="eastAsia"/>
        </w:rPr>
        <w:t>混凝土条形基础</w:t>
      </w:r>
    </w:p>
    <w:p w14:paraId="7769F48F">
      <w:pPr>
        <w:pStyle w:val="186"/>
      </w:pPr>
      <w:r>
        <w:rPr>
          <w:rFonts w:hint="eastAsia"/>
        </w:rPr>
        <w:t>基础钢筋绑扎及预埋铁、预埋螺栓等安装后，应按设计要求由使用单位、安装单位等联合检查验收，并做好隐蔽工程验收记录，验收合格后方可浇筑混凝土，振捣混凝土过程中不得使预埋铁或预埋螺栓发生偏斜或移位。</w:t>
      </w:r>
    </w:p>
    <w:p w14:paraId="36D7F7A1">
      <w:pPr>
        <w:pStyle w:val="186"/>
      </w:pPr>
      <w:r>
        <w:rPr>
          <w:rFonts w:hint="eastAsia"/>
        </w:rPr>
        <w:t>门机安装时基础混凝土强度应达到设计值的80%及以上，门机运行时基础混凝土强度应达到设计值的100%。</w:t>
      </w:r>
    </w:p>
    <w:p w14:paraId="1643A1B3">
      <w:pPr>
        <w:pStyle w:val="186"/>
      </w:pPr>
      <w:r>
        <w:rPr>
          <w:rFonts w:hint="eastAsia"/>
        </w:rPr>
        <w:t>轨道与预埋铁之间应加装缓冲垫片。</w:t>
      </w:r>
    </w:p>
    <w:p w14:paraId="3B9F0B12">
      <w:pPr>
        <w:pStyle w:val="87"/>
        <w:spacing w:before="120" w:after="120"/>
      </w:pPr>
      <w:r>
        <w:rPr>
          <w:rFonts w:hint="eastAsia"/>
        </w:rPr>
        <w:t>枕木基础和预应力混凝土轨枕基础</w:t>
      </w:r>
    </w:p>
    <w:p w14:paraId="5F789079">
      <w:pPr>
        <w:pStyle w:val="186"/>
      </w:pPr>
      <w:r>
        <w:rPr>
          <w:rFonts w:hint="eastAsia"/>
        </w:rPr>
        <w:t>基础铺设前的路面应按设计要求压实，碎石基础应整平捣实，轨枕之间应填满碎石。</w:t>
      </w:r>
    </w:p>
    <w:p w14:paraId="2F4B511E">
      <w:pPr>
        <w:pStyle w:val="186"/>
      </w:pPr>
      <w:r>
        <w:rPr>
          <w:rFonts w:hint="eastAsia"/>
        </w:rPr>
        <w:t>基础的碎石粒径应为20</w:t>
      </w:r>
      <w:r>
        <w:rPr>
          <w:rFonts w:ascii="Times New Roman"/>
        </w:rPr>
        <w:t>~</w:t>
      </w:r>
      <w:r>
        <w:rPr>
          <w:rFonts w:hint="eastAsia"/>
        </w:rPr>
        <w:t>40mm，含土量不大于20%，以保证对路基排水透气和摩擦力的要求。</w:t>
      </w:r>
    </w:p>
    <w:p w14:paraId="7773B999">
      <w:pPr>
        <w:pStyle w:val="186"/>
      </w:pPr>
      <w:r>
        <w:rPr>
          <w:rFonts w:hint="eastAsia"/>
        </w:rPr>
        <w:t>轨道木枕宜选用油浸防腐枕木。</w:t>
      </w:r>
    </w:p>
    <w:p w14:paraId="2DA40A49">
      <w:pPr>
        <w:pStyle w:val="186"/>
      </w:pPr>
      <w:r>
        <w:rPr>
          <w:rFonts w:hint="eastAsia"/>
        </w:rPr>
        <w:t>预应力混凝土轨枕应配套有弹性垫层。</w:t>
      </w:r>
    </w:p>
    <w:p w14:paraId="092B54FC">
      <w:pPr>
        <w:pStyle w:val="186"/>
      </w:pPr>
      <w:r>
        <w:rPr>
          <w:rFonts w:hint="eastAsia"/>
        </w:rPr>
        <w:t>一般情况下轨枕标准间距宜为600mm。</w:t>
      </w:r>
    </w:p>
    <w:p w14:paraId="5E67FF71">
      <w:pPr>
        <w:pStyle w:val="87"/>
        <w:spacing w:before="120" w:after="120"/>
      </w:pPr>
      <w:r>
        <w:rPr>
          <w:rFonts w:hint="eastAsia"/>
        </w:rPr>
        <w:t>轨道安装</w:t>
      </w:r>
    </w:p>
    <w:p w14:paraId="56BF7F38">
      <w:pPr>
        <w:pStyle w:val="186"/>
      </w:pPr>
      <w:r>
        <w:rPr>
          <w:rFonts w:hint="eastAsia"/>
        </w:rPr>
        <w:t>应根据门机生产厂家说明书的要求选择符合规定的钢轨，钢轨应清洁、无裂纹、变形等缺陷，同一条轨道规格、型号宜相同。</w:t>
      </w:r>
    </w:p>
    <w:p w14:paraId="0B807A23">
      <w:pPr>
        <w:pStyle w:val="186"/>
      </w:pPr>
      <w:r>
        <w:rPr>
          <w:rFonts w:hint="eastAsia"/>
        </w:rPr>
        <w:t>钢轨垫铁应同钢轨型号相匹配，垫铁轨底坡朝向轨道内侧。</w:t>
      </w:r>
    </w:p>
    <w:p w14:paraId="5ADA4EAE">
      <w:pPr>
        <w:pStyle w:val="186"/>
      </w:pPr>
      <w:r>
        <w:rPr>
          <w:rFonts w:hint="eastAsia"/>
        </w:rPr>
        <w:t>轨道铺设必须固定牢固可靠，螺栓安装齐全并设有防松装置。</w:t>
      </w:r>
    </w:p>
    <w:p w14:paraId="04094B5F">
      <w:pPr>
        <w:pStyle w:val="186"/>
      </w:pPr>
      <w:r>
        <w:rPr>
          <w:rFonts w:hint="eastAsia"/>
        </w:rPr>
        <w:t>两平行轨道接头应错开，错开距离不应小于1.5m且不应等于前后车轮轮距，踏面及两侧偏差不应大于1mm，接头间隙不应大于2mm，高差不应大于2mm。钢轨接头处应有轨枕支承，不得悬空。</w:t>
      </w:r>
    </w:p>
    <w:p w14:paraId="739D2D09">
      <w:pPr>
        <w:pStyle w:val="186"/>
      </w:pPr>
      <w:r>
        <w:rPr>
          <w:rFonts w:hint="eastAsia"/>
        </w:rPr>
        <w:t>门机运行的轨道安装应符合GB/T 10183.1表2中的2级公差要求。</w:t>
      </w:r>
    </w:p>
    <w:p w14:paraId="6FD5B4F1">
      <w:pPr>
        <w:pStyle w:val="186"/>
      </w:pPr>
      <w:r>
        <w:rPr>
          <w:rFonts w:hint="eastAsia"/>
        </w:rPr>
        <w:t>在距轨道末端2m处应设置止挡装置，其能承受门机可能产生的最大冲击力。</w:t>
      </w:r>
    </w:p>
    <w:p w14:paraId="5615226A">
      <w:pPr>
        <w:pStyle w:val="186"/>
      </w:pPr>
      <w:r>
        <w:rPr>
          <w:rFonts w:hint="eastAsia"/>
        </w:rPr>
        <w:t>轨道应定期检查维护，发生啃轨现象时，应及时对轨道间距进行调整。</w:t>
      </w:r>
    </w:p>
    <w:p w14:paraId="748B795C">
      <w:pPr>
        <w:pStyle w:val="87"/>
        <w:spacing w:before="120" w:after="120"/>
      </w:pPr>
      <w:r>
        <w:rPr>
          <w:rFonts w:hint="eastAsia"/>
        </w:rPr>
        <w:t>轨道接地</w:t>
      </w:r>
    </w:p>
    <w:p w14:paraId="25BBA959">
      <w:pPr>
        <w:pStyle w:val="186"/>
      </w:pPr>
      <w:r>
        <w:rPr>
          <w:rFonts w:hint="eastAsia"/>
        </w:rPr>
        <w:t>轨道两端应各装设一组接地体(极)并做环形电气连接，接地电阻不得大于10Ω。较长轨道应每隔20m增设一组接地体(极)。轨道联结板处应有可靠电气连接。</w:t>
      </w:r>
    </w:p>
    <w:p w14:paraId="2B5C769A">
      <w:pPr>
        <w:pStyle w:val="186"/>
      </w:pPr>
      <w:r>
        <w:rPr>
          <w:rFonts w:hint="eastAsia"/>
        </w:rPr>
        <w:t>轨道任意一点的接地电阻均不得大于4Ω。</w:t>
      </w:r>
    </w:p>
    <w:p w14:paraId="153EBF6D">
      <w:pPr>
        <w:pStyle w:val="127"/>
        <w:spacing w:before="120" w:after="120"/>
      </w:pPr>
      <w:bookmarkStart w:id="72" w:name="_Toc197967346"/>
      <w:r>
        <w:rPr>
          <w:rFonts w:hint="eastAsia"/>
        </w:rPr>
        <w:t>安装与拆卸作业</w:t>
      </w:r>
      <w:bookmarkEnd w:id="72"/>
    </w:p>
    <w:p w14:paraId="23426508">
      <w:pPr>
        <w:pStyle w:val="87"/>
        <w:spacing w:before="120" w:after="120"/>
      </w:pPr>
      <w:r>
        <w:rPr>
          <w:rFonts w:hint="eastAsia"/>
        </w:rPr>
        <w:t>安装（拆卸）前告知</w:t>
      </w:r>
    </w:p>
    <w:p w14:paraId="452AB2BB">
      <w:pPr>
        <w:pStyle w:val="196"/>
        <w:spacing w:after="0" w:line="240" w:lineRule="auto"/>
        <w:ind w:firstLine="420" w:firstLineChars="200"/>
      </w:pPr>
      <w:r>
        <w:rPr>
          <w:rFonts w:hint="eastAsia"/>
        </w:rPr>
        <w:t>门机安装前应办理告知手续，申请特种设备检验并被受理。</w:t>
      </w:r>
    </w:p>
    <w:p w14:paraId="12178D13">
      <w:pPr>
        <w:pStyle w:val="196"/>
        <w:numPr>
          <w:ilvl w:val="0"/>
          <w:numId w:val="34"/>
        </w:numPr>
        <w:spacing w:after="0" w:line="240" w:lineRule="auto"/>
      </w:pPr>
      <w:r>
        <w:rPr>
          <w:rFonts w:hint="eastAsia"/>
        </w:rPr>
        <w:t>适用于市场监督管理总局监管的门机，安装单位应当在施工前将拟进行的门机安装情况书面告知直辖市或者设区的市级人民政府负责特种设备安全监督管理的部门；</w:t>
      </w:r>
    </w:p>
    <w:p w14:paraId="2C8BBCEA">
      <w:pPr>
        <w:pStyle w:val="196"/>
        <w:numPr>
          <w:ilvl w:val="0"/>
          <w:numId w:val="34"/>
        </w:numPr>
        <w:spacing w:after="0" w:line="240" w:lineRule="auto"/>
      </w:pPr>
      <w:r>
        <w:rPr>
          <w:rFonts w:hint="eastAsia"/>
        </w:rPr>
        <w:t>适用于住房和城乡建设部监管的门机，安装单位将门机安装材料报施工总承包单位和监理单位审核后，书面告知工程所在地县级以上地方人民政府建设主管部门。门机拆卸前应办理告知手续。</w:t>
      </w:r>
    </w:p>
    <w:p w14:paraId="07DB1A87">
      <w:pPr>
        <w:pStyle w:val="87"/>
        <w:spacing w:before="120" w:after="120"/>
      </w:pPr>
      <w:r>
        <w:rPr>
          <w:rFonts w:hint="eastAsia"/>
        </w:rPr>
        <w:t>安装、拆卸前准备</w:t>
      </w:r>
    </w:p>
    <w:p w14:paraId="7B956563">
      <w:pPr>
        <w:pStyle w:val="186"/>
      </w:pPr>
      <w:bookmarkStart w:id="73" w:name="_Hlk197954182"/>
      <w:r>
        <w:rPr>
          <w:rFonts w:hint="eastAsia"/>
        </w:rPr>
        <w:t>安装与拆卸应编制施工计划并应严格过程监督管理,施工计划的制定计划应由有经验的管理人员制定。</w:t>
      </w:r>
    </w:p>
    <w:bookmarkEnd w:id="73"/>
    <w:p w14:paraId="2D5F7795">
      <w:pPr>
        <w:pStyle w:val="186"/>
      </w:pPr>
      <w:r>
        <w:rPr>
          <w:rFonts w:hint="eastAsia"/>
        </w:rPr>
        <w:t>对外委托安装、拆卸门机，使用单位应和安装单位签订施工合同和安全协议，明确双方的安全责任。</w:t>
      </w:r>
    </w:p>
    <w:p w14:paraId="427B6945">
      <w:pPr>
        <w:pStyle w:val="186"/>
      </w:pPr>
      <w:r>
        <w:rPr>
          <w:rFonts w:hint="eastAsia"/>
        </w:rPr>
        <w:t>安装、拆卸前安装单位应对门机进行检查、维护和保养；如发现缺陷项应整改完成，验收合格，并留存整改记录。</w:t>
      </w:r>
    </w:p>
    <w:p w14:paraId="13824340">
      <w:pPr>
        <w:pStyle w:val="186"/>
      </w:pPr>
      <w:r>
        <w:rPr>
          <w:rFonts w:hint="eastAsia"/>
        </w:rPr>
        <w:t>安装前应对门机安装基础(包括轨道等)进行验收检查。</w:t>
      </w:r>
    </w:p>
    <w:p w14:paraId="075AB729">
      <w:pPr>
        <w:pStyle w:val="186"/>
      </w:pPr>
      <w:r>
        <w:rPr>
          <w:rFonts w:hint="eastAsia"/>
        </w:rPr>
        <w:t>门机的供电设置应满足门机的安装及使用安全要求。</w:t>
      </w:r>
    </w:p>
    <w:p w14:paraId="3E314941">
      <w:pPr>
        <w:pStyle w:val="186"/>
      </w:pPr>
      <w:r>
        <w:rPr>
          <w:rFonts w:hint="eastAsia"/>
        </w:rPr>
        <w:t>安装、拆卸前应按照专项施工方案对作业条件包括人员资质、作业场地、工机具等进行检查确认并做好记录。</w:t>
      </w:r>
    </w:p>
    <w:p w14:paraId="03D426A6">
      <w:pPr>
        <w:pStyle w:val="186"/>
      </w:pPr>
      <w:r>
        <w:rPr>
          <w:rFonts w:hint="eastAsia"/>
        </w:rPr>
        <w:t>安装、拆卸前专项施工方案编制人员或技术负责人应向现场管理人员和作业人员进行安全技术交底，做到分工明确、职责清楚。</w:t>
      </w:r>
    </w:p>
    <w:p w14:paraId="7CDB4E39">
      <w:pPr>
        <w:pStyle w:val="186"/>
      </w:pPr>
      <w:r>
        <w:rPr>
          <w:rFonts w:hint="eastAsia"/>
        </w:rPr>
        <w:t>安装、拆卸作业范围内场地应进行清理，设置明显警戒线、警示标志，按要求设置危大工程标识牌，安排专人进行现场监管。</w:t>
      </w:r>
    </w:p>
    <w:p w14:paraId="43B30584">
      <w:pPr>
        <w:pStyle w:val="186"/>
      </w:pPr>
      <w:r>
        <w:rPr>
          <w:rFonts w:hint="eastAsia"/>
        </w:rPr>
        <w:t>安装单位专职安全员、专业技术人员应到位并完成入场安全教育培训。</w:t>
      </w:r>
    </w:p>
    <w:p w14:paraId="45E77F74">
      <w:pPr>
        <w:pStyle w:val="186"/>
      </w:pPr>
      <w:r>
        <w:rPr>
          <w:rFonts w:hint="eastAsia"/>
        </w:rPr>
        <w:t>安装、拆卸前刚性支腿、柔性支腿缆风绳、地锚等设置符合专项施工方案的要求。</w:t>
      </w:r>
    </w:p>
    <w:p w14:paraId="10270AFD">
      <w:pPr>
        <w:pStyle w:val="186"/>
      </w:pPr>
      <w:r>
        <w:rPr>
          <w:rFonts w:hint="eastAsia"/>
        </w:rPr>
        <w:t>拆卸前需对门机需要解体的零部件及其他电气设备进行标记和编号，以有利后续安装。</w:t>
      </w:r>
    </w:p>
    <w:p w14:paraId="5D11718F">
      <w:pPr>
        <w:pStyle w:val="87"/>
        <w:spacing w:before="120" w:after="120"/>
      </w:pPr>
      <w:r>
        <w:rPr>
          <w:rFonts w:hint="eastAsia"/>
        </w:rPr>
        <w:t>安装</w:t>
      </w:r>
    </w:p>
    <w:p w14:paraId="013E74C9">
      <w:pPr>
        <w:pStyle w:val="186"/>
      </w:pPr>
      <w:r>
        <w:rPr>
          <w:rFonts w:hint="eastAsia"/>
        </w:rPr>
        <w:t>对于新购置的门机首次安装，应在生产厂家人员指导下完成安装工作。</w:t>
      </w:r>
    </w:p>
    <w:p w14:paraId="541303D5">
      <w:pPr>
        <w:pStyle w:val="186"/>
      </w:pPr>
      <w:r>
        <w:rPr>
          <w:rFonts w:hint="eastAsia"/>
        </w:rPr>
        <w:t>安装应按照专项施工方案步骤有序进行，并对整个过程做详细记录，相关管理人员应进行现场监督，不得离开现场。</w:t>
      </w:r>
    </w:p>
    <w:p w14:paraId="7886E0C9">
      <w:pPr>
        <w:pStyle w:val="186"/>
      </w:pPr>
      <w:r>
        <w:rPr>
          <w:rFonts w:hint="eastAsia"/>
        </w:rPr>
        <w:t>安装作业中人员应分工明确，并由安装负责人统一指挥。</w:t>
      </w:r>
    </w:p>
    <w:p w14:paraId="0796E0F9">
      <w:pPr>
        <w:pStyle w:val="186"/>
      </w:pPr>
      <w:r>
        <w:rPr>
          <w:rFonts w:hint="eastAsia"/>
        </w:rPr>
        <w:t>安装过程严格执行工序交接，上到工序验收合格后方可进行下道工序施工。</w:t>
      </w:r>
    </w:p>
    <w:p w14:paraId="696A8597">
      <w:pPr>
        <w:pStyle w:val="186"/>
      </w:pPr>
      <w:r>
        <w:rPr>
          <w:rFonts w:hint="eastAsia"/>
        </w:rPr>
        <w:t>门机的主梁、</w:t>
      </w:r>
      <w:bookmarkStart w:id="74" w:name="_Hlk197540467"/>
      <w:r>
        <w:rPr>
          <w:rFonts w:hint="eastAsia"/>
        </w:rPr>
        <w:t>刚性支腿和柔性支腿</w:t>
      </w:r>
      <w:bookmarkEnd w:id="74"/>
      <w:r>
        <w:rPr>
          <w:rFonts w:hint="eastAsia"/>
        </w:rPr>
        <w:t>在地面组合完成后，应经验收合格后进行吊装。</w:t>
      </w:r>
    </w:p>
    <w:p w14:paraId="31EEDD3A">
      <w:pPr>
        <w:pStyle w:val="186"/>
      </w:pPr>
      <w:r>
        <w:rPr>
          <w:rFonts w:hint="eastAsia"/>
        </w:rPr>
        <w:t>门机主梁上拱度、悬臂上翘度应符合规范要求。</w:t>
      </w:r>
    </w:p>
    <w:p w14:paraId="3693D463">
      <w:pPr>
        <w:pStyle w:val="186"/>
      </w:pPr>
      <w:r>
        <w:rPr>
          <w:rFonts w:hint="eastAsia"/>
        </w:rPr>
        <w:t>门机的刚性支腿和柔性支腿吊装后，应及时完成主梁吊装形成稳定结构，否则应采取安全措施并做好监护工作。</w:t>
      </w:r>
    </w:p>
    <w:p w14:paraId="6047AE55">
      <w:pPr>
        <w:pStyle w:val="116"/>
        <w:spacing w:before="120" w:after="120"/>
      </w:pPr>
      <w:r>
        <w:rPr>
          <w:rFonts w:hint="eastAsia"/>
        </w:rPr>
        <w:t>主梁吊装</w:t>
      </w:r>
    </w:p>
    <w:p w14:paraId="38F7E0F3">
      <w:pPr>
        <w:pStyle w:val="196"/>
        <w:numPr>
          <w:ilvl w:val="0"/>
          <w:numId w:val="34"/>
        </w:numPr>
        <w:spacing w:after="0" w:line="240" w:lineRule="auto"/>
      </w:pPr>
      <w:r>
        <w:rPr>
          <w:rFonts w:hint="eastAsia"/>
        </w:rPr>
        <w:t>吊装主梁时应选择合适的起升系挂位置，保证主梁起升时均匀平衡、起吊绳无滑移、主梁结构不变形；</w:t>
      </w:r>
    </w:p>
    <w:p w14:paraId="187D9D9A">
      <w:pPr>
        <w:pStyle w:val="196"/>
        <w:numPr>
          <w:ilvl w:val="0"/>
          <w:numId w:val="34"/>
        </w:numPr>
        <w:spacing w:after="0" w:line="240" w:lineRule="auto"/>
      </w:pPr>
      <w:r>
        <w:rPr>
          <w:rFonts w:hint="eastAsia"/>
        </w:rPr>
        <w:t>为保证主梁起吊的稳定性和水平度，应通过计算等方式确认主梁的重心，并计算辅助起重机械负荷率符合规范要求；</w:t>
      </w:r>
    </w:p>
    <w:p w14:paraId="2613CFD3">
      <w:pPr>
        <w:pStyle w:val="196"/>
        <w:numPr>
          <w:ilvl w:val="0"/>
          <w:numId w:val="34"/>
        </w:numPr>
        <w:spacing w:after="0" w:line="240" w:lineRule="auto"/>
      </w:pPr>
      <w:r>
        <w:rPr>
          <w:rFonts w:hint="eastAsia"/>
        </w:rPr>
        <w:t>起重小车、电动葫芦、主钩等随主梁一起吊装时必须绑扎固定牢靠；</w:t>
      </w:r>
    </w:p>
    <w:p w14:paraId="611891F0">
      <w:pPr>
        <w:pStyle w:val="196"/>
        <w:numPr>
          <w:ilvl w:val="0"/>
          <w:numId w:val="34"/>
        </w:numPr>
        <w:spacing w:after="0" w:line="240" w:lineRule="auto"/>
      </w:pPr>
      <w:r>
        <w:rPr>
          <w:rFonts w:hint="eastAsia"/>
        </w:rPr>
        <w:t>吊索与主梁的棱角接触处应采取保护和防脱落措施；</w:t>
      </w:r>
    </w:p>
    <w:p w14:paraId="06A39E8D">
      <w:pPr>
        <w:pStyle w:val="196"/>
        <w:numPr>
          <w:ilvl w:val="0"/>
          <w:numId w:val="34"/>
        </w:numPr>
        <w:spacing w:after="0" w:line="240" w:lineRule="auto"/>
      </w:pPr>
      <w:r>
        <w:rPr>
          <w:rFonts w:hint="eastAsia"/>
        </w:rPr>
        <w:t>未和刚性支腿、柔性支腿连接稳固时禁止卸载松钩；</w:t>
      </w:r>
    </w:p>
    <w:p w14:paraId="4E062C16">
      <w:pPr>
        <w:pStyle w:val="196"/>
        <w:numPr>
          <w:ilvl w:val="0"/>
          <w:numId w:val="34"/>
        </w:numPr>
        <w:spacing w:after="0" w:line="240" w:lineRule="auto"/>
      </w:pPr>
      <w:r>
        <w:rPr>
          <w:rFonts w:hint="eastAsia"/>
        </w:rPr>
        <w:t>柔性支腿侧与主梁之间带有斜撑和水平支撑时，在辅助起重机械松钩之前必须安装到位。</w:t>
      </w:r>
    </w:p>
    <w:p w14:paraId="5DD62FEB">
      <w:pPr>
        <w:pStyle w:val="116"/>
        <w:spacing w:before="120" w:after="120"/>
      </w:pPr>
      <w:r>
        <w:rPr>
          <w:rFonts w:hint="eastAsia"/>
        </w:rPr>
        <w:t>双机抬吊主梁时，应符合下列要求：</w:t>
      </w:r>
    </w:p>
    <w:p w14:paraId="7CF921BC">
      <w:pPr>
        <w:pStyle w:val="196"/>
        <w:numPr>
          <w:ilvl w:val="0"/>
          <w:numId w:val="35"/>
        </w:numPr>
        <w:spacing w:after="0" w:line="240" w:lineRule="auto"/>
      </w:pPr>
      <w:r>
        <w:rPr>
          <w:rFonts w:hint="eastAsia"/>
        </w:rPr>
        <w:t>宜选用额定起重量相等和相同性能的起重机械；</w:t>
      </w:r>
    </w:p>
    <w:p w14:paraId="7C90218E">
      <w:pPr>
        <w:pStyle w:val="196"/>
        <w:numPr>
          <w:ilvl w:val="0"/>
          <w:numId w:val="35"/>
        </w:numPr>
        <w:spacing w:after="0" w:line="240" w:lineRule="auto"/>
      </w:pPr>
      <w:r>
        <w:rPr>
          <w:rFonts w:hint="eastAsia"/>
        </w:rPr>
        <w:t>吊点选取时，应根据各台起重机械的允许起重量按计算比例分配载荷；</w:t>
      </w:r>
    </w:p>
    <w:p w14:paraId="406432F5">
      <w:pPr>
        <w:pStyle w:val="196"/>
        <w:numPr>
          <w:ilvl w:val="0"/>
          <w:numId w:val="35"/>
        </w:numPr>
        <w:spacing w:after="0" w:line="240" w:lineRule="auto"/>
      </w:pPr>
      <w:r>
        <w:rPr>
          <w:rFonts w:hint="eastAsia"/>
        </w:rPr>
        <w:t>起重机械承受的载荷不得超过本身80%的额定载荷；</w:t>
      </w:r>
    </w:p>
    <w:p w14:paraId="5F03A9E8">
      <w:pPr>
        <w:pStyle w:val="196"/>
        <w:numPr>
          <w:ilvl w:val="0"/>
          <w:numId w:val="35"/>
        </w:numPr>
        <w:spacing w:after="0" w:line="240" w:lineRule="auto"/>
      </w:pPr>
      <w:r>
        <w:rPr>
          <w:rFonts w:hint="eastAsia"/>
        </w:rPr>
        <w:t>抬吊过程中，起重机械吊钩钢丝绳应保持铅直，升降保持同步；</w:t>
      </w:r>
    </w:p>
    <w:p w14:paraId="2A9A1F5F">
      <w:pPr>
        <w:pStyle w:val="196"/>
        <w:numPr>
          <w:ilvl w:val="0"/>
          <w:numId w:val="35"/>
        </w:numPr>
        <w:spacing w:after="0" w:line="240" w:lineRule="auto"/>
      </w:pPr>
      <w:r>
        <w:rPr>
          <w:rFonts w:hint="eastAsia"/>
        </w:rPr>
        <w:t>应统一指挥，明确各起重机械的起始承载和就位卸载顺序。</w:t>
      </w:r>
    </w:p>
    <w:p w14:paraId="5AEBC43D">
      <w:pPr>
        <w:pStyle w:val="116"/>
        <w:spacing w:before="120" w:after="120"/>
      </w:pPr>
      <w:r>
        <w:rPr>
          <w:rFonts w:hint="eastAsia"/>
        </w:rPr>
        <w:t>刚性支腿、柔性支腿移动时应符合以下要求：</w:t>
      </w:r>
    </w:p>
    <w:p w14:paraId="51E1D3FE">
      <w:pPr>
        <w:pStyle w:val="196"/>
        <w:numPr>
          <w:ilvl w:val="0"/>
          <w:numId w:val="36"/>
        </w:numPr>
        <w:spacing w:after="0"/>
        <w:ind w:left="850" w:hanging="425"/>
      </w:pPr>
      <w:r>
        <w:rPr>
          <w:rFonts w:hint="eastAsia"/>
        </w:rPr>
        <w:t>刚性支腿内外侧宜布置三根及以上缆风绳，地锚布置时应考虑移动过程中缆风绳无干涉；</w:t>
      </w:r>
    </w:p>
    <w:p w14:paraId="4932DADA">
      <w:pPr>
        <w:pStyle w:val="196"/>
        <w:numPr>
          <w:ilvl w:val="0"/>
          <w:numId w:val="36"/>
        </w:numPr>
        <w:spacing w:after="0"/>
        <w:ind w:left="850" w:hanging="425"/>
      </w:pPr>
      <w:r>
        <w:rPr>
          <w:rFonts w:hint="eastAsia"/>
        </w:rPr>
        <w:t>移动时应平稳缓慢，设专人监护指挥，支腿的垂直度、缆风绳松紧度保持在控制范围内；</w:t>
      </w:r>
    </w:p>
    <w:p w14:paraId="5F8E9FCC">
      <w:pPr>
        <w:pStyle w:val="196"/>
        <w:numPr>
          <w:ilvl w:val="0"/>
          <w:numId w:val="36"/>
        </w:numPr>
        <w:spacing w:after="0"/>
        <w:ind w:left="850" w:hanging="425"/>
      </w:pPr>
      <w:r>
        <w:rPr>
          <w:rFonts w:hint="eastAsia"/>
        </w:rPr>
        <w:t>刚性支腿、柔性支腿不同时移动。</w:t>
      </w:r>
    </w:p>
    <w:p w14:paraId="6172F836">
      <w:pPr>
        <w:pStyle w:val="186"/>
      </w:pPr>
      <w:r>
        <w:rPr>
          <w:rFonts w:hint="eastAsia"/>
        </w:rPr>
        <w:t>各部件之间的连接件和防松元件应安装到位并连接可靠，连接件及其防松防脱件不应代用。</w:t>
      </w:r>
    </w:p>
    <w:p w14:paraId="12A920FD">
      <w:pPr>
        <w:pStyle w:val="186"/>
      </w:pPr>
      <w:r>
        <w:rPr>
          <w:rFonts w:hint="eastAsia"/>
        </w:rPr>
        <w:t>门机部件之间用高强度螺栓连接时，拧紧力矩需达到使用说明书要求值。</w:t>
      </w:r>
    </w:p>
    <w:p w14:paraId="208E80AB">
      <w:pPr>
        <w:pStyle w:val="186"/>
      </w:pPr>
      <w:r>
        <w:rPr>
          <w:rFonts w:hint="eastAsia"/>
        </w:rPr>
        <w:t>门机应安装两种不同形式的高度限位装置。</w:t>
      </w:r>
    </w:p>
    <w:p w14:paraId="7D633690">
      <w:pPr>
        <w:pStyle w:val="186"/>
      </w:pPr>
      <w:r>
        <w:rPr>
          <w:rFonts w:hint="eastAsia"/>
        </w:rPr>
        <w:t>安装后电气系统的接线、调试，应符合说明书和GB/T 6067.5的规定要求。</w:t>
      </w:r>
    </w:p>
    <w:p w14:paraId="62313C67">
      <w:pPr>
        <w:pStyle w:val="186"/>
      </w:pPr>
      <w:r>
        <w:rPr>
          <w:rFonts w:hint="eastAsia"/>
        </w:rPr>
        <w:t>液压系统安装应符合 GB/T 6067.1的相关规定。</w:t>
      </w:r>
    </w:p>
    <w:p w14:paraId="15E732A2">
      <w:pPr>
        <w:pStyle w:val="186"/>
      </w:pPr>
      <w:r>
        <w:rPr>
          <w:rFonts w:hint="eastAsia"/>
        </w:rPr>
        <w:t>起升高度大于12m时宜安装风速仪，风速仪应安置在主梁上部迎风处。</w:t>
      </w:r>
    </w:p>
    <w:p w14:paraId="618E23F3">
      <w:pPr>
        <w:pStyle w:val="186"/>
      </w:pPr>
      <w:r>
        <w:rPr>
          <w:rFonts w:hint="eastAsia"/>
        </w:rPr>
        <w:t>应装设轨道清扫器，扫轨板底面与轨道顶面之间的间隙一般为5mm～10mm。</w:t>
      </w:r>
    </w:p>
    <w:p w14:paraId="25061CD6">
      <w:pPr>
        <w:pStyle w:val="186"/>
      </w:pPr>
      <w:r>
        <w:rPr>
          <w:rFonts w:hint="eastAsia"/>
        </w:rPr>
        <w:t>大车行走应设置蜂鸣器、闪光灯等作业报警装置。</w:t>
      </w:r>
    </w:p>
    <w:p w14:paraId="768D055F">
      <w:pPr>
        <w:pStyle w:val="186"/>
      </w:pPr>
      <w:r>
        <w:rPr>
          <w:rFonts w:hint="eastAsia"/>
        </w:rPr>
        <w:t>门机跨度大于40</w:t>
      </w:r>
      <w:r>
        <w:t xml:space="preserve"> </w:t>
      </w:r>
      <w:r>
        <w:rPr>
          <w:rFonts w:hint="eastAsia"/>
        </w:rPr>
        <w:t>m时，宜安装偏斜指示器或限制器。</w:t>
      </w:r>
    </w:p>
    <w:p w14:paraId="1B14003B">
      <w:pPr>
        <w:pStyle w:val="186"/>
      </w:pPr>
      <w:r>
        <w:rPr>
          <w:rFonts w:hint="eastAsia"/>
        </w:rPr>
        <w:t>安装后的风速仪、视频监控系统、安全限位装置、起重量限制器等应进行调试验收。</w:t>
      </w:r>
    </w:p>
    <w:p w14:paraId="69598E81">
      <w:pPr>
        <w:pStyle w:val="87"/>
        <w:spacing w:before="120" w:after="120"/>
      </w:pPr>
      <w:r>
        <w:rPr>
          <w:rFonts w:hint="eastAsia"/>
        </w:rPr>
        <w:t>安装后的检查与验收</w:t>
      </w:r>
    </w:p>
    <w:p w14:paraId="2BBCD81C">
      <w:pPr>
        <w:pStyle w:val="186"/>
      </w:pPr>
      <w:r>
        <w:rPr>
          <w:rFonts w:hint="eastAsia"/>
        </w:rPr>
        <w:t>整机安装完成后，使用单位应组织安装单位、监理单位等进行验收，填写自检记录报告，按照</w:t>
      </w:r>
      <w:bookmarkStart w:id="75" w:name="OLE_LINK4"/>
      <w:r>
        <w:rPr>
          <w:rFonts w:hint="eastAsia"/>
        </w:rPr>
        <w:t>GB/T 14406中的规定进行检查和试验。</w:t>
      </w:r>
      <w:bookmarkEnd w:id="75"/>
    </w:p>
    <w:p w14:paraId="5E7B76BD">
      <w:pPr>
        <w:pStyle w:val="186"/>
      </w:pPr>
      <w:r>
        <w:rPr>
          <w:rFonts w:hint="eastAsia"/>
        </w:rPr>
        <w:t>门机试验应遵循 GB/T5905规定的规范和程序。</w:t>
      </w:r>
    </w:p>
    <w:p w14:paraId="06BB7D92">
      <w:pPr>
        <w:pStyle w:val="186"/>
      </w:pPr>
      <w:r>
        <w:rPr>
          <w:rFonts w:hint="eastAsia"/>
        </w:rPr>
        <w:t>门机安装的电动葫芦应按照GB/T 14406中的规定进行检查和试验。</w:t>
      </w:r>
    </w:p>
    <w:p w14:paraId="61CD03E2">
      <w:pPr>
        <w:pStyle w:val="186"/>
      </w:pPr>
      <w:r>
        <w:rPr>
          <w:rFonts w:hint="eastAsia"/>
        </w:rPr>
        <w:t>门机试验时，至少应满足以下条件：</w:t>
      </w:r>
    </w:p>
    <w:p w14:paraId="111AD7A3">
      <w:pPr>
        <w:pStyle w:val="196"/>
        <w:numPr>
          <w:ilvl w:val="0"/>
          <w:numId w:val="37"/>
        </w:numPr>
        <w:spacing w:after="0" w:line="240" w:lineRule="auto"/>
      </w:pPr>
      <w:r>
        <w:rPr>
          <w:rFonts w:hint="eastAsia"/>
        </w:rPr>
        <w:t>试验环境满足起重机的工作条件；</w:t>
      </w:r>
    </w:p>
    <w:p w14:paraId="4DCF3638">
      <w:pPr>
        <w:pStyle w:val="196"/>
        <w:numPr>
          <w:ilvl w:val="0"/>
          <w:numId w:val="37"/>
        </w:numPr>
        <w:spacing w:after="0" w:line="240" w:lineRule="auto"/>
      </w:pPr>
      <w:r>
        <w:rPr>
          <w:rFonts w:hint="eastAsia"/>
        </w:rPr>
        <w:t>试验载荷误差不超过±1%；</w:t>
      </w:r>
    </w:p>
    <w:p w14:paraId="215FF06A">
      <w:pPr>
        <w:pStyle w:val="196"/>
        <w:numPr>
          <w:ilvl w:val="0"/>
          <w:numId w:val="37"/>
        </w:numPr>
        <w:spacing w:after="0" w:line="240" w:lineRule="auto"/>
      </w:pPr>
      <w:r>
        <w:rPr>
          <w:rFonts w:hint="eastAsia"/>
        </w:rPr>
        <w:t>风速不大于8.3m/s；</w:t>
      </w:r>
    </w:p>
    <w:p w14:paraId="7896E5D3">
      <w:pPr>
        <w:pStyle w:val="196"/>
        <w:numPr>
          <w:ilvl w:val="0"/>
          <w:numId w:val="37"/>
        </w:numPr>
        <w:spacing w:after="0" w:line="240" w:lineRule="auto"/>
      </w:pPr>
      <w:r>
        <w:rPr>
          <w:rFonts w:hint="eastAsia"/>
        </w:rPr>
        <w:t>试验场所没有影响门机正常工作的障碍物，且设置防止无关人员或车辆进入试验区域的警示标志。</w:t>
      </w:r>
    </w:p>
    <w:p w14:paraId="4FFBCF41">
      <w:pPr>
        <w:pStyle w:val="186"/>
      </w:pPr>
      <w:r>
        <w:rPr>
          <w:rFonts w:hint="eastAsia"/>
        </w:rPr>
        <w:t>门机自检合格后，应申请监督检验，监督检验合格后方可投入使用。</w:t>
      </w:r>
    </w:p>
    <w:p w14:paraId="0A4AD758">
      <w:pPr>
        <w:pStyle w:val="186"/>
      </w:pPr>
      <w:r>
        <w:rPr>
          <w:rFonts w:hint="eastAsia"/>
        </w:rPr>
        <w:t>门机完成验收后，安装单位向使用单位（施工单位）进行安全使用说明并办理交接手续。</w:t>
      </w:r>
    </w:p>
    <w:p w14:paraId="7433FF91">
      <w:pPr>
        <w:pStyle w:val="186"/>
      </w:pPr>
      <w:r>
        <w:rPr>
          <w:rFonts w:hint="eastAsia"/>
        </w:rPr>
        <w:t>安装单位应当在门机检验完成后</w:t>
      </w:r>
      <w:r>
        <w:t xml:space="preserve"> 30 </w:t>
      </w:r>
      <w:r>
        <w:rPr>
          <w:rFonts w:hint="eastAsia"/>
        </w:rPr>
        <w:t>日内并在办理使用登记前，将有关安装档案移交给使用单位。</w:t>
      </w:r>
    </w:p>
    <w:p w14:paraId="09E04B26">
      <w:pPr>
        <w:pStyle w:val="87"/>
        <w:spacing w:before="120" w:after="120"/>
      </w:pPr>
      <w:r>
        <w:rPr>
          <w:rFonts w:hint="eastAsia"/>
        </w:rPr>
        <w:t>拆卸</w:t>
      </w:r>
    </w:p>
    <w:p w14:paraId="7CAFB2D0">
      <w:pPr>
        <w:pStyle w:val="186"/>
      </w:pPr>
      <w:r>
        <w:rPr>
          <w:rFonts w:hint="eastAsia"/>
        </w:rPr>
        <w:t>拆卸应严格按照专项施工方案步骤有序进行，并对整个过程做详细记录，相关管理人员应进行现场监督，不得离开现场。</w:t>
      </w:r>
    </w:p>
    <w:p w14:paraId="7B6BD6BC">
      <w:pPr>
        <w:pStyle w:val="186"/>
      </w:pPr>
      <w:r>
        <w:rPr>
          <w:rFonts w:hint="eastAsia"/>
        </w:rPr>
        <w:t>门机应按照专项施工方案停在指定的位置，锁好夹轨钳，确认刚性支腿、柔性支腿的缆风绳、地锚等设置符合专项施工方案的要求。</w:t>
      </w:r>
    </w:p>
    <w:p w14:paraId="7319F031">
      <w:pPr>
        <w:pStyle w:val="186"/>
      </w:pPr>
      <w:r>
        <w:rPr>
          <w:rFonts w:hint="eastAsia"/>
        </w:rPr>
        <w:t>起重小车、电动葫芦等随主梁一起拆卸时必须绑扎固定牢靠。</w:t>
      </w:r>
    </w:p>
    <w:p w14:paraId="4520786B">
      <w:pPr>
        <w:pStyle w:val="186"/>
      </w:pPr>
      <w:r>
        <w:rPr>
          <w:rFonts w:hint="eastAsia"/>
        </w:rPr>
        <w:t>应通过计算等方式确认主梁的重心并选择合适的起升系挂位置保证主梁起升时均匀平衡。</w:t>
      </w:r>
    </w:p>
    <w:p w14:paraId="09B87B03">
      <w:pPr>
        <w:pStyle w:val="186"/>
      </w:pPr>
      <w:r>
        <w:rPr>
          <w:rFonts w:hint="eastAsia"/>
        </w:rPr>
        <w:t>吊索与主梁的棱角接触处应采取保护和防脱落措施。</w:t>
      </w:r>
    </w:p>
    <w:p w14:paraId="0553E947">
      <w:pPr>
        <w:pStyle w:val="186"/>
      </w:pPr>
      <w:r>
        <w:rPr>
          <w:rFonts w:hint="eastAsia"/>
        </w:rPr>
        <w:t>拆除主梁、支腿之间的连接前应确认起重机械吊钩已在主梁吊点挂设完毕，刚性支腿、柔性支腿的缆风绳系挂可靠。</w:t>
      </w:r>
    </w:p>
    <w:p w14:paraId="7F28EB55">
      <w:pPr>
        <w:pStyle w:val="186"/>
      </w:pPr>
      <w:r>
        <w:rPr>
          <w:rFonts w:hint="eastAsia"/>
        </w:rPr>
        <w:t>起吊主梁时，起重机械的动作应平缓，必要时采取措施防止主梁与支腿连接未完全拆除引发的摆动和冲击。</w:t>
      </w:r>
    </w:p>
    <w:p w14:paraId="5FD911F7">
      <w:pPr>
        <w:pStyle w:val="186"/>
      </w:pPr>
      <w:r>
        <w:rPr>
          <w:rFonts w:hint="eastAsia"/>
        </w:rPr>
        <w:t>刚性支腿、柔性支腿需要移动时符合6.4.3.9的要求。</w:t>
      </w:r>
    </w:p>
    <w:p w14:paraId="259314C3">
      <w:pPr>
        <w:pStyle w:val="186"/>
      </w:pPr>
      <w:r>
        <w:rPr>
          <w:rFonts w:hint="eastAsia"/>
        </w:rPr>
        <w:t>支腿拆除放倒时宜考虑双机抬吊。</w:t>
      </w:r>
    </w:p>
    <w:p w14:paraId="16904320">
      <w:pPr>
        <w:pStyle w:val="186"/>
      </w:pPr>
      <w:r>
        <w:rPr>
          <w:rFonts w:hint="eastAsia"/>
        </w:rPr>
        <w:t>拆卸作业宜连续进行，当遇特殊情况拆卸作业不能继续时，应采取措施保证门机处于安全状态。</w:t>
      </w:r>
    </w:p>
    <w:p w14:paraId="376BE4A3">
      <w:pPr>
        <w:pStyle w:val="186"/>
      </w:pPr>
      <w:r>
        <w:rPr>
          <w:rFonts w:hint="eastAsia"/>
        </w:rPr>
        <w:t>拆卸完毕后，应及时拆除辅助设施，清理场地上作业时所用的吊索具、工器具等各种零配件和杂物。</w:t>
      </w:r>
    </w:p>
    <w:p w14:paraId="412F1C07">
      <w:pPr>
        <w:pStyle w:val="87"/>
        <w:spacing w:before="120" w:after="120"/>
      </w:pPr>
      <w:r>
        <w:rPr>
          <w:rFonts w:hint="eastAsia"/>
        </w:rPr>
        <w:t>缆风绳及地锚</w:t>
      </w:r>
    </w:p>
    <w:p w14:paraId="47531814">
      <w:pPr>
        <w:pStyle w:val="186"/>
      </w:pPr>
      <w:r>
        <w:rPr>
          <w:rFonts w:hint="eastAsia"/>
        </w:rPr>
        <w:t>缆风绳应有足够的强度与耐磨性，安全系数不小于3.5，以保证其在承受风力和其它外力作用时不会断裂或损坏。</w:t>
      </w:r>
    </w:p>
    <w:p w14:paraId="59CF8172">
      <w:pPr>
        <w:pStyle w:val="186"/>
      </w:pPr>
      <w:r>
        <w:rPr>
          <w:rFonts w:hint="eastAsia"/>
        </w:rPr>
        <w:t>缆风绳与地面的夹角一般不得大于45°</w:t>
      </w:r>
    </w:p>
    <w:p w14:paraId="08A5C583">
      <w:pPr>
        <w:pStyle w:val="186"/>
      </w:pPr>
      <w:r>
        <w:rPr>
          <w:rFonts w:hint="eastAsia"/>
        </w:rPr>
        <w:t>支腿内外两侧应各设三根缆风绳，支腿需要移动时，内外两侧宜设置多根缆风绳。</w:t>
      </w:r>
    </w:p>
    <w:p w14:paraId="5A96F6EC">
      <w:pPr>
        <w:pStyle w:val="186"/>
      </w:pPr>
      <w:r>
        <w:rPr>
          <w:rFonts w:hint="eastAsia"/>
        </w:rPr>
        <w:t>支腿的缆风绳松紧度应均匀一致，使用手拉葫芦调节的缆风绳调整完毕后应将手拉链拴在起重链上。</w:t>
      </w:r>
    </w:p>
    <w:p w14:paraId="45BBCE9F">
      <w:pPr>
        <w:pStyle w:val="186"/>
      </w:pPr>
      <w:r>
        <w:rPr>
          <w:rFonts w:hint="eastAsia"/>
        </w:rPr>
        <w:t>缆风绳与支腿顶部及地锚的连接应牢固可靠，棱角接触处应采取保护和防脱落措施</w:t>
      </w:r>
    </w:p>
    <w:p w14:paraId="50F27FB4">
      <w:pPr>
        <w:pStyle w:val="186"/>
      </w:pPr>
      <w:r>
        <w:rPr>
          <w:rFonts w:hint="eastAsia"/>
        </w:rPr>
        <w:t>地锚布设应避开支腿、主梁摆放位置。</w:t>
      </w:r>
    </w:p>
    <w:p w14:paraId="3AFF1079">
      <w:pPr>
        <w:pStyle w:val="186"/>
      </w:pPr>
      <w:r>
        <w:rPr>
          <w:rFonts w:hint="eastAsia"/>
        </w:rPr>
        <w:t>一般情况下，按支腿偏斜5°核算地锚力，活地锚受力核算安全系数取1.2-1.4。</w:t>
      </w:r>
    </w:p>
    <w:p w14:paraId="6627D310">
      <w:pPr>
        <w:pStyle w:val="186"/>
      </w:pPr>
      <w:r>
        <w:rPr>
          <w:rFonts w:hint="eastAsia"/>
        </w:rPr>
        <w:t>地锚不宜用散物，埋设后应进行详细检查。</w:t>
      </w:r>
    </w:p>
    <w:p w14:paraId="20D90D3E">
      <w:pPr>
        <w:pStyle w:val="186"/>
      </w:pPr>
      <w:r>
        <w:rPr>
          <w:rFonts w:hint="eastAsia"/>
        </w:rPr>
        <w:t>地锚计算可参见T/CEC 5023-2020中附录B。</w:t>
      </w:r>
    </w:p>
    <w:p w14:paraId="41DDC3BD">
      <w:pPr>
        <w:pStyle w:val="126"/>
        <w:spacing w:before="240" w:after="240"/>
      </w:pPr>
      <w:bookmarkStart w:id="76" w:name="_Toc197967347"/>
      <w:r>
        <w:rPr>
          <w:rFonts w:hint="eastAsia"/>
        </w:rPr>
        <w:t>使用</w:t>
      </w:r>
      <w:bookmarkEnd w:id="76"/>
    </w:p>
    <w:p w14:paraId="73AAF6AF">
      <w:pPr>
        <w:pStyle w:val="127"/>
        <w:spacing w:before="120" w:after="120"/>
      </w:pPr>
      <w:bookmarkStart w:id="77" w:name="_Toc197967348"/>
      <w:r>
        <w:rPr>
          <w:rFonts w:hint="eastAsia"/>
        </w:rPr>
        <w:t>一般规定</w:t>
      </w:r>
      <w:bookmarkEnd w:id="77"/>
    </w:p>
    <w:p w14:paraId="00C68D4A">
      <w:pPr>
        <w:pStyle w:val="187"/>
      </w:pPr>
      <w:r>
        <w:rPr>
          <w:rFonts w:hint="eastAsia"/>
        </w:rPr>
        <w:t>门机的工作环境温度、电压、最大风速等参数应符合门机说明书中相关要求。</w:t>
      </w:r>
    </w:p>
    <w:p w14:paraId="5C271125">
      <w:pPr>
        <w:pStyle w:val="187"/>
      </w:pPr>
      <w:r>
        <w:rPr>
          <w:rFonts w:hint="eastAsia"/>
        </w:rPr>
        <w:t>使用单位应当结合门机的类别和使用情况，根据相关安全技术规范、标准等要求，制定具体的操作规程，并且严格执行。</w:t>
      </w:r>
    </w:p>
    <w:p w14:paraId="61C99A4C">
      <w:pPr>
        <w:pStyle w:val="187"/>
      </w:pPr>
      <w:r>
        <w:rPr>
          <w:rFonts w:hint="eastAsia"/>
        </w:rPr>
        <w:t>门机的特种设备操作人员需符合本文件4.2相关要求。</w:t>
      </w:r>
    </w:p>
    <w:p w14:paraId="0E314375">
      <w:pPr>
        <w:pStyle w:val="187"/>
      </w:pPr>
      <w:r>
        <w:rPr>
          <w:rFonts w:hint="eastAsia"/>
        </w:rPr>
        <w:t>门机使用前，应对相关作业人员进行安全技术交底。</w:t>
      </w:r>
    </w:p>
    <w:p w14:paraId="12F59DEC">
      <w:pPr>
        <w:pStyle w:val="187"/>
      </w:pPr>
      <w:r>
        <w:rPr>
          <w:rFonts w:hint="eastAsia"/>
        </w:rPr>
        <w:t>门机司机在任何时候都只服从门机指挥人员发出的信号，接到停止的信号除外。</w:t>
      </w:r>
    </w:p>
    <w:p w14:paraId="73B825F9">
      <w:pPr>
        <w:pStyle w:val="187"/>
      </w:pPr>
      <w:r>
        <w:rPr>
          <w:rFonts w:hint="eastAsia"/>
        </w:rPr>
        <w:t>人员在门机上进行检查、维护或进行其他工作时，应事先通知门机司机，必要时门机应停止吊装工作。</w:t>
      </w:r>
    </w:p>
    <w:p w14:paraId="7A95A6FB">
      <w:pPr>
        <w:pStyle w:val="187"/>
      </w:pPr>
      <w:r>
        <w:rPr>
          <w:rFonts w:hint="eastAsia"/>
        </w:rPr>
        <w:t>门机使用聚氨酯材质的缓冲器，在安装使用期满</w:t>
      </w:r>
      <w:r>
        <w:t xml:space="preserve"> 5 </w:t>
      </w:r>
      <w:r>
        <w:rPr>
          <w:rFonts w:hint="eastAsia"/>
        </w:rPr>
        <w:t>年时应进行更换。</w:t>
      </w:r>
    </w:p>
    <w:p w14:paraId="5A33F02E">
      <w:pPr>
        <w:pStyle w:val="187"/>
      </w:pPr>
      <w:r>
        <w:rPr>
          <w:rFonts w:hint="eastAsia"/>
        </w:rPr>
        <w:t>闲置或停用6个月以上的门机，应经载荷试验后方可使用。</w:t>
      </w:r>
    </w:p>
    <w:p w14:paraId="3DE64E82">
      <w:pPr>
        <w:pStyle w:val="187"/>
      </w:pPr>
      <w:r>
        <w:rPr>
          <w:rFonts w:hint="eastAsia"/>
        </w:rPr>
        <w:t>门机的额定起重量为吊钩底部起重量。</w:t>
      </w:r>
    </w:p>
    <w:p w14:paraId="1C35E9B8">
      <w:pPr>
        <w:pStyle w:val="187"/>
      </w:pPr>
      <w:r>
        <w:rPr>
          <w:rFonts w:hint="eastAsia"/>
        </w:rPr>
        <w:t>门机定期检验周期为1年。</w:t>
      </w:r>
    </w:p>
    <w:p w14:paraId="1591FE70">
      <w:pPr>
        <w:pStyle w:val="127"/>
        <w:spacing w:before="120" w:after="120"/>
      </w:pPr>
      <w:bookmarkStart w:id="78" w:name="_Toc197967349"/>
      <w:r>
        <w:rPr>
          <w:rFonts w:hint="eastAsia"/>
        </w:rPr>
        <w:t>作业前准备</w:t>
      </w:r>
      <w:bookmarkEnd w:id="78"/>
    </w:p>
    <w:p w14:paraId="1CDACD7B">
      <w:pPr>
        <w:pStyle w:val="187"/>
      </w:pPr>
      <w:r>
        <w:rPr>
          <w:rFonts w:hint="eastAsia"/>
        </w:rPr>
        <w:t>作业前对门机金属结构、工作机构、驱动控制系统、安全保护装置、基础轨道等进行例行检查，应符合门机技术性能要求。</w:t>
      </w:r>
    </w:p>
    <w:p w14:paraId="1109A368">
      <w:pPr>
        <w:pStyle w:val="187"/>
      </w:pPr>
      <w:r>
        <w:rPr>
          <w:rFonts w:hint="eastAsia"/>
        </w:rPr>
        <w:t>作业前应检查轨道及路基安全可靠，轨道上及行走范围内无障碍物，松开夹轨器按规定方法固定牢固。</w:t>
      </w:r>
    </w:p>
    <w:p w14:paraId="39CE7757">
      <w:pPr>
        <w:pStyle w:val="187"/>
      </w:pPr>
      <w:r>
        <w:rPr>
          <w:rFonts w:hint="eastAsia"/>
        </w:rPr>
        <w:t>吊索具应在使用前经检查合格，安全系数符合规定后方可使用。</w:t>
      </w:r>
    </w:p>
    <w:p w14:paraId="40C5250A">
      <w:pPr>
        <w:pStyle w:val="187"/>
      </w:pPr>
      <w:r>
        <w:rPr>
          <w:rFonts w:hint="eastAsia"/>
        </w:rPr>
        <w:t>在接通电源前,各操作手柄、按钮、开关应处于零位,接通电源后观察各仪表应显示正常。</w:t>
      </w:r>
    </w:p>
    <w:p w14:paraId="662AC1B4">
      <w:pPr>
        <w:pStyle w:val="187"/>
      </w:pPr>
      <w:r>
        <w:rPr>
          <w:rFonts w:hint="eastAsia"/>
        </w:rPr>
        <w:t>在每一个工作班开始，门机司机应试验运行机构、制动装置、安全保护装置等所有控制装置。如果控制装置操作不正常，应在使用之前进行调试和修理。</w:t>
      </w:r>
    </w:p>
    <w:p w14:paraId="115604C3">
      <w:pPr>
        <w:pStyle w:val="187"/>
      </w:pPr>
      <w:r>
        <w:rPr>
          <w:rFonts w:hint="eastAsia"/>
        </w:rPr>
        <w:t>使用单位应当加强作业区域的管理，配备安全防护装备，设置安全警示标志。</w:t>
      </w:r>
    </w:p>
    <w:p w14:paraId="2C0175AC">
      <w:pPr>
        <w:pStyle w:val="127"/>
        <w:spacing w:before="120" w:after="120"/>
      </w:pPr>
      <w:bookmarkStart w:id="79" w:name="_Toc197967350"/>
      <w:r>
        <w:rPr>
          <w:rFonts w:hint="eastAsia"/>
        </w:rPr>
        <w:t>作业</w:t>
      </w:r>
      <w:bookmarkEnd w:id="79"/>
    </w:p>
    <w:p w14:paraId="4F0C103D">
      <w:pPr>
        <w:pStyle w:val="187"/>
      </w:pPr>
      <w:r>
        <w:rPr>
          <w:rFonts w:hint="eastAsia"/>
        </w:rPr>
        <w:t>门机司机与指挥人员应保持有效可靠沟通。</w:t>
      </w:r>
      <w:bookmarkStart w:id="80" w:name="OLE_LINK14"/>
      <w:r>
        <w:rPr>
          <w:rFonts w:hint="eastAsia"/>
        </w:rPr>
        <w:t>采用无线电通讯设备传输信号时应有应急措施</w:t>
      </w:r>
      <w:bookmarkEnd w:id="80"/>
      <w:r>
        <w:rPr>
          <w:rFonts w:hint="eastAsia"/>
        </w:rPr>
        <w:t>。</w:t>
      </w:r>
    </w:p>
    <w:p w14:paraId="1CD7DC50">
      <w:pPr>
        <w:pStyle w:val="187"/>
      </w:pPr>
      <w:r>
        <w:rPr>
          <w:rFonts w:hint="eastAsia"/>
        </w:rPr>
        <w:t>门机行走、起升动作前应鸣铃示警。</w:t>
      </w:r>
    </w:p>
    <w:p w14:paraId="202BAEF9">
      <w:pPr>
        <w:pStyle w:val="187"/>
      </w:pPr>
      <w:r>
        <w:rPr>
          <w:rFonts w:hint="eastAsia"/>
        </w:rPr>
        <w:t>作业时速度应平稳，接近就位位置应低速轻放，不得突然制动或没有停稳时作反方向动作。作业过程应符合以下要求：</w:t>
      </w:r>
    </w:p>
    <w:p w14:paraId="46E44BFE">
      <w:pPr>
        <w:pStyle w:val="196"/>
        <w:numPr>
          <w:ilvl w:val="0"/>
          <w:numId w:val="38"/>
        </w:numPr>
        <w:spacing w:after="0"/>
        <w:ind w:left="850" w:hanging="425"/>
      </w:pPr>
      <w:r>
        <w:rPr>
          <w:rFonts w:hint="eastAsia"/>
        </w:rPr>
        <w:t>在起升过程中，当吊钩滑轮组接近主梁时，采用低速起升，严防冒顶。</w:t>
      </w:r>
    </w:p>
    <w:p w14:paraId="3F441854">
      <w:pPr>
        <w:pStyle w:val="196"/>
        <w:numPr>
          <w:ilvl w:val="0"/>
          <w:numId w:val="38"/>
        </w:numPr>
        <w:spacing w:after="0"/>
        <w:ind w:left="850" w:hanging="425"/>
      </w:pPr>
      <w:r>
        <w:rPr>
          <w:rFonts w:hint="eastAsia"/>
        </w:rPr>
        <w:t>当吊物接近就位点时，采用慢速就位。</w:t>
      </w:r>
    </w:p>
    <w:p w14:paraId="32662C2D">
      <w:pPr>
        <w:pStyle w:val="196"/>
        <w:numPr>
          <w:ilvl w:val="0"/>
          <w:numId w:val="38"/>
        </w:numPr>
        <w:spacing w:after="0"/>
        <w:ind w:left="850" w:hanging="425"/>
      </w:pPr>
      <w:r>
        <w:rPr>
          <w:rFonts w:hint="eastAsia"/>
        </w:rPr>
        <w:t>行走到接近限位开关时提前减速停车。</w:t>
      </w:r>
    </w:p>
    <w:p w14:paraId="14B99623">
      <w:pPr>
        <w:pStyle w:val="196"/>
        <w:numPr>
          <w:ilvl w:val="0"/>
          <w:numId w:val="38"/>
        </w:numPr>
        <w:spacing w:after="0"/>
        <w:ind w:left="850" w:hanging="425"/>
      </w:pPr>
      <w:r>
        <w:rPr>
          <w:rFonts w:hint="eastAsia"/>
        </w:rPr>
        <w:t>作业中起吊重物平移时，重物高出其所跨越障碍物的高度不小于0.5m。</w:t>
      </w:r>
    </w:p>
    <w:p w14:paraId="2EC183C0">
      <w:pPr>
        <w:pStyle w:val="187"/>
      </w:pPr>
      <w:r>
        <w:rPr>
          <w:rFonts w:hint="eastAsia"/>
        </w:rPr>
        <w:t xml:space="preserve">门机重量限制器、起升限位装置等安全保护装置不得随意调整和拆除，不应用限位装置代替操作机构。 </w:t>
      </w:r>
    </w:p>
    <w:p w14:paraId="50E817B8">
      <w:pPr>
        <w:pStyle w:val="187"/>
      </w:pPr>
      <w:r>
        <w:rPr>
          <w:rFonts w:hint="eastAsia"/>
        </w:rPr>
        <w:t>当门机作业可能与其他作业活动发生干涉，存在交叉作业、盲区等情况时，使用单位应当采取有效措施，确保作业安全。</w:t>
      </w:r>
    </w:p>
    <w:p w14:paraId="72E2C5CF">
      <w:pPr>
        <w:pStyle w:val="187"/>
      </w:pPr>
      <w:r>
        <w:rPr>
          <w:rFonts w:hint="eastAsia"/>
        </w:rPr>
        <w:t xml:space="preserve">在作业中，应严格按照“十不吊”要求及本文件进行操作，不应违章操作。 </w:t>
      </w:r>
    </w:p>
    <w:p w14:paraId="00CB797C">
      <w:pPr>
        <w:pStyle w:val="196"/>
        <w:numPr>
          <w:ilvl w:val="0"/>
          <w:numId w:val="39"/>
        </w:numPr>
        <w:spacing w:after="0"/>
        <w:ind w:left="850" w:hanging="425"/>
      </w:pPr>
      <w:r>
        <w:rPr>
          <w:rFonts w:hint="eastAsia"/>
        </w:rPr>
        <w:t>指挥信号不明确不吊；</w:t>
      </w:r>
    </w:p>
    <w:p w14:paraId="19003116">
      <w:pPr>
        <w:pStyle w:val="196"/>
        <w:numPr>
          <w:ilvl w:val="0"/>
          <w:numId w:val="39"/>
        </w:numPr>
        <w:spacing w:after="0"/>
        <w:ind w:left="850" w:hanging="425"/>
      </w:pPr>
      <w:r>
        <w:rPr>
          <w:rFonts w:hint="eastAsia"/>
        </w:rPr>
        <w:t>超载或被吊物质量不明确不吊；</w:t>
      </w:r>
    </w:p>
    <w:p w14:paraId="3767E4D2">
      <w:pPr>
        <w:pStyle w:val="196"/>
        <w:numPr>
          <w:ilvl w:val="0"/>
          <w:numId w:val="39"/>
        </w:numPr>
        <w:spacing w:after="0"/>
        <w:ind w:left="850" w:hanging="425"/>
      </w:pPr>
      <w:r>
        <w:rPr>
          <w:rFonts w:hint="eastAsia"/>
        </w:rPr>
        <w:t>歪拉或斜挂重物不吊；</w:t>
      </w:r>
    </w:p>
    <w:p w14:paraId="27C22ABD">
      <w:pPr>
        <w:pStyle w:val="196"/>
        <w:numPr>
          <w:ilvl w:val="0"/>
          <w:numId w:val="39"/>
        </w:numPr>
        <w:spacing w:after="0"/>
        <w:ind w:left="850" w:hanging="425"/>
      </w:pPr>
      <w:r>
        <w:rPr>
          <w:rFonts w:hint="eastAsia"/>
        </w:rPr>
        <w:t>光线不足，看不清重物不吊；</w:t>
      </w:r>
    </w:p>
    <w:p w14:paraId="5EEE59BE">
      <w:pPr>
        <w:pStyle w:val="196"/>
        <w:numPr>
          <w:ilvl w:val="0"/>
          <w:numId w:val="39"/>
        </w:numPr>
        <w:spacing w:after="0"/>
        <w:ind w:left="850" w:hanging="425"/>
      </w:pPr>
      <w:r>
        <w:rPr>
          <w:rFonts w:hint="eastAsia"/>
        </w:rPr>
        <w:t>被吊物上有人、重物下站人时不吊；</w:t>
      </w:r>
    </w:p>
    <w:p w14:paraId="78F5B9FE">
      <w:pPr>
        <w:pStyle w:val="196"/>
        <w:numPr>
          <w:ilvl w:val="0"/>
          <w:numId w:val="39"/>
        </w:numPr>
        <w:spacing w:after="0"/>
        <w:ind w:left="850" w:hanging="425"/>
      </w:pPr>
      <w:r>
        <w:rPr>
          <w:rFonts w:hint="eastAsia"/>
        </w:rPr>
        <w:t>重物埋在地下或沉入水中不吊；</w:t>
      </w:r>
    </w:p>
    <w:p w14:paraId="05ED3BAA">
      <w:pPr>
        <w:pStyle w:val="196"/>
        <w:numPr>
          <w:ilvl w:val="0"/>
          <w:numId w:val="39"/>
        </w:numPr>
        <w:spacing w:after="0"/>
        <w:ind w:left="850" w:hanging="425"/>
      </w:pPr>
      <w:r>
        <w:rPr>
          <w:rFonts w:hint="eastAsia"/>
        </w:rPr>
        <w:t>捆绑或吊挂不牢，不符合安全要求不吊；</w:t>
      </w:r>
    </w:p>
    <w:p w14:paraId="79169BEE">
      <w:pPr>
        <w:pStyle w:val="196"/>
        <w:numPr>
          <w:ilvl w:val="0"/>
          <w:numId w:val="39"/>
        </w:numPr>
        <w:spacing w:after="0"/>
        <w:ind w:left="850" w:hanging="425"/>
      </w:pPr>
      <w:r>
        <w:rPr>
          <w:rFonts w:hint="eastAsia"/>
        </w:rPr>
        <w:t>被吊物棱角处与捆绑绳间未加防范措施时不吊；</w:t>
      </w:r>
    </w:p>
    <w:p w14:paraId="7368FBFC">
      <w:pPr>
        <w:pStyle w:val="196"/>
        <w:numPr>
          <w:ilvl w:val="0"/>
          <w:numId w:val="39"/>
        </w:numPr>
        <w:spacing w:after="0"/>
        <w:ind w:left="850" w:hanging="425"/>
      </w:pPr>
      <w:r>
        <w:rPr>
          <w:rFonts w:hint="eastAsia"/>
        </w:rPr>
        <w:t>安全防护装置失灵不吊；</w:t>
      </w:r>
    </w:p>
    <w:p w14:paraId="1D97DC93">
      <w:pPr>
        <w:pStyle w:val="288"/>
        <w:numPr>
          <w:ilvl w:val="0"/>
          <w:numId w:val="39"/>
        </w:numPr>
        <w:spacing w:after="0"/>
        <w:ind w:left="850" w:hanging="425" w:firstLineChars="0"/>
      </w:pPr>
      <w:r>
        <w:rPr>
          <w:rFonts w:hint="eastAsia" w:ascii="宋体" w:hAnsi="Times New Roman"/>
          <w:kern w:val="0"/>
          <w:szCs w:val="20"/>
        </w:rPr>
        <w:t>六级或六级以上强风时不吊。</w:t>
      </w:r>
    </w:p>
    <w:p w14:paraId="65F5A7C6">
      <w:pPr>
        <w:pStyle w:val="187"/>
      </w:pPr>
      <w:r>
        <w:rPr>
          <w:rFonts w:hint="eastAsia"/>
        </w:rPr>
        <w:t>两台及以上起重机抬吊物件时，起重机械荷载分配应满足专项施工方案要求后方可进行吊装。</w:t>
      </w:r>
    </w:p>
    <w:p w14:paraId="1C3255DC">
      <w:pPr>
        <w:pStyle w:val="187"/>
      </w:pPr>
      <w:r>
        <w:rPr>
          <w:rFonts w:hint="eastAsia"/>
        </w:rPr>
        <w:t>作业中临时停电时，应采取安全保护措施。</w:t>
      </w:r>
    </w:p>
    <w:p w14:paraId="5214A739">
      <w:pPr>
        <w:pStyle w:val="187"/>
      </w:pPr>
      <w:r>
        <w:rPr>
          <w:rFonts w:hint="eastAsia"/>
        </w:rPr>
        <w:t>作业中吊物就位长时间不操作动作时，应按说明书要求做好制动措施，门机司机不得离开操作室。</w:t>
      </w:r>
    </w:p>
    <w:p w14:paraId="7D60086D">
      <w:pPr>
        <w:pStyle w:val="187"/>
      </w:pPr>
      <w:r>
        <w:rPr>
          <w:rFonts w:hint="eastAsia"/>
        </w:rPr>
        <w:t>作业中，不应同时操作三个动作。在接近额定荷载时，不应同时操作两个动作。</w:t>
      </w:r>
    </w:p>
    <w:p w14:paraId="68302BD1">
      <w:pPr>
        <w:pStyle w:val="187"/>
      </w:pPr>
      <w:r>
        <w:rPr>
          <w:rFonts w:hint="eastAsia"/>
        </w:rPr>
        <w:t>作业中，不得进行任何维修、保养、调整等工作。</w:t>
      </w:r>
    </w:p>
    <w:p w14:paraId="1B0DD243">
      <w:pPr>
        <w:pStyle w:val="187"/>
      </w:pPr>
      <w:r>
        <w:rPr>
          <w:rFonts w:hint="eastAsia"/>
        </w:rPr>
        <w:t>夜间作业应有足够照明，照明使用应符合现行行业标准JGJ/T 46要求。</w:t>
      </w:r>
    </w:p>
    <w:p w14:paraId="7C4805F0">
      <w:pPr>
        <w:pStyle w:val="187"/>
      </w:pPr>
      <w:r>
        <w:rPr>
          <w:rFonts w:hint="eastAsia"/>
        </w:rPr>
        <w:t>在强电磁波源附近工作的门机，应在吊钩与机体间采取绝缘隔离措施，或在吊装地面物体时，在吊钩上挂接临时接地装置，门机司机应戴绝缘手套、穿绝缘鞋。</w:t>
      </w:r>
    </w:p>
    <w:p w14:paraId="7218D1D4">
      <w:pPr>
        <w:pStyle w:val="187"/>
      </w:pPr>
      <w:r>
        <w:rPr>
          <w:rFonts w:hint="eastAsia"/>
        </w:rPr>
        <w:t>门机的操作应符合GB/T 6067.1-2010中第17章的有关规定。地面操作或遥控操作使用的门机应符合GB/T 6067.1-2010中第17.6的有关规定。</w:t>
      </w:r>
    </w:p>
    <w:p w14:paraId="1407A642">
      <w:pPr>
        <w:pStyle w:val="187"/>
      </w:pPr>
      <w:r>
        <w:rPr>
          <w:rFonts w:hint="eastAsia"/>
        </w:rPr>
        <w:t>门机使用中的噪声控制应符合GB/T 14406 5.4.9的规定。</w:t>
      </w:r>
    </w:p>
    <w:p w14:paraId="3D36A5C8">
      <w:pPr>
        <w:pStyle w:val="187"/>
      </w:pPr>
      <w:r>
        <w:rPr>
          <w:rFonts w:hint="eastAsia"/>
        </w:rPr>
        <w:t xml:space="preserve">作业结束后应按下列要求执行： </w:t>
      </w:r>
    </w:p>
    <w:p w14:paraId="7482B58E">
      <w:pPr>
        <w:pStyle w:val="196"/>
        <w:numPr>
          <w:ilvl w:val="0"/>
          <w:numId w:val="40"/>
        </w:numPr>
        <w:spacing w:after="0"/>
      </w:pPr>
      <w:r>
        <w:rPr>
          <w:rFonts w:hint="eastAsia"/>
        </w:rPr>
        <w:t>门机停放在固定停机位置，不妨碍其它交通车辆行走；</w:t>
      </w:r>
    </w:p>
    <w:p w14:paraId="557C08DD">
      <w:pPr>
        <w:pStyle w:val="196"/>
        <w:numPr>
          <w:ilvl w:val="0"/>
          <w:numId w:val="40"/>
        </w:numPr>
        <w:spacing w:after="0"/>
      </w:pPr>
      <w:r>
        <w:rPr>
          <w:rFonts w:hint="eastAsia"/>
        </w:rPr>
        <w:t>吊钩停放在说明书规定位置，起升到上限位器下的高点，吊钩上不应吊挂重物或钢丝绳；</w:t>
      </w:r>
    </w:p>
    <w:p w14:paraId="126CDEEE">
      <w:pPr>
        <w:pStyle w:val="196"/>
        <w:numPr>
          <w:ilvl w:val="0"/>
          <w:numId w:val="40"/>
        </w:numPr>
        <w:spacing w:after="0"/>
      </w:pPr>
      <w:r>
        <w:rPr>
          <w:rFonts w:hint="eastAsia"/>
        </w:rPr>
        <w:t>各控制器归到零位，切断总电源，关好门窗；</w:t>
      </w:r>
    </w:p>
    <w:p w14:paraId="75B0FF5D">
      <w:pPr>
        <w:pStyle w:val="196"/>
        <w:numPr>
          <w:ilvl w:val="0"/>
          <w:numId w:val="40"/>
        </w:numPr>
        <w:spacing w:after="0"/>
      </w:pPr>
      <w:r>
        <w:rPr>
          <w:rFonts w:hint="eastAsia"/>
        </w:rPr>
        <w:t xml:space="preserve">锁紧夹轨器，必要时系挂好防风缆风绳。 </w:t>
      </w:r>
    </w:p>
    <w:p w14:paraId="224187C0">
      <w:pPr>
        <w:pStyle w:val="127"/>
        <w:spacing w:before="120" w:after="120"/>
      </w:pPr>
      <w:bookmarkStart w:id="81" w:name="_Toc197967351"/>
      <w:r>
        <w:rPr>
          <w:rFonts w:hint="eastAsia"/>
        </w:rPr>
        <w:t>交接班</w:t>
      </w:r>
      <w:bookmarkEnd w:id="81"/>
    </w:p>
    <w:p w14:paraId="4701990E">
      <w:pPr>
        <w:pStyle w:val="187"/>
      </w:pPr>
      <w:r>
        <w:rPr>
          <w:rFonts w:hint="eastAsia"/>
        </w:rPr>
        <w:t xml:space="preserve">多班作业的门机，应执行交接班制度，认真做好交接手续，填写交接班记录，接班司机经检查确认无误后，方可开机作业。 </w:t>
      </w:r>
    </w:p>
    <w:p w14:paraId="235992CB">
      <w:pPr>
        <w:pStyle w:val="187"/>
      </w:pPr>
      <w:r>
        <w:rPr>
          <w:rFonts w:hint="eastAsia"/>
        </w:rPr>
        <w:t xml:space="preserve">当发现或疑似起重机有异常情况时，交班司机和接班司机必须当面交接，不应经他人转告交班。 </w:t>
      </w:r>
    </w:p>
    <w:p w14:paraId="3E612E05">
      <w:pPr>
        <w:pStyle w:val="187"/>
      </w:pPr>
      <w:r>
        <w:rPr>
          <w:rFonts w:hint="eastAsia"/>
        </w:rPr>
        <w:t xml:space="preserve">交接班主要内容至少应包括： </w:t>
      </w:r>
    </w:p>
    <w:p w14:paraId="312F391A">
      <w:pPr>
        <w:pStyle w:val="196"/>
        <w:numPr>
          <w:ilvl w:val="0"/>
          <w:numId w:val="41"/>
        </w:numPr>
        <w:spacing w:after="0"/>
      </w:pPr>
      <w:r>
        <w:rPr>
          <w:rFonts w:hint="eastAsia"/>
        </w:rPr>
        <w:t xml:space="preserve">生产任务和作业要求； </w:t>
      </w:r>
    </w:p>
    <w:p w14:paraId="7BAE78A0">
      <w:pPr>
        <w:pStyle w:val="196"/>
        <w:numPr>
          <w:ilvl w:val="0"/>
          <w:numId w:val="41"/>
        </w:numPr>
        <w:spacing w:after="0"/>
      </w:pPr>
      <w:r>
        <w:rPr>
          <w:rFonts w:hint="eastAsia"/>
        </w:rPr>
        <w:t xml:space="preserve">门机运行和保养情况； </w:t>
      </w:r>
    </w:p>
    <w:p w14:paraId="6F569EB0">
      <w:pPr>
        <w:pStyle w:val="196"/>
        <w:numPr>
          <w:ilvl w:val="0"/>
          <w:numId w:val="41"/>
        </w:numPr>
        <w:spacing w:after="0"/>
      </w:pPr>
      <w:r>
        <w:rPr>
          <w:rFonts w:hint="eastAsia"/>
        </w:rPr>
        <w:t xml:space="preserve">随机工具及油料、配件消耗情况； </w:t>
      </w:r>
    </w:p>
    <w:p w14:paraId="6912BCD9">
      <w:pPr>
        <w:pStyle w:val="196"/>
        <w:numPr>
          <w:ilvl w:val="0"/>
          <w:numId w:val="41"/>
        </w:numPr>
        <w:spacing w:after="0"/>
      </w:pPr>
      <w:r>
        <w:rPr>
          <w:rFonts w:hint="eastAsia"/>
        </w:rPr>
        <w:t xml:space="preserve">事故隐患及故障处理情况； </w:t>
      </w:r>
    </w:p>
    <w:p w14:paraId="0EE3B4DD">
      <w:pPr>
        <w:pStyle w:val="196"/>
        <w:numPr>
          <w:ilvl w:val="0"/>
          <w:numId w:val="41"/>
        </w:numPr>
        <w:spacing w:after="0"/>
      </w:pPr>
      <w:r>
        <w:rPr>
          <w:rFonts w:hint="eastAsia"/>
        </w:rPr>
        <w:t>安全措施及注意事项。</w:t>
      </w:r>
    </w:p>
    <w:p w14:paraId="509E4891">
      <w:pPr>
        <w:pStyle w:val="127"/>
        <w:spacing w:before="120" w:after="120"/>
      </w:pPr>
      <w:bookmarkStart w:id="82" w:name="_Toc197967352"/>
      <w:r>
        <w:rPr>
          <w:rFonts w:hint="eastAsia"/>
        </w:rPr>
        <w:t>检查</w:t>
      </w:r>
      <w:bookmarkEnd w:id="82"/>
    </w:p>
    <w:p w14:paraId="6352CB0D">
      <w:pPr>
        <w:pStyle w:val="87"/>
        <w:spacing w:before="120" w:after="120"/>
      </w:pPr>
      <w:r>
        <w:rPr>
          <w:rFonts w:hint="eastAsia"/>
        </w:rPr>
        <w:t>一般要求</w:t>
      </w:r>
    </w:p>
    <w:p w14:paraId="7A448C88">
      <w:pPr>
        <w:pStyle w:val="78"/>
        <w:ind w:firstLine="420"/>
      </w:pPr>
      <w:r>
        <w:rPr>
          <w:rFonts w:hint="eastAsia"/>
        </w:rPr>
        <w:t>使用单位应当按照说明书以及GB/T 31052.5的规定进行检查，检查结果应用零故障记录制度并有检查人员的签字。记录保存应符合GB/T 31052.1的规定。</w:t>
      </w:r>
    </w:p>
    <w:p w14:paraId="32D0434E">
      <w:pPr>
        <w:pStyle w:val="87"/>
        <w:spacing w:before="120" w:after="120"/>
      </w:pPr>
      <w:r>
        <w:rPr>
          <w:rFonts w:hint="eastAsia"/>
        </w:rPr>
        <w:t>日常检查</w:t>
      </w:r>
    </w:p>
    <w:p w14:paraId="7AB2D196">
      <w:pPr>
        <w:pStyle w:val="186"/>
      </w:pPr>
      <w:r>
        <w:rPr>
          <w:rFonts w:hint="eastAsia"/>
        </w:rPr>
        <w:t>门机司机每个工作班次开始作业前应进行日常检查，对门机进行目测检查和功能试验，以检查有无缺陷。</w:t>
      </w:r>
    </w:p>
    <w:p w14:paraId="391F67EC">
      <w:pPr>
        <w:pStyle w:val="186"/>
      </w:pPr>
      <w:r>
        <w:rPr>
          <w:rFonts w:hint="eastAsia"/>
        </w:rPr>
        <w:t>日常检查应符合说明书的要求，且不低于GB/T 31052.5-2015中附录A的规定。</w:t>
      </w:r>
    </w:p>
    <w:p w14:paraId="04E2891A">
      <w:pPr>
        <w:pStyle w:val="186"/>
      </w:pPr>
      <w:r>
        <w:rPr>
          <w:rFonts w:hint="eastAsia"/>
        </w:rPr>
        <w:t>检查结果应按使用单位规定的日常检查表做好记录。</w:t>
      </w:r>
    </w:p>
    <w:p w14:paraId="01B25F0D">
      <w:pPr>
        <w:pStyle w:val="87"/>
        <w:spacing w:before="120" w:after="120"/>
      </w:pPr>
      <w:r>
        <w:rPr>
          <w:rFonts w:hint="eastAsia"/>
        </w:rPr>
        <w:t>定期检查</w:t>
      </w:r>
    </w:p>
    <w:p w14:paraId="32F51678">
      <w:pPr>
        <w:pStyle w:val="78"/>
        <w:spacing w:after="0"/>
        <w:ind w:firstLine="0" w:firstLineChars="0"/>
      </w:pPr>
      <w:r>
        <w:rPr>
          <w:rFonts w:hint="eastAsia"/>
        </w:rPr>
        <w:t>7.5.3.1　定期检查由安全管理人员组织进行。</w:t>
      </w:r>
    </w:p>
    <w:p w14:paraId="7F6BBB88">
      <w:pPr>
        <w:pStyle w:val="78"/>
        <w:spacing w:after="0"/>
        <w:ind w:firstLine="0" w:firstLineChars="0"/>
      </w:pPr>
      <w:r>
        <w:rPr>
          <w:rFonts w:hint="eastAsia"/>
        </w:rPr>
        <w:t>7.5.3.2　定期对门机进行检查，按周期可分周检、月检、季检、半年检和年检，检查的项目应符合生产厂家说明书和GB/T 31052.5-2015中附录A的规定。</w:t>
      </w:r>
    </w:p>
    <w:p w14:paraId="63063B41">
      <w:pPr>
        <w:pStyle w:val="78"/>
        <w:spacing w:after="0"/>
        <w:ind w:firstLine="0" w:firstLineChars="0"/>
      </w:pPr>
      <w:r>
        <w:rPr>
          <w:rFonts w:hint="eastAsia"/>
        </w:rPr>
        <w:t>7.5.3.3　定期检查应有检查记录，出现不合格项时应出具整改通知单，及时予以纠正。</w:t>
      </w:r>
    </w:p>
    <w:p w14:paraId="011C075B">
      <w:pPr>
        <w:pStyle w:val="87"/>
        <w:spacing w:before="120" w:after="120"/>
      </w:pPr>
      <w:r>
        <w:rPr>
          <w:rFonts w:hint="eastAsia"/>
        </w:rPr>
        <w:t>特殊检查 （T／CEC 210-2019、GB∕T 31052.3）</w:t>
      </w:r>
    </w:p>
    <w:p w14:paraId="2B52E043">
      <w:pPr>
        <w:pStyle w:val="78"/>
        <w:spacing w:after="0"/>
        <w:ind w:firstLine="0" w:firstLineChars="0"/>
      </w:pPr>
      <w:r>
        <w:rPr>
          <w:rFonts w:hint="eastAsia"/>
        </w:rPr>
        <w:t>7.5.4.1　特殊检查由安全管理人员组织进行。</w:t>
      </w:r>
    </w:p>
    <w:p w14:paraId="257238A5">
      <w:pPr>
        <w:pStyle w:val="78"/>
        <w:spacing w:after="0"/>
        <w:ind w:firstLine="0" w:firstLineChars="0"/>
      </w:pPr>
      <w:r>
        <w:rPr>
          <w:rFonts w:hint="eastAsia"/>
        </w:rPr>
        <w:t>7.5.4.2　门机在发生GB/T 31052.1-2014中5.3.1规定的情况后应进行特殊检查，相应检查项目、方法可参见GB/T 31052.5-2015附录B进行。</w:t>
      </w:r>
    </w:p>
    <w:p w14:paraId="29F3C9CD">
      <w:pPr>
        <w:pStyle w:val="78"/>
        <w:spacing w:after="0"/>
        <w:ind w:firstLine="0" w:firstLineChars="0"/>
      </w:pPr>
      <w:r>
        <w:rPr>
          <w:rFonts w:hint="eastAsia"/>
        </w:rPr>
        <w:t>7.5.4.3　特殊检查应有检查记录和检查报告，并应报送监理单位，由监理单位对检查结果和整改情况进行复检确认后才能继续投入使用。</w:t>
      </w:r>
    </w:p>
    <w:p w14:paraId="089193FB">
      <w:pPr>
        <w:pStyle w:val="78"/>
        <w:spacing w:after="0"/>
        <w:ind w:firstLine="0" w:firstLineChars="0"/>
      </w:pPr>
      <w:r>
        <w:rPr>
          <w:rFonts w:hint="eastAsia"/>
        </w:rPr>
        <w:t>7.5.4.4　门机发生事故后，应根据事故具体情况确定检查项目。</w:t>
      </w:r>
    </w:p>
    <w:p w14:paraId="53E6BF7D">
      <w:pPr>
        <w:pStyle w:val="87"/>
        <w:spacing w:before="120" w:after="120"/>
      </w:pPr>
      <w:r>
        <w:rPr>
          <w:rFonts w:hint="eastAsia"/>
        </w:rPr>
        <w:t>检查方法</w:t>
      </w:r>
    </w:p>
    <w:p w14:paraId="564D028D">
      <w:pPr>
        <w:pStyle w:val="78"/>
        <w:ind w:firstLine="420"/>
      </w:pPr>
      <w:r>
        <w:rPr>
          <w:rFonts w:hint="eastAsia"/>
        </w:rPr>
        <w:t>门机的检查方法应采用GB/T 31052.1-2014中5.4规定的目测检查、无损检测、功能试验、空载试验、额定载荷试验、动载试验、静载试验，具体选用的方法可参见GB/T 31052.5—2015附录A和附录B。</w:t>
      </w:r>
    </w:p>
    <w:p w14:paraId="6367BF2D">
      <w:pPr>
        <w:pStyle w:val="87"/>
        <w:spacing w:before="120" w:after="120"/>
      </w:pPr>
      <w:r>
        <w:rPr>
          <w:rFonts w:hint="eastAsia"/>
        </w:rPr>
        <w:t>检查的安全预防措施</w:t>
      </w:r>
    </w:p>
    <w:p w14:paraId="1E1E0707">
      <w:pPr>
        <w:pStyle w:val="78"/>
        <w:spacing w:after="0"/>
        <w:ind w:firstLine="420"/>
      </w:pPr>
      <w:r>
        <w:rPr>
          <w:rFonts w:hint="eastAsia"/>
        </w:rPr>
        <w:t>检查的安全预防措施如下：</w:t>
      </w:r>
    </w:p>
    <w:p w14:paraId="0616904A">
      <w:pPr>
        <w:pStyle w:val="288"/>
        <w:numPr>
          <w:ilvl w:val="0"/>
          <w:numId w:val="42"/>
        </w:numPr>
        <w:spacing w:after="0" w:line="278" w:lineRule="auto"/>
        <w:ind w:firstLineChars="0"/>
        <w:rPr>
          <w:rFonts w:ascii="宋体" w:hAnsi="Times New Roman"/>
          <w:kern w:val="0"/>
          <w:szCs w:val="20"/>
        </w:rPr>
      </w:pPr>
      <w:r>
        <w:rPr>
          <w:rFonts w:hint="eastAsia"/>
        </w:rPr>
        <w:t>应观察进行检查的地点和邻近区域,并应设置警示标志和安全工作区域，</w:t>
      </w:r>
      <w:r>
        <w:rPr>
          <w:rFonts w:hint="eastAsia" w:ascii="宋体" w:hAnsi="Times New Roman"/>
          <w:kern w:val="0"/>
          <w:szCs w:val="20"/>
        </w:rPr>
        <w:t>非经过授权其他人员不应进入危险区域</w:t>
      </w:r>
      <w:r>
        <w:rPr>
          <w:rFonts w:hint="eastAsia"/>
        </w:rPr>
        <w:t>；</w:t>
      </w:r>
    </w:p>
    <w:p w14:paraId="2AAA2394">
      <w:pPr>
        <w:pStyle w:val="196"/>
        <w:numPr>
          <w:ilvl w:val="0"/>
          <w:numId w:val="42"/>
        </w:numPr>
        <w:spacing w:after="0"/>
      </w:pPr>
      <w:r>
        <w:rPr>
          <w:rFonts w:hint="eastAsia"/>
        </w:rPr>
        <w:t>检查人员应配备个人随身保护装置(如:防护鞋、安全帽、安全带、防坠器或防护眼镜等);如果在检查中存在高处坠落危险的情况，则应合理防护；</w:t>
      </w:r>
    </w:p>
    <w:p w14:paraId="5C23A8AF">
      <w:pPr>
        <w:pStyle w:val="196"/>
        <w:numPr>
          <w:ilvl w:val="0"/>
          <w:numId w:val="42"/>
        </w:numPr>
        <w:spacing w:after="0"/>
      </w:pPr>
      <w:r>
        <w:rPr>
          <w:rFonts w:hint="eastAsia"/>
        </w:rPr>
        <w:t>应采取防止触电的措施;</w:t>
      </w:r>
    </w:p>
    <w:p w14:paraId="5F0B19CD">
      <w:pPr>
        <w:pStyle w:val="196"/>
        <w:numPr>
          <w:ilvl w:val="0"/>
          <w:numId w:val="42"/>
        </w:numPr>
        <w:spacing w:after="0"/>
      </w:pPr>
      <w:r>
        <w:rPr>
          <w:rFonts w:hint="eastAsia"/>
        </w:rPr>
        <w:t>在检查中,除由检查人员给出指令外,不应闭合或断开电源开关；</w:t>
      </w:r>
    </w:p>
    <w:p w14:paraId="47E9B5EC">
      <w:pPr>
        <w:pStyle w:val="196"/>
        <w:numPr>
          <w:ilvl w:val="0"/>
          <w:numId w:val="42"/>
        </w:numPr>
        <w:spacing w:after="0"/>
      </w:pPr>
      <w:r>
        <w:rPr>
          <w:rFonts w:hint="eastAsia"/>
        </w:rPr>
        <w:t>当检查中进入有电击危险的位置,应确保断开电源开关,给出“正在检查”的警示标志,锁上或派专人看守:对控制室应设有“正在检查”的警示标志；</w:t>
      </w:r>
    </w:p>
    <w:p w14:paraId="6BF50083">
      <w:pPr>
        <w:pStyle w:val="196"/>
        <w:numPr>
          <w:ilvl w:val="0"/>
          <w:numId w:val="42"/>
        </w:numPr>
        <w:spacing w:after="0"/>
      </w:pPr>
      <w:r>
        <w:rPr>
          <w:rFonts w:hint="eastAsia"/>
        </w:rPr>
        <w:t>在检查中,除由检查人员给出指令外,不应操作门机;</w:t>
      </w:r>
    </w:p>
    <w:p w14:paraId="3121A35E">
      <w:pPr>
        <w:pStyle w:val="196"/>
        <w:numPr>
          <w:ilvl w:val="0"/>
          <w:numId w:val="42"/>
        </w:numPr>
        <w:spacing w:after="0"/>
      </w:pPr>
      <w:r>
        <w:rPr>
          <w:rFonts w:hint="eastAsia"/>
        </w:rPr>
        <w:t>定期检查和特殊检查工作应由2个或2个以上检查人员一起进行;</w:t>
      </w:r>
    </w:p>
    <w:p w14:paraId="728517B3">
      <w:pPr>
        <w:pStyle w:val="196"/>
        <w:numPr>
          <w:ilvl w:val="0"/>
          <w:numId w:val="42"/>
        </w:numPr>
        <w:spacing w:after="0"/>
      </w:pPr>
      <w:r>
        <w:rPr>
          <w:rFonts w:hint="eastAsia"/>
        </w:rPr>
        <w:t>检查时应有足够的照明，局部照明应使用安全电压的灯具。</w:t>
      </w:r>
    </w:p>
    <w:p w14:paraId="76EB23F6">
      <w:pPr>
        <w:pStyle w:val="196"/>
        <w:numPr>
          <w:ilvl w:val="0"/>
          <w:numId w:val="42"/>
        </w:numPr>
        <w:spacing w:after="0"/>
      </w:pPr>
      <w:r>
        <w:rPr>
          <w:rFonts w:hint="eastAsia"/>
        </w:rPr>
        <w:t>有防止工具、零散物料等从高处坠落的措施。</w:t>
      </w:r>
    </w:p>
    <w:p w14:paraId="35CF90F9">
      <w:pPr>
        <w:pStyle w:val="127"/>
        <w:spacing w:before="120" w:after="120"/>
      </w:pPr>
      <w:bookmarkStart w:id="83" w:name="_Toc197967353"/>
      <w:r>
        <w:rPr>
          <w:rFonts w:hint="eastAsia"/>
        </w:rPr>
        <w:t>维护</w:t>
      </w:r>
      <w:bookmarkEnd w:id="83"/>
    </w:p>
    <w:p w14:paraId="76F97CFE">
      <w:pPr>
        <w:pStyle w:val="87"/>
        <w:spacing w:before="120" w:after="120"/>
      </w:pPr>
      <w:r>
        <w:rPr>
          <w:rFonts w:hint="eastAsia"/>
        </w:rPr>
        <w:t>一般要求</w:t>
      </w:r>
    </w:p>
    <w:p w14:paraId="5C3D02A0">
      <w:pPr>
        <w:pStyle w:val="186"/>
      </w:pPr>
      <w:r>
        <w:rPr>
          <w:rFonts w:hint="eastAsia"/>
        </w:rPr>
        <w:t>使用单位应根据 GB/T 6067.1、GB/T 31052和TSG 51的要求及门机的具体特点、施工现场实际工作状况，制定维护制度与相应的维护方案，明确门机维护的周期及项目等内容，制度应包括对租赁门机的维护内容等。</w:t>
      </w:r>
    </w:p>
    <w:p w14:paraId="2B9A92C3">
      <w:pPr>
        <w:pStyle w:val="186"/>
      </w:pPr>
      <w:r>
        <w:rPr>
          <w:rFonts w:hint="eastAsia"/>
        </w:rPr>
        <w:t>各项维护均应做好记录，并作为该门机的设备档案妥善保管，维护记录应符合使用单位和GB/T 31052.1的规定。</w:t>
      </w:r>
    </w:p>
    <w:p w14:paraId="63FD0620">
      <w:pPr>
        <w:pStyle w:val="186"/>
      </w:pPr>
      <w:r>
        <w:rPr>
          <w:rFonts w:hint="eastAsia"/>
        </w:rPr>
        <w:t>维护过程中产生的固体废弃物应集中收储，剩余或废弃的润滑油(脂)等应用容器盛装并妥善处置。</w:t>
      </w:r>
    </w:p>
    <w:p w14:paraId="7CE0D7CE">
      <w:pPr>
        <w:pStyle w:val="87"/>
        <w:spacing w:before="120" w:after="120"/>
      </w:pPr>
      <w:r>
        <w:rPr>
          <w:rFonts w:hint="eastAsia"/>
        </w:rPr>
        <w:t>日常维护</w:t>
      </w:r>
    </w:p>
    <w:p w14:paraId="58C40666">
      <w:pPr>
        <w:pStyle w:val="186"/>
      </w:pPr>
      <w:r>
        <w:rPr>
          <w:rFonts w:hint="eastAsia"/>
        </w:rPr>
        <w:t>门机司机在每班作业前进行日常维护，重点是检查、清洁和润滑。</w:t>
      </w:r>
    </w:p>
    <w:p w14:paraId="73366DF7">
      <w:pPr>
        <w:pStyle w:val="186"/>
      </w:pPr>
      <w:r>
        <w:rPr>
          <w:rFonts w:hint="eastAsia"/>
        </w:rPr>
        <w:t>日常维护按照使用单位和生产厂家说明书的规定进行，日常维护的内容至少包含：</w:t>
      </w:r>
    </w:p>
    <w:p w14:paraId="0A2580B0">
      <w:pPr>
        <w:pStyle w:val="196"/>
        <w:numPr>
          <w:ilvl w:val="0"/>
          <w:numId w:val="43"/>
        </w:numPr>
        <w:spacing w:after="0"/>
      </w:pPr>
      <w:r>
        <w:rPr>
          <w:rFonts w:hint="eastAsia"/>
        </w:rPr>
        <w:t>清理基础、轨道上的垃圾、冰雪及其他障碍物；</w:t>
      </w:r>
    </w:p>
    <w:p w14:paraId="5BC69F67">
      <w:pPr>
        <w:pStyle w:val="196"/>
        <w:numPr>
          <w:ilvl w:val="0"/>
          <w:numId w:val="43"/>
        </w:numPr>
        <w:spacing w:after="0"/>
      </w:pPr>
      <w:r>
        <w:rPr>
          <w:rFonts w:hint="eastAsia"/>
        </w:rPr>
        <w:t>清理基础积水、结构上的积水；</w:t>
      </w:r>
    </w:p>
    <w:p w14:paraId="6DDE067C">
      <w:pPr>
        <w:pStyle w:val="196"/>
        <w:numPr>
          <w:ilvl w:val="0"/>
          <w:numId w:val="43"/>
        </w:numPr>
        <w:spacing w:after="0"/>
      </w:pPr>
      <w:r>
        <w:rPr>
          <w:rFonts w:hint="eastAsia"/>
        </w:rPr>
        <w:t>清理各个工作机构部位上的油污、杂物等；</w:t>
      </w:r>
    </w:p>
    <w:p w14:paraId="79ABBB9A">
      <w:pPr>
        <w:pStyle w:val="196"/>
        <w:numPr>
          <w:ilvl w:val="0"/>
          <w:numId w:val="43"/>
        </w:numPr>
        <w:spacing w:after="0"/>
      </w:pPr>
      <w:r>
        <w:rPr>
          <w:rFonts w:hint="eastAsia"/>
        </w:rPr>
        <w:t>清洁司机室玻璃。</w:t>
      </w:r>
    </w:p>
    <w:p w14:paraId="4C490D30">
      <w:pPr>
        <w:pStyle w:val="87"/>
        <w:spacing w:before="120" w:after="120"/>
      </w:pPr>
      <w:r>
        <w:rPr>
          <w:rFonts w:hint="eastAsia"/>
        </w:rPr>
        <w:t>定期维护</w:t>
      </w:r>
    </w:p>
    <w:p w14:paraId="298BC939">
      <w:pPr>
        <w:pStyle w:val="186"/>
      </w:pPr>
      <w:r>
        <w:rPr>
          <w:rFonts w:hint="eastAsia"/>
        </w:rPr>
        <w:t>定期维护应由专业人员进行。</w:t>
      </w:r>
    </w:p>
    <w:p w14:paraId="72B360ED">
      <w:pPr>
        <w:pStyle w:val="186"/>
      </w:pPr>
      <w:r>
        <w:rPr>
          <w:rFonts w:hint="eastAsia"/>
        </w:rPr>
        <w:t>定期维护包括周、月、季、年、移装、停用维护、停用后的复工维护，维护的内容可参见GB/T 31052.5—2015中6.1.2的规定。</w:t>
      </w:r>
    </w:p>
    <w:p w14:paraId="669A6067">
      <w:pPr>
        <w:pStyle w:val="186"/>
      </w:pPr>
      <w:r>
        <w:rPr>
          <w:rFonts w:hint="eastAsia"/>
        </w:rPr>
        <w:t>维护内容完成后，使用单位应组织进行验收合格后才能恢复使用。</w:t>
      </w:r>
    </w:p>
    <w:p w14:paraId="4B713672">
      <w:pPr>
        <w:pStyle w:val="87"/>
        <w:spacing w:before="120" w:after="120"/>
      </w:pPr>
      <w:r>
        <w:rPr>
          <w:rFonts w:hint="eastAsia"/>
        </w:rPr>
        <w:t>维护的安全预防措施</w:t>
      </w:r>
    </w:p>
    <w:p w14:paraId="514283E3">
      <w:pPr>
        <w:pStyle w:val="196"/>
        <w:numPr>
          <w:ilvl w:val="0"/>
          <w:numId w:val="44"/>
        </w:numPr>
        <w:spacing w:after="0"/>
        <w:ind w:left="850" w:hanging="425"/>
      </w:pPr>
      <w:r>
        <w:rPr>
          <w:rFonts w:hint="eastAsia"/>
        </w:rPr>
        <w:t>大风、雷雨、冰雪严寒、大雾等恶劣天气下,不应在室外进行维护作业;</w:t>
      </w:r>
    </w:p>
    <w:p w14:paraId="7FCA7873">
      <w:pPr>
        <w:pStyle w:val="196"/>
        <w:numPr>
          <w:ilvl w:val="0"/>
          <w:numId w:val="44"/>
        </w:numPr>
        <w:spacing w:after="0"/>
        <w:ind w:left="850" w:hanging="425"/>
      </w:pPr>
      <w:r>
        <w:rPr>
          <w:rFonts w:hint="eastAsia"/>
        </w:rPr>
        <w:t>门机应停放在不受干扰的区域;</w:t>
      </w:r>
    </w:p>
    <w:p w14:paraId="157BBD94">
      <w:pPr>
        <w:pStyle w:val="196"/>
        <w:numPr>
          <w:ilvl w:val="0"/>
          <w:numId w:val="44"/>
        </w:numPr>
        <w:spacing w:after="0"/>
        <w:ind w:left="850" w:hanging="425"/>
      </w:pPr>
      <w:r>
        <w:rPr>
          <w:rFonts w:hint="eastAsia"/>
        </w:rPr>
        <w:t>若门机上带有载荷,应将载荷卸下;</w:t>
      </w:r>
    </w:p>
    <w:p w14:paraId="47249C86">
      <w:pPr>
        <w:pStyle w:val="196"/>
        <w:numPr>
          <w:ilvl w:val="0"/>
          <w:numId w:val="44"/>
        </w:numPr>
        <w:spacing w:after="0"/>
        <w:ind w:left="850" w:hanging="425"/>
      </w:pPr>
      <w:r>
        <w:rPr>
          <w:rFonts w:hint="eastAsia"/>
        </w:rPr>
        <w:t>应设有“正在维护”的警示标志,或者控制器或操作仪表盘的开关应被锁定在“断开”挡位,应只有维护人员才能进行标识和锁定:</w:t>
      </w:r>
    </w:p>
    <w:p w14:paraId="3CF38F40">
      <w:pPr>
        <w:pStyle w:val="196"/>
        <w:numPr>
          <w:ilvl w:val="0"/>
          <w:numId w:val="44"/>
        </w:numPr>
        <w:spacing w:after="0"/>
        <w:ind w:left="850" w:hanging="425"/>
      </w:pPr>
      <w:r>
        <w:rPr>
          <w:rFonts w:hint="eastAsia"/>
        </w:rPr>
        <w:t>维护人员应配备个人随身保护装置(如:防护鞋、安全帽、安全带、防坠器或防护眼镜等);如果在维护中存在高处坠落危险的情况,则应合理防护:</w:t>
      </w:r>
    </w:p>
    <w:p w14:paraId="62959EA3">
      <w:pPr>
        <w:pStyle w:val="196"/>
        <w:numPr>
          <w:ilvl w:val="0"/>
          <w:numId w:val="44"/>
        </w:numPr>
        <w:spacing w:after="0"/>
        <w:ind w:left="850" w:hanging="425"/>
      </w:pPr>
      <w:r>
        <w:rPr>
          <w:rFonts w:hint="eastAsia"/>
        </w:rPr>
        <w:t>如果上方的维护作业会对下方造成危险时,应在下方使用警示标志和设置警戒区域;</w:t>
      </w:r>
    </w:p>
    <w:p w14:paraId="45513D93">
      <w:pPr>
        <w:pStyle w:val="196"/>
        <w:numPr>
          <w:ilvl w:val="0"/>
          <w:numId w:val="44"/>
        </w:numPr>
        <w:spacing w:after="0"/>
        <w:ind w:left="850" w:hanging="425"/>
      </w:pPr>
      <w:r>
        <w:rPr>
          <w:rFonts w:hint="eastAsia"/>
        </w:rPr>
        <w:t>维护时应有足够的照明，局部照明应使用安全电压的灯具:</w:t>
      </w:r>
    </w:p>
    <w:p w14:paraId="58B40E23">
      <w:pPr>
        <w:pStyle w:val="196"/>
        <w:numPr>
          <w:ilvl w:val="0"/>
          <w:numId w:val="44"/>
        </w:numPr>
        <w:spacing w:after="0"/>
        <w:ind w:left="850" w:hanging="425"/>
      </w:pPr>
      <w:r>
        <w:rPr>
          <w:rFonts w:hint="eastAsia"/>
        </w:rPr>
        <w:t>应采取防止触电的措施;</w:t>
      </w:r>
    </w:p>
    <w:p w14:paraId="0E8F3779">
      <w:pPr>
        <w:pStyle w:val="196"/>
        <w:numPr>
          <w:ilvl w:val="0"/>
          <w:numId w:val="44"/>
        </w:numPr>
        <w:spacing w:after="0"/>
        <w:ind w:left="850" w:hanging="425"/>
      </w:pPr>
      <w:r>
        <w:rPr>
          <w:rFonts w:hint="eastAsia"/>
        </w:rPr>
        <w:t>应使用安全可靠的工具;</w:t>
      </w:r>
    </w:p>
    <w:p w14:paraId="274FDFDF">
      <w:pPr>
        <w:pStyle w:val="196"/>
        <w:numPr>
          <w:ilvl w:val="0"/>
          <w:numId w:val="44"/>
        </w:numPr>
        <w:spacing w:after="0"/>
        <w:ind w:left="850" w:hanging="425"/>
      </w:pPr>
      <w:r>
        <w:rPr>
          <w:rFonts w:hint="eastAsia"/>
        </w:rPr>
        <w:t>焊接时,应采取适当的防护:</w:t>
      </w:r>
    </w:p>
    <w:p w14:paraId="3E4C295B">
      <w:pPr>
        <w:pStyle w:val="196"/>
        <w:numPr>
          <w:ilvl w:val="0"/>
          <w:numId w:val="44"/>
        </w:numPr>
        <w:spacing w:after="0"/>
        <w:ind w:left="850" w:hanging="425"/>
      </w:pPr>
      <w:r>
        <w:rPr>
          <w:rFonts w:hint="eastAsia"/>
        </w:rPr>
        <w:t>维护时应采取必要的消防措施；</w:t>
      </w:r>
    </w:p>
    <w:p w14:paraId="0ADB5C82">
      <w:pPr>
        <w:pStyle w:val="196"/>
        <w:numPr>
          <w:ilvl w:val="0"/>
          <w:numId w:val="44"/>
        </w:numPr>
        <w:spacing w:after="0"/>
        <w:ind w:left="850" w:hanging="425"/>
      </w:pPr>
      <w:r>
        <w:rPr>
          <w:rFonts w:hint="eastAsia"/>
        </w:rPr>
        <w:t>检查绝缘电阻时应对门机上的电子设备进行防护；</w:t>
      </w:r>
    </w:p>
    <w:p w14:paraId="1BC40FB8">
      <w:pPr>
        <w:pStyle w:val="196"/>
        <w:numPr>
          <w:ilvl w:val="0"/>
          <w:numId w:val="44"/>
        </w:numPr>
        <w:spacing w:after="0"/>
        <w:ind w:left="850" w:hanging="425"/>
      </w:pPr>
      <w:r>
        <w:rPr>
          <w:rFonts w:hint="eastAsia"/>
        </w:rPr>
        <w:t>有防止工具、零散物料等从高处坠落的措施；</w:t>
      </w:r>
    </w:p>
    <w:p w14:paraId="1C788F8A">
      <w:pPr>
        <w:pStyle w:val="196"/>
        <w:numPr>
          <w:ilvl w:val="0"/>
          <w:numId w:val="44"/>
        </w:numPr>
        <w:spacing w:after="0"/>
        <w:ind w:left="850" w:hanging="425"/>
      </w:pPr>
      <w:r>
        <w:rPr>
          <w:rFonts w:hint="eastAsia"/>
        </w:rPr>
        <w:t>维护工作完成后,应拆除维护中采取的临时设施,并清理现场。</w:t>
      </w:r>
    </w:p>
    <w:p w14:paraId="58277055">
      <w:pPr>
        <w:pStyle w:val="126"/>
        <w:spacing w:before="240" w:after="240"/>
      </w:pPr>
      <w:bookmarkStart w:id="84" w:name="_Toc197967354"/>
      <w:r>
        <w:rPr>
          <w:rFonts w:hint="eastAsia"/>
        </w:rPr>
        <w:t>专项安全技术措施</w:t>
      </w:r>
      <w:bookmarkEnd w:id="84"/>
    </w:p>
    <w:p w14:paraId="7C0D467D">
      <w:pPr>
        <w:pStyle w:val="127"/>
        <w:spacing w:before="120" w:after="120"/>
      </w:pPr>
      <w:bookmarkStart w:id="85" w:name="_Toc197967355"/>
      <w:r>
        <w:rPr>
          <w:rFonts w:hint="eastAsia"/>
        </w:rPr>
        <w:t>特殊环境管理要求</w:t>
      </w:r>
      <w:bookmarkEnd w:id="85"/>
      <w:r>
        <w:rPr>
          <w:rFonts w:hint="eastAsia"/>
        </w:rPr>
        <w:t xml:space="preserve"> </w:t>
      </w:r>
    </w:p>
    <w:p w14:paraId="245632E8">
      <w:pPr>
        <w:pStyle w:val="187"/>
      </w:pPr>
      <w:r>
        <w:rPr>
          <w:rFonts w:hint="eastAsia"/>
        </w:rPr>
        <w:t>沿海、潮湿、盐雾及台风环境下的</w:t>
      </w:r>
      <w:r>
        <w:t>电气装置</w:t>
      </w:r>
      <w:r>
        <w:rPr>
          <w:rFonts w:hint="eastAsia"/>
        </w:rPr>
        <w:t>至少应采取以下措施进行防护：</w:t>
      </w:r>
    </w:p>
    <w:p w14:paraId="19EBADC0">
      <w:pPr>
        <w:pStyle w:val="196"/>
        <w:numPr>
          <w:ilvl w:val="0"/>
          <w:numId w:val="45"/>
        </w:numPr>
        <w:spacing w:after="0"/>
      </w:pPr>
      <w:r>
        <w:rPr>
          <w:rFonts w:hint="eastAsia"/>
        </w:rPr>
        <w:t>户外电气设备的防护等级不应低于IP54；</w:t>
      </w:r>
    </w:p>
    <w:p w14:paraId="01754C76">
      <w:pPr>
        <w:pStyle w:val="196"/>
        <w:numPr>
          <w:ilvl w:val="0"/>
          <w:numId w:val="45"/>
        </w:numPr>
        <w:spacing w:after="0"/>
      </w:pPr>
      <w:r>
        <w:rPr>
          <w:rFonts w:hint="eastAsia"/>
        </w:rPr>
        <w:t>排风口与散热口应设置防雨水倒灌结构；</w:t>
      </w:r>
    </w:p>
    <w:p w14:paraId="0C02F6B4">
      <w:pPr>
        <w:pStyle w:val="196"/>
        <w:numPr>
          <w:ilvl w:val="0"/>
          <w:numId w:val="45"/>
        </w:numPr>
        <w:spacing w:after="0"/>
      </w:pPr>
      <w:r>
        <w:rPr>
          <w:rFonts w:hint="eastAsia"/>
        </w:rPr>
        <w:t>线路板及电气件应采取防潮、防盐雾、防霉菌特殊处理；</w:t>
      </w:r>
    </w:p>
    <w:p w14:paraId="68BF14D5">
      <w:pPr>
        <w:pStyle w:val="196"/>
        <w:numPr>
          <w:ilvl w:val="0"/>
          <w:numId w:val="45"/>
        </w:numPr>
        <w:spacing w:after="0"/>
      </w:pPr>
      <w:r>
        <w:rPr>
          <w:rFonts w:hint="eastAsia"/>
        </w:rPr>
        <w:t>可拆卸检修部位的紧固件须采取防盐雾腐蚀处理措施；</w:t>
      </w:r>
    </w:p>
    <w:p w14:paraId="058F12A0">
      <w:pPr>
        <w:pStyle w:val="196"/>
        <w:numPr>
          <w:ilvl w:val="0"/>
          <w:numId w:val="45"/>
        </w:numPr>
        <w:spacing w:after="0"/>
      </w:pPr>
      <w:r>
        <w:rPr>
          <w:rFonts w:hint="eastAsia"/>
        </w:rPr>
        <w:t>露天安装的电气连接件应具有耐腐蚀性能。</w:t>
      </w:r>
    </w:p>
    <w:p w14:paraId="5CCA3AD2">
      <w:pPr>
        <w:pStyle w:val="187"/>
      </w:pPr>
      <w:r>
        <w:rPr>
          <w:rFonts w:hint="eastAsia"/>
        </w:rPr>
        <w:t>门机使用地点的海拔超过1000m或使用环境温度与其额定环境温度不一致时，应按 GB755的规定对电动机容量进行校核,超过2000m 时应对电器件进行容量校核。</w:t>
      </w:r>
    </w:p>
    <w:p w14:paraId="553F7B0E">
      <w:pPr>
        <w:pStyle w:val="187"/>
      </w:pPr>
      <w:r>
        <w:rPr>
          <w:rFonts w:hint="eastAsia"/>
        </w:rPr>
        <w:t>门机环境超过40℃时，电气设备应置于隔热型电气室内，并采取强制降温措施。</w:t>
      </w:r>
    </w:p>
    <w:p w14:paraId="7F60B015">
      <w:pPr>
        <w:pStyle w:val="187"/>
      </w:pPr>
      <w:r>
        <w:rPr>
          <w:rFonts w:hint="eastAsia"/>
        </w:rPr>
        <w:t>门机工作环境低于-20℃时：</w:t>
      </w:r>
    </w:p>
    <w:p w14:paraId="3B501A54">
      <w:pPr>
        <w:pStyle w:val="196"/>
        <w:numPr>
          <w:ilvl w:val="0"/>
          <w:numId w:val="46"/>
        </w:numPr>
        <w:spacing w:after="0"/>
      </w:pPr>
      <w:r>
        <w:rPr>
          <w:rFonts w:hint="eastAsia"/>
        </w:rPr>
        <w:t>电气元件应置于恒温电气室内，电气室内需配置加热/空调装置以确保元件常温运行后正常工作；</w:t>
      </w:r>
    </w:p>
    <w:p w14:paraId="0B0ED65F">
      <w:pPr>
        <w:pStyle w:val="196"/>
        <w:numPr>
          <w:ilvl w:val="0"/>
          <w:numId w:val="46"/>
        </w:numPr>
        <w:spacing w:after="0"/>
      </w:pPr>
      <w:r>
        <w:rPr>
          <w:rFonts w:hint="eastAsia"/>
        </w:rPr>
        <w:t>电缆应采用耐低温、抗紫外线橡胶材质，不应用普通PVC电缆；</w:t>
      </w:r>
    </w:p>
    <w:p w14:paraId="5342A36C">
      <w:pPr>
        <w:pStyle w:val="196"/>
        <w:numPr>
          <w:ilvl w:val="0"/>
          <w:numId w:val="46"/>
        </w:numPr>
        <w:spacing w:after="0"/>
      </w:pPr>
      <w:r>
        <w:rPr>
          <w:rFonts w:hint="eastAsia"/>
        </w:rPr>
        <w:t>大车滑线应配置条状加热器及防结冰措施；</w:t>
      </w:r>
    </w:p>
    <w:p w14:paraId="3E8446D1">
      <w:pPr>
        <w:pStyle w:val="196"/>
        <w:numPr>
          <w:ilvl w:val="0"/>
          <w:numId w:val="46"/>
        </w:numPr>
        <w:spacing w:after="0"/>
      </w:pPr>
      <w:r>
        <w:rPr>
          <w:rFonts w:hint="eastAsia"/>
        </w:rPr>
        <w:t>润滑介质应选用生产厂家指定的低温型润滑油脂。</w:t>
      </w:r>
    </w:p>
    <w:p w14:paraId="739D9EEF">
      <w:pPr>
        <w:pStyle w:val="127"/>
        <w:spacing w:before="120" w:after="120"/>
      </w:pPr>
      <w:bookmarkStart w:id="86" w:name="_Toc197967356"/>
      <w:r>
        <w:rPr>
          <w:rFonts w:hint="eastAsia"/>
        </w:rPr>
        <w:t>防风和防台风措施</w:t>
      </w:r>
      <w:bookmarkEnd w:id="86"/>
      <w:r>
        <w:rPr>
          <w:rFonts w:hint="eastAsia"/>
        </w:rPr>
        <w:t xml:space="preserve">   </w:t>
      </w:r>
    </w:p>
    <w:p w14:paraId="00E71CF5">
      <w:pPr>
        <w:pStyle w:val="87"/>
        <w:spacing w:before="120" w:after="120"/>
      </w:pPr>
      <w:r>
        <w:rPr>
          <w:rFonts w:hint="eastAsia"/>
        </w:rPr>
        <w:t>防风基本措施</w:t>
      </w:r>
    </w:p>
    <w:p w14:paraId="3D4E864C">
      <w:pPr>
        <w:pStyle w:val="186"/>
      </w:pPr>
      <w:r>
        <w:rPr>
          <w:rFonts w:hint="eastAsia"/>
        </w:rPr>
        <w:t>风速达13.8m/s时，门机应停止作业。</w:t>
      </w:r>
    </w:p>
    <w:p w14:paraId="0882DA4B">
      <w:pPr>
        <w:pStyle w:val="186"/>
      </w:pPr>
      <w:r>
        <w:rPr>
          <w:rFonts w:hint="eastAsia"/>
        </w:rPr>
        <w:t>下班时，应及时夹好夹轨器，切断总电源，关好操作室门窗，系挂好缆风绳。</w:t>
      </w:r>
    </w:p>
    <w:p w14:paraId="1EFD3588">
      <w:pPr>
        <w:pStyle w:val="186"/>
      </w:pPr>
      <w:r>
        <w:rPr>
          <w:rFonts w:hint="eastAsia"/>
        </w:rPr>
        <w:t>门机宜设置专用防风地锚，地锚的设置应经专业人员设计。</w:t>
      </w:r>
    </w:p>
    <w:p w14:paraId="72FB646A">
      <w:pPr>
        <w:pStyle w:val="186"/>
      </w:pPr>
      <w:r>
        <w:rPr>
          <w:rFonts w:hint="eastAsia"/>
        </w:rPr>
        <w:t>防风用缆风绳与地面的夹角不应大于45°，缆风绳系挂在支腿上方牢固可靠处，宜对称布置。</w:t>
      </w:r>
    </w:p>
    <w:p w14:paraId="314837AF">
      <w:pPr>
        <w:pStyle w:val="186"/>
      </w:pPr>
      <w:r>
        <w:rPr>
          <w:rFonts w:hint="eastAsia"/>
        </w:rPr>
        <w:t>门机主梁上不应设置广告牌等悬挂物。零散杂物等应及时清除干净。</w:t>
      </w:r>
    </w:p>
    <w:p w14:paraId="3A8D141C">
      <w:pPr>
        <w:pStyle w:val="186"/>
      </w:pPr>
      <w:r>
        <w:rPr>
          <w:rFonts w:hint="eastAsia"/>
        </w:rPr>
        <w:t>门机行走机构的制动器应完备有效，制动力矩调整符合使用说明书要求。</w:t>
      </w:r>
    </w:p>
    <w:p w14:paraId="6B6964F1">
      <w:pPr>
        <w:pStyle w:val="186"/>
      </w:pPr>
      <w:r>
        <w:rPr>
          <w:rFonts w:hint="eastAsia"/>
        </w:rPr>
        <w:t>门机和轨道间应配备防滑和制动装置，其中防滑装置须保证设备在15m/s到35m/s的现场风力作用下不发生滑移。</w:t>
      </w:r>
    </w:p>
    <w:p w14:paraId="5149405A">
      <w:pPr>
        <w:pStyle w:val="186"/>
      </w:pPr>
      <w:r>
        <w:rPr>
          <w:rFonts w:hint="eastAsia"/>
        </w:rPr>
        <w:t>门机宜安装液压夹轨器，在作业过程中遇突然阵风时能及时制动。</w:t>
      </w:r>
    </w:p>
    <w:p w14:paraId="02368FCB">
      <w:pPr>
        <w:pStyle w:val="87"/>
        <w:spacing w:before="120" w:after="120"/>
      </w:pPr>
      <w:r>
        <w:rPr>
          <w:rFonts w:hint="eastAsia"/>
        </w:rPr>
        <w:t xml:space="preserve">防台风措施  </w:t>
      </w:r>
    </w:p>
    <w:p w14:paraId="02372316">
      <w:pPr>
        <w:pStyle w:val="186"/>
      </w:pPr>
      <w:r>
        <w:rPr>
          <w:rFonts w:hint="eastAsia" w:hAnsi="宋体"/>
          <w:kern w:val="2"/>
          <w:szCs w:val="22"/>
        </w:rPr>
        <w:t>受台风影响</w:t>
      </w:r>
      <w:r>
        <w:rPr>
          <w:rFonts w:hAnsi="宋体"/>
          <w:kern w:val="2"/>
          <w:szCs w:val="22"/>
        </w:rPr>
        <w:t>地区使用的</w:t>
      </w:r>
      <w:r>
        <w:rPr>
          <w:rFonts w:hint="eastAsia" w:hAnsi="宋体"/>
          <w:kern w:val="2"/>
          <w:szCs w:val="22"/>
        </w:rPr>
        <w:t>门</w:t>
      </w:r>
      <w:r>
        <w:rPr>
          <w:rFonts w:hAnsi="宋体"/>
          <w:kern w:val="2"/>
          <w:szCs w:val="22"/>
        </w:rPr>
        <w:t>机，</w:t>
      </w:r>
      <w:r>
        <w:rPr>
          <w:rFonts w:hint="eastAsia" w:hAnsi="宋体"/>
          <w:kern w:val="2"/>
          <w:szCs w:val="22"/>
        </w:rPr>
        <w:t>应</w:t>
      </w:r>
      <w:r>
        <w:rPr>
          <w:rFonts w:hAnsi="宋体"/>
          <w:kern w:val="2"/>
          <w:szCs w:val="22"/>
        </w:rPr>
        <w:t>考虑台风</w:t>
      </w:r>
      <w:r>
        <w:rPr>
          <w:rFonts w:hint="eastAsia" w:hAnsi="宋体"/>
          <w:kern w:val="2"/>
          <w:szCs w:val="22"/>
        </w:rPr>
        <w:t>对门机的</w:t>
      </w:r>
      <w:r>
        <w:rPr>
          <w:rFonts w:hAnsi="宋体"/>
          <w:kern w:val="2"/>
          <w:szCs w:val="22"/>
        </w:rPr>
        <w:t>影响。</w:t>
      </w:r>
      <w:r>
        <w:rPr>
          <w:rFonts w:hint="eastAsia" w:hAnsi="宋体"/>
          <w:kern w:val="2"/>
          <w:szCs w:val="22"/>
        </w:rPr>
        <w:t>可根据当地气象资料提供的10m高处50年一遇的10min时距平均暴风风速，结合现场相关单位要求制定</w:t>
      </w:r>
      <w:r>
        <w:rPr>
          <w:rFonts w:hAnsi="宋体"/>
          <w:kern w:val="2"/>
          <w:szCs w:val="22"/>
        </w:rPr>
        <w:t>门机</w:t>
      </w:r>
      <w:r>
        <w:rPr>
          <w:rFonts w:hint="eastAsia" w:hAnsi="宋体"/>
          <w:kern w:val="2"/>
          <w:szCs w:val="22"/>
        </w:rPr>
        <w:t>防</w:t>
      </w:r>
      <w:r>
        <w:rPr>
          <w:rFonts w:hAnsi="宋体"/>
          <w:kern w:val="2"/>
          <w:szCs w:val="22"/>
        </w:rPr>
        <w:t>台</w:t>
      </w:r>
      <w:r>
        <w:rPr>
          <w:rFonts w:hint="eastAsia" w:hAnsi="宋体"/>
          <w:kern w:val="2"/>
          <w:szCs w:val="22"/>
        </w:rPr>
        <w:t>风应急预案</w:t>
      </w:r>
      <w:r>
        <w:rPr>
          <w:rFonts w:hint="eastAsia"/>
        </w:rPr>
        <w:t>。</w:t>
      </w:r>
    </w:p>
    <w:p w14:paraId="1849A949">
      <w:pPr>
        <w:pStyle w:val="186"/>
      </w:pPr>
      <w:r>
        <w:rPr>
          <w:rFonts w:hint="eastAsia"/>
        </w:rPr>
        <w:t>沿海地区使用的门机还应遵守地方建筑起重机械防台风安全技术规程相关规定。</w:t>
      </w:r>
    </w:p>
    <w:p w14:paraId="01FCE6A6">
      <w:pPr>
        <w:pStyle w:val="186"/>
      </w:pPr>
      <w:r>
        <w:rPr>
          <w:rFonts w:hint="eastAsia"/>
        </w:rPr>
        <w:t>选择配备防止风的水平力和上拔力的装置时，须保证设备在35m/s到55m/s的现场风力作用下不发生倾覆。所在地区50年最大风速历史记录超出上述范围的，应按照50年最大风速设防。</w:t>
      </w:r>
    </w:p>
    <w:p w14:paraId="5E292C0B">
      <w:pPr>
        <w:pStyle w:val="186"/>
      </w:pPr>
      <w:r>
        <w:rPr>
          <w:rFonts w:hint="eastAsia"/>
        </w:rPr>
        <w:t>同一轨道上运行的多台门机在非工作状态下可采用多台串联的形式增强防风抗滑性。</w:t>
      </w:r>
    </w:p>
    <w:p w14:paraId="6C8B959C">
      <w:pPr>
        <w:pStyle w:val="116"/>
        <w:spacing w:before="120" w:after="120"/>
      </w:pPr>
      <w:r>
        <w:rPr>
          <w:rFonts w:hint="eastAsia"/>
        </w:rPr>
        <w:t>门机防台风措施还宜采取以下措施：</w:t>
      </w:r>
    </w:p>
    <w:p w14:paraId="41F77CEE">
      <w:pPr>
        <w:pStyle w:val="196"/>
        <w:numPr>
          <w:ilvl w:val="0"/>
          <w:numId w:val="47"/>
        </w:numPr>
        <w:spacing w:after="0"/>
        <w:ind w:left="850" w:hanging="425"/>
      </w:pPr>
      <w:r>
        <w:rPr>
          <w:rFonts w:hint="eastAsia"/>
        </w:rPr>
        <w:t>轨道两端宜设置钢筋混凝土或者钢板制成的挡块，并与轨道基础牢固连接在一起。</w:t>
      </w:r>
    </w:p>
    <w:p w14:paraId="4E8088A8">
      <w:pPr>
        <w:pStyle w:val="196"/>
        <w:numPr>
          <w:ilvl w:val="0"/>
          <w:numId w:val="47"/>
        </w:numPr>
        <w:spacing w:after="0"/>
        <w:ind w:left="850" w:hanging="425"/>
      </w:pPr>
      <w:r>
        <w:rPr>
          <w:rFonts w:hint="eastAsia"/>
        </w:rPr>
        <w:t>门机位于停机位置，其倾覆范围应避开建筑物或临时设施，轨道两侧及轨道端部以外2倍门机高度的范围内不得搭设临时生活设施和办公场所。</w:t>
      </w:r>
    </w:p>
    <w:p w14:paraId="340778D6">
      <w:pPr>
        <w:pStyle w:val="196"/>
        <w:numPr>
          <w:ilvl w:val="0"/>
          <w:numId w:val="47"/>
        </w:numPr>
        <w:spacing w:after="0"/>
        <w:ind w:left="850" w:hanging="425"/>
      </w:pPr>
      <w:r>
        <w:rPr>
          <w:rFonts w:hint="eastAsia"/>
        </w:rPr>
        <w:t>配备防风预（警）报装置，并进行技术测试，以满足对设计风速警示预报的要求，预警仪应能显示瞬时风速并发出警报信号。</w:t>
      </w:r>
    </w:p>
    <w:p w14:paraId="1DB3817C">
      <w:pPr>
        <w:pStyle w:val="186"/>
      </w:pPr>
      <w:r>
        <w:rPr>
          <w:rFonts w:hAnsi="宋体"/>
          <w:kern w:val="2"/>
          <w:szCs w:val="22"/>
        </w:rPr>
        <w:t>台风结束后，应</w:t>
      </w:r>
      <w:r>
        <w:rPr>
          <w:rFonts w:hint="eastAsia" w:hAnsi="宋体"/>
          <w:kern w:val="2"/>
          <w:szCs w:val="22"/>
        </w:rPr>
        <w:t>对门机的主要</w:t>
      </w:r>
      <w:r>
        <w:rPr>
          <w:rFonts w:hAnsi="宋体"/>
          <w:kern w:val="2"/>
          <w:szCs w:val="22"/>
        </w:rPr>
        <w:t>结构</w:t>
      </w:r>
      <w:r>
        <w:rPr>
          <w:rFonts w:hint="eastAsia" w:hAnsi="宋体"/>
          <w:kern w:val="2"/>
          <w:szCs w:val="22"/>
        </w:rPr>
        <w:t>、</w:t>
      </w:r>
      <w:r>
        <w:rPr>
          <w:rFonts w:hAnsi="宋体"/>
          <w:kern w:val="2"/>
          <w:szCs w:val="22"/>
        </w:rPr>
        <w:t>安全装置</w:t>
      </w:r>
      <w:r>
        <w:rPr>
          <w:rFonts w:hint="eastAsia" w:hAnsi="宋体"/>
          <w:kern w:val="2"/>
          <w:szCs w:val="22"/>
        </w:rPr>
        <w:t>、轨道及基础、</w:t>
      </w:r>
      <w:r>
        <w:rPr>
          <w:rFonts w:hAnsi="宋体"/>
          <w:kern w:val="2"/>
          <w:szCs w:val="22"/>
        </w:rPr>
        <w:t>电气系统</w:t>
      </w:r>
      <w:r>
        <w:rPr>
          <w:rFonts w:hint="eastAsia" w:hAnsi="宋体"/>
          <w:kern w:val="2"/>
          <w:szCs w:val="22"/>
        </w:rPr>
        <w:t>及</w:t>
      </w:r>
      <w:r>
        <w:rPr>
          <w:rFonts w:hAnsi="宋体"/>
          <w:kern w:val="2"/>
          <w:szCs w:val="22"/>
        </w:rPr>
        <w:t>制动系统</w:t>
      </w:r>
      <w:r>
        <w:rPr>
          <w:rFonts w:hint="eastAsia" w:hAnsi="宋体"/>
          <w:kern w:val="2"/>
          <w:szCs w:val="22"/>
        </w:rPr>
        <w:t>进行全面检查，确保安全后方可恢复使用</w:t>
      </w:r>
      <w:r>
        <w:rPr>
          <w:rFonts w:hint="eastAsia"/>
        </w:rPr>
        <w:t>。</w:t>
      </w:r>
    </w:p>
    <w:p w14:paraId="0A7B406D">
      <w:pPr>
        <w:pStyle w:val="127"/>
        <w:spacing w:before="120" w:after="120"/>
      </w:pPr>
      <w:bookmarkStart w:id="87" w:name="_Toc197967357"/>
      <w:r>
        <w:rPr>
          <w:rFonts w:hint="eastAsia"/>
        </w:rPr>
        <w:t>专项防碰撞措施</w:t>
      </w:r>
      <w:bookmarkEnd w:id="87"/>
      <w:r>
        <w:rPr>
          <w:rFonts w:hint="eastAsia"/>
        </w:rPr>
        <w:t xml:space="preserve">    </w:t>
      </w:r>
    </w:p>
    <w:p w14:paraId="356348ED">
      <w:pPr>
        <w:pStyle w:val="187"/>
      </w:pPr>
      <w:r>
        <w:rPr>
          <w:rFonts w:hint="eastAsia"/>
        </w:rPr>
        <w:t>门机吊装区域应设置安全警示牌，无关人员和车辆不得进入作业区域。</w:t>
      </w:r>
    </w:p>
    <w:p w14:paraId="3CF16FD5">
      <w:pPr>
        <w:pStyle w:val="187"/>
      </w:pPr>
      <w:r>
        <w:rPr>
          <w:rFonts w:hint="eastAsia"/>
        </w:rPr>
        <w:t>门机作业时，需注意周边作业起重机械如塔机、汽车起重机等，靠近时需按鸣笛示警，在不确定其动作前不得盲目操作。</w:t>
      </w:r>
    </w:p>
    <w:p w14:paraId="155C2003">
      <w:pPr>
        <w:pStyle w:val="187"/>
      </w:pPr>
      <w:r>
        <w:rPr>
          <w:rFonts w:hint="eastAsia"/>
        </w:rPr>
        <w:t>在同一轨道运行工作的两台及以上的门机或同一轨道上有两台小车时应安装防碰撞装置，相互如需严格控制相互间距离时，宜设定距装置。</w:t>
      </w:r>
    </w:p>
    <w:p w14:paraId="0A44E092">
      <w:pPr>
        <w:pStyle w:val="187"/>
      </w:pPr>
      <w:r>
        <w:rPr>
          <w:rFonts w:hint="eastAsia"/>
        </w:rPr>
        <w:t>在相邻轨道上运行工作的两台及以上的门机应保持0.5m以上距离。</w:t>
      </w:r>
    </w:p>
    <w:p w14:paraId="0F67ED7A">
      <w:pPr>
        <w:pStyle w:val="127"/>
        <w:spacing w:before="120" w:after="120"/>
      </w:pPr>
      <w:bookmarkStart w:id="88" w:name="_Toc197967358"/>
      <w:r>
        <w:rPr>
          <w:rFonts w:hint="eastAsia"/>
        </w:rPr>
        <w:t>防雷电措施</w:t>
      </w:r>
      <w:bookmarkEnd w:id="88"/>
      <w:r>
        <w:rPr>
          <w:rFonts w:hint="eastAsia"/>
        </w:rPr>
        <w:t xml:space="preserve"> </w:t>
      </w:r>
    </w:p>
    <w:p w14:paraId="210E09C9">
      <w:pPr>
        <w:pStyle w:val="187"/>
      </w:pPr>
      <w:r>
        <w:rPr>
          <w:rFonts w:hint="eastAsia"/>
        </w:rPr>
        <w:t>门机的金属结构、电气设备外壳、金属管线等必须可靠接地，整体接地电阻应≤4Ω。</w:t>
      </w:r>
    </w:p>
    <w:p w14:paraId="329A1ACB">
      <w:pPr>
        <w:pStyle w:val="187"/>
      </w:pPr>
      <w:r>
        <w:rPr>
          <w:rFonts w:hint="eastAsia"/>
        </w:rPr>
        <w:t>雷雨前应切断操作室电源，避免电气设备遭雷击。任何人不应在门机下避雨。</w:t>
      </w:r>
    </w:p>
    <w:p w14:paraId="5D02AF1E">
      <w:pPr>
        <w:pStyle w:val="187"/>
      </w:pPr>
      <w:r>
        <w:rPr>
          <w:rFonts w:hint="eastAsia"/>
        </w:rPr>
        <w:t>门机应在主梁上部安装接闪器，接闪器保护范围，可按用GB 50057中的滚球法来设计；接闪器设置可按GB 50343执行。</w:t>
      </w:r>
    </w:p>
    <w:p w14:paraId="4B04F5C7">
      <w:pPr>
        <w:pStyle w:val="187"/>
      </w:pPr>
      <w:r>
        <w:rPr>
          <w:rFonts w:hint="eastAsia"/>
        </w:rPr>
        <w:t>当门机位置较低或处于其他建筑物或设备接闪器的保护范围内，则门机可不设防雷装置。</w:t>
      </w:r>
    </w:p>
    <w:p w14:paraId="1855B201">
      <w:pPr>
        <w:pStyle w:val="127"/>
        <w:spacing w:before="120" w:after="120"/>
      </w:pPr>
      <w:bookmarkStart w:id="89" w:name="_Toc197967359"/>
      <w:r>
        <w:rPr>
          <w:rFonts w:hint="eastAsia"/>
        </w:rPr>
        <w:t>安全应急处置措施</w:t>
      </w:r>
      <w:bookmarkEnd w:id="89"/>
      <w:r>
        <w:rPr>
          <w:rFonts w:hint="eastAsia"/>
        </w:rPr>
        <w:t xml:space="preserve">   </w:t>
      </w:r>
    </w:p>
    <w:p w14:paraId="2A9A9A9E">
      <w:pPr>
        <w:pStyle w:val="187"/>
      </w:pPr>
      <w:r>
        <w:rPr>
          <w:rFonts w:hint="eastAsia"/>
        </w:rPr>
        <w:t>门机发生安全事故时，应及时启动应急预案。</w:t>
      </w:r>
    </w:p>
    <w:p w14:paraId="082A7977">
      <w:pPr>
        <w:pStyle w:val="187"/>
      </w:pPr>
      <w:r>
        <w:rPr>
          <w:rFonts w:hint="eastAsia"/>
        </w:rPr>
        <w:t>门机发生一般性危险情况应立即采取如下应急措施：</w:t>
      </w:r>
    </w:p>
    <w:p w14:paraId="60828A71">
      <w:pPr>
        <w:pStyle w:val="116"/>
        <w:spacing w:before="0" w:beforeLines="0" w:after="0" w:afterLines="0"/>
        <w:rPr>
          <w:rFonts w:ascii="宋体" w:eastAsia="宋体"/>
        </w:rPr>
      </w:pPr>
      <w:r>
        <w:rPr>
          <w:rFonts w:hint="eastAsia" w:ascii="宋体" w:eastAsia="宋体"/>
        </w:rPr>
        <w:t>门机作业中遇突发故障，应采取适当措施将吊物降落到安全地点，避免长时间悬挂在空中。当吊物无法及时安全落地时，应立即启动应急预案。</w:t>
      </w:r>
    </w:p>
    <w:p w14:paraId="0B060472">
      <w:pPr>
        <w:pStyle w:val="116"/>
        <w:spacing w:before="0" w:beforeLines="0" w:after="0" w:afterLines="0"/>
        <w:rPr>
          <w:rFonts w:ascii="宋体" w:eastAsia="宋体"/>
        </w:rPr>
      </w:pPr>
      <w:r>
        <w:rPr>
          <w:rFonts w:hint="eastAsia" w:ascii="宋体" w:eastAsia="宋体"/>
        </w:rPr>
        <w:t>门机作业过程中突然断电或故障时，门机司机应将控制器恢复到零位，并通知起重机指挥，立即查明原因消除故障。</w:t>
      </w:r>
    </w:p>
    <w:p w14:paraId="00E53267">
      <w:pPr>
        <w:pStyle w:val="116"/>
        <w:spacing w:before="0" w:beforeLines="0" w:after="0" w:afterLines="0"/>
      </w:pPr>
      <w:r>
        <w:rPr>
          <w:rFonts w:hint="eastAsia" w:ascii="宋体" w:eastAsia="宋体"/>
        </w:rPr>
        <w:t>门机作业过程中刹车失灵，操作司机应立即按下应急按钮并鸣笛示警，将吊物吊运至空旷处。</w:t>
      </w:r>
    </w:p>
    <w:p w14:paraId="40F2F043">
      <w:pPr>
        <w:pStyle w:val="116"/>
        <w:spacing w:before="0" w:beforeLines="0" w:after="0" w:afterLines="0"/>
        <w:rPr>
          <w:rFonts w:ascii="宋体" w:eastAsia="宋体"/>
        </w:rPr>
      </w:pPr>
      <w:r>
        <w:rPr>
          <w:rFonts w:hint="eastAsia" w:ascii="宋体" w:eastAsia="宋体"/>
        </w:rPr>
        <w:t>作业中如遇突然起风，如果安装有液压夹轨器，司机应立即按下应急开关，将门机制动并缓慢将吊物降落至安全地点。</w:t>
      </w:r>
    </w:p>
    <w:p w14:paraId="5B5FC732">
      <w:pPr>
        <w:pStyle w:val="116"/>
        <w:spacing w:before="0" w:beforeLines="0" w:after="0" w:afterLines="0"/>
        <w:rPr>
          <w:rFonts w:ascii="宋体" w:eastAsia="宋体"/>
        </w:rPr>
      </w:pPr>
      <w:r>
        <w:rPr>
          <w:rFonts w:hint="eastAsia" w:ascii="宋体" w:eastAsia="宋体"/>
        </w:rPr>
        <w:t>故障排除前或者排除过程中无法保证安全的，应当从危险区域内撤出作业人员，并疏散可能危及的其他人员，设置警戒标志，加强门机监测监控并启动应急预案。</w:t>
      </w:r>
    </w:p>
    <w:p w14:paraId="0469BB49">
      <w:pPr>
        <w:pStyle w:val="126"/>
        <w:spacing w:before="240" w:after="240"/>
      </w:pPr>
      <w:bookmarkStart w:id="90" w:name="_Toc197967360"/>
      <w:r>
        <w:rPr>
          <w:rFonts w:hint="eastAsia"/>
        </w:rPr>
        <w:t>运输和贮存</w:t>
      </w:r>
      <w:bookmarkEnd w:id="90"/>
    </w:p>
    <w:p w14:paraId="67428522">
      <w:pPr>
        <w:pStyle w:val="127"/>
        <w:spacing w:before="120" w:after="120"/>
      </w:pPr>
      <w:bookmarkStart w:id="91" w:name="_Toc197967361"/>
      <w:r>
        <w:rPr>
          <w:rFonts w:hint="eastAsia"/>
        </w:rPr>
        <w:t>运输</w:t>
      </w:r>
      <w:bookmarkEnd w:id="91"/>
      <w:r>
        <w:rPr>
          <w:rFonts w:hint="eastAsia"/>
        </w:rPr>
        <w:t xml:space="preserve">  </w:t>
      </w:r>
    </w:p>
    <w:p w14:paraId="7DFA4A3B">
      <w:pPr>
        <w:pStyle w:val="87"/>
        <w:spacing w:before="120" w:after="120"/>
      </w:pPr>
      <w:r>
        <w:rPr>
          <w:rFonts w:hint="eastAsia"/>
        </w:rPr>
        <w:t>一般要求</w:t>
      </w:r>
    </w:p>
    <w:p w14:paraId="05FEB452">
      <w:pPr>
        <w:pStyle w:val="247"/>
        <w:widowControl w:val="0"/>
      </w:pPr>
      <w:r>
        <w:rPr>
          <w:rFonts w:hint="eastAsia"/>
        </w:rPr>
        <w:t>根据门机的特性和运输距离，抵达时间和经济性，选择合适的运输方式和工具，包括有公路、铁路、水路或水陆联运等。</w:t>
      </w:r>
    </w:p>
    <w:p w14:paraId="43D00B52">
      <w:pPr>
        <w:pStyle w:val="247"/>
      </w:pPr>
      <w:r>
        <w:rPr>
          <w:rFonts w:hint="eastAsia"/>
        </w:rPr>
        <w:t>运输前应详细了解门机各运输部件的基本信息，包括重量、尺寸、结构、防护要求等。</w:t>
      </w:r>
    </w:p>
    <w:p w14:paraId="0F9F850D">
      <w:pPr>
        <w:pStyle w:val="247"/>
      </w:pPr>
      <w:r>
        <w:rPr>
          <w:rFonts w:hint="eastAsia"/>
        </w:rPr>
        <w:t>长距离或复杂路况下宜制定塔机运输方案，包括配载、运输方式、路线、发货顺序、时间等。</w:t>
      </w:r>
    </w:p>
    <w:p w14:paraId="27434963">
      <w:pPr>
        <w:pStyle w:val="247"/>
      </w:pPr>
      <w:r>
        <w:rPr>
          <w:rFonts w:hint="eastAsia"/>
        </w:rPr>
        <w:t>门机运输应签订运输合同，约定双方安全责任，随车交付装箱单和运输交接单等文件。</w:t>
      </w:r>
    </w:p>
    <w:p w14:paraId="0F523364">
      <w:pPr>
        <w:pStyle w:val="247"/>
      </w:pPr>
      <w:r>
        <w:rPr>
          <w:rFonts w:hint="eastAsia"/>
        </w:rPr>
        <w:t xml:space="preserve">运输出发前应检查确认门机运输部件垫放平稳合理，绑扎牢固可靠，运输过程中应检查监控绑扎情况。  </w:t>
      </w:r>
    </w:p>
    <w:p w14:paraId="6B754E45">
      <w:pPr>
        <w:pStyle w:val="186"/>
      </w:pPr>
      <w:r>
        <w:rPr>
          <w:rFonts w:hint="eastAsia"/>
        </w:rPr>
        <w:t>门机运输应符合铁路、公路、水运等交通运输的规定。</w:t>
      </w:r>
    </w:p>
    <w:p w14:paraId="0E489F30">
      <w:pPr>
        <w:pStyle w:val="87"/>
        <w:spacing w:before="120" w:after="120"/>
      </w:pPr>
      <w:r>
        <w:rPr>
          <w:rFonts w:hint="eastAsia"/>
        </w:rPr>
        <w:t>公路运输</w:t>
      </w:r>
    </w:p>
    <w:p w14:paraId="130F9A21">
      <w:pPr>
        <w:pStyle w:val="186"/>
      </w:pPr>
      <w:r>
        <w:rPr>
          <w:rFonts w:hint="eastAsia"/>
        </w:rPr>
        <w:t>门机部件重心应装载在车板的中心位置，避免运输过程车辆发生倾覆。</w:t>
      </w:r>
    </w:p>
    <w:p w14:paraId="0B238EE1">
      <w:pPr>
        <w:pStyle w:val="186"/>
      </w:pPr>
      <w:r>
        <w:rPr>
          <w:rFonts w:hint="eastAsia"/>
        </w:rPr>
        <w:t>门机运输部件重量或尺寸超过运输车辆规定时，承运人应按规定提前向公路管理机构申请办理超限运输许可通行证，并按指定的时间、路线和速度行驶，临时停放应符合规定要求。</w:t>
      </w:r>
    </w:p>
    <w:p w14:paraId="1B50BED8">
      <w:pPr>
        <w:pStyle w:val="87"/>
        <w:spacing w:before="120" w:after="120"/>
      </w:pPr>
      <w:r>
        <w:rPr>
          <w:rFonts w:hint="eastAsia"/>
        </w:rPr>
        <w:t>水运</w:t>
      </w:r>
    </w:p>
    <w:p w14:paraId="087A6E8C">
      <w:pPr>
        <w:pStyle w:val="186"/>
      </w:pPr>
      <w:r>
        <w:rPr>
          <w:rFonts w:hint="eastAsia"/>
        </w:rPr>
        <w:t>按照船运配载方案，合理安排设备在船上的位置，重设备放底层，轻设备放上层，保持船舶的平衡。</w:t>
      </w:r>
    </w:p>
    <w:p w14:paraId="57EFA7A7">
      <w:pPr>
        <w:pStyle w:val="186"/>
      </w:pPr>
      <w:r>
        <w:rPr>
          <w:rFonts w:hint="eastAsia"/>
        </w:rPr>
        <w:t>门机部件应有必要的加固措施，防止因风浪大时，设备发生移位或倾翻。</w:t>
      </w:r>
    </w:p>
    <w:p w14:paraId="247AC3B9">
      <w:pPr>
        <w:pStyle w:val="186"/>
      </w:pPr>
      <w:r>
        <w:rPr>
          <w:rFonts w:hint="eastAsia"/>
        </w:rPr>
        <w:t>对重要的电气设备元件、配电箱等进行防潮、防腐蚀的措施。</w:t>
      </w:r>
    </w:p>
    <w:p w14:paraId="5771F411">
      <w:pPr>
        <w:pStyle w:val="127"/>
        <w:spacing w:before="120" w:after="120"/>
      </w:pPr>
      <w:bookmarkStart w:id="92" w:name="_Toc197967362"/>
      <w:r>
        <w:rPr>
          <w:rFonts w:hint="eastAsia"/>
        </w:rPr>
        <w:t>贮存</w:t>
      </w:r>
      <w:bookmarkEnd w:id="92"/>
      <w:r>
        <w:rPr>
          <w:rFonts w:hint="eastAsia"/>
        </w:rPr>
        <w:t xml:space="preserve">  </w:t>
      </w:r>
    </w:p>
    <w:p w14:paraId="49AD01B3">
      <w:pPr>
        <w:pStyle w:val="187"/>
      </w:pPr>
      <w:r>
        <w:rPr>
          <w:rFonts w:hint="eastAsia"/>
        </w:rPr>
        <w:t>门机贮存场地应平整、坚实、排水良好、远离滑坡、低洼、洪水、化学品、腐蚀或粉尘等风险区域。</w:t>
      </w:r>
    </w:p>
    <w:p w14:paraId="0D26FB7C">
      <w:pPr>
        <w:pStyle w:val="187"/>
      </w:pPr>
      <w:r>
        <w:rPr>
          <w:rFonts w:hint="eastAsia"/>
        </w:rPr>
        <w:t>门机贮存时，应采取有效措施防止长时间存放结构发生变形。</w:t>
      </w:r>
    </w:p>
    <w:p w14:paraId="2B8A7427">
      <w:pPr>
        <w:pStyle w:val="187"/>
      </w:pPr>
      <w:r>
        <w:rPr>
          <w:rFonts w:hint="eastAsia"/>
        </w:rPr>
        <w:t>门机结构件贮存应垫放枕木或支墩，多层堆放时要在层间垫上枕木，堆放层高不宜超过两层。</w:t>
      </w:r>
    </w:p>
    <w:p w14:paraId="7996C72B">
      <w:pPr>
        <w:pStyle w:val="187"/>
      </w:pPr>
      <w:r>
        <w:rPr>
          <w:rFonts w:hint="eastAsia"/>
        </w:rPr>
        <w:t>长期贮存时，应定期清理、涂漆。裸露的装配面应采取有效的防腐措施，电气系统、塑料零件、橡胶制品应避免日光直晒和油污以防止过早老化。</w:t>
      </w:r>
    </w:p>
    <w:p w14:paraId="2863B602">
      <w:pPr>
        <w:pStyle w:val="187"/>
      </w:pPr>
      <w:r>
        <w:rPr>
          <w:rFonts w:hint="eastAsia"/>
        </w:rPr>
        <w:t>螺栓、销轴、主电缆等较小的零部件宜包装进箱。</w:t>
      </w:r>
    </w:p>
    <w:p w14:paraId="144A2819">
      <w:pPr>
        <w:pStyle w:val="187"/>
      </w:pPr>
      <w:r>
        <w:rPr>
          <w:rFonts w:hint="eastAsia"/>
        </w:rPr>
        <w:t>电气元件、配电箱、控制柜、卷扬机、液压系统等做好防潮、防尘、防腐蚀等措施。</w:t>
      </w:r>
    </w:p>
    <w:p w14:paraId="7BF0F17D">
      <w:pPr>
        <w:pStyle w:val="187"/>
      </w:pPr>
      <w:r>
        <w:rPr>
          <w:rFonts w:hint="eastAsia"/>
        </w:rPr>
        <w:t>贮存区域设置围栏和警示标志，做好警戒与防盗措施，定期安排专人进行检查及维护。</w:t>
      </w:r>
    </w:p>
    <w:p w14:paraId="656D4144">
      <w:pPr>
        <w:pStyle w:val="187"/>
      </w:pPr>
      <w:r>
        <w:rPr>
          <w:rFonts w:hint="eastAsia"/>
        </w:rPr>
        <w:t>门机贮存时应保存有详细档案，贮存期间的所有变动情况均应记入档案。</w:t>
      </w:r>
    </w:p>
    <w:p w14:paraId="2B6DCD75">
      <w:pPr>
        <w:pStyle w:val="126"/>
        <w:spacing w:before="240" w:after="240"/>
      </w:pPr>
      <w:bookmarkStart w:id="93" w:name="_Toc197967363"/>
      <w:r>
        <w:rPr>
          <w:rFonts w:hint="eastAsia"/>
        </w:rPr>
        <w:t>绿色节能和智能操作</w:t>
      </w:r>
      <w:bookmarkEnd w:id="93"/>
      <w:r>
        <w:rPr>
          <w:rFonts w:hint="eastAsia"/>
        </w:rPr>
        <w:t xml:space="preserve">  </w:t>
      </w:r>
    </w:p>
    <w:p w14:paraId="2E6FCFBB">
      <w:pPr>
        <w:pStyle w:val="127"/>
        <w:spacing w:before="120" w:after="120"/>
      </w:pPr>
      <w:bookmarkStart w:id="94" w:name="_Toc197967364"/>
      <w:r>
        <w:rPr>
          <w:rFonts w:hint="eastAsia"/>
        </w:rPr>
        <w:t>绿色节能</w:t>
      </w:r>
      <w:bookmarkEnd w:id="94"/>
    </w:p>
    <w:p w14:paraId="128104B0">
      <w:pPr>
        <w:pStyle w:val="187"/>
      </w:pPr>
      <w:r>
        <w:rPr>
          <w:rFonts w:hint="eastAsia"/>
        </w:rPr>
        <w:t>门机各机构宜采用高效节能电机及电器元件。</w:t>
      </w:r>
    </w:p>
    <w:p w14:paraId="7A9D9FE9">
      <w:pPr>
        <w:pStyle w:val="187"/>
      </w:pPr>
      <w:r>
        <w:rPr>
          <w:rFonts w:hint="eastAsia"/>
        </w:rPr>
        <w:t>门机宜鼓励增加如储能、能量回馈装置及太阳能等新型供电方式。</w:t>
      </w:r>
    </w:p>
    <w:p w14:paraId="0C0CB4E5">
      <w:pPr>
        <w:pStyle w:val="187"/>
      </w:pPr>
      <w:r>
        <w:rPr>
          <w:rFonts w:hint="eastAsia" w:hAnsi="宋体" w:cs="宋体"/>
          <w:szCs w:val="21"/>
        </w:rPr>
        <w:t>门</w:t>
      </w:r>
      <w:r>
        <w:rPr>
          <w:rFonts w:hAnsi="宋体" w:cs="宋体"/>
          <w:szCs w:val="21"/>
        </w:rPr>
        <w:t>机宜安装节能照明灯具</w:t>
      </w:r>
      <w:r>
        <w:rPr>
          <w:rFonts w:hint="eastAsia"/>
        </w:rPr>
        <w:t>。</w:t>
      </w:r>
    </w:p>
    <w:p w14:paraId="5E84636C">
      <w:pPr>
        <w:pStyle w:val="187"/>
      </w:pPr>
      <w:r>
        <w:rPr>
          <w:rFonts w:hint="eastAsia" w:hAnsi="宋体" w:cs="宋体"/>
          <w:szCs w:val="21"/>
        </w:rPr>
        <w:t>门</w:t>
      </w:r>
      <w:r>
        <w:rPr>
          <w:rFonts w:hAnsi="宋体" w:cs="宋体"/>
          <w:szCs w:val="21"/>
        </w:rPr>
        <w:t>机</w:t>
      </w:r>
      <w:r>
        <w:rPr>
          <w:rFonts w:hint="eastAsia" w:hAnsi="宋体" w:cs="宋体"/>
          <w:szCs w:val="21"/>
        </w:rPr>
        <w:t>使用</w:t>
      </w:r>
      <w:r>
        <w:rPr>
          <w:rFonts w:hAnsi="宋体" w:cs="宋体"/>
          <w:szCs w:val="21"/>
        </w:rPr>
        <w:t>过程中应对周边环境</w:t>
      </w:r>
      <w:r>
        <w:rPr>
          <w:rFonts w:hint="eastAsia" w:hAnsi="宋体" w:cs="宋体"/>
          <w:szCs w:val="21"/>
        </w:rPr>
        <w:t>做好</w:t>
      </w:r>
      <w:r>
        <w:rPr>
          <w:rFonts w:hAnsi="宋体" w:cs="宋体"/>
          <w:szCs w:val="21"/>
        </w:rPr>
        <w:t>防护，润滑油、油漆等材料宜选用环保材料，维保过程中应</w:t>
      </w:r>
      <w:r>
        <w:rPr>
          <w:rFonts w:hint="eastAsia" w:hAnsi="宋体" w:cs="宋体"/>
          <w:szCs w:val="21"/>
        </w:rPr>
        <w:t>采取措施</w:t>
      </w:r>
      <w:r>
        <w:rPr>
          <w:rFonts w:hAnsi="宋体" w:cs="宋体"/>
          <w:szCs w:val="21"/>
        </w:rPr>
        <w:t>减少有害物质的遗撒或滴落</w:t>
      </w:r>
      <w:r>
        <w:rPr>
          <w:rFonts w:hint="eastAsia"/>
        </w:rPr>
        <w:t>。</w:t>
      </w:r>
    </w:p>
    <w:p w14:paraId="17E702D9">
      <w:pPr>
        <w:pStyle w:val="187"/>
      </w:pPr>
      <w:r>
        <w:rPr>
          <w:rFonts w:hint="eastAsia" w:hAnsi="宋体" w:cs="宋体"/>
          <w:szCs w:val="21"/>
        </w:rPr>
        <w:t>门</w:t>
      </w:r>
      <w:r>
        <w:rPr>
          <w:rFonts w:hint="eastAsia"/>
        </w:rPr>
        <w:t>机司机合理操作塔机，选择合理吊运路径，避免不必要的回转、变幅及频繁启停等，降低能耗。</w:t>
      </w:r>
    </w:p>
    <w:p w14:paraId="146505CB">
      <w:pPr>
        <w:pStyle w:val="127"/>
        <w:spacing w:before="120" w:after="120"/>
      </w:pPr>
      <w:bookmarkStart w:id="95" w:name="_Toc197967365"/>
      <w:r>
        <w:rPr>
          <w:rFonts w:hint="eastAsia"/>
        </w:rPr>
        <w:t>智能操作</w:t>
      </w:r>
      <w:bookmarkEnd w:id="95"/>
    </w:p>
    <w:p w14:paraId="029BF0C0">
      <w:pPr>
        <w:pStyle w:val="187"/>
      </w:pPr>
      <w:r>
        <w:rPr>
          <w:rFonts w:hint="eastAsia"/>
        </w:rPr>
        <w:t>门机宜具备远程操作功能，操作人员可以在控制室内或者地面控制门机进行吊装作业。</w:t>
      </w:r>
    </w:p>
    <w:p w14:paraId="7B8776D7">
      <w:pPr>
        <w:pStyle w:val="187"/>
      </w:pPr>
      <w:r>
        <w:rPr>
          <w:rFonts w:hint="eastAsia"/>
        </w:rPr>
        <w:t>门机宜根据起重量自动匹配合理的起升速度。</w:t>
      </w:r>
    </w:p>
    <w:p w14:paraId="4629F203">
      <w:pPr>
        <w:pStyle w:val="187"/>
      </w:pPr>
      <w:r>
        <w:rPr>
          <w:rFonts w:hint="eastAsia"/>
        </w:rPr>
        <w:t>门机宜具备精准就位功能。</w:t>
      </w:r>
    </w:p>
    <w:p w14:paraId="451E06A1">
      <w:pPr>
        <w:pStyle w:val="187"/>
        <w:rPr>
          <w:rFonts w:hint="eastAsia" w:hAnsi="宋体" w:cs="宋体"/>
          <w:szCs w:val="21"/>
        </w:rPr>
      </w:pPr>
      <w:r>
        <w:rPr>
          <w:rFonts w:hint="eastAsia" w:hAnsi="宋体" w:cs="宋体"/>
          <w:szCs w:val="21"/>
        </w:rPr>
        <w:t>门机宜根据施工现场环境和吊装目标位置，为门机规划最佳吊装路径，避开障碍物和危险区域。</w:t>
      </w:r>
      <w:bookmarkEnd w:id="50"/>
      <w:bookmarkEnd w:id="66"/>
    </w:p>
    <w:p w14:paraId="2BF11D04">
      <w:pPr>
        <w:pStyle w:val="196"/>
        <w:rPr>
          <w:color w:val="000000" w:themeColor="text1"/>
          <w:shd w:val="clear" w:color="auto" w:fill="FDFDFE"/>
          <w14:textFill>
            <w14:solidFill>
              <w14:schemeClr w14:val="tx1"/>
            </w14:solidFill>
          </w14:textFill>
        </w:rPr>
        <w:sectPr>
          <w:pgSz w:w="11906" w:h="16838"/>
          <w:pgMar w:top="1928" w:right="1134" w:bottom="1134" w:left="1134" w:header="1418" w:footer="1134" w:gutter="284"/>
          <w:pgNumType w:start="1"/>
          <w:cols w:space="425" w:num="1"/>
          <w:formProt w:val="0"/>
          <w:docGrid w:linePitch="312" w:charSpace="0"/>
        </w:sectPr>
      </w:pPr>
    </w:p>
    <w:bookmarkEnd w:id="18"/>
    <w:p w14:paraId="5BF2E3B7">
      <w:pPr>
        <w:pStyle w:val="220"/>
        <w:rPr>
          <w:rFonts w:hint="eastAsia"/>
          <w:vanish w:val="0"/>
          <w:shd w:val="clear" w:color="auto" w:fill="FDFDFE"/>
        </w:rPr>
      </w:pPr>
      <w:bookmarkStart w:id="96" w:name="BookMark5"/>
    </w:p>
    <w:p w14:paraId="1016C557">
      <w:pPr>
        <w:pStyle w:val="221"/>
        <w:rPr>
          <w:vanish w:val="0"/>
        </w:rPr>
      </w:pPr>
    </w:p>
    <w:p w14:paraId="549D569F">
      <w:pPr>
        <w:pStyle w:val="98"/>
        <w:spacing w:after="120"/>
      </w:pPr>
      <w:r>
        <w:br w:type="textWrapping"/>
      </w:r>
      <w:bookmarkStart w:id="97" w:name="_Toc180146099"/>
      <w:bookmarkStart w:id="98" w:name="_Toc197967366"/>
      <w:r>
        <w:rPr>
          <w:rFonts w:hint="eastAsia"/>
        </w:rPr>
        <w:t>（资料性）</w:t>
      </w:r>
      <w:r>
        <w:br w:type="textWrapping"/>
      </w:r>
      <w:r>
        <w:rPr>
          <w:rFonts w:hint="eastAsia"/>
        </w:rPr>
        <w:t>门机入场验收表</w:t>
      </w:r>
      <w:bookmarkEnd w:id="97"/>
      <w:bookmarkEnd w:id="98"/>
    </w:p>
    <w:p w14:paraId="3310FE8F">
      <w:pPr>
        <w:pStyle w:val="78"/>
        <w:ind w:firstLine="420"/>
      </w:pPr>
      <w:r>
        <w:rPr>
          <w:rFonts w:hint="eastAsia"/>
        </w:rPr>
        <w:t>表A.1</w:t>
      </w:r>
      <w:r>
        <w:rPr>
          <w:rFonts w:hint="eastAsia" w:hAnsi="宋体"/>
        </w:rPr>
        <w:t>给出了门机入场验收内容</w:t>
      </w:r>
      <w:r>
        <w:rPr>
          <w:rFonts w:hint="eastAsia"/>
        </w:rPr>
        <w:t>。</w:t>
      </w:r>
    </w:p>
    <w:p w14:paraId="2E0283E6">
      <w:pPr>
        <w:pStyle w:val="99"/>
        <w:spacing w:before="120" w:after="120"/>
        <w:outlineLvl w:val="1"/>
      </w:pPr>
      <w:r>
        <w:rPr>
          <w:rFonts w:hint="eastAsia"/>
        </w:rPr>
        <w:t xml:space="preserve">  门机入场验收表</w:t>
      </w:r>
    </w:p>
    <w:tbl>
      <w:tblPr>
        <w:tblStyle w:val="29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2"/>
        <w:gridCol w:w="1455"/>
        <w:gridCol w:w="1428"/>
        <w:gridCol w:w="2241"/>
        <w:gridCol w:w="1081"/>
        <w:gridCol w:w="1023"/>
      </w:tblGrid>
      <w:tr w14:paraId="74D1F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Align w:val="center"/>
          </w:tcPr>
          <w:p w14:paraId="318AE120">
            <w:pPr>
              <w:pStyle w:val="270"/>
              <w:jc w:val="center"/>
              <w:rPr>
                <w:rFonts w:hint="eastAsia"/>
              </w:rPr>
            </w:pPr>
            <w:r>
              <w:rPr>
                <w:rFonts w:hint="eastAsia"/>
              </w:rPr>
              <w:t>机械名称</w:t>
            </w:r>
          </w:p>
        </w:tc>
        <w:tc>
          <w:tcPr>
            <w:tcW w:w="1455" w:type="dxa"/>
            <w:vAlign w:val="center"/>
          </w:tcPr>
          <w:p w14:paraId="37EB68E9">
            <w:pPr>
              <w:pStyle w:val="270"/>
              <w:jc w:val="center"/>
              <w:rPr>
                <w:rFonts w:hint="eastAsia"/>
              </w:rPr>
            </w:pPr>
          </w:p>
        </w:tc>
        <w:tc>
          <w:tcPr>
            <w:tcW w:w="1428" w:type="dxa"/>
            <w:vAlign w:val="center"/>
          </w:tcPr>
          <w:p w14:paraId="5D2475C7">
            <w:pPr>
              <w:pStyle w:val="270"/>
              <w:jc w:val="center"/>
              <w:rPr>
                <w:rFonts w:hint="eastAsia"/>
              </w:rPr>
            </w:pPr>
            <w:r>
              <w:rPr>
                <w:rFonts w:hint="eastAsia"/>
              </w:rPr>
              <w:t>型号规格</w:t>
            </w:r>
          </w:p>
        </w:tc>
        <w:tc>
          <w:tcPr>
            <w:tcW w:w="2241" w:type="dxa"/>
            <w:vAlign w:val="center"/>
          </w:tcPr>
          <w:p w14:paraId="5AC749E7">
            <w:pPr>
              <w:pStyle w:val="270"/>
              <w:jc w:val="center"/>
              <w:rPr>
                <w:rFonts w:hint="eastAsia"/>
              </w:rPr>
            </w:pPr>
          </w:p>
        </w:tc>
        <w:tc>
          <w:tcPr>
            <w:tcW w:w="1081" w:type="dxa"/>
            <w:vAlign w:val="center"/>
          </w:tcPr>
          <w:p w14:paraId="2A6B115D">
            <w:pPr>
              <w:pStyle w:val="270"/>
              <w:jc w:val="center"/>
              <w:rPr>
                <w:rFonts w:hint="eastAsia"/>
              </w:rPr>
            </w:pPr>
            <w:r>
              <w:rPr>
                <w:rFonts w:hint="eastAsia"/>
              </w:rPr>
              <w:t>产品编号</w:t>
            </w:r>
          </w:p>
        </w:tc>
        <w:tc>
          <w:tcPr>
            <w:tcW w:w="1023" w:type="dxa"/>
            <w:vAlign w:val="center"/>
          </w:tcPr>
          <w:p w14:paraId="6885EC95">
            <w:pPr>
              <w:pStyle w:val="270"/>
              <w:jc w:val="center"/>
              <w:rPr>
                <w:rFonts w:hint="eastAsia"/>
              </w:rPr>
            </w:pPr>
          </w:p>
        </w:tc>
      </w:tr>
      <w:tr w14:paraId="57C7D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Align w:val="center"/>
          </w:tcPr>
          <w:p w14:paraId="369BE327">
            <w:pPr>
              <w:pStyle w:val="270"/>
              <w:jc w:val="center"/>
              <w:rPr>
                <w:rFonts w:hint="eastAsia"/>
              </w:rPr>
            </w:pPr>
            <w:r>
              <w:rPr>
                <w:rFonts w:hint="eastAsia"/>
              </w:rPr>
              <w:t>检查日期</w:t>
            </w:r>
          </w:p>
        </w:tc>
        <w:tc>
          <w:tcPr>
            <w:tcW w:w="1455" w:type="dxa"/>
            <w:vAlign w:val="center"/>
          </w:tcPr>
          <w:p w14:paraId="156611A2">
            <w:pPr>
              <w:pStyle w:val="270"/>
              <w:jc w:val="center"/>
              <w:rPr>
                <w:rFonts w:hint="eastAsia"/>
              </w:rPr>
            </w:pPr>
          </w:p>
        </w:tc>
        <w:tc>
          <w:tcPr>
            <w:tcW w:w="1428" w:type="dxa"/>
            <w:vAlign w:val="center"/>
          </w:tcPr>
          <w:p w14:paraId="07BF2BC0">
            <w:pPr>
              <w:pStyle w:val="270"/>
              <w:jc w:val="center"/>
              <w:rPr>
                <w:rFonts w:hint="eastAsia"/>
              </w:rPr>
            </w:pPr>
            <w:r>
              <w:rPr>
                <w:rFonts w:hint="eastAsia"/>
              </w:rPr>
              <w:t>检查人员</w:t>
            </w:r>
          </w:p>
        </w:tc>
        <w:tc>
          <w:tcPr>
            <w:tcW w:w="2241" w:type="dxa"/>
            <w:vAlign w:val="center"/>
          </w:tcPr>
          <w:p w14:paraId="4BFE2B8F">
            <w:pPr>
              <w:pStyle w:val="270"/>
              <w:jc w:val="center"/>
              <w:rPr>
                <w:rFonts w:hint="eastAsia"/>
              </w:rPr>
            </w:pPr>
          </w:p>
        </w:tc>
        <w:tc>
          <w:tcPr>
            <w:tcW w:w="1081" w:type="dxa"/>
            <w:vAlign w:val="center"/>
          </w:tcPr>
          <w:p w14:paraId="70D9D960">
            <w:pPr>
              <w:pStyle w:val="270"/>
              <w:jc w:val="center"/>
              <w:rPr>
                <w:rFonts w:hint="eastAsia"/>
              </w:rPr>
            </w:pPr>
            <w:r>
              <w:rPr>
                <w:rFonts w:hint="eastAsia"/>
              </w:rPr>
              <w:t>检查地点</w:t>
            </w:r>
          </w:p>
        </w:tc>
        <w:tc>
          <w:tcPr>
            <w:tcW w:w="1023" w:type="dxa"/>
            <w:vAlign w:val="center"/>
          </w:tcPr>
          <w:p w14:paraId="70751C34">
            <w:pPr>
              <w:pStyle w:val="270"/>
              <w:jc w:val="center"/>
              <w:rPr>
                <w:rFonts w:hint="eastAsia"/>
              </w:rPr>
            </w:pPr>
          </w:p>
        </w:tc>
      </w:tr>
      <w:tr w14:paraId="15FB7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Merge w:val="restart"/>
            <w:vAlign w:val="center"/>
          </w:tcPr>
          <w:p w14:paraId="28E15933">
            <w:pPr>
              <w:pStyle w:val="270"/>
              <w:jc w:val="center"/>
              <w:rPr>
                <w:rFonts w:hint="eastAsia"/>
              </w:rPr>
            </w:pPr>
            <w:r>
              <w:rPr>
                <w:rFonts w:hint="eastAsia"/>
              </w:rPr>
              <w:t>检查项目</w:t>
            </w:r>
          </w:p>
        </w:tc>
        <w:tc>
          <w:tcPr>
            <w:tcW w:w="5124" w:type="dxa"/>
            <w:gridSpan w:val="3"/>
            <w:vMerge w:val="restart"/>
            <w:vAlign w:val="center"/>
          </w:tcPr>
          <w:p w14:paraId="6827B252">
            <w:pPr>
              <w:pStyle w:val="270"/>
              <w:jc w:val="center"/>
              <w:rPr>
                <w:rFonts w:hint="eastAsia"/>
              </w:rPr>
            </w:pPr>
            <w:r>
              <w:rPr>
                <w:rFonts w:hint="eastAsia"/>
              </w:rPr>
              <w:t>检查内容</w:t>
            </w:r>
          </w:p>
        </w:tc>
        <w:tc>
          <w:tcPr>
            <w:tcW w:w="2104" w:type="dxa"/>
            <w:gridSpan w:val="2"/>
            <w:vAlign w:val="center"/>
          </w:tcPr>
          <w:p w14:paraId="55F0E7DA">
            <w:pPr>
              <w:pStyle w:val="270"/>
              <w:jc w:val="center"/>
              <w:rPr>
                <w:rFonts w:hint="eastAsia"/>
              </w:rPr>
            </w:pPr>
            <w:r>
              <w:rPr>
                <w:rFonts w:hint="eastAsia"/>
              </w:rPr>
              <w:t xml:space="preserve">检查结果 </w:t>
            </w:r>
          </w:p>
        </w:tc>
      </w:tr>
      <w:tr w14:paraId="7AFA7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Merge w:val="continue"/>
            <w:vAlign w:val="center"/>
          </w:tcPr>
          <w:p w14:paraId="6C19A304">
            <w:pPr>
              <w:pStyle w:val="270"/>
              <w:jc w:val="center"/>
              <w:rPr>
                <w:rFonts w:hint="eastAsia"/>
              </w:rPr>
            </w:pPr>
          </w:p>
        </w:tc>
        <w:tc>
          <w:tcPr>
            <w:tcW w:w="5124" w:type="dxa"/>
            <w:gridSpan w:val="3"/>
            <w:vMerge w:val="continue"/>
            <w:vAlign w:val="center"/>
          </w:tcPr>
          <w:p w14:paraId="2E8FAEB7">
            <w:pPr>
              <w:pStyle w:val="270"/>
              <w:jc w:val="center"/>
              <w:rPr>
                <w:rFonts w:hint="eastAsia"/>
              </w:rPr>
            </w:pPr>
          </w:p>
        </w:tc>
        <w:tc>
          <w:tcPr>
            <w:tcW w:w="1081" w:type="dxa"/>
            <w:vAlign w:val="center"/>
          </w:tcPr>
          <w:p w14:paraId="592E6970">
            <w:pPr>
              <w:pStyle w:val="270"/>
              <w:jc w:val="center"/>
              <w:rPr>
                <w:rFonts w:hint="eastAsia"/>
              </w:rPr>
            </w:pPr>
            <w:r>
              <w:rPr>
                <w:rFonts w:hint="eastAsia"/>
              </w:rPr>
              <w:t>是（</w:t>
            </w:r>
            <w:r>
              <w:rPr>
                <w:rFonts w:ascii="Arial" w:hAnsi="Arial" w:cs="Arial"/>
              </w:rPr>
              <w:t>√</w:t>
            </w:r>
            <w:r>
              <w:rPr>
                <w:rFonts w:hint="eastAsia"/>
              </w:rPr>
              <w:t>）</w:t>
            </w:r>
          </w:p>
        </w:tc>
        <w:tc>
          <w:tcPr>
            <w:tcW w:w="1023" w:type="dxa"/>
            <w:vAlign w:val="center"/>
          </w:tcPr>
          <w:p w14:paraId="648FC80D">
            <w:pPr>
              <w:pStyle w:val="270"/>
              <w:jc w:val="center"/>
              <w:rPr>
                <w:rFonts w:hint="eastAsia"/>
              </w:rPr>
            </w:pPr>
            <w:r>
              <w:rPr>
                <w:rFonts w:hint="eastAsia"/>
              </w:rPr>
              <w:t>否（</w:t>
            </w:r>
            <w:r>
              <w:rPr>
                <w:rFonts w:ascii="Arial" w:hAnsi="Arial" w:cs="Arial"/>
              </w:rPr>
              <w:t>×</w:t>
            </w:r>
            <w:r>
              <w:rPr>
                <w:rFonts w:hint="eastAsia"/>
              </w:rPr>
              <w:t>）</w:t>
            </w:r>
          </w:p>
        </w:tc>
      </w:tr>
      <w:tr w14:paraId="58F5E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Merge w:val="restart"/>
            <w:vAlign w:val="center"/>
          </w:tcPr>
          <w:p w14:paraId="75ACC61A">
            <w:pPr>
              <w:pStyle w:val="270"/>
              <w:jc w:val="center"/>
              <w:rPr>
                <w:rFonts w:hint="eastAsia"/>
              </w:rPr>
            </w:pPr>
            <w:r>
              <w:rPr>
                <w:rFonts w:hint="eastAsia"/>
              </w:rPr>
              <w:t>资料查验</w:t>
            </w:r>
          </w:p>
        </w:tc>
        <w:tc>
          <w:tcPr>
            <w:tcW w:w="5124" w:type="dxa"/>
            <w:gridSpan w:val="3"/>
            <w:vAlign w:val="center"/>
          </w:tcPr>
          <w:p w14:paraId="0038CAA9">
            <w:pPr>
              <w:pStyle w:val="270"/>
              <w:rPr>
                <w:rFonts w:hint="eastAsia"/>
              </w:rPr>
            </w:pPr>
            <w:r>
              <w:rPr>
                <w:rFonts w:hint="eastAsia"/>
              </w:rPr>
              <w:t>特种设备生产许可证</w:t>
            </w:r>
          </w:p>
        </w:tc>
        <w:tc>
          <w:tcPr>
            <w:tcW w:w="1081" w:type="dxa"/>
            <w:vAlign w:val="center"/>
          </w:tcPr>
          <w:p w14:paraId="1DC36893">
            <w:pPr>
              <w:pStyle w:val="270"/>
              <w:jc w:val="center"/>
              <w:rPr>
                <w:rFonts w:hint="eastAsia"/>
              </w:rPr>
            </w:pPr>
          </w:p>
        </w:tc>
        <w:tc>
          <w:tcPr>
            <w:tcW w:w="1023" w:type="dxa"/>
            <w:vAlign w:val="center"/>
          </w:tcPr>
          <w:p w14:paraId="6C8F8533">
            <w:pPr>
              <w:pStyle w:val="270"/>
              <w:jc w:val="center"/>
              <w:rPr>
                <w:rFonts w:hint="eastAsia"/>
              </w:rPr>
            </w:pPr>
          </w:p>
        </w:tc>
      </w:tr>
      <w:tr w14:paraId="65E8E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Merge w:val="continue"/>
            <w:vAlign w:val="center"/>
          </w:tcPr>
          <w:p w14:paraId="6DB02663">
            <w:pPr>
              <w:pStyle w:val="270"/>
              <w:jc w:val="center"/>
              <w:rPr>
                <w:rFonts w:hint="eastAsia"/>
              </w:rPr>
            </w:pPr>
          </w:p>
        </w:tc>
        <w:tc>
          <w:tcPr>
            <w:tcW w:w="5124" w:type="dxa"/>
            <w:gridSpan w:val="3"/>
            <w:vAlign w:val="center"/>
          </w:tcPr>
          <w:p w14:paraId="19BD9329">
            <w:pPr>
              <w:pStyle w:val="270"/>
              <w:rPr>
                <w:rFonts w:hint="eastAsia"/>
              </w:rPr>
            </w:pPr>
            <w:r>
              <w:rPr>
                <w:rFonts w:hint="eastAsia"/>
              </w:rPr>
              <w:t>产品合格证</w:t>
            </w:r>
          </w:p>
        </w:tc>
        <w:tc>
          <w:tcPr>
            <w:tcW w:w="1081" w:type="dxa"/>
            <w:vAlign w:val="center"/>
          </w:tcPr>
          <w:p w14:paraId="18C354A7">
            <w:pPr>
              <w:pStyle w:val="270"/>
              <w:jc w:val="center"/>
              <w:rPr>
                <w:rFonts w:hint="eastAsia"/>
              </w:rPr>
            </w:pPr>
          </w:p>
        </w:tc>
        <w:tc>
          <w:tcPr>
            <w:tcW w:w="1023" w:type="dxa"/>
            <w:vAlign w:val="center"/>
          </w:tcPr>
          <w:p w14:paraId="18934C75">
            <w:pPr>
              <w:pStyle w:val="270"/>
              <w:jc w:val="center"/>
              <w:rPr>
                <w:rFonts w:hint="eastAsia"/>
              </w:rPr>
            </w:pPr>
          </w:p>
        </w:tc>
      </w:tr>
      <w:tr w14:paraId="4E66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Merge w:val="continue"/>
            <w:vAlign w:val="center"/>
          </w:tcPr>
          <w:p w14:paraId="3375AA0B">
            <w:pPr>
              <w:pStyle w:val="270"/>
              <w:jc w:val="center"/>
              <w:rPr>
                <w:rFonts w:hint="eastAsia"/>
              </w:rPr>
            </w:pPr>
          </w:p>
        </w:tc>
        <w:tc>
          <w:tcPr>
            <w:tcW w:w="5124" w:type="dxa"/>
            <w:gridSpan w:val="3"/>
            <w:vAlign w:val="center"/>
          </w:tcPr>
          <w:p w14:paraId="4409310D">
            <w:pPr>
              <w:pStyle w:val="270"/>
              <w:rPr>
                <w:rFonts w:hint="eastAsia"/>
              </w:rPr>
            </w:pPr>
            <w:r>
              <w:rPr>
                <w:rFonts w:hint="eastAsia"/>
              </w:rPr>
              <w:t>整机型式试验合格证</w:t>
            </w:r>
          </w:p>
        </w:tc>
        <w:tc>
          <w:tcPr>
            <w:tcW w:w="1081" w:type="dxa"/>
            <w:vAlign w:val="center"/>
          </w:tcPr>
          <w:p w14:paraId="2FAB9D62">
            <w:pPr>
              <w:pStyle w:val="270"/>
              <w:jc w:val="center"/>
              <w:rPr>
                <w:rFonts w:hint="eastAsia"/>
              </w:rPr>
            </w:pPr>
          </w:p>
        </w:tc>
        <w:tc>
          <w:tcPr>
            <w:tcW w:w="1023" w:type="dxa"/>
            <w:vAlign w:val="center"/>
          </w:tcPr>
          <w:p w14:paraId="65C19463">
            <w:pPr>
              <w:pStyle w:val="270"/>
              <w:jc w:val="center"/>
              <w:rPr>
                <w:rFonts w:hint="eastAsia"/>
              </w:rPr>
            </w:pPr>
          </w:p>
        </w:tc>
      </w:tr>
      <w:tr w14:paraId="0386A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Merge w:val="continue"/>
            <w:vAlign w:val="center"/>
          </w:tcPr>
          <w:p w14:paraId="4E63B5C1">
            <w:pPr>
              <w:pStyle w:val="270"/>
              <w:jc w:val="center"/>
              <w:rPr>
                <w:rFonts w:hint="eastAsia"/>
              </w:rPr>
            </w:pPr>
          </w:p>
        </w:tc>
        <w:tc>
          <w:tcPr>
            <w:tcW w:w="5124" w:type="dxa"/>
            <w:gridSpan w:val="3"/>
            <w:vAlign w:val="center"/>
          </w:tcPr>
          <w:p w14:paraId="62408514">
            <w:pPr>
              <w:pStyle w:val="270"/>
              <w:rPr>
                <w:rFonts w:hint="eastAsia"/>
              </w:rPr>
            </w:pPr>
            <w:r>
              <w:rPr>
                <w:rFonts w:hint="eastAsia"/>
              </w:rPr>
              <w:t>安装使用说明书</w:t>
            </w:r>
          </w:p>
        </w:tc>
        <w:tc>
          <w:tcPr>
            <w:tcW w:w="1081" w:type="dxa"/>
            <w:vAlign w:val="center"/>
          </w:tcPr>
          <w:p w14:paraId="603E338B">
            <w:pPr>
              <w:pStyle w:val="270"/>
              <w:jc w:val="center"/>
              <w:rPr>
                <w:rFonts w:hint="eastAsia"/>
              </w:rPr>
            </w:pPr>
          </w:p>
        </w:tc>
        <w:tc>
          <w:tcPr>
            <w:tcW w:w="1023" w:type="dxa"/>
            <w:vAlign w:val="center"/>
          </w:tcPr>
          <w:p w14:paraId="4D4C4F2F">
            <w:pPr>
              <w:pStyle w:val="270"/>
              <w:jc w:val="center"/>
              <w:rPr>
                <w:rFonts w:hint="eastAsia"/>
              </w:rPr>
            </w:pPr>
          </w:p>
        </w:tc>
      </w:tr>
      <w:tr w14:paraId="403F1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Merge w:val="continue"/>
            <w:vAlign w:val="center"/>
          </w:tcPr>
          <w:p w14:paraId="60199FAD">
            <w:pPr>
              <w:pStyle w:val="270"/>
              <w:jc w:val="center"/>
              <w:rPr>
                <w:rFonts w:hint="eastAsia"/>
              </w:rPr>
            </w:pPr>
          </w:p>
        </w:tc>
        <w:tc>
          <w:tcPr>
            <w:tcW w:w="5124" w:type="dxa"/>
            <w:gridSpan w:val="3"/>
            <w:vAlign w:val="center"/>
          </w:tcPr>
          <w:p w14:paraId="520F8C3C">
            <w:pPr>
              <w:pStyle w:val="270"/>
              <w:rPr>
                <w:rFonts w:hint="eastAsia"/>
              </w:rPr>
            </w:pPr>
            <w:r>
              <w:rPr>
                <w:rFonts w:hint="eastAsia"/>
              </w:rPr>
              <w:t>安装单位资质（营业执照、安全生产许可证、安装资质等）</w:t>
            </w:r>
          </w:p>
        </w:tc>
        <w:tc>
          <w:tcPr>
            <w:tcW w:w="1081" w:type="dxa"/>
            <w:vAlign w:val="center"/>
          </w:tcPr>
          <w:p w14:paraId="3983B237">
            <w:pPr>
              <w:pStyle w:val="270"/>
              <w:jc w:val="center"/>
              <w:rPr>
                <w:rFonts w:hint="eastAsia"/>
              </w:rPr>
            </w:pPr>
          </w:p>
        </w:tc>
        <w:tc>
          <w:tcPr>
            <w:tcW w:w="1023" w:type="dxa"/>
            <w:vAlign w:val="center"/>
          </w:tcPr>
          <w:p w14:paraId="0C58A859">
            <w:pPr>
              <w:pStyle w:val="270"/>
              <w:jc w:val="center"/>
              <w:rPr>
                <w:rFonts w:hint="eastAsia"/>
              </w:rPr>
            </w:pPr>
          </w:p>
        </w:tc>
      </w:tr>
      <w:tr w14:paraId="10836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Merge w:val="continue"/>
            <w:vAlign w:val="center"/>
          </w:tcPr>
          <w:p w14:paraId="4EC621EE">
            <w:pPr>
              <w:pStyle w:val="270"/>
              <w:jc w:val="center"/>
              <w:rPr>
                <w:rFonts w:hint="eastAsia"/>
              </w:rPr>
            </w:pPr>
          </w:p>
        </w:tc>
        <w:tc>
          <w:tcPr>
            <w:tcW w:w="5124" w:type="dxa"/>
            <w:gridSpan w:val="3"/>
            <w:vAlign w:val="center"/>
          </w:tcPr>
          <w:p w14:paraId="22108FC3">
            <w:pPr>
              <w:pStyle w:val="270"/>
              <w:rPr>
                <w:rFonts w:hint="eastAsia"/>
              </w:rPr>
            </w:pPr>
            <w:r>
              <w:rPr>
                <w:rFonts w:hint="eastAsia"/>
              </w:rPr>
              <w:t>安装单位人员资质（门机司机、起重机指挥、电工等）</w:t>
            </w:r>
          </w:p>
        </w:tc>
        <w:tc>
          <w:tcPr>
            <w:tcW w:w="1081" w:type="dxa"/>
            <w:vAlign w:val="center"/>
          </w:tcPr>
          <w:p w14:paraId="7067FFAF">
            <w:pPr>
              <w:pStyle w:val="270"/>
              <w:jc w:val="center"/>
              <w:rPr>
                <w:rFonts w:hint="eastAsia"/>
              </w:rPr>
            </w:pPr>
          </w:p>
        </w:tc>
        <w:tc>
          <w:tcPr>
            <w:tcW w:w="1023" w:type="dxa"/>
            <w:vAlign w:val="center"/>
          </w:tcPr>
          <w:p w14:paraId="60C8C03A">
            <w:pPr>
              <w:pStyle w:val="270"/>
              <w:jc w:val="center"/>
              <w:rPr>
                <w:rFonts w:hint="eastAsia"/>
              </w:rPr>
            </w:pPr>
          </w:p>
        </w:tc>
      </w:tr>
      <w:tr w14:paraId="7D1FD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Merge w:val="restart"/>
            <w:vAlign w:val="center"/>
          </w:tcPr>
          <w:p w14:paraId="1B3BF785">
            <w:pPr>
              <w:pStyle w:val="270"/>
              <w:jc w:val="center"/>
              <w:rPr>
                <w:rFonts w:hint="eastAsia"/>
              </w:rPr>
            </w:pPr>
            <w:r>
              <w:rPr>
                <w:rFonts w:hint="eastAsia"/>
              </w:rPr>
              <w:t>金属结构</w:t>
            </w:r>
          </w:p>
        </w:tc>
        <w:tc>
          <w:tcPr>
            <w:tcW w:w="5124" w:type="dxa"/>
            <w:gridSpan w:val="3"/>
            <w:vAlign w:val="center"/>
          </w:tcPr>
          <w:p w14:paraId="66937A03">
            <w:pPr>
              <w:pStyle w:val="270"/>
              <w:rPr>
                <w:rFonts w:hint="eastAsia"/>
              </w:rPr>
            </w:pPr>
            <w:r>
              <w:rPr>
                <w:rFonts w:hint="eastAsia"/>
              </w:rPr>
              <w:t>钢结构无明显的连接缺陷和腐蚀、变形、开裂、各部位焊缝无裂纹</w:t>
            </w:r>
          </w:p>
        </w:tc>
        <w:tc>
          <w:tcPr>
            <w:tcW w:w="1081" w:type="dxa"/>
            <w:vAlign w:val="center"/>
          </w:tcPr>
          <w:p w14:paraId="42BCB6FB">
            <w:pPr>
              <w:pStyle w:val="270"/>
              <w:jc w:val="center"/>
              <w:rPr>
                <w:rFonts w:hint="eastAsia"/>
              </w:rPr>
            </w:pPr>
          </w:p>
        </w:tc>
        <w:tc>
          <w:tcPr>
            <w:tcW w:w="1023" w:type="dxa"/>
            <w:vAlign w:val="center"/>
          </w:tcPr>
          <w:p w14:paraId="5CC4989E">
            <w:pPr>
              <w:pStyle w:val="270"/>
              <w:jc w:val="center"/>
              <w:rPr>
                <w:rFonts w:hint="eastAsia"/>
              </w:rPr>
            </w:pPr>
          </w:p>
        </w:tc>
      </w:tr>
      <w:tr w14:paraId="3F68C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Merge w:val="continue"/>
            <w:vAlign w:val="center"/>
          </w:tcPr>
          <w:p w14:paraId="48E0D756">
            <w:pPr>
              <w:pStyle w:val="270"/>
              <w:jc w:val="center"/>
              <w:rPr>
                <w:rFonts w:hint="eastAsia"/>
              </w:rPr>
            </w:pPr>
          </w:p>
        </w:tc>
        <w:tc>
          <w:tcPr>
            <w:tcW w:w="5124" w:type="dxa"/>
            <w:gridSpan w:val="3"/>
            <w:vAlign w:val="center"/>
          </w:tcPr>
          <w:p w14:paraId="74B1DE86">
            <w:pPr>
              <w:pStyle w:val="270"/>
              <w:rPr>
                <w:rFonts w:hint="eastAsia"/>
              </w:rPr>
            </w:pPr>
            <w:r>
              <w:rPr>
                <w:rFonts w:hint="eastAsia"/>
              </w:rPr>
              <w:t>各销孔、螺栓孔润滑良好，无污物，各开口销、销轴无缺陷</w:t>
            </w:r>
          </w:p>
        </w:tc>
        <w:tc>
          <w:tcPr>
            <w:tcW w:w="1081" w:type="dxa"/>
            <w:vAlign w:val="center"/>
          </w:tcPr>
          <w:p w14:paraId="66B2A42D">
            <w:pPr>
              <w:pStyle w:val="270"/>
              <w:jc w:val="center"/>
              <w:rPr>
                <w:rFonts w:hint="eastAsia"/>
              </w:rPr>
            </w:pPr>
          </w:p>
        </w:tc>
        <w:tc>
          <w:tcPr>
            <w:tcW w:w="1023" w:type="dxa"/>
            <w:vAlign w:val="center"/>
          </w:tcPr>
          <w:p w14:paraId="6E5148F5">
            <w:pPr>
              <w:pStyle w:val="270"/>
              <w:jc w:val="center"/>
              <w:rPr>
                <w:rFonts w:hint="eastAsia"/>
              </w:rPr>
            </w:pPr>
          </w:p>
        </w:tc>
      </w:tr>
      <w:tr w14:paraId="46F94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Merge w:val="continue"/>
            <w:vAlign w:val="center"/>
          </w:tcPr>
          <w:p w14:paraId="329E84BA">
            <w:pPr>
              <w:pStyle w:val="270"/>
              <w:jc w:val="center"/>
              <w:rPr>
                <w:rFonts w:hint="eastAsia"/>
              </w:rPr>
            </w:pPr>
          </w:p>
        </w:tc>
        <w:tc>
          <w:tcPr>
            <w:tcW w:w="5124" w:type="dxa"/>
            <w:gridSpan w:val="3"/>
            <w:vAlign w:val="center"/>
          </w:tcPr>
          <w:p w14:paraId="0656A625">
            <w:pPr>
              <w:pStyle w:val="270"/>
              <w:rPr>
                <w:rFonts w:hint="eastAsia"/>
              </w:rPr>
            </w:pPr>
            <w:r>
              <w:rPr>
                <w:rFonts w:hint="eastAsia"/>
              </w:rPr>
              <w:t>栏杆、梯子、走台、防护罩等无变形、破损，金属结构无积水</w:t>
            </w:r>
          </w:p>
        </w:tc>
        <w:tc>
          <w:tcPr>
            <w:tcW w:w="1081" w:type="dxa"/>
            <w:vAlign w:val="center"/>
          </w:tcPr>
          <w:p w14:paraId="4530935C">
            <w:pPr>
              <w:pStyle w:val="270"/>
              <w:jc w:val="center"/>
              <w:rPr>
                <w:rFonts w:hint="eastAsia"/>
              </w:rPr>
            </w:pPr>
          </w:p>
        </w:tc>
        <w:tc>
          <w:tcPr>
            <w:tcW w:w="1023" w:type="dxa"/>
            <w:vAlign w:val="center"/>
          </w:tcPr>
          <w:p w14:paraId="739219EB">
            <w:pPr>
              <w:pStyle w:val="270"/>
              <w:jc w:val="center"/>
              <w:rPr>
                <w:rFonts w:hint="eastAsia"/>
              </w:rPr>
            </w:pPr>
          </w:p>
        </w:tc>
      </w:tr>
      <w:tr w14:paraId="58D01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Merge w:val="restart"/>
            <w:vAlign w:val="center"/>
          </w:tcPr>
          <w:p w14:paraId="638B85B3">
            <w:pPr>
              <w:pStyle w:val="270"/>
              <w:jc w:val="center"/>
              <w:rPr>
                <w:rFonts w:hint="eastAsia"/>
              </w:rPr>
            </w:pPr>
            <w:r>
              <w:rPr>
                <w:rFonts w:hint="eastAsia"/>
              </w:rPr>
              <w:t>主要零部件</w:t>
            </w:r>
          </w:p>
        </w:tc>
        <w:tc>
          <w:tcPr>
            <w:tcW w:w="5124" w:type="dxa"/>
            <w:gridSpan w:val="3"/>
            <w:vAlign w:val="center"/>
          </w:tcPr>
          <w:p w14:paraId="7A952128">
            <w:pPr>
              <w:pStyle w:val="270"/>
              <w:rPr>
                <w:rFonts w:hint="eastAsia"/>
              </w:rPr>
            </w:pPr>
            <w:r>
              <w:rPr>
                <w:rFonts w:hint="eastAsia"/>
              </w:rPr>
              <w:t>吊钩润滑充分，转动部位灵活，表面光滑无裂纹、剥裂等缺陷，无焊补，紧固件无松动，危险断面磨损不超过规定量，具备防脱钩装置，螺纹部分无裂纹</w:t>
            </w:r>
          </w:p>
        </w:tc>
        <w:tc>
          <w:tcPr>
            <w:tcW w:w="1081" w:type="dxa"/>
            <w:vAlign w:val="center"/>
          </w:tcPr>
          <w:p w14:paraId="4625E268">
            <w:pPr>
              <w:pStyle w:val="270"/>
              <w:jc w:val="center"/>
              <w:rPr>
                <w:rFonts w:hint="eastAsia"/>
              </w:rPr>
            </w:pPr>
          </w:p>
        </w:tc>
        <w:tc>
          <w:tcPr>
            <w:tcW w:w="1023" w:type="dxa"/>
            <w:vAlign w:val="center"/>
          </w:tcPr>
          <w:p w14:paraId="366B98C2">
            <w:pPr>
              <w:pStyle w:val="270"/>
              <w:jc w:val="center"/>
              <w:rPr>
                <w:rFonts w:hint="eastAsia"/>
              </w:rPr>
            </w:pPr>
          </w:p>
        </w:tc>
      </w:tr>
      <w:tr w14:paraId="2E1F4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Merge w:val="continue"/>
            <w:vAlign w:val="center"/>
          </w:tcPr>
          <w:p w14:paraId="410E8BA1">
            <w:pPr>
              <w:pStyle w:val="270"/>
              <w:jc w:val="center"/>
              <w:rPr>
                <w:rFonts w:hint="eastAsia"/>
              </w:rPr>
            </w:pPr>
          </w:p>
        </w:tc>
        <w:tc>
          <w:tcPr>
            <w:tcW w:w="5124" w:type="dxa"/>
            <w:gridSpan w:val="3"/>
            <w:vAlign w:val="center"/>
          </w:tcPr>
          <w:p w14:paraId="660F6CAA">
            <w:pPr>
              <w:pStyle w:val="270"/>
              <w:rPr>
                <w:rFonts w:hint="eastAsia"/>
              </w:rPr>
            </w:pPr>
            <w:r>
              <w:rPr>
                <w:rFonts w:hint="eastAsia"/>
              </w:rPr>
              <w:t>钢丝绳规格性能符合要求，无断丝和磨损超标、扭结压扁、笼状、波浪形、绳芯挤出等缺陷，润滑良好，绳套无裂缝</w:t>
            </w:r>
          </w:p>
        </w:tc>
        <w:tc>
          <w:tcPr>
            <w:tcW w:w="1081" w:type="dxa"/>
            <w:vAlign w:val="center"/>
          </w:tcPr>
          <w:p w14:paraId="78C8930A">
            <w:pPr>
              <w:pStyle w:val="270"/>
              <w:jc w:val="center"/>
              <w:rPr>
                <w:rFonts w:hint="eastAsia"/>
              </w:rPr>
            </w:pPr>
          </w:p>
        </w:tc>
        <w:tc>
          <w:tcPr>
            <w:tcW w:w="1023" w:type="dxa"/>
            <w:vAlign w:val="center"/>
          </w:tcPr>
          <w:p w14:paraId="41BDEC4E">
            <w:pPr>
              <w:pStyle w:val="270"/>
              <w:jc w:val="center"/>
              <w:rPr>
                <w:rFonts w:hint="eastAsia"/>
              </w:rPr>
            </w:pPr>
          </w:p>
        </w:tc>
      </w:tr>
      <w:tr w14:paraId="72BD0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Merge w:val="continue"/>
            <w:vAlign w:val="center"/>
          </w:tcPr>
          <w:p w14:paraId="0118FAEB">
            <w:pPr>
              <w:pStyle w:val="270"/>
              <w:jc w:val="center"/>
              <w:rPr>
                <w:rFonts w:hint="eastAsia"/>
              </w:rPr>
            </w:pPr>
          </w:p>
        </w:tc>
        <w:tc>
          <w:tcPr>
            <w:tcW w:w="5124" w:type="dxa"/>
            <w:gridSpan w:val="3"/>
            <w:vAlign w:val="center"/>
          </w:tcPr>
          <w:p w14:paraId="365ECC95">
            <w:pPr>
              <w:pStyle w:val="270"/>
              <w:rPr>
                <w:rFonts w:hint="eastAsia"/>
              </w:rPr>
            </w:pPr>
            <w:r>
              <w:rPr>
                <w:rFonts w:hint="eastAsia"/>
              </w:rPr>
              <w:t>卷筒无磨损、裂纹等缺陷，卷筒内钢丝绳排列整齐</w:t>
            </w:r>
          </w:p>
        </w:tc>
        <w:tc>
          <w:tcPr>
            <w:tcW w:w="1081" w:type="dxa"/>
            <w:vAlign w:val="center"/>
          </w:tcPr>
          <w:p w14:paraId="6DDB4758">
            <w:pPr>
              <w:pStyle w:val="270"/>
              <w:jc w:val="center"/>
              <w:rPr>
                <w:rFonts w:hint="eastAsia"/>
              </w:rPr>
            </w:pPr>
          </w:p>
        </w:tc>
        <w:tc>
          <w:tcPr>
            <w:tcW w:w="1023" w:type="dxa"/>
            <w:vAlign w:val="center"/>
          </w:tcPr>
          <w:p w14:paraId="104CF0C2">
            <w:pPr>
              <w:pStyle w:val="270"/>
              <w:jc w:val="center"/>
              <w:rPr>
                <w:rFonts w:hint="eastAsia"/>
              </w:rPr>
            </w:pPr>
          </w:p>
        </w:tc>
      </w:tr>
      <w:tr w14:paraId="0F9B9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Merge w:val="continue"/>
            <w:vAlign w:val="center"/>
          </w:tcPr>
          <w:p w14:paraId="594DBF9E">
            <w:pPr>
              <w:pStyle w:val="270"/>
              <w:jc w:val="center"/>
              <w:rPr>
                <w:rFonts w:hint="eastAsia"/>
              </w:rPr>
            </w:pPr>
          </w:p>
        </w:tc>
        <w:tc>
          <w:tcPr>
            <w:tcW w:w="5124" w:type="dxa"/>
            <w:gridSpan w:val="3"/>
            <w:vAlign w:val="center"/>
          </w:tcPr>
          <w:p w14:paraId="16BCF76D">
            <w:pPr>
              <w:pStyle w:val="270"/>
              <w:rPr>
                <w:rFonts w:hint="eastAsia"/>
              </w:rPr>
            </w:pPr>
            <w:r>
              <w:rPr>
                <w:rFonts w:hint="eastAsia"/>
              </w:rPr>
              <w:t>滑轮轮缘无缺损，滑轮槽光洁平滑，无损伤钢丝绳的缺陷，润滑良好，转动灵活，有防绳脱出装置</w:t>
            </w:r>
          </w:p>
        </w:tc>
        <w:tc>
          <w:tcPr>
            <w:tcW w:w="1081" w:type="dxa"/>
            <w:vAlign w:val="center"/>
          </w:tcPr>
          <w:p w14:paraId="6A6CE112">
            <w:pPr>
              <w:pStyle w:val="270"/>
              <w:jc w:val="center"/>
              <w:rPr>
                <w:rFonts w:hint="eastAsia"/>
              </w:rPr>
            </w:pPr>
          </w:p>
        </w:tc>
        <w:tc>
          <w:tcPr>
            <w:tcW w:w="1023" w:type="dxa"/>
            <w:vAlign w:val="center"/>
          </w:tcPr>
          <w:p w14:paraId="6E034C86">
            <w:pPr>
              <w:pStyle w:val="270"/>
              <w:jc w:val="center"/>
              <w:rPr>
                <w:rFonts w:hint="eastAsia"/>
              </w:rPr>
            </w:pPr>
          </w:p>
        </w:tc>
      </w:tr>
      <w:tr w14:paraId="32908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Merge w:val="continue"/>
            <w:vAlign w:val="center"/>
          </w:tcPr>
          <w:p w14:paraId="5F822671">
            <w:pPr>
              <w:pStyle w:val="270"/>
              <w:jc w:val="center"/>
              <w:rPr>
                <w:rFonts w:hint="eastAsia"/>
              </w:rPr>
            </w:pPr>
          </w:p>
        </w:tc>
        <w:tc>
          <w:tcPr>
            <w:tcW w:w="5124" w:type="dxa"/>
            <w:gridSpan w:val="3"/>
            <w:vAlign w:val="center"/>
          </w:tcPr>
          <w:p w14:paraId="1F099B03">
            <w:pPr>
              <w:pStyle w:val="270"/>
              <w:rPr>
                <w:rFonts w:hint="eastAsia"/>
              </w:rPr>
            </w:pPr>
            <w:r>
              <w:rPr>
                <w:rFonts w:hint="eastAsia"/>
              </w:rPr>
              <w:t>制动器零件无损坏、缺陷，液压制动器不漏油，摩擦片损不超过 50%，制动轮无裂纹或破损</w:t>
            </w:r>
          </w:p>
        </w:tc>
        <w:tc>
          <w:tcPr>
            <w:tcW w:w="1081" w:type="dxa"/>
            <w:vAlign w:val="center"/>
          </w:tcPr>
          <w:p w14:paraId="4E8C9363">
            <w:pPr>
              <w:pStyle w:val="270"/>
              <w:jc w:val="center"/>
              <w:rPr>
                <w:rFonts w:hint="eastAsia"/>
              </w:rPr>
            </w:pPr>
          </w:p>
        </w:tc>
        <w:tc>
          <w:tcPr>
            <w:tcW w:w="1023" w:type="dxa"/>
            <w:vAlign w:val="center"/>
          </w:tcPr>
          <w:p w14:paraId="01FF19E1">
            <w:pPr>
              <w:pStyle w:val="270"/>
              <w:jc w:val="center"/>
              <w:rPr>
                <w:rFonts w:hint="eastAsia"/>
              </w:rPr>
            </w:pPr>
          </w:p>
        </w:tc>
      </w:tr>
      <w:tr w14:paraId="194B9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Merge w:val="continue"/>
            <w:vAlign w:val="center"/>
          </w:tcPr>
          <w:p w14:paraId="6DEC8022">
            <w:pPr>
              <w:pStyle w:val="270"/>
              <w:jc w:val="center"/>
              <w:rPr>
                <w:rFonts w:hint="eastAsia"/>
              </w:rPr>
            </w:pPr>
          </w:p>
        </w:tc>
        <w:tc>
          <w:tcPr>
            <w:tcW w:w="5124" w:type="dxa"/>
            <w:gridSpan w:val="3"/>
            <w:vAlign w:val="center"/>
          </w:tcPr>
          <w:p w14:paraId="24FC8CF1">
            <w:pPr>
              <w:pStyle w:val="270"/>
              <w:rPr>
                <w:rFonts w:hint="eastAsia"/>
              </w:rPr>
            </w:pPr>
            <w:r>
              <w:rPr>
                <w:rFonts w:hint="eastAsia"/>
              </w:rPr>
              <w:t>减速器无漏油，开式齿轮无裂纹、断齿</w:t>
            </w:r>
          </w:p>
          <w:p w14:paraId="07B7C54F">
            <w:pPr>
              <w:pStyle w:val="270"/>
              <w:rPr>
                <w:rFonts w:hint="eastAsia"/>
              </w:rPr>
            </w:pPr>
            <w:r>
              <w:rPr>
                <w:rFonts w:hint="eastAsia"/>
              </w:rPr>
              <w:t>司机室无漏水，各门窗、空调完好，操纵机构无缺陷</w:t>
            </w:r>
          </w:p>
        </w:tc>
        <w:tc>
          <w:tcPr>
            <w:tcW w:w="1081" w:type="dxa"/>
            <w:vAlign w:val="center"/>
          </w:tcPr>
          <w:p w14:paraId="30190D51">
            <w:pPr>
              <w:pStyle w:val="270"/>
              <w:jc w:val="center"/>
              <w:rPr>
                <w:rFonts w:hint="eastAsia"/>
              </w:rPr>
            </w:pPr>
          </w:p>
        </w:tc>
        <w:tc>
          <w:tcPr>
            <w:tcW w:w="1023" w:type="dxa"/>
            <w:vAlign w:val="center"/>
          </w:tcPr>
          <w:p w14:paraId="4C2096F2">
            <w:pPr>
              <w:pStyle w:val="270"/>
              <w:jc w:val="center"/>
              <w:rPr>
                <w:rFonts w:hint="eastAsia"/>
              </w:rPr>
            </w:pPr>
          </w:p>
        </w:tc>
      </w:tr>
      <w:tr w14:paraId="188E5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Align w:val="center"/>
          </w:tcPr>
          <w:p w14:paraId="03D6F5F9">
            <w:pPr>
              <w:pStyle w:val="270"/>
              <w:jc w:val="center"/>
              <w:rPr>
                <w:rFonts w:hint="eastAsia"/>
              </w:rPr>
            </w:pPr>
            <w:r>
              <w:rPr>
                <w:rFonts w:hint="eastAsia"/>
              </w:rPr>
              <w:t>安全装置</w:t>
            </w:r>
          </w:p>
        </w:tc>
        <w:tc>
          <w:tcPr>
            <w:tcW w:w="5124" w:type="dxa"/>
            <w:gridSpan w:val="3"/>
            <w:vAlign w:val="center"/>
          </w:tcPr>
          <w:p w14:paraId="68A6F62B">
            <w:pPr>
              <w:pStyle w:val="270"/>
              <w:rPr>
                <w:rFonts w:hint="eastAsia"/>
              </w:rPr>
            </w:pPr>
            <w:r>
              <w:rPr>
                <w:rFonts w:hint="eastAsia"/>
              </w:rPr>
              <w:t>风速仪、重量显示器、视频监控系统、各限位装置外观完好</w:t>
            </w:r>
          </w:p>
        </w:tc>
        <w:tc>
          <w:tcPr>
            <w:tcW w:w="1081" w:type="dxa"/>
            <w:vAlign w:val="center"/>
          </w:tcPr>
          <w:p w14:paraId="683ECFF9">
            <w:pPr>
              <w:pStyle w:val="270"/>
              <w:jc w:val="center"/>
              <w:rPr>
                <w:rFonts w:hint="eastAsia"/>
              </w:rPr>
            </w:pPr>
          </w:p>
        </w:tc>
        <w:tc>
          <w:tcPr>
            <w:tcW w:w="1023" w:type="dxa"/>
            <w:vAlign w:val="center"/>
          </w:tcPr>
          <w:p w14:paraId="4CBD6311">
            <w:pPr>
              <w:pStyle w:val="270"/>
              <w:jc w:val="center"/>
              <w:rPr>
                <w:rFonts w:hint="eastAsia"/>
              </w:rPr>
            </w:pPr>
          </w:p>
        </w:tc>
      </w:tr>
      <w:tr w14:paraId="13D8B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Align w:val="center"/>
          </w:tcPr>
          <w:p w14:paraId="2745C321">
            <w:pPr>
              <w:pStyle w:val="270"/>
              <w:jc w:val="center"/>
              <w:rPr>
                <w:rFonts w:hint="eastAsia"/>
              </w:rPr>
            </w:pPr>
            <w:r>
              <w:rPr>
                <w:rFonts w:hint="eastAsia"/>
              </w:rPr>
              <w:t>电气设备</w:t>
            </w:r>
          </w:p>
        </w:tc>
        <w:tc>
          <w:tcPr>
            <w:tcW w:w="5124" w:type="dxa"/>
            <w:gridSpan w:val="3"/>
            <w:vAlign w:val="center"/>
          </w:tcPr>
          <w:p w14:paraId="3A5B8DB3">
            <w:pPr>
              <w:pStyle w:val="270"/>
              <w:rPr>
                <w:rFonts w:hint="eastAsia"/>
              </w:rPr>
            </w:pPr>
            <w:r>
              <w:rPr>
                <w:rFonts w:hint="eastAsia"/>
              </w:rPr>
              <w:t>各类电气开关和指示装置、电缆及电器设备、照明灯完好</w:t>
            </w:r>
          </w:p>
        </w:tc>
        <w:tc>
          <w:tcPr>
            <w:tcW w:w="1081" w:type="dxa"/>
            <w:vAlign w:val="center"/>
          </w:tcPr>
          <w:p w14:paraId="6557D528">
            <w:pPr>
              <w:pStyle w:val="270"/>
              <w:jc w:val="center"/>
              <w:rPr>
                <w:rFonts w:hint="eastAsia"/>
              </w:rPr>
            </w:pPr>
          </w:p>
        </w:tc>
        <w:tc>
          <w:tcPr>
            <w:tcW w:w="1023" w:type="dxa"/>
            <w:vAlign w:val="center"/>
          </w:tcPr>
          <w:p w14:paraId="75994428">
            <w:pPr>
              <w:pStyle w:val="270"/>
              <w:jc w:val="center"/>
              <w:rPr>
                <w:rFonts w:hint="eastAsia"/>
              </w:rPr>
            </w:pPr>
          </w:p>
        </w:tc>
      </w:tr>
      <w:tr w14:paraId="22E75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Align w:val="center"/>
          </w:tcPr>
          <w:p w14:paraId="7AFA4BDE">
            <w:pPr>
              <w:pStyle w:val="270"/>
              <w:jc w:val="center"/>
              <w:rPr>
                <w:rFonts w:hint="eastAsia"/>
              </w:rPr>
            </w:pPr>
            <w:r>
              <w:rPr>
                <w:rFonts w:hint="eastAsia"/>
              </w:rPr>
              <w:t>检查结论</w:t>
            </w:r>
          </w:p>
        </w:tc>
        <w:tc>
          <w:tcPr>
            <w:tcW w:w="7228" w:type="dxa"/>
            <w:gridSpan w:val="5"/>
            <w:vAlign w:val="center"/>
          </w:tcPr>
          <w:p w14:paraId="6F3D6F65">
            <w:pPr>
              <w:pStyle w:val="270"/>
              <w:jc w:val="center"/>
              <w:rPr>
                <w:rFonts w:hint="eastAsia"/>
              </w:rPr>
            </w:pPr>
          </w:p>
        </w:tc>
      </w:tr>
      <w:tr w14:paraId="59CFC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Align w:val="center"/>
          </w:tcPr>
          <w:p w14:paraId="200DD8B5">
            <w:pPr>
              <w:pStyle w:val="270"/>
              <w:jc w:val="center"/>
              <w:rPr>
                <w:rFonts w:hint="eastAsia"/>
              </w:rPr>
            </w:pPr>
            <w:r>
              <w:rPr>
                <w:rFonts w:hint="eastAsia"/>
              </w:rPr>
              <w:t>安装单位</w:t>
            </w:r>
          </w:p>
          <w:p w14:paraId="4E3F4B27">
            <w:pPr>
              <w:pStyle w:val="270"/>
              <w:jc w:val="center"/>
              <w:rPr>
                <w:rFonts w:hint="eastAsia"/>
              </w:rPr>
            </w:pPr>
            <w:r>
              <w:rPr>
                <w:rFonts w:hint="eastAsia"/>
              </w:rPr>
              <w:t>（签名）</w:t>
            </w:r>
          </w:p>
        </w:tc>
        <w:tc>
          <w:tcPr>
            <w:tcW w:w="7228" w:type="dxa"/>
            <w:gridSpan w:val="5"/>
            <w:vAlign w:val="center"/>
          </w:tcPr>
          <w:p w14:paraId="6D33083B">
            <w:pPr>
              <w:pStyle w:val="270"/>
              <w:jc w:val="center"/>
              <w:rPr>
                <w:rFonts w:hint="eastAsia"/>
              </w:rPr>
            </w:pPr>
          </w:p>
        </w:tc>
      </w:tr>
      <w:tr w14:paraId="2A167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Align w:val="center"/>
          </w:tcPr>
          <w:p w14:paraId="417E5418">
            <w:pPr>
              <w:pStyle w:val="270"/>
              <w:jc w:val="center"/>
              <w:rPr>
                <w:rFonts w:hint="eastAsia"/>
              </w:rPr>
            </w:pPr>
            <w:r>
              <w:rPr>
                <w:rFonts w:hint="eastAsia"/>
              </w:rPr>
              <w:t>使用单位</w:t>
            </w:r>
          </w:p>
          <w:p w14:paraId="6C1E363B">
            <w:pPr>
              <w:pStyle w:val="270"/>
              <w:jc w:val="center"/>
              <w:rPr>
                <w:rFonts w:hint="eastAsia"/>
              </w:rPr>
            </w:pPr>
            <w:r>
              <w:rPr>
                <w:rFonts w:hint="eastAsia"/>
              </w:rPr>
              <w:t>（签名）</w:t>
            </w:r>
          </w:p>
        </w:tc>
        <w:tc>
          <w:tcPr>
            <w:tcW w:w="7228" w:type="dxa"/>
            <w:gridSpan w:val="5"/>
            <w:vAlign w:val="center"/>
          </w:tcPr>
          <w:p w14:paraId="5E136BAB">
            <w:pPr>
              <w:pStyle w:val="270"/>
              <w:jc w:val="center"/>
              <w:rPr>
                <w:rFonts w:hint="eastAsia"/>
              </w:rPr>
            </w:pPr>
          </w:p>
        </w:tc>
      </w:tr>
      <w:tr w14:paraId="2DBF6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Align w:val="center"/>
          </w:tcPr>
          <w:p w14:paraId="7F849F7E">
            <w:pPr>
              <w:pStyle w:val="270"/>
              <w:jc w:val="center"/>
              <w:rPr>
                <w:rFonts w:hint="eastAsia"/>
              </w:rPr>
            </w:pPr>
            <w:r>
              <w:rPr>
                <w:rFonts w:hint="eastAsia"/>
              </w:rPr>
              <w:t>总承包单位/</w:t>
            </w:r>
          </w:p>
          <w:p w14:paraId="1DE7ABB9">
            <w:pPr>
              <w:pStyle w:val="270"/>
              <w:jc w:val="center"/>
              <w:rPr>
                <w:rFonts w:hint="eastAsia"/>
              </w:rPr>
            </w:pPr>
            <w:r>
              <w:rPr>
                <w:rFonts w:hint="eastAsia"/>
              </w:rPr>
              <w:t>（签名）</w:t>
            </w:r>
          </w:p>
        </w:tc>
        <w:tc>
          <w:tcPr>
            <w:tcW w:w="7228" w:type="dxa"/>
            <w:gridSpan w:val="5"/>
            <w:vAlign w:val="center"/>
          </w:tcPr>
          <w:p w14:paraId="5BB390ED">
            <w:pPr>
              <w:pStyle w:val="270"/>
              <w:jc w:val="center"/>
              <w:rPr>
                <w:rFonts w:hint="eastAsia"/>
              </w:rPr>
            </w:pPr>
          </w:p>
          <w:p w14:paraId="12CBC132">
            <w:pPr>
              <w:pStyle w:val="270"/>
              <w:jc w:val="center"/>
              <w:rPr>
                <w:rFonts w:hint="eastAsia"/>
              </w:rPr>
            </w:pPr>
          </w:p>
        </w:tc>
      </w:tr>
      <w:tr w14:paraId="2C8EE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02" w:type="dxa"/>
            <w:vAlign w:val="center"/>
          </w:tcPr>
          <w:p w14:paraId="21EA9C37">
            <w:pPr>
              <w:pStyle w:val="270"/>
              <w:jc w:val="center"/>
              <w:rPr>
                <w:rFonts w:hint="eastAsia"/>
              </w:rPr>
            </w:pPr>
            <w:r>
              <w:rPr>
                <w:rFonts w:hint="eastAsia"/>
              </w:rPr>
              <w:t>监理单位</w:t>
            </w:r>
          </w:p>
          <w:p w14:paraId="4077A566">
            <w:pPr>
              <w:pStyle w:val="270"/>
              <w:jc w:val="center"/>
              <w:rPr>
                <w:rFonts w:hint="eastAsia"/>
              </w:rPr>
            </w:pPr>
            <w:r>
              <w:rPr>
                <w:rFonts w:hint="eastAsia"/>
              </w:rPr>
              <w:t>（签名）</w:t>
            </w:r>
          </w:p>
        </w:tc>
        <w:tc>
          <w:tcPr>
            <w:tcW w:w="7228" w:type="dxa"/>
            <w:gridSpan w:val="5"/>
            <w:vAlign w:val="center"/>
          </w:tcPr>
          <w:p w14:paraId="49111578">
            <w:pPr>
              <w:pStyle w:val="270"/>
              <w:jc w:val="center"/>
              <w:rPr>
                <w:rFonts w:hint="eastAsia"/>
              </w:rPr>
            </w:pPr>
          </w:p>
          <w:p w14:paraId="2F716726">
            <w:pPr>
              <w:pStyle w:val="270"/>
              <w:jc w:val="center"/>
              <w:rPr>
                <w:rFonts w:hint="eastAsia"/>
              </w:rPr>
            </w:pPr>
          </w:p>
        </w:tc>
      </w:tr>
      <w:bookmarkEnd w:id="96"/>
    </w:tbl>
    <w:p w14:paraId="020F1B56">
      <w:pPr>
        <w:pStyle w:val="98"/>
        <w:numPr>
          <w:ilvl w:val="0"/>
          <w:numId w:val="0"/>
        </w:numPr>
        <w:spacing w:after="120"/>
        <w:jc w:val="both"/>
        <w:outlineLvl w:val="9"/>
        <w:rPr>
          <w:shd w:val="clear" w:color="auto" w:fill="FDFDFE"/>
        </w:rPr>
      </w:pPr>
    </w:p>
    <w:p w14:paraId="094A93D5">
      <w:pPr>
        <w:pStyle w:val="78"/>
        <w:ind w:firstLine="420"/>
      </w:pPr>
    </w:p>
    <w:p w14:paraId="2386563B">
      <w:pPr>
        <w:pStyle w:val="78"/>
        <w:ind w:firstLine="420"/>
      </w:pPr>
    </w:p>
    <w:p w14:paraId="60D81FEB">
      <w:pPr>
        <w:pStyle w:val="78"/>
        <w:ind w:firstLine="420"/>
      </w:pPr>
    </w:p>
    <w:p w14:paraId="5992D70B">
      <w:pPr>
        <w:pStyle w:val="78"/>
        <w:ind w:firstLine="420"/>
      </w:pPr>
    </w:p>
    <w:p w14:paraId="3F41F388">
      <w:pPr>
        <w:pStyle w:val="78"/>
        <w:ind w:firstLine="420"/>
      </w:pPr>
    </w:p>
    <w:p w14:paraId="0C3386E8">
      <w:pPr>
        <w:pStyle w:val="78"/>
        <w:ind w:firstLine="420"/>
      </w:pPr>
    </w:p>
    <w:p w14:paraId="22CCEE9D">
      <w:pPr>
        <w:pStyle w:val="78"/>
        <w:ind w:firstLine="420"/>
      </w:pPr>
    </w:p>
    <w:p w14:paraId="085FE4D1">
      <w:pPr>
        <w:pStyle w:val="78"/>
        <w:ind w:firstLine="420"/>
      </w:pPr>
    </w:p>
    <w:p w14:paraId="7F0E43B9">
      <w:pPr>
        <w:pStyle w:val="78"/>
        <w:ind w:firstLine="420"/>
      </w:pPr>
    </w:p>
    <w:p w14:paraId="49806F7B">
      <w:pPr>
        <w:pStyle w:val="78"/>
        <w:ind w:firstLine="420"/>
      </w:pPr>
    </w:p>
    <w:p w14:paraId="71B363F6">
      <w:pPr>
        <w:pStyle w:val="78"/>
        <w:ind w:firstLine="420"/>
      </w:pPr>
    </w:p>
    <w:p w14:paraId="76B88E4D">
      <w:pPr>
        <w:pStyle w:val="78"/>
        <w:ind w:firstLine="420"/>
      </w:pPr>
    </w:p>
    <w:p w14:paraId="013FCFC9">
      <w:pPr>
        <w:pStyle w:val="78"/>
        <w:ind w:firstLine="420"/>
      </w:pPr>
    </w:p>
    <w:p w14:paraId="5CF1C8DE">
      <w:pPr>
        <w:pStyle w:val="78"/>
        <w:ind w:firstLine="420"/>
      </w:pPr>
    </w:p>
    <w:p w14:paraId="09B67E3D">
      <w:pPr>
        <w:pStyle w:val="78"/>
        <w:ind w:firstLine="420"/>
      </w:pPr>
    </w:p>
    <w:p w14:paraId="0B701D5C">
      <w:pPr>
        <w:pStyle w:val="78"/>
        <w:ind w:firstLine="420"/>
      </w:pPr>
    </w:p>
    <w:p w14:paraId="449DA620">
      <w:pPr>
        <w:pStyle w:val="78"/>
        <w:ind w:firstLine="420"/>
      </w:pPr>
    </w:p>
    <w:p w14:paraId="4F4A0A23">
      <w:pPr>
        <w:pStyle w:val="78"/>
        <w:ind w:firstLine="420"/>
      </w:pPr>
    </w:p>
    <w:p w14:paraId="7DA1D48A">
      <w:pPr>
        <w:pStyle w:val="98"/>
        <w:spacing w:after="120"/>
      </w:pPr>
      <w:r>
        <w:br w:type="textWrapping"/>
      </w:r>
      <w:bookmarkStart w:id="99" w:name="_Toc197967367"/>
      <w:bookmarkStart w:id="100" w:name="_Toc180146100"/>
      <w:bookmarkStart w:id="101" w:name="_Toc197422451"/>
      <w:r>
        <w:rPr>
          <w:rFonts w:hint="eastAsia"/>
        </w:rPr>
        <w:t>（资料性）</w:t>
      </w:r>
      <w:r>
        <w:br w:type="textWrapping"/>
      </w:r>
      <w:r>
        <w:rPr>
          <w:rFonts w:hint="eastAsia"/>
        </w:rPr>
        <w:t>门机轨道安装验收表</w:t>
      </w:r>
      <w:bookmarkEnd w:id="99"/>
      <w:bookmarkEnd w:id="100"/>
      <w:bookmarkEnd w:id="101"/>
    </w:p>
    <w:p w14:paraId="4463B422">
      <w:pPr>
        <w:pStyle w:val="78"/>
        <w:ind w:firstLine="420"/>
      </w:pPr>
      <w:r>
        <w:rPr>
          <w:rFonts w:hint="eastAsia"/>
        </w:rPr>
        <w:t>表B.1给出了门机轨道安装验收内容。</w:t>
      </w:r>
    </w:p>
    <w:p w14:paraId="40025BE3">
      <w:pPr>
        <w:pStyle w:val="99"/>
        <w:spacing w:before="120" w:after="120"/>
        <w:outlineLvl w:val="1"/>
      </w:pPr>
      <w:r>
        <w:rPr>
          <w:rFonts w:hint="eastAsia"/>
        </w:rPr>
        <w:t xml:space="preserve"> 门机轨道安装验收表</w:t>
      </w:r>
    </w:p>
    <w:p w14:paraId="2D0A3F83">
      <w:pPr>
        <w:pStyle w:val="221"/>
      </w:pPr>
      <w:r>
        <w:rPr>
          <w:rFonts w:hint="eastAsia"/>
        </w:rPr>
        <w:t xml:space="preserve">起重机械：                                检测日期： </w:t>
      </w:r>
    </w:p>
    <w:tbl>
      <w:tblPr>
        <w:tblStyle w:val="38"/>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31"/>
        <w:gridCol w:w="736"/>
        <w:gridCol w:w="538"/>
        <w:gridCol w:w="538"/>
        <w:gridCol w:w="538"/>
        <w:gridCol w:w="171"/>
        <w:gridCol w:w="367"/>
        <w:gridCol w:w="538"/>
        <w:gridCol w:w="538"/>
        <w:gridCol w:w="538"/>
        <w:gridCol w:w="539"/>
        <w:gridCol w:w="538"/>
        <w:gridCol w:w="538"/>
        <w:gridCol w:w="87"/>
        <w:gridCol w:w="451"/>
        <w:gridCol w:w="544"/>
        <w:gridCol w:w="535"/>
        <w:gridCol w:w="599"/>
      </w:tblGrid>
      <w:tr w14:paraId="1DDFB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3" w:type="dxa"/>
            <w:vAlign w:val="center"/>
          </w:tcPr>
          <w:p w14:paraId="7D335788">
            <w:pPr>
              <w:spacing w:line="240" w:lineRule="auto"/>
              <w:jc w:val="center"/>
              <w:rPr>
                <w:rFonts w:ascii="宋体"/>
                <w:bCs/>
                <w:sz w:val="18"/>
                <w:szCs w:val="18"/>
              </w:rPr>
            </w:pPr>
            <w:r>
              <w:rPr>
                <w:rFonts w:hint="eastAsia" w:ascii="宋体"/>
                <w:bCs/>
                <w:sz w:val="18"/>
                <w:szCs w:val="18"/>
              </w:rPr>
              <w:t>序号</w:t>
            </w:r>
          </w:p>
        </w:tc>
        <w:tc>
          <w:tcPr>
            <w:tcW w:w="2552" w:type="dxa"/>
            <w:gridSpan w:val="6"/>
            <w:vAlign w:val="center"/>
          </w:tcPr>
          <w:p w14:paraId="35B1FF88">
            <w:pPr>
              <w:spacing w:line="240" w:lineRule="auto"/>
              <w:jc w:val="center"/>
              <w:rPr>
                <w:rFonts w:ascii="宋体"/>
                <w:bCs/>
                <w:sz w:val="18"/>
                <w:szCs w:val="18"/>
              </w:rPr>
            </w:pPr>
            <w:r>
              <w:rPr>
                <w:rFonts w:hint="eastAsia" w:ascii="宋体"/>
                <w:bCs/>
                <w:sz w:val="18"/>
                <w:szCs w:val="18"/>
              </w:rPr>
              <w:t>检测项目</w:t>
            </w:r>
          </w:p>
        </w:tc>
        <w:tc>
          <w:tcPr>
            <w:tcW w:w="3683" w:type="dxa"/>
            <w:gridSpan w:val="8"/>
            <w:noWrap/>
            <w:vAlign w:val="center"/>
          </w:tcPr>
          <w:p w14:paraId="08A4D974">
            <w:pPr>
              <w:spacing w:line="240" w:lineRule="auto"/>
              <w:jc w:val="center"/>
              <w:rPr>
                <w:rFonts w:ascii="宋体"/>
                <w:bCs/>
                <w:sz w:val="18"/>
                <w:szCs w:val="18"/>
              </w:rPr>
            </w:pPr>
            <w:r>
              <w:rPr>
                <w:rFonts w:hint="eastAsia" w:ascii="宋体"/>
                <w:bCs/>
                <w:sz w:val="18"/>
                <w:szCs w:val="18"/>
              </w:rPr>
              <w:t xml:space="preserve"> 标准要求</w:t>
            </w:r>
          </w:p>
        </w:tc>
        <w:tc>
          <w:tcPr>
            <w:tcW w:w="995" w:type="dxa"/>
            <w:gridSpan w:val="2"/>
            <w:vAlign w:val="center"/>
          </w:tcPr>
          <w:p w14:paraId="3736F0D6">
            <w:pPr>
              <w:spacing w:line="240" w:lineRule="auto"/>
              <w:jc w:val="center"/>
              <w:rPr>
                <w:rFonts w:ascii="宋体"/>
                <w:bCs/>
                <w:sz w:val="18"/>
                <w:szCs w:val="18"/>
              </w:rPr>
            </w:pPr>
            <w:r>
              <w:rPr>
                <w:rFonts w:ascii="宋体"/>
                <w:bCs/>
                <w:sz w:val="18"/>
                <w:szCs w:val="18"/>
              </w:rPr>
              <w:fldChar w:fldCharType="begin"/>
            </w:r>
            <w:r>
              <w:rPr>
                <w:rFonts w:ascii="宋体"/>
                <w:bCs/>
                <w:sz w:val="18"/>
                <w:szCs w:val="18"/>
              </w:rPr>
              <w:instrText xml:space="preserve"> eq \o\ad(</w:instrText>
            </w:r>
            <w:r>
              <w:rPr>
                <w:rFonts w:hint="eastAsia" w:ascii="宋体"/>
                <w:bCs/>
                <w:sz w:val="18"/>
                <w:szCs w:val="18"/>
              </w:rPr>
              <w:instrText xml:space="preserve">检测结果</w:instrText>
            </w:r>
            <w:r>
              <w:rPr>
                <w:rFonts w:ascii="宋体"/>
                <w:bCs/>
                <w:sz w:val="18"/>
                <w:szCs w:val="18"/>
              </w:rPr>
              <w:instrText xml:space="preserve">,</w:instrText>
            </w:r>
            <w:r>
              <w:rPr>
                <w:rFonts w:hint="eastAsia" w:ascii="宋体"/>
                <w:bCs/>
                <w:sz w:val="18"/>
                <w:szCs w:val="18"/>
              </w:rPr>
              <w:instrText xml:space="preserve">　　　　</w:instrText>
            </w:r>
            <w:r>
              <w:rPr>
                <w:rFonts w:ascii="宋体"/>
                <w:bCs/>
                <w:sz w:val="18"/>
                <w:szCs w:val="18"/>
              </w:rPr>
              <w:instrText xml:space="preserve">)</w:instrText>
            </w:r>
            <w:r>
              <w:rPr>
                <w:rFonts w:ascii="宋体"/>
                <w:bCs/>
                <w:sz w:val="18"/>
                <w:szCs w:val="18"/>
              </w:rPr>
              <w:fldChar w:fldCharType="end"/>
            </w:r>
          </w:p>
        </w:tc>
        <w:tc>
          <w:tcPr>
            <w:tcW w:w="1134" w:type="dxa"/>
            <w:gridSpan w:val="2"/>
            <w:vAlign w:val="center"/>
          </w:tcPr>
          <w:p w14:paraId="51C21656">
            <w:pPr>
              <w:spacing w:line="240" w:lineRule="auto"/>
              <w:jc w:val="center"/>
              <w:rPr>
                <w:rFonts w:ascii="宋体"/>
                <w:bCs/>
                <w:sz w:val="18"/>
                <w:szCs w:val="18"/>
              </w:rPr>
            </w:pPr>
            <w:r>
              <w:rPr>
                <w:rFonts w:hint="eastAsia" w:ascii="宋体"/>
                <w:bCs/>
                <w:sz w:val="18"/>
                <w:szCs w:val="18"/>
              </w:rPr>
              <w:t>评定</w:t>
            </w:r>
          </w:p>
        </w:tc>
      </w:tr>
      <w:tr w14:paraId="1696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3" w:type="dxa"/>
            <w:vAlign w:val="center"/>
          </w:tcPr>
          <w:p w14:paraId="2B834184">
            <w:pPr>
              <w:spacing w:line="240" w:lineRule="auto"/>
              <w:jc w:val="center"/>
              <w:rPr>
                <w:rFonts w:ascii="宋体"/>
                <w:sz w:val="18"/>
                <w:szCs w:val="18"/>
              </w:rPr>
            </w:pPr>
            <w:r>
              <w:rPr>
                <w:rFonts w:hint="eastAsia" w:ascii="宋体"/>
                <w:sz w:val="18"/>
                <w:szCs w:val="18"/>
              </w:rPr>
              <w:t>1</w:t>
            </w:r>
          </w:p>
        </w:tc>
        <w:tc>
          <w:tcPr>
            <w:tcW w:w="2552" w:type="dxa"/>
            <w:gridSpan w:val="6"/>
            <w:vAlign w:val="center"/>
          </w:tcPr>
          <w:p w14:paraId="65753F51">
            <w:pPr>
              <w:spacing w:line="240" w:lineRule="auto"/>
              <w:rPr>
                <w:rFonts w:ascii="宋体"/>
                <w:sz w:val="18"/>
                <w:szCs w:val="18"/>
              </w:rPr>
            </w:pPr>
            <w:r>
              <w:rPr>
                <w:rFonts w:hint="eastAsia" w:ascii="宋体"/>
                <w:sz w:val="18"/>
                <w:szCs w:val="18"/>
              </w:rPr>
              <w:t>轨距</w:t>
            </w:r>
          </w:p>
        </w:tc>
        <w:tc>
          <w:tcPr>
            <w:tcW w:w="3683" w:type="dxa"/>
            <w:gridSpan w:val="8"/>
            <w:vAlign w:val="center"/>
          </w:tcPr>
          <w:p w14:paraId="5E0AE283">
            <w:pPr>
              <w:spacing w:line="240" w:lineRule="auto"/>
              <w:rPr>
                <w:rFonts w:ascii="宋体"/>
                <w:sz w:val="18"/>
                <w:szCs w:val="18"/>
              </w:rPr>
            </w:pPr>
            <w:r>
              <w:rPr>
                <w:rFonts w:hint="eastAsia" w:ascii="宋体"/>
                <w:sz w:val="18"/>
                <w:szCs w:val="18"/>
              </w:rPr>
              <w:t>L＜</w:t>
            </w:r>
            <w:r>
              <w:rPr>
                <w:rFonts w:ascii="宋体"/>
                <w:sz w:val="18"/>
                <w:szCs w:val="18"/>
              </w:rPr>
              <w:t>30m</w:t>
            </w:r>
            <w:r>
              <w:rPr>
                <w:rFonts w:hint="eastAsia" w:ascii="宋体"/>
                <w:sz w:val="18"/>
                <w:szCs w:val="18"/>
              </w:rPr>
              <w:t>,偏差不应超过±</w:t>
            </w:r>
            <w:r>
              <w:rPr>
                <w:rFonts w:ascii="宋体"/>
                <w:sz w:val="18"/>
                <w:szCs w:val="18"/>
              </w:rPr>
              <w:t>8mm</w:t>
            </w:r>
          </w:p>
        </w:tc>
        <w:tc>
          <w:tcPr>
            <w:tcW w:w="995" w:type="dxa"/>
            <w:gridSpan w:val="2"/>
            <w:vAlign w:val="center"/>
          </w:tcPr>
          <w:p w14:paraId="62A09E7E">
            <w:pPr>
              <w:spacing w:line="240" w:lineRule="auto"/>
              <w:rPr>
                <w:rFonts w:ascii="宋体"/>
                <w:sz w:val="18"/>
                <w:szCs w:val="18"/>
              </w:rPr>
            </w:pPr>
          </w:p>
        </w:tc>
        <w:tc>
          <w:tcPr>
            <w:tcW w:w="1134" w:type="dxa"/>
            <w:gridSpan w:val="2"/>
            <w:vAlign w:val="center"/>
          </w:tcPr>
          <w:p w14:paraId="46ED3EFC">
            <w:pPr>
              <w:spacing w:line="240" w:lineRule="auto"/>
              <w:rPr>
                <w:rFonts w:ascii="宋体"/>
                <w:sz w:val="18"/>
                <w:szCs w:val="18"/>
              </w:rPr>
            </w:pPr>
          </w:p>
        </w:tc>
      </w:tr>
      <w:tr w14:paraId="3C44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3" w:type="dxa"/>
            <w:vAlign w:val="center"/>
          </w:tcPr>
          <w:p w14:paraId="18C9FF49">
            <w:pPr>
              <w:spacing w:line="240" w:lineRule="auto"/>
              <w:jc w:val="center"/>
              <w:rPr>
                <w:rFonts w:ascii="宋体"/>
                <w:sz w:val="18"/>
                <w:szCs w:val="18"/>
              </w:rPr>
            </w:pPr>
            <w:r>
              <w:rPr>
                <w:rFonts w:hint="eastAsia" w:ascii="宋体"/>
                <w:sz w:val="18"/>
                <w:szCs w:val="18"/>
              </w:rPr>
              <w:t>2</w:t>
            </w:r>
          </w:p>
        </w:tc>
        <w:tc>
          <w:tcPr>
            <w:tcW w:w="2552" w:type="dxa"/>
            <w:gridSpan w:val="6"/>
            <w:vAlign w:val="center"/>
          </w:tcPr>
          <w:p w14:paraId="18535B27">
            <w:pPr>
              <w:spacing w:line="240" w:lineRule="auto"/>
              <w:rPr>
                <w:rFonts w:ascii="宋体"/>
                <w:sz w:val="18"/>
                <w:szCs w:val="18"/>
              </w:rPr>
            </w:pPr>
            <w:r>
              <w:rPr>
                <w:rFonts w:hint="eastAsia" w:ascii="宋体"/>
                <w:sz w:val="18"/>
                <w:szCs w:val="18"/>
              </w:rPr>
              <w:t>纵向不水平度</w:t>
            </w:r>
          </w:p>
        </w:tc>
        <w:tc>
          <w:tcPr>
            <w:tcW w:w="3683" w:type="dxa"/>
            <w:gridSpan w:val="8"/>
            <w:vAlign w:val="center"/>
          </w:tcPr>
          <w:p w14:paraId="50DCB385">
            <w:pPr>
              <w:spacing w:line="240" w:lineRule="auto"/>
              <w:rPr>
                <w:rFonts w:ascii="宋体"/>
                <w:sz w:val="18"/>
                <w:szCs w:val="18"/>
              </w:rPr>
            </w:pPr>
            <w:r>
              <w:rPr>
                <w:rFonts w:hint="eastAsia" w:ascii="宋体"/>
                <w:sz w:val="18"/>
                <w:szCs w:val="18"/>
              </w:rPr>
              <w:t>L＞</w:t>
            </w:r>
            <w:r>
              <w:rPr>
                <w:rFonts w:ascii="宋体"/>
                <w:sz w:val="18"/>
                <w:szCs w:val="18"/>
              </w:rPr>
              <w:t>30m</w:t>
            </w:r>
            <w:r>
              <w:rPr>
                <w:rFonts w:hint="eastAsia" w:ascii="宋体"/>
                <w:sz w:val="18"/>
                <w:szCs w:val="18"/>
              </w:rPr>
              <w:t>,偏差不应超过±</w:t>
            </w:r>
            <w:r>
              <w:rPr>
                <w:rFonts w:ascii="宋体"/>
                <w:sz w:val="18"/>
                <w:szCs w:val="18"/>
              </w:rPr>
              <w:t>10mm</w:t>
            </w:r>
          </w:p>
        </w:tc>
        <w:tc>
          <w:tcPr>
            <w:tcW w:w="995" w:type="dxa"/>
            <w:gridSpan w:val="2"/>
            <w:vAlign w:val="center"/>
          </w:tcPr>
          <w:p w14:paraId="3DDFD2AD">
            <w:pPr>
              <w:spacing w:line="240" w:lineRule="auto"/>
              <w:rPr>
                <w:rFonts w:ascii="宋体"/>
                <w:sz w:val="18"/>
                <w:szCs w:val="18"/>
              </w:rPr>
            </w:pPr>
          </w:p>
        </w:tc>
        <w:tc>
          <w:tcPr>
            <w:tcW w:w="1134" w:type="dxa"/>
            <w:gridSpan w:val="2"/>
            <w:vAlign w:val="center"/>
          </w:tcPr>
          <w:p w14:paraId="4EA21D20">
            <w:pPr>
              <w:spacing w:line="240" w:lineRule="auto"/>
              <w:rPr>
                <w:rFonts w:ascii="宋体"/>
                <w:sz w:val="18"/>
                <w:szCs w:val="18"/>
              </w:rPr>
            </w:pPr>
          </w:p>
        </w:tc>
      </w:tr>
      <w:tr w14:paraId="048BF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3" w:type="dxa"/>
            <w:vAlign w:val="center"/>
          </w:tcPr>
          <w:p w14:paraId="1E5E40EA">
            <w:pPr>
              <w:spacing w:line="240" w:lineRule="auto"/>
              <w:jc w:val="center"/>
              <w:rPr>
                <w:rFonts w:ascii="宋体"/>
                <w:sz w:val="18"/>
                <w:szCs w:val="18"/>
              </w:rPr>
            </w:pPr>
            <w:r>
              <w:rPr>
                <w:rFonts w:hint="eastAsia" w:ascii="宋体"/>
                <w:sz w:val="18"/>
                <w:szCs w:val="18"/>
              </w:rPr>
              <w:t>3</w:t>
            </w:r>
          </w:p>
        </w:tc>
        <w:tc>
          <w:tcPr>
            <w:tcW w:w="2552" w:type="dxa"/>
            <w:gridSpan w:val="6"/>
            <w:vAlign w:val="center"/>
          </w:tcPr>
          <w:p w14:paraId="20ED10B3">
            <w:pPr>
              <w:spacing w:line="240" w:lineRule="auto"/>
              <w:rPr>
                <w:rFonts w:ascii="宋体"/>
                <w:sz w:val="18"/>
                <w:szCs w:val="18"/>
              </w:rPr>
            </w:pPr>
            <w:r>
              <w:rPr>
                <w:rFonts w:hint="eastAsia" w:ascii="宋体"/>
                <w:sz w:val="18"/>
                <w:szCs w:val="18"/>
              </w:rPr>
              <w:t>同跨相对标高差</w:t>
            </w:r>
          </w:p>
        </w:tc>
        <w:tc>
          <w:tcPr>
            <w:tcW w:w="3683" w:type="dxa"/>
            <w:gridSpan w:val="8"/>
            <w:vAlign w:val="center"/>
          </w:tcPr>
          <w:p w14:paraId="41A665A4">
            <w:pPr>
              <w:spacing w:line="240" w:lineRule="auto"/>
              <w:rPr>
                <w:rFonts w:ascii="宋体"/>
                <w:sz w:val="18"/>
                <w:szCs w:val="18"/>
              </w:rPr>
            </w:pPr>
            <w:r>
              <w:rPr>
                <w:rFonts w:hint="eastAsia" w:ascii="宋体"/>
                <w:sz w:val="18"/>
                <w:szCs w:val="18"/>
              </w:rPr>
              <w:t>不应超过1/1000，每隔</w:t>
            </w:r>
            <w:r>
              <w:rPr>
                <w:rFonts w:ascii="宋体"/>
                <w:sz w:val="18"/>
                <w:szCs w:val="18"/>
              </w:rPr>
              <w:t>10m</w:t>
            </w:r>
            <w:r>
              <w:rPr>
                <w:rFonts w:hint="eastAsia" w:ascii="宋体"/>
                <w:sz w:val="18"/>
                <w:szCs w:val="18"/>
              </w:rPr>
              <w:t>测一点</w:t>
            </w:r>
          </w:p>
        </w:tc>
        <w:tc>
          <w:tcPr>
            <w:tcW w:w="995" w:type="dxa"/>
            <w:gridSpan w:val="2"/>
            <w:vAlign w:val="center"/>
          </w:tcPr>
          <w:p w14:paraId="27960A6A">
            <w:pPr>
              <w:spacing w:line="240" w:lineRule="auto"/>
              <w:rPr>
                <w:rFonts w:ascii="宋体"/>
                <w:sz w:val="18"/>
                <w:szCs w:val="18"/>
              </w:rPr>
            </w:pPr>
          </w:p>
        </w:tc>
        <w:tc>
          <w:tcPr>
            <w:tcW w:w="1134" w:type="dxa"/>
            <w:gridSpan w:val="2"/>
            <w:vAlign w:val="center"/>
          </w:tcPr>
          <w:p w14:paraId="421A4313">
            <w:pPr>
              <w:spacing w:line="240" w:lineRule="auto"/>
              <w:rPr>
                <w:rFonts w:ascii="宋体"/>
                <w:sz w:val="18"/>
                <w:szCs w:val="18"/>
              </w:rPr>
            </w:pPr>
          </w:p>
        </w:tc>
      </w:tr>
      <w:tr w14:paraId="0AB3E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3" w:type="dxa"/>
            <w:vMerge w:val="restart"/>
            <w:vAlign w:val="center"/>
          </w:tcPr>
          <w:p w14:paraId="0978C58E">
            <w:pPr>
              <w:spacing w:line="240" w:lineRule="auto"/>
              <w:jc w:val="center"/>
              <w:rPr>
                <w:rFonts w:ascii="宋体"/>
                <w:sz w:val="18"/>
                <w:szCs w:val="18"/>
              </w:rPr>
            </w:pPr>
            <w:r>
              <w:rPr>
                <w:rFonts w:hint="eastAsia" w:ascii="宋体"/>
                <w:sz w:val="18"/>
                <w:szCs w:val="18"/>
              </w:rPr>
              <w:t>4</w:t>
            </w:r>
          </w:p>
        </w:tc>
        <w:tc>
          <w:tcPr>
            <w:tcW w:w="2552" w:type="dxa"/>
            <w:gridSpan w:val="6"/>
            <w:vMerge w:val="restart"/>
            <w:vAlign w:val="center"/>
          </w:tcPr>
          <w:p w14:paraId="793F9187">
            <w:pPr>
              <w:spacing w:line="240" w:lineRule="auto"/>
              <w:rPr>
                <w:rFonts w:ascii="宋体"/>
                <w:sz w:val="18"/>
                <w:szCs w:val="18"/>
              </w:rPr>
            </w:pPr>
            <w:r>
              <w:rPr>
                <w:rFonts w:hint="eastAsia" w:ascii="宋体"/>
                <w:sz w:val="18"/>
                <w:szCs w:val="18"/>
              </w:rPr>
              <w:t>轨道接头</w:t>
            </w:r>
          </w:p>
        </w:tc>
        <w:tc>
          <w:tcPr>
            <w:tcW w:w="3683" w:type="dxa"/>
            <w:gridSpan w:val="8"/>
            <w:vAlign w:val="center"/>
          </w:tcPr>
          <w:p w14:paraId="16BEEA0C">
            <w:pPr>
              <w:spacing w:line="240" w:lineRule="auto"/>
              <w:rPr>
                <w:rFonts w:ascii="宋体"/>
                <w:sz w:val="18"/>
                <w:szCs w:val="18"/>
              </w:rPr>
            </w:pPr>
            <w:r>
              <w:rPr>
                <w:rFonts w:hint="eastAsia" w:ascii="宋体"/>
                <w:sz w:val="18"/>
                <w:szCs w:val="18"/>
              </w:rPr>
              <w:t>两平行轨接头应错开，错开距离不应等于前后车轮轮距</w:t>
            </w:r>
          </w:p>
        </w:tc>
        <w:tc>
          <w:tcPr>
            <w:tcW w:w="995" w:type="dxa"/>
            <w:gridSpan w:val="2"/>
            <w:vAlign w:val="center"/>
          </w:tcPr>
          <w:p w14:paraId="35258788">
            <w:pPr>
              <w:spacing w:line="240" w:lineRule="auto"/>
              <w:rPr>
                <w:rFonts w:ascii="宋体"/>
                <w:sz w:val="18"/>
                <w:szCs w:val="18"/>
              </w:rPr>
            </w:pPr>
          </w:p>
        </w:tc>
        <w:tc>
          <w:tcPr>
            <w:tcW w:w="1134" w:type="dxa"/>
            <w:gridSpan w:val="2"/>
            <w:vAlign w:val="center"/>
          </w:tcPr>
          <w:p w14:paraId="7BCD3695">
            <w:pPr>
              <w:spacing w:line="240" w:lineRule="auto"/>
              <w:rPr>
                <w:rFonts w:ascii="宋体"/>
                <w:sz w:val="18"/>
                <w:szCs w:val="18"/>
              </w:rPr>
            </w:pPr>
          </w:p>
        </w:tc>
      </w:tr>
      <w:tr w14:paraId="118E7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3" w:type="dxa"/>
            <w:vMerge w:val="continue"/>
            <w:vAlign w:val="center"/>
          </w:tcPr>
          <w:p w14:paraId="3361C444">
            <w:pPr>
              <w:spacing w:line="240" w:lineRule="auto"/>
              <w:jc w:val="center"/>
              <w:rPr>
                <w:rFonts w:ascii="宋体"/>
                <w:sz w:val="18"/>
                <w:szCs w:val="18"/>
              </w:rPr>
            </w:pPr>
          </w:p>
        </w:tc>
        <w:tc>
          <w:tcPr>
            <w:tcW w:w="2552" w:type="dxa"/>
            <w:gridSpan w:val="6"/>
            <w:vMerge w:val="continue"/>
            <w:vAlign w:val="center"/>
          </w:tcPr>
          <w:p w14:paraId="48B33853">
            <w:pPr>
              <w:spacing w:line="240" w:lineRule="auto"/>
              <w:rPr>
                <w:rFonts w:ascii="宋体"/>
                <w:sz w:val="18"/>
                <w:szCs w:val="18"/>
              </w:rPr>
            </w:pPr>
          </w:p>
        </w:tc>
        <w:tc>
          <w:tcPr>
            <w:tcW w:w="3683" w:type="dxa"/>
            <w:gridSpan w:val="8"/>
            <w:vAlign w:val="center"/>
          </w:tcPr>
          <w:p w14:paraId="1E8496E8">
            <w:pPr>
              <w:spacing w:line="240" w:lineRule="auto"/>
              <w:rPr>
                <w:rFonts w:ascii="宋体"/>
                <w:sz w:val="18"/>
                <w:szCs w:val="18"/>
              </w:rPr>
            </w:pPr>
            <w:r>
              <w:rPr>
                <w:rFonts w:hint="eastAsia" w:ascii="宋体"/>
                <w:sz w:val="18"/>
                <w:szCs w:val="18"/>
              </w:rPr>
              <w:t>踏面及两侧差不应大于</w:t>
            </w:r>
            <w:r>
              <w:rPr>
                <w:rFonts w:ascii="宋体"/>
                <w:sz w:val="18"/>
                <w:szCs w:val="18"/>
              </w:rPr>
              <w:t>1mm</w:t>
            </w:r>
          </w:p>
        </w:tc>
        <w:tc>
          <w:tcPr>
            <w:tcW w:w="995" w:type="dxa"/>
            <w:gridSpan w:val="2"/>
            <w:vAlign w:val="center"/>
          </w:tcPr>
          <w:p w14:paraId="5F9DF215">
            <w:pPr>
              <w:spacing w:line="240" w:lineRule="auto"/>
              <w:rPr>
                <w:rFonts w:ascii="宋体"/>
                <w:sz w:val="18"/>
                <w:szCs w:val="18"/>
              </w:rPr>
            </w:pPr>
          </w:p>
        </w:tc>
        <w:tc>
          <w:tcPr>
            <w:tcW w:w="1134" w:type="dxa"/>
            <w:gridSpan w:val="2"/>
            <w:vAlign w:val="center"/>
          </w:tcPr>
          <w:p w14:paraId="495D0B7C">
            <w:pPr>
              <w:spacing w:line="240" w:lineRule="auto"/>
              <w:rPr>
                <w:rFonts w:ascii="宋体"/>
                <w:sz w:val="18"/>
                <w:szCs w:val="18"/>
              </w:rPr>
            </w:pPr>
          </w:p>
        </w:tc>
      </w:tr>
      <w:tr w14:paraId="1C680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3" w:type="dxa"/>
            <w:vMerge w:val="continue"/>
            <w:vAlign w:val="center"/>
          </w:tcPr>
          <w:p w14:paraId="218D3E75">
            <w:pPr>
              <w:spacing w:line="240" w:lineRule="auto"/>
              <w:jc w:val="center"/>
              <w:rPr>
                <w:rFonts w:ascii="宋体"/>
                <w:sz w:val="18"/>
                <w:szCs w:val="18"/>
              </w:rPr>
            </w:pPr>
          </w:p>
        </w:tc>
        <w:tc>
          <w:tcPr>
            <w:tcW w:w="2552" w:type="dxa"/>
            <w:gridSpan w:val="6"/>
            <w:vMerge w:val="continue"/>
            <w:vAlign w:val="center"/>
          </w:tcPr>
          <w:p w14:paraId="42A1C700">
            <w:pPr>
              <w:spacing w:line="240" w:lineRule="auto"/>
              <w:rPr>
                <w:rFonts w:ascii="宋体"/>
                <w:sz w:val="18"/>
                <w:szCs w:val="18"/>
              </w:rPr>
            </w:pPr>
          </w:p>
        </w:tc>
        <w:tc>
          <w:tcPr>
            <w:tcW w:w="3683" w:type="dxa"/>
            <w:gridSpan w:val="8"/>
            <w:vAlign w:val="center"/>
          </w:tcPr>
          <w:p w14:paraId="535C2331">
            <w:pPr>
              <w:spacing w:line="240" w:lineRule="auto"/>
              <w:rPr>
                <w:rFonts w:ascii="宋体"/>
                <w:sz w:val="18"/>
                <w:szCs w:val="18"/>
              </w:rPr>
            </w:pPr>
            <w:r>
              <w:rPr>
                <w:rFonts w:hint="eastAsia" w:ascii="宋体"/>
                <w:sz w:val="18"/>
                <w:szCs w:val="18"/>
              </w:rPr>
              <w:t>接头间隙不应大于</w:t>
            </w:r>
            <w:r>
              <w:rPr>
                <w:rFonts w:ascii="宋体"/>
                <w:sz w:val="18"/>
                <w:szCs w:val="18"/>
              </w:rPr>
              <w:t>2mm</w:t>
            </w:r>
          </w:p>
        </w:tc>
        <w:tc>
          <w:tcPr>
            <w:tcW w:w="995" w:type="dxa"/>
            <w:gridSpan w:val="2"/>
            <w:vAlign w:val="center"/>
          </w:tcPr>
          <w:p w14:paraId="10BEE0A0">
            <w:pPr>
              <w:spacing w:line="240" w:lineRule="auto"/>
              <w:rPr>
                <w:rFonts w:ascii="宋体"/>
                <w:sz w:val="18"/>
                <w:szCs w:val="18"/>
              </w:rPr>
            </w:pPr>
          </w:p>
        </w:tc>
        <w:tc>
          <w:tcPr>
            <w:tcW w:w="1134" w:type="dxa"/>
            <w:gridSpan w:val="2"/>
            <w:vAlign w:val="center"/>
          </w:tcPr>
          <w:p w14:paraId="05BC1B17">
            <w:pPr>
              <w:spacing w:line="240" w:lineRule="auto"/>
              <w:rPr>
                <w:rFonts w:ascii="宋体"/>
                <w:sz w:val="18"/>
                <w:szCs w:val="18"/>
              </w:rPr>
            </w:pPr>
          </w:p>
        </w:tc>
      </w:tr>
      <w:tr w14:paraId="18956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3" w:type="dxa"/>
            <w:vMerge w:val="restart"/>
            <w:vAlign w:val="center"/>
          </w:tcPr>
          <w:p w14:paraId="5DEE611B">
            <w:pPr>
              <w:spacing w:line="240" w:lineRule="auto"/>
              <w:jc w:val="center"/>
              <w:rPr>
                <w:rFonts w:ascii="宋体"/>
                <w:sz w:val="18"/>
                <w:szCs w:val="18"/>
              </w:rPr>
            </w:pPr>
            <w:r>
              <w:rPr>
                <w:rFonts w:hint="eastAsia" w:ascii="宋体"/>
                <w:sz w:val="18"/>
                <w:szCs w:val="18"/>
              </w:rPr>
              <w:t>5</w:t>
            </w:r>
          </w:p>
        </w:tc>
        <w:tc>
          <w:tcPr>
            <w:tcW w:w="2552" w:type="dxa"/>
            <w:gridSpan w:val="6"/>
            <w:vMerge w:val="restart"/>
            <w:vAlign w:val="center"/>
          </w:tcPr>
          <w:p w14:paraId="1D10341C">
            <w:pPr>
              <w:spacing w:line="240" w:lineRule="auto"/>
              <w:rPr>
                <w:rFonts w:ascii="宋体"/>
                <w:sz w:val="18"/>
                <w:szCs w:val="18"/>
              </w:rPr>
            </w:pPr>
            <w:r>
              <w:rPr>
                <w:rFonts w:hint="eastAsia" w:ascii="宋体"/>
                <w:sz w:val="18"/>
                <w:szCs w:val="18"/>
              </w:rPr>
              <w:t>轨道铺设</w:t>
            </w:r>
          </w:p>
        </w:tc>
        <w:tc>
          <w:tcPr>
            <w:tcW w:w="3683" w:type="dxa"/>
            <w:gridSpan w:val="8"/>
            <w:vAlign w:val="center"/>
          </w:tcPr>
          <w:p w14:paraId="11ABCDD9">
            <w:pPr>
              <w:spacing w:line="240" w:lineRule="auto"/>
              <w:rPr>
                <w:rFonts w:ascii="宋体"/>
                <w:sz w:val="18"/>
                <w:szCs w:val="18"/>
              </w:rPr>
            </w:pPr>
            <w:r>
              <w:rPr>
                <w:rFonts w:hint="eastAsia" w:ascii="宋体"/>
                <w:sz w:val="18"/>
                <w:szCs w:val="18"/>
              </w:rPr>
              <w:t>轨道铺设必须牢固可靠</w:t>
            </w:r>
          </w:p>
        </w:tc>
        <w:tc>
          <w:tcPr>
            <w:tcW w:w="995" w:type="dxa"/>
            <w:gridSpan w:val="2"/>
            <w:vAlign w:val="center"/>
          </w:tcPr>
          <w:p w14:paraId="0704AFBD">
            <w:pPr>
              <w:spacing w:line="240" w:lineRule="auto"/>
              <w:rPr>
                <w:rFonts w:ascii="宋体"/>
                <w:sz w:val="18"/>
                <w:szCs w:val="18"/>
              </w:rPr>
            </w:pPr>
          </w:p>
        </w:tc>
        <w:tc>
          <w:tcPr>
            <w:tcW w:w="1134" w:type="dxa"/>
            <w:gridSpan w:val="2"/>
            <w:vAlign w:val="center"/>
          </w:tcPr>
          <w:p w14:paraId="59D69816">
            <w:pPr>
              <w:spacing w:line="240" w:lineRule="auto"/>
              <w:rPr>
                <w:rFonts w:ascii="宋体"/>
                <w:sz w:val="18"/>
                <w:szCs w:val="18"/>
              </w:rPr>
            </w:pPr>
          </w:p>
        </w:tc>
      </w:tr>
      <w:tr w14:paraId="71BA5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3" w:type="dxa"/>
            <w:vMerge w:val="continue"/>
            <w:vAlign w:val="center"/>
          </w:tcPr>
          <w:p w14:paraId="36A4D5E3">
            <w:pPr>
              <w:spacing w:line="240" w:lineRule="auto"/>
              <w:jc w:val="center"/>
              <w:rPr>
                <w:rFonts w:ascii="宋体"/>
                <w:sz w:val="18"/>
                <w:szCs w:val="18"/>
              </w:rPr>
            </w:pPr>
          </w:p>
        </w:tc>
        <w:tc>
          <w:tcPr>
            <w:tcW w:w="2552" w:type="dxa"/>
            <w:gridSpan w:val="6"/>
            <w:vMerge w:val="continue"/>
            <w:vAlign w:val="center"/>
          </w:tcPr>
          <w:p w14:paraId="6CAE2E71">
            <w:pPr>
              <w:spacing w:line="240" w:lineRule="auto"/>
              <w:rPr>
                <w:rFonts w:ascii="宋体"/>
                <w:sz w:val="18"/>
                <w:szCs w:val="18"/>
              </w:rPr>
            </w:pPr>
          </w:p>
        </w:tc>
        <w:tc>
          <w:tcPr>
            <w:tcW w:w="3683" w:type="dxa"/>
            <w:gridSpan w:val="8"/>
            <w:vAlign w:val="center"/>
          </w:tcPr>
          <w:p w14:paraId="7138A21A">
            <w:pPr>
              <w:spacing w:line="240" w:lineRule="auto"/>
              <w:rPr>
                <w:rFonts w:ascii="宋体"/>
                <w:sz w:val="18"/>
                <w:szCs w:val="18"/>
              </w:rPr>
            </w:pPr>
            <w:r>
              <w:rPr>
                <w:rFonts w:hint="eastAsia" w:ascii="宋体"/>
                <w:sz w:val="18"/>
                <w:szCs w:val="18"/>
              </w:rPr>
              <w:t>固定螺栓紧固、齐全并防松</w:t>
            </w:r>
          </w:p>
        </w:tc>
        <w:tc>
          <w:tcPr>
            <w:tcW w:w="995" w:type="dxa"/>
            <w:gridSpan w:val="2"/>
            <w:vAlign w:val="center"/>
          </w:tcPr>
          <w:p w14:paraId="24AFC5CB">
            <w:pPr>
              <w:spacing w:line="240" w:lineRule="auto"/>
              <w:rPr>
                <w:rFonts w:ascii="宋体"/>
                <w:sz w:val="18"/>
                <w:szCs w:val="18"/>
              </w:rPr>
            </w:pPr>
          </w:p>
        </w:tc>
        <w:tc>
          <w:tcPr>
            <w:tcW w:w="1134" w:type="dxa"/>
            <w:gridSpan w:val="2"/>
            <w:vAlign w:val="center"/>
          </w:tcPr>
          <w:p w14:paraId="0643CA73">
            <w:pPr>
              <w:spacing w:line="240" w:lineRule="auto"/>
              <w:rPr>
                <w:rFonts w:ascii="宋体"/>
                <w:sz w:val="18"/>
                <w:szCs w:val="18"/>
              </w:rPr>
            </w:pPr>
          </w:p>
        </w:tc>
      </w:tr>
      <w:tr w14:paraId="246E7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3" w:type="dxa"/>
            <w:vMerge w:val="restart"/>
            <w:vAlign w:val="center"/>
          </w:tcPr>
          <w:p w14:paraId="15DFC45D">
            <w:pPr>
              <w:spacing w:line="240" w:lineRule="auto"/>
              <w:jc w:val="center"/>
              <w:rPr>
                <w:rFonts w:ascii="宋体"/>
                <w:sz w:val="18"/>
                <w:szCs w:val="18"/>
              </w:rPr>
            </w:pPr>
            <w:r>
              <w:rPr>
                <w:rFonts w:hint="eastAsia" w:ascii="宋体"/>
                <w:sz w:val="18"/>
                <w:szCs w:val="18"/>
              </w:rPr>
              <w:t>6</w:t>
            </w:r>
          </w:p>
        </w:tc>
        <w:tc>
          <w:tcPr>
            <w:tcW w:w="2552" w:type="dxa"/>
            <w:gridSpan w:val="6"/>
            <w:vMerge w:val="restart"/>
            <w:vAlign w:val="center"/>
          </w:tcPr>
          <w:p w14:paraId="447CDBC2">
            <w:pPr>
              <w:spacing w:line="240" w:lineRule="auto"/>
              <w:rPr>
                <w:rFonts w:ascii="宋体"/>
                <w:sz w:val="18"/>
                <w:szCs w:val="18"/>
              </w:rPr>
            </w:pPr>
            <w:r>
              <w:rPr>
                <w:rFonts w:hint="eastAsia" w:ascii="宋体"/>
                <w:sz w:val="18"/>
                <w:szCs w:val="18"/>
              </w:rPr>
              <w:t>钢轨</w:t>
            </w:r>
          </w:p>
        </w:tc>
        <w:tc>
          <w:tcPr>
            <w:tcW w:w="3683" w:type="dxa"/>
            <w:gridSpan w:val="8"/>
            <w:vAlign w:val="center"/>
          </w:tcPr>
          <w:p w14:paraId="05076F42">
            <w:pPr>
              <w:spacing w:line="240" w:lineRule="auto"/>
              <w:rPr>
                <w:rFonts w:ascii="宋体"/>
                <w:sz w:val="18"/>
                <w:szCs w:val="18"/>
              </w:rPr>
            </w:pPr>
            <w:r>
              <w:rPr>
                <w:rFonts w:hint="eastAsia" w:ascii="宋体"/>
                <w:sz w:val="18"/>
                <w:szCs w:val="18"/>
              </w:rPr>
              <w:t>清洁、无裂纹</w:t>
            </w:r>
          </w:p>
        </w:tc>
        <w:tc>
          <w:tcPr>
            <w:tcW w:w="995" w:type="dxa"/>
            <w:gridSpan w:val="2"/>
            <w:vAlign w:val="center"/>
          </w:tcPr>
          <w:p w14:paraId="0943D8EC">
            <w:pPr>
              <w:spacing w:line="240" w:lineRule="auto"/>
              <w:rPr>
                <w:rFonts w:ascii="宋体"/>
                <w:sz w:val="18"/>
                <w:szCs w:val="18"/>
              </w:rPr>
            </w:pPr>
          </w:p>
        </w:tc>
        <w:tc>
          <w:tcPr>
            <w:tcW w:w="1134" w:type="dxa"/>
            <w:gridSpan w:val="2"/>
            <w:vAlign w:val="center"/>
          </w:tcPr>
          <w:p w14:paraId="0AE59414">
            <w:pPr>
              <w:spacing w:line="240" w:lineRule="auto"/>
              <w:rPr>
                <w:rFonts w:ascii="宋体"/>
                <w:sz w:val="18"/>
                <w:szCs w:val="18"/>
              </w:rPr>
            </w:pPr>
          </w:p>
        </w:tc>
      </w:tr>
      <w:tr w14:paraId="58FFE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3" w:type="dxa"/>
            <w:vMerge w:val="continue"/>
            <w:vAlign w:val="center"/>
          </w:tcPr>
          <w:p w14:paraId="3D86206B">
            <w:pPr>
              <w:spacing w:line="240" w:lineRule="auto"/>
              <w:rPr>
                <w:rFonts w:ascii="宋体"/>
                <w:sz w:val="18"/>
                <w:szCs w:val="18"/>
              </w:rPr>
            </w:pPr>
          </w:p>
        </w:tc>
        <w:tc>
          <w:tcPr>
            <w:tcW w:w="2552" w:type="dxa"/>
            <w:gridSpan w:val="6"/>
            <w:vMerge w:val="continue"/>
            <w:vAlign w:val="center"/>
          </w:tcPr>
          <w:p w14:paraId="5D96870E">
            <w:pPr>
              <w:spacing w:line="240" w:lineRule="auto"/>
              <w:rPr>
                <w:rFonts w:ascii="宋体"/>
                <w:sz w:val="18"/>
                <w:szCs w:val="18"/>
              </w:rPr>
            </w:pPr>
          </w:p>
        </w:tc>
        <w:tc>
          <w:tcPr>
            <w:tcW w:w="3683" w:type="dxa"/>
            <w:gridSpan w:val="8"/>
            <w:vAlign w:val="center"/>
          </w:tcPr>
          <w:p w14:paraId="72C80A49">
            <w:pPr>
              <w:spacing w:line="240" w:lineRule="auto"/>
              <w:rPr>
                <w:rFonts w:ascii="宋体"/>
                <w:sz w:val="18"/>
                <w:szCs w:val="18"/>
              </w:rPr>
            </w:pPr>
            <w:r>
              <w:rPr>
                <w:rFonts w:hint="eastAsia" w:ascii="宋体"/>
                <w:sz w:val="18"/>
                <w:szCs w:val="18"/>
              </w:rPr>
              <w:t>同一轨道规格、型号应相同</w:t>
            </w:r>
          </w:p>
        </w:tc>
        <w:tc>
          <w:tcPr>
            <w:tcW w:w="995" w:type="dxa"/>
            <w:gridSpan w:val="2"/>
            <w:vAlign w:val="center"/>
          </w:tcPr>
          <w:p w14:paraId="7F3F896D">
            <w:pPr>
              <w:spacing w:line="240" w:lineRule="auto"/>
              <w:rPr>
                <w:rFonts w:ascii="宋体"/>
                <w:sz w:val="18"/>
                <w:szCs w:val="18"/>
              </w:rPr>
            </w:pPr>
          </w:p>
        </w:tc>
        <w:tc>
          <w:tcPr>
            <w:tcW w:w="1134" w:type="dxa"/>
            <w:gridSpan w:val="2"/>
            <w:vAlign w:val="center"/>
          </w:tcPr>
          <w:p w14:paraId="438824FE">
            <w:pPr>
              <w:spacing w:line="240" w:lineRule="auto"/>
              <w:rPr>
                <w:rFonts w:ascii="宋体"/>
                <w:sz w:val="18"/>
                <w:szCs w:val="18"/>
              </w:rPr>
            </w:pPr>
          </w:p>
        </w:tc>
      </w:tr>
      <w:tr w14:paraId="7E949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3" w:type="dxa"/>
            <w:vMerge w:val="continue"/>
            <w:vAlign w:val="center"/>
          </w:tcPr>
          <w:p w14:paraId="6CD911D4">
            <w:pPr>
              <w:spacing w:line="240" w:lineRule="auto"/>
              <w:rPr>
                <w:rFonts w:ascii="宋体"/>
                <w:sz w:val="18"/>
                <w:szCs w:val="18"/>
              </w:rPr>
            </w:pPr>
          </w:p>
        </w:tc>
        <w:tc>
          <w:tcPr>
            <w:tcW w:w="2552" w:type="dxa"/>
            <w:gridSpan w:val="6"/>
            <w:vMerge w:val="continue"/>
            <w:vAlign w:val="center"/>
          </w:tcPr>
          <w:p w14:paraId="5E8DEF12">
            <w:pPr>
              <w:spacing w:line="240" w:lineRule="auto"/>
              <w:rPr>
                <w:rFonts w:ascii="宋体"/>
                <w:sz w:val="18"/>
                <w:szCs w:val="18"/>
              </w:rPr>
            </w:pPr>
          </w:p>
        </w:tc>
        <w:tc>
          <w:tcPr>
            <w:tcW w:w="3683" w:type="dxa"/>
            <w:gridSpan w:val="8"/>
            <w:vAlign w:val="center"/>
          </w:tcPr>
          <w:p w14:paraId="06196587">
            <w:pPr>
              <w:spacing w:line="240" w:lineRule="auto"/>
              <w:rPr>
                <w:rFonts w:ascii="宋体"/>
                <w:sz w:val="18"/>
                <w:szCs w:val="18"/>
              </w:rPr>
            </w:pPr>
            <w:r>
              <w:rPr>
                <w:rFonts w:hint="eastAsia" w:ascii="宋体"/>
                <w:sz w:val="18"/>
                <w:szCs w:val="18"/>
              </w:rPr>
              <w:t>表面磨损不得超过</w:t>
            </w:r>
            <w:r>
              <w:rPr>
                <w:rFonts w:ascii="宋体"/>
                <w:sz w:val="18"/>
                <w:szCs w:val="18"/>
              </w:rPr>
              <w:t>3mm</w:t>
            </w:r>
          </w:p>
        </w:tc>
        <w:tc>
          <w:tcPr>
            <w:tcW w:w="995" w:type="dxa"/>
            <w:gridSpan w:val="2"/>
            <w:vAlign w:val="center"/>
          </w:tcPr>
          <w:p w14:paraId="1758934F">
            <w:pPr>
              <w:spacing w:line="240" w:lineRule="auto"/>
              <w:rPr>
                <w:rFonts w:ascii="宋体"/>
                <w:sz w:val="18"/>
                <w:szCs w:val="18"/>
              </w:rPr>
            </w:pPr>
          </w:p>
        </w:tc>
        <w:tc>
          <w:tcPr>
            <w:tcW w:w="1134" w:type="dxa"/>
            <w:gridSpan w:val="2"/>
            <w:vAlign w:val="center"/>
          </w:tcPr>
          <w:p w14:paraId="3C17F812">
            <w:pPr>
              <w:spacing w:line="240" w:lineRule="auto"/>
              <w:rPr>
                <w:rFonts w:ascii="宋体"/>
                <w:sz w:val="18"/>
                <w:szCs w:val="18"/>
              </w:rPr>
            </w:pPr>
          </w:p>
        </w:tc>
      </w:tr>
      <w:tr w14:paraId="4A93E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067" w:type="dxa"/>
            <w:gridSpan w:val="19"/>
            <w:vAlign w:val="center"/>
          </w:tcPr>
          <w:p w14:paraId="24903026">
            <w:pPr>
              <w:spacing w:line="240" w:lineRule="auto"/>
              <w:rPr>
                <w:rFonts w:ascii="宋体"/>
                <w:sz w:val="18"/>
                <w:szCs w:val="18"/>
              </w:rPr>
            </w:pPr>
            <w:r>
              <w:rPr>
                <w:rFonts w:hint="eastAsia" w:ascii="宋体"/>
                <w:sz w:val="18"/>
                <w:szCs w:val="18"/>
              </w:rPr>
              <w:t xml:space="preserve">                      测量记录（</w:t>
            </w:r>
            <w:r>
              <w:rPr>
                <w:rFonts w:ascii="宋体"/>
                <w:sz w:val="18"/>
                <w:szCs w:val="18"/>
              </w:rPr>
              <w:t>mm</w:t>
            </w:r>
            <w:r>
              <w:rPr>
                <w:rFonts w:hint="eastAsia" w:ascii="宋体"/>
                <w:sz w:val="18"/>
                <w:szCs w:val="18"/>
              </w:rPr>
              <w:t>）              测量人：</w:t>
            </w:r>
          </w:p>
        </w:tc>
      </w:tr>
      <w:tr w14:paraId="547F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jc w:val="center"/>
        </w:trPr>
        <w:tc>
          <w:tcPr>
            <w:tcW w:w="1470" w:type="dxa"/>
            <w:gridSpan w:val="3"/>
            <w:tcBorders>
              <w:tl2br w:val="single" w:color="auto" w:sz="4" w:space="0"/>
            </w:tcBorders>
          </w:tcPr>
          <w:p w14:paraId="27D99542">
            <w:pPr>
              <w:spacing w:line="240" w:lineRule="auto"/>
              <w:rPr>
                <w:rFonts w:ascii="宋体"/>
                <w:sz w:val="18"/>
                <w:szCs w:val="18"/>
              </w:rPr>
            </w:pPr>
            <w:r>
              <w:rPr>
                <w:rFonts w:hint="eastAsia" w:ascii="宋体"/>
                <w:sz w:val="18"/>
                <w:szCs w:val="18"/>
              </w:rPr>
              <w:t xml:space="preserve">        测 点</w:t>
            </w:r>
          </w:p>
          <w:p w14:paraId="613FBCF2">
            <w:pPr>
              <w:spacing w:line="240" w:lineRule="auto"/>
              <w:rPr>
                <w:rFonts w:ascii="宋体"/>
                <w:sz w:val="18"/>
                <w:szCs w:val="18"/>
              </w:rPr>
            </w:pPr>
            <w:r>
              <w:rPr>
                <w:rFonts w:hint="eastAsia" w:ascii="宋体"/>
                <w:sz w:val="18"/>
                <w:szCs w:val="18"/>
              </w:rPr>
              <w:t>项 目</w:t>
            </w:r>
          </w:p>
        </w:tc>
        <w:tc>
          <w:tcPr>
            <w:tcW w:w="538" w:type="dxa"/>
            <w:tcBorders>
              <w:bottom w:val="nil"/>
            </w:tcBorders>
            <w:vAlign w:val="center"/>
          </w:tcPr>
          <w:p w14:paraId="6540840D">
            <w:pPr>
              <w:spacing w:line="240" w:lineRule="auto"/>
              <w:rPr>
                <w:rFonts w:ascii="宋体"/>
                <w:sz w:val="18"/>
                <w:szCs w:val="18"/>
              </w:rPr>
            </w:pPr>
            <w:r>
              <w:rPr>
                <w:rFonts w:hint="eastAsia" w:ascii="宋体"/>
                <w:sz w:val="18"/>
                <w:szCs w:val="18"/>
              </w:rPr>
              <w:t>1</w:t>
            </w:r>
          </w:p>
        </w:tc>
        <w:tc>
          <w:tcPr>
            <w:tcW w:w="538" w:type="dxa"/>
            <w:tcBorders>
              <w:bottom w:val="nil"/>
            </w:tcBorders>
            <w:vAlign w:val="center"/>
          </w:tcPr>
          <w:p w14:paraId="7716D564">
            <w:pPr>
              <w:spacing w:line="240" w:lineRule="auto"/>
              <w:rPr>
                <w:rFonts w:ascii="宋体"/>
                <w:sz w:val="18"/>
                <w:szCs w:val="18"/>
              </w:rPr>
            </w:pPr>
            <w:r>
              <w:rPr>
                <w:rFonts w:hint="eastAsia" w:ascii="宋体"/>
                <w:sz w:val="18"/>
                <w:szCs w:val="18"/>
              </w:rPr>
              <w:t>2</w:t>
            </w:r>
          </w:p>
        </w:tc>
        <w:tc>
          <w:tcPr>
            <w:tcW w:w="538" w:type="dxa"/>
            <w:tcBorders>
              <w:bottom w:val="nil"/>
            </w:tcBorders>
            <w:vAlign w:val="center"/>
          </w:tcPr>
          <w:p w14:paraId="42054208">
            <w:pPr>
              <w:spacing w:line="240" w:lineRule="auto"/>
              <w:rPr>
                <w:rFonts w:ascii="宋体"/>
                <w:sz w:val="18"/>
                <w:szCs w:val="18"/>
              </w:rPr>
            </w:pPr>
            <w:r>
              <w:rPr>
                <w:rFonts w:hint="eastAsia" w:ascii="宋体"/>
                <w:sz w:val="18"/>
                <w:szCs w:val="18"/>
              </w:rPr>
              <w:t>3</w:t>
            </w:r>
          </w:p>
        </w:tc>
        <w:tc>
          <w:tcPr>
            <w:tcW w:w="538" w:type="dxa"/>
            <w:gridSpan w:val="2"/>
            <w:tcBorders>
              <w:bottom w:val="nil"/>
            </w:tcBorders>
            <w:vAlign w:val="center"/>
          </w:tcPr>
          <w:p w14:paraId="5EC30B8A">
            <w:pPr>
              <w:spacing w:line="240" w:lineRule="auto"/>
              <w:rPr>
                <w:rFonts w:ascii="宋体"/>
                <w:sz w:val="18"/>
                <w:szCs w:val="18"/>
              </w:rPr>
            </w:pPr>
            <w:r>
              <w:rPr>
                <w:rFonts w:hint="eastAsia" w:ascii="宋体"/>
                <w:sz w:val="18"/>
                <w:szCs w:val="18"/>
              </w:rPr>
              <w:t>4</w:t>
            </w:r>
          </w:p>
        </w:tc>
        <w:tc>
          <w:tcPr>
            <w:tcW w:w="538" w:type="dxa"/>
            <w:tcBorders>
              <w:bottom w:val="nil"/>
            </w:tcBorders>
            <w:vAlign w:val="center"/>
          </w:tcPr>
          <w:p w14:paraId="7B9E96C7">
            <w:pPr>
              <w:spacing w:line="240" w:lineRule="auto"/>
              <w:rPr>
                <w:rFonts w:ascii="宋体"/>
                <w:sz w:val="18"/>
                <w:szCs w:val="18"/>
              </w:rPr>
            </w:pPr>
            <w:r>
              <w:rPr>
                <w:rFonts w:hint="eastAsia" w:ascii="宋体"/>
                <w:sz w:val="18"/>
                <w:szCs w:val="18"/>
              </w:rPr>
              <w:t>5</w:t>
            </w:r>
          </w:p>
        </w:tc>
        <w:tc>
          <w:tcPr>
            <w:tcW w:w="538" w:type="dxa"/>
            <w:tcBorders>
              <w:bottom w:val="nil"/>
            </w:tcBorders>
            <w:vAlign w:val="center"/>
          </w:tcPr>
          <w:p w14:paraId="0E0B54D8">
            <w:pPr>
              <w:spacing w:line="240" w:lineRule="auto"/>
              <w:rPr>
                <w:rFonts w:ascii="宋体"/>
                <w:sz w:val="18"/>
                <w:szCs w:val="18"/>
              </w:rPr>
            </w:pPr>
            <w:r>
              <w:rPr>
                <w:rFonts w:hint="eastAsia" w:ascii="宋体"/>
                <w:sz w:val="18"/>
                <w:szCs w:val="18"/>
              </w:rPr>
              <w:t>6</w:t>
            </w:r>
          </w:p>
        </w:tc>
        <w:tc>
          <w:tcPr>
            <w:tcW w:w="538" w:type="dxa"/>
            <w:tcBorders>
              <w:bottom w:val="nil"/>
            </w:tcBorders>
            <w:vAlign w:val="center"/>
          </w:tcPr>
          <w:p w14:paraId="63C2A261">
            <w:pPr>
              <w:spacing w:line="240" w:lineRule="auto"/>
              <w:rPr>
                <w:rFonts w:ascii="宋体"/>
                <w:sz w:val="18"/>
                <w:szCs w:val="18"/>
              </w:rPr>
            </w:pPr>
            <w:r>
              <w:rPr>
                <w:rFonts w:hint="eastAsia" w:ascii="宋体"/>
                <w:sz w:val="18"/>
                <w:szCs w:val="18"/>
              </w:rPr>
              <w:t>7</w:t>
            </w:r>
          </w:p>
        </w:tc>
        <w:tc>
          <w:tcPr>
            <w:tcW w:w="539" w:type="dxa"/>
            <w:tcBorders>
              <w:bottom w:val="nil"/>
            </w:tcBorders>
            <w:vAlign w:val="center"/>
          </w:tcPr>
          <w:p w14:paraId="3CDC611E">
            <w:pPr>
              <w:spacing w:line="240" w:lineRule="auto"/>
              <w:rPr>
                <w:rFonts w:ascii="宋体"/>
                <w:sz w:val="18"/>
                <w:szCs w:val="18"/>
              </w:rPr>
            </w:pPr>
            <w:r>
              <w:rPr>
                <w:rFonts w:hint="eastAsia" w:ascii="宋体"/>
                <w:sz w:val="18"/>
                <w:szCs w:val="18"/>
              </w:rPr>
              <w:t>8</w:t>
            </w:r>
          </w:p>
        </w:tc>
        <w:tc>
          <w:tcPr>
            <w:tcW w:w="538" w:type="dxa"/>
            <w:tcBorders>
              <w:bottom w:val="nil"/>
            </w:tcBorders>
            <w:vAlign w:val="center"/>
          </w:tcPr>
          <w:p w14:paraId="6D869BBB">
            <w:pPr>
              <w:spacing w:line="240" w:lineRule="auto"/>
              <w:rPr>
                <w:rFonts w:ascii="宋体"/>
                <w:sz w:val="18"/>
                <w:szCs w:val="18"/>
              </w:rPr>
            </w:pPr>
            <w:r>
              <w:rPr>
                <w:rFonts w:hint="eastAsia" w:ascii="宋体"/>
                <w:sz w:val="18"/>
                <w:szCs w:val="18"/>
              </w:rPr>
              <w:t>9</w:t>
            </w:r>
          </w:p>
        </w:tc>
        <w:tc>
          <w:tcPr>
            <w:tcW w:w="538" w:type="dxa"/>
            <w:tcBorders>
              <w:bottom w:val="nil"/>
            </w:tcBorders>
            <w:vAlign w:val="center"/>
          </w:tcPr>
          <w:p w14:paraId="60113AFC">
            <w:pPr>
              <w:spacing w:line="240" w:lineRule="auto"/>
              <w:rPr>
                <w:rFonts w:ascii="宋体"/>
                <w:sz w:val="18"/>
                <w:szCs w:val="18"/>
              </w:rPr>
            </w:pPr>
            <w:r>
              <w:rPr>
                <w:rFonts w:hint="eastAsia" w:ascii="宋体"/>
                <w:sz w:val="18"/>
                <w:szCs w:val="18"/>
              </w:rPr>
              <w:t>10</w:t>
            </w:r>
          </w:p>
        </w:tc>
        <w:tc>
          <w:tcPr>
            <w:tcW w:w="538" w:type="dxa"/>
            <w:gridSpan w:val="2"/>
            <w:tcBorders>
              <w:bottom w:val="nil"/>
            </w:tcBorders>
            <w:vAlign w:val="center"/>
          </w:tcPr>
          <w:p w14:paraId="1010BEAD">
            <w:pPr>
              <w:spacing w:line="240" w:lineRule="auto"/>
              <w:rPr>
                <w:rFonts w:ascii="宋体"/>
                <w:sz w:val="18"/>
                <w:szCs w:val="18"/>
              </w:rPr>
            </w:pPr>
            <w:r>
              <w:rPr>
                <w:rFonts w:hint="eastAsia" w:ascii="宋体"/>
                <w:sz w:val="18"/>
                <w:szCs w:val="18"/>
              </w:rPr>
              <w:t>11</w:t>
            </w:r>
          </w:p>
        </w:tc>
        <w:tc>
          <w:tcPr>
            <w:tcW w:w="544" w:type="dxa"/>
            <w:tcBorders>
              <w:bottom w:val="nil"/>
            </w:tcBorders>
            <w:vAlign w:val="center"/>
          </w:tcPr>
          <w:p w14:paraId="6D6FA040">
            <w:pPr>
              <w:spacing w:line="240" w:lineRule="auto"/>
              <w:rPr>
                <w:rFonts w:ascii="宋体"/>
                <w:sz w:val="18"/>
                <w:szCs w:val="18"/>
              </w:rPr>
            </w:pPr>
            <w:r>
              <w:rPr>
                <w:rFonts w:hint="eastAsia" w:ascii="宋体"/>
                <w:sz w:val="18"/>
                <w:szCs w:val="18"/>
              </w:rPr>
              <w:t>12</w:t>
            </w:r>
          </w:p>
        </w:tc>
        <w:tc>
          <w:tcPr>
            <w:tcW w:w="535" w:type="dxa"/>
            <w:tcBorders>
              <w:bottom w:val="nil"/>
            </w:tcBorders>
            <w:vAlign w:val="center"/>
          </w:tcPr>
          <w:p w14:paraId="6E63BA4C">
            <w:pPr>
              <w:spacing w:line="240" w:lineRule="auto"/>
              <w:rPr>
                <w:rFonts w:ascii="宋体"/>
                <w:sz w:val="18"/>
                <w:szCs w:val="18"/>
              </w:rPr>
            </w:pPr>
            <w:r>
              <w:rPr>
                <w:rFonts w:hint="eastAsia" w:ascii="宋体"/>
                <w:sz w:val="18"/>
                <w:szCs w:val="18"/>
              </w:rPr>
              <w:t>13</w:t>
            </w:r>
          </w:p>
        </w:tc>
        <w:tc>
          <w:tcPr>
            <w:tcW w:w="599" w:type="dxa"/>
            <w:tcBorders>
              <w:bottom w:val="nil"/>
            </w:tcBorders>
            <w:vAlign w:val="center"/>
          </w:tcPr>
          <w:p w14:paraId="02EEE9FA">
            <w:pPr>
              <w:spacing w:line="240" w:lineRule="auto"/>
              <w:rPr>
                <w:rFonts w:ascii="宋体"/>
                <w:sz w:val="18"/>
                <w:szCs w:val="18"/>
              </w:rPr>
            </w:pPr>
            <w:r>
              <w:rPr>
                <w:rFonts w:hint="eastAsia" w:ascii="宋体"/>
                <w:sz w:val="18"/>
                <w:szCs w:val="18"/>
              </w:rPr>
              <w:t>14</w:t>
            </w:r>
          </w:p>
        </w:tc>
      </w:tr>
      <w:tr w14:paraId="37A4E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70" w:type="dxa"/>
            <w:gridSpan w:val="3"/>
            <w:vAlign w:val="center"/>
          </w:tcPr>
          <w:p w14:paraId="3BCB89DC">
            <w:pPr>
              <w:spacing w:line="240" w:lineRule="auto"/>
              <w:rPr>
                <w:rFonts w:ascii="宋体"/>
                <w:sz w:val="18"/>
                <w:szCs w:val="18"/>
              </w:rPr>
            </w:pPr>
            <w:r>
              <w:rPr>
                <w:rFonts w:hint="eastAsia" w:ascii="宋体"/>
                <w:sz w:val="18"/>
                <w:szCs w:val="18"/>
              </w:rPr>
              <w:t>轨 距 差</w:t>
            </w:r>
          </w:p>
        </w:tc>
        <w:tc>
          <w:tcPr>
            <w:tcW w:w="538" w:type="dxa"/>
            <w:vAlign w:val="center"/>
          </w:tcPr>
          <w:p w14:paraId="0A748EE6">
            <w:pPr>
              <w:spacing w:line="240" w:lineRule="auto"/>
              <w:rPr>
                <w:rFonts w:ascii="宋体"/>
                <w:sz w:val="18"/>
                <w:szCs w:val="18"/>
              </w:rPr>
            </w:pPr>
          </w:p>
        </w:tc>
        <w:tc>
          <w:tcPr>
            <w:tcW w:w="538" w:type="dxa"/>
            <w:vAlign w:val="center"/>
          </w:tcPr>
          <w:p w14:paraId="349AB618">
            <w:pPr>
              <w:spacing w:line="240" w:lineRule="auto"/>
              <w:rPr>
                <w:rFonts w:ascii="宋体"/>
                <w:sz w:val="18"/>
                <w:szCs w:val="18"/>
              </w:rPr>
            </w:pPr>
          </w:p>
        </w:tc>
        <w:tc>
          <w:tcPr>
            <w:tcW w:w="538" w:type="dxa"/>
            <w:vAlign w:val="center"/>
          </w:tcPr>
          <w:p w14:paraId="2E487476">
            <w:pPr>
              <w:spacing w:line="240" w:lineRule="auto"/>
              <w:rPr>
                <w:rFonts w:ascii="宋体"/>
                <w:sz w:val="18"/>
                <w:szCs w:val="18"/>
              </w:rPr>
            </w:pPr>
          </w:p>
        </w:tc>
        <w:tc>
          <w:tcPr>
            <w:tcW w:w="538" w:type="dxa"/>
            <w:gridSpan w:val="2"/>
            <w:vAlign w:val="center"/>
          </w:tcPr>
          <w:p w14:paraId="2CA8A01F">
            <w:pPr>
              <w:spacing w:line="240" w:lineRule="auto"/>
              <w:rPr>
                <w:rFonts w:ascii="宋体"/>
                <w:sz w:val="18"/>
                <w:szCs w:val="18"/>
              </w:rPr>
            </w:pPr>
          </w:p>
        </w:tc>
        <w:tc>
          <w:tcPr>
            <w:tcW w:w="538" w:type="dxa"/>
            <w:vAlign w:val="center"/>
          </w:tcPr>
          <w:p w14:paraId="5C138327">
            <w:pPr>
              <w:spacing w:line="240" w:lineRule="auto"/>
              <w:rPr>
                <w:rFonts w:ascii="宋体"/>
                <w:sz w:val="18"/>
                <w:szCs w:val="18"/>
              </w:rPr>
            </w:pPr>
          </w:p>
        </w:tc>
        <w:tc>
          <w:tcPr>
            <w:tcW w:w="538" w:type="dxa"/>
            <w:vAlign w:val="center"/>
          </w:tcPr>
          <w:p w14:paraId="739B4A5A">
            <w:pPr>
              <w:spacing w:line="240" w:lineRule="auto"/>
              <w:rPr>
                <w:rFonts w:ascii="宋体"/>
                <w:sz w:val="18"/>
                <w:szCs w:val="18"/>
              </w:rPr>
            </w:pPr>
          </w:p>
        </w:tc>
        <w:tc>
          <w:tcPr>
            <w:tcW w:w="538" w:type="dxa"/>
            <w:vAlign w:val="center"/>
          </w:tcPr>
          <w:p w14:paraId="27806113">
            <w:pPr>
              <w:spacing w:line="240" w:lineRule="auto"/>
              <w:rPr>
                <w:rFonts w:ascii="宋体"/>
                <w:sz w:val="18"/>
                <w:szCs w:val="18"/>
              </w:rPr>
            </w:pPr>
          </w:p>
        </w:tc>
        <w:tc>
          <w:tcPr>
            <w:tcW w:w="539" w:type="dxa"/>
            <w:vAlign w:val="center"/>
          </w:tcPr>
          <w:p w14:paraId="0318CB7B">
            <w:pPr>
              <w:spacing w:line="240" w:lineRule="auto"/>
              <w:rPr>
                <w:rFonts w:ascii="宋体"/>
                <w:sz w:val="18"/>
                <w:szCs w:val="18"/>
              </w:rPr>
            </w:pPr>
          </w:p>
        </w:tc>
        <w:tc>
          <w:tcPr>
            <w:tcW w:w="538" w:type="dxa"/>
            <w:vAlign w:val="center"/>
          </w:tcPr>
          <w:p w14:paraId="6942DC49">
            <w:pPr>
              <w:spacing w:line="240" w:lineRule="auto"/>
              <w:rPr>
                <w:rFonts w:ascii="宋体"/>
                <w:sz w:val="18"/>
                <w:szCs w:val="18"/>
              </w:rPr>
            </w:pPr>
          </w:p>
        </w:tc>
        <w:tc>
          <w:tcPr>
            <w:tcW w:w="538" w:type="dxa"/>
            <w:vAlign w:val="center"/>
          </w:tcPr>
          <w:p w14:paraId="4509DBFA">
            <w:pPr>
              <w:spacing w:line="240" w:lineRule="auto"/>
              <w:rPr>
                <w:rFonts w:ascii="宋体"/>
                <w:sz w:val="18"/>
                <w:szCs w:val="18"/>
              </w:rPr>
            </w:pPr>
          </w:p>
        </w:tc>
        <w:tc>
          <w:tcPr>
            <w:tcW w:w="538" w:type="dxa"/>
            <w:gridSpan w:val="2"/>
            <w:vAlign w:val="center"/>
          </w:tcPr>
          <w:p w14:paraId="2648CF2D">
            <w:pPr>
              <w:spacing w:line="240" w:lineRule="auto"/>
              <w:rPr>
                <w:rFonts w:ascii="宋体"/>
                <w:sz w:val="18"/>
                <w:szCs w:val="18"/>
              </w:rPr>
            </w:pPr>
          </w:p>
        </w:tc>
        <w:tc>
          <w:tcPr>
            <w:tcW w:w="544" w:type="dxa"/>
            <w:vAlign w:val="center"/>
          </w:tcPr>
          <w:p w14:paraId="5240C484">
            <w:pPr>
              <w:spacing w:line="240" w:lineRule="auto"/>
              <w:rPr>
                <w:rFonts w:ascii="宋体"/>
                <w:sz w:val="18"/>
                <w:szCs w:val="18"/>
              </w:rPr>
            </w:pPr>
          </w:p>
        </w:tc>
        <w:tc>
          <w:tcPr>
            <w:tcW w:w="535" w:type="dxa"/>
            <w:vAlign w:val="center"/>
          </w:tcPr>
          <w:p w14:paraId="19BFED9F">
            <w:pPr>
              <w:spacing w:line="240" w:lineRule="auto"/>
              <w:rPr>
                <w:rFonts w:ascii="宋体"/>
                <w:sz w:val="18"/>
                <w:szCs w:val="18"/>
              </w:rPr>
            </w:pPr>
          </w:p>
        </w:tc>
        <w:tc>
          <w:tcPr>
            <w:tcW w:w="599" w:type="dxa"/>
            <w:vAlign w:val="center"/>
          </w:tcPr>
          <w:p w14:paraId="730BB54A">
            <w:pPr>
              <w:spacing w:line="240" w:lineRule="auto"/>
              <w:rPr>
                <w:rFonts w:ascii="宋体"/>
                <w:sz w:val="18"/>
                <w:szCs w:val="18"/>
              </w:rPr>
            </w:pPr>
          </w:p>
        </w:tc>
      </w:tr>
      <w:tr w14:paraId="3EE96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34" w:type="dxa"/>
            <w:gridSpan w:val="2"/>
            <w:vMerge w:val="restart"/>
            <w:vAlign w:val="center"/>
          </w:tcPr>
          <w:p w14:paraId="4D3D7C14">
            <w:pPr>
              <w:spacing w:line="240" w:lineRule="auto"/>
              <w:rPr>
                <w:rFonts w:ascii="宋体"/>
                <w:sz w:val="18"/>
                <w:szCs w:val="18"/>
              </w:rPr>
            </w:pPr>
            <w:r>
              <w:rPr>
                <w:rFonts w:hint="eastAsia" w:ascii="宋体"/>
                <w:sz w:val="18"/>
                <w:szCs w:val="18"/>
              </w:rPr>
              <w:t>纵向不平度</w:t>
            </w:r>
          </w:p>
        </w:tc>
        <w:tc>
          <w:tcPr>
            <w:tcW w:w="736" w:type="dxa"/>
            <w:vAlign w:val="center"/>
          </w:tcPr>
          <w:p w14:paraId="4ACDDA64">
            <w:pPr>
              <w:spacing w:line="240" w:lineRule="auto"/>
              <w:jc w:val="center"/>
              <w:rPr>
                <w:rFonts w:ascii="宋体"/>
                <w:sz w:val="18"/>
                <w:szCs w:val="18"/>
              </w:rPr>
            </w:pPr>
            <w:r>
              <w:rPr>
                <w:rFonts w:hint="eastAsia" w:ascii="宋体"/>
                <w:sz w:val="18"/>
                <w:szCs w:val="18"/>
              </w:rPr>
              <w:t>Ⅰ</w:t>
            </w:r>
          </w:p>
        </w:tc>
        <w:tc>
          <w:tcPr>
            <w:tcW w:w="538" w:type="dxa"/>
            <w:vAlign w:val="center"/>
          </w:tcPr>
          <w:p w14:paraId="564000F9">
            <w:pPr>
              <w:spacing w:line="240" w:lineRule="auto"/>
              <w:rPr>
                <w:rFonts w:ascii="宋体"/>
                <w:sz w:val="18"/>
                <w:szCs w:val="18"/>
              </w:rPr>
            </w:pPr>
          </w:p>
        </w:tc>
        <w:tc>
          <w:tcPr>
            <w:tcW w:w="538" w:type="dxa"/>
            <w:vAlign w:val="center"/>
          </w:tcPr>
          <w:p w14:paraId="707237B5">
            <w:pPr>
              <w:spacing w:line="240" w:lineRule="auto"/>
              <w:rPr>
                <w:rFonts w:ascii="宋体"/>
                <w:sz w:val="18"/>
                <w:szCs w:val="18"/>
              </w:rPr>
            </w:pPr>
          </w:p>
        </w:tc>
        <w:tc>
          <w:tcPr>
            <w:tcW w:w="538" w:type="dxa"/>
            <w:vAlign w:val="center"/>
          </w:tcPr>
          <w:p w14:paraId="68D00021">
            <w:pPr>
              <w:spacing w:line="240" w:lineRule="auto"/>
              <w:rPr>
                <w:rFonts w:ascii="宋体"/>
                <w:sz w:val="18"/>
                <w:szCs w:val="18"/>
              </w:rPr>
            </w:pPr>
          </w:p>
        </w:tc>
        <w:tc>
          <w:tcPr>
            <w:tcW w:w="538" w:type="dxa"/>
            <w:gridSpan w:val="2"/>
            <w:vAlign w:val="center"/>
          </w:tcPr>
          <w:p w14:paraId="0EA1E90D">
            <w:pPr>
              <w:spacing w:line="240" w:lineRule="auto"/>
              <w:rPr>
                <w:rFonts w:ascii="宋体"/>
                <w:sz w:val="18"/>
                <w:szCs w:val="18"/>
              </w:rPr>
            </w:pPr>
          </w:p>
        </w:tc>
        <w:tc>
          <w:tcPr>
            <w:tcW w:w="538" w:type="dxa"/>
            <w:vAlign w:val="center"/>
          </w:tcPr>
          <w:p w14:paraId="7476633F">
            <w:pPr>
              <w:spacing w:line="240" w:lineRule="auto"/>
              <w:rPr>
                <w:rFonts w:ascii="宋体"/>
                <w:sz w:val="18"/>
                <w:szCs w:val="18"/>
              </w:rPr>
            </w:pPr>
          </w:p>
        </w:tc>
        <w:tc>
          <w:tcPr>
            <w:tcW w:w="538" w:type="dxa"/>
            <w:vAlign w:val="center"/>
          </w:tcPr>
          <w:p w14:paraId="7CCA6BAF">
            <w:pPr>
              <w:spacing w:line="240" w:lineRule="auto"/>
              <w:rPr>
                <w:rFonts w:ascii="宋体"/>
                <w:sz w:val="18"/>
                <w:szCs w:val="18"/>
              </w:rPr>
            </w:pPr>
          </w:p>
        </w:tc>
        <w:tc>
          <w:tcPr>
            <w:tcW w:w="538" w:type="dxa"/>
            <w:vAlign w:val="center"/>
          </w:tcPr>
          <w:p w14:paraId="7C9205E4">
            <w:pPr>
              <w:spacing w:line="240" w:lineRule="auto"/>
              <w:rPr>
                <w:rFonts w:ascii="宋体"/>
                <w:sz w:val="18"/>
                <w:szCs w:val="18"/>
              </w:rPr>
            </w:pPr>
          </w:p>
        </w:tc>
        <w:tc>
          <w:tcPr>
            <w:tcW w:w="539" w:type="dxa"/>
            <w:vAlign w:val="center"/>
          </w:tcPr>
          <w:p w14:paraId="08F8FCA2">
            <w:pPr>
              <w:spacing w:line="240" w:lineRule="auto"/>
              <w:rPr>
                <w:rFonts w:ascii="宋体"/>
                <w:sz w:val="18"/>
                <w:szCs w:val="18"/>
              </w:rPr>
            </w:pPr>
          </w:p>
        </w:tc>
        <w:tc>
          <w:tcPr>
            <w:tcW w:w="538" w:type="dxa"/>
            <w:vAlign w:val="center"/>
          </w:tcPr>
          <w:p w14:paraId="53008F9E">
            <w:pPr>
              <w:spacing w:line="240" w:lineRule="auto"/>
              <w:rPr>
                <w:rFonts w:ascii="宋体"/>
                <w:sz w:val="18"/>
                <w:szCs w:val="18"/>
              </w:rPr>
            </w:pPr>
          </w:p>
        </w:tc>
        <w:tc>
          <w:tcPr>
            <w:tcW w:w="538" w:type="dxa"/>
            <w:vAlign w:val="center"/>
          </w:tcPr>
          <w:p w14:paraId="57928626">
            <w:pPr>
              <w:spacing w:line="240" w:lineRule="auto"/>
              <w:rPr>
                <w:rFonts w:ascii="宋体"/>
                <w:sz w:val="18"/>
                <w:szCs w:val="18"/>
              </w:rPr>
            </w:pPr>
          </w:p>
        </w:tc>
        <w:tc>
          <w:tcPr>
            <w:tcW w:w="538" w:type="dxa"/>
            <w:gridSpan w:val="2"/>
            <w:vAlign w:val="center"/>
          </w:tcPr>
          <w:p w14:paraId="2B315345">
            <w:pPr>
              <w:spacing w:line="240" w:lineRule="auto"/>
              <w:rPr>
                <w:rFonts w:ascii="宋体"/>
                <w:sz w:val="18"/>
                <w:szCs w:val="18"/>
              </w:rPr>
            </w:pPr>
          </w:p>
        </w:tc>
        <w:tc>
          <w:tcPr>
            <w:tcW w:w="544" w:type="dxa"/>
            <w:vAlign w:val="center"/>
          </w:tcPr>
          <w:p w14:paraId="1E545463">
            <w:pPr>
              <w:spacing w:line="240" w:lineRule="auto"/>
              <w:rPr>
                <w:rFonts w:ascii="宋体"/>
                <w:sz w:val="18"/>
                <w:szCs w:val="18"/>
              </w:rPr>
            </w:pPr>
          </w:p>
        </w:tc>
        <w:tc>
          <w:tcPr>
            <w:tcW w:w="535" w:type="dxa"/>
            <w:vAlign w:val="center"/>
          </w:tcPr>
          <w:p w14:paraId="24361709">
            <w:pPr>
              <w:spacing w:line="240" w:lineRule="auto"/>
              <w:rPr>
                <w:rFonts w:ascii="宋体"/>
                <w:sz w:val="18"/>
                <w:szCs w:val="18"/>
              </w:rPr>
            </w:pPr>
          </w:p>
        </w:tc>
        <w:tc>
          <w:tcPr>
            <w:tcW w:w="599" w:type="dxa"/>
            <w:vAlign w:val="center"/>
          </w:tcPr>
          <w:p w14:paraId="4A1E692B">
            <w:pPr>
              <w:spacing w:line="240" w:lineRule="auto"/>
              <w:rPr>
                <w:rFonts w:ascii="宋体"/>
                <w:sz w:val="18"/>
                <w:szCs w:val="18"/>
              </w:rPr>
            </w:pPr>
          </w:p>
        </w:tc>
      </w:tr>
      <w:tr w14:paraId="0708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34" w:type="dxa"/>
            <w:gridSpan w:val="2"/>
            <w:vMerge w:val="continue"/>
            <w:vAlign w:val="center"/>
          </w:tcPr>
          <w:p w14:paraId="1C34D6A5">
            <w:pPr>
              <w:spacing w:line="240" w:lineRule="auto"/>
              <w:rPr>
                <w:rFonts w:ascii="宋体"/>
                <w:sz w:val="18"/>
                <w:szCs w:val="18"/>
              </w:rPr>
            </w:pPr>
          </w:p>
        </w:tc>
        <w:tc>
          <w:tcPr>
            <w:tcW w:w="736" w:type="dxa"/>
            <w:vAlign w:val="center"/>
          </w:tcPr>
          <w:p w14:paraId="321B3C0D">
            <w:pPr>
              <w:spacing w:line="240" w:lineRule="auto"/>
              <w:jc w:val="center"/>
              <w:rPr>
                <w:rFonts w:ascii="宋体"/>
                <w:sz w:val="18"/>
                <w:szCs w:val="18"/>
              </w:rPr>
            </w:pPr>
            <w:r>
              <w:rPr>
                <w:rFonts w:hint="eastAsia" w:ascii="宋体"/>
                <w:sz w:val="18"/>
                <w:szCs w:val="18"/>
              </w:rPr>
              <w:t>Ⅱ</w:t>
            </w:r>
          </w:p>
        </w:tc>
        <w:tc>
          <w:tcPr>
            <w:tcW w:w="538" w:type="dxa"/>
            <w:vAlign w:val="center"/>
          </w:tcPr>
          <w:p w14:paraId="59DB9CD5">
            <w:pPr>
              <w:spacing w:line="240" w:lineRule="auto"/>
              <w:rPr>
                <w:rFonts w:ascii="宋体"/>
                <w:sz w:val="18"/>
                <w:szCs w:val="18"/>
              </w:rPr>
            </w:pPr>
          </w:p>
        </w:tc>
        <w:tc>
          <w:tcPr>
            <w:tcW w:w="538" w:type="dxa"/>
            <w:vAlign w:val="center"/>
          </w:tcPr>
          <w:p w14:paraId="591C769D">
            <w:pPr>
              <w:spacing w:line="240" w:lineRule="auto"/>
              <w:rPr>
                <w:rFonts w:ascii="宋体"/>
                <w:sz w:val="18"/>
                <w:szCs w:val="18"/>
              </w:rPr>
            </w:pPr>
          </w:p>
        </w:tc>
        <w:tc>
          <w:tcPr>
            <w:tcW w:w="538" w:type="dxa"/>
            <w:vAlign w:val="center"/>
          </w:tcPr>
          <w:p w14:paraId="33FF39B5">
            <w:pPr>
              <w:spacing w:line="240" w:lineRule="auto"/>
              <w:rPr>
                <w:rFonts w:ascii="宋体"/>
                <w:sz w:val="18"/>
                <w:szCs w:val="18"/>
              </w:rPr>
            </w:pPr>
          </w:p>
        </w:tc>
        <w:tc>
          <w:tcPr>
            <w:tcW w:w="538" w:type="dxa"/>
            <w:gridSpan w:val="2"/>
            <w:vAlign w:val="center"/>
          </w:tcPr>
          <w:p w14:paraId="615591F8">
            <w:pPr>
              <w:spacing w:line="240" w:lineRule="auto"/>
              <w:rPr>
                <w:rFonts w:ascii="宋体"/>
                <w:sz w:val="18"/>
                <w:szCs w:val="18"/>
              </w:rPr>
            </w:pPr>
          </w:p>
        </w:tc>
        <w:tc>
          <w:tcPr>
            <w:tcW w:w="538" w:type="dxa"/>
            <w:vAlign w:val="center"/>
          </w:tcPr>
          <w:p w14:paraId="2ACDC04B">
            <w:pPr>
              <w:spacing w:line="240" w:lineRule="auto"/>
              <w:rPr>
                <w:rFonts w:ascii="宋体"/>
                <w:sz w:val="18"/>
                <w:szCs w:val="18"/>
              </w:rPr>
            </w:pPr>
          </w:p>
        </w:tc>
        <w:tc>
          <w:tcPr>
            <w:tcW w:w="538" w:type="dxa"/>
            <w:vAlign w:val="center"/>
          </w:tcPr>
          <w:p w14:paraId="3256D7FC">
            <w:pPr>
              <w:spacing w:line="240" w:lineRule="auto"/>
              <w:rPr>
                <w:rFonts w:ascii="宋体"/>
                <w:sz w:val="18"/>
                <w:szCs w:val="18"/>
              </w:rPr>
            </w:pPr>
          </w:p>
        </w:tc>
        <w:tc>
          <w:tcPr>
            <w:tcW w:w="538" w:type="dxa"/>
            <w:vAlign w:val="center"/>
          </w:tcPr>
          <w:p w14:paraId="48A8B71D">
            <w:pPr>
              <w:spacing w:line="240" w:lineRule="auto"/>
              <w:rPr>
                <w:rFonts w:ascii="宋体"/>
                <w:sz w:val="18"/>
                <w:szCs w:val="18"/>
              </w:rPr>
            </w:pPr>
          </w:p>
        </w:tc>
        <w:tc>
          <w:tcPr>
            <w:tcW w:w="539" w:type="dxa"/>
            <w:vAlign w:val="center"/>
          </w:tcPr>
          <w:p w14:paraId="0B85A1D7">
            <w:pPr>
              <w:spacing w:line="240" w:lineRule="auto"/>
              <w:rPr>
                <w:rFonts w:ascii="宋体"/>
                <w:sz w:val="18"/>
                <w:szCs w:val="18"/>
              </w:rPr>
            </w:pPr>
          </w:p>
        </w:tc>
        <w:tc>
          <w:tcPr>
            <w:tcW w:w="538" w:type="dxa"/>
            <w:vAlign w:val="center"/>
          </w:tcPr>
          <w:p w14:paraId="209E6177">
            <w:pPr>
              <w:spacing w:line="240" w:lineRule="auto"/>
              <w:rPr>
                <w:rFonts w:ascii="宋体"/>
                <w:sz w:val="18"/>
                <w:szCs w:val="18"/>
              </w:rPr>
            </w:pPr>
          </w:p>
        </w:tc>
        <w:tc>
          <w:tcPr>
            <w:tcW w:w="538" w:type="dxa"/>
            <w:vAlign w:val="center"/>
          </w:tcPr>
          <w:p w14:paraId="770DDA15">
            <w:pPr>
              <w:spacing w:line="240" w:lineRule="auto"/>
              <w:rPr>
                <w:rFonts w:ascii="宋体"/>
                <w:sz w:val="18"/>
                <w:szCs w:val="18"/>
              </w:rPr>
            </w:pPr>
          </w:p>
        </w:tc>
        <w:tc>
          <w:tcPr>
            <w:tcW w:w="538" w:type="dxa"/>
            <w:gridSpan w:val="2"/>
            <w:vAlign w:val="center"/>
          </w:tcPr>
          <w:p w14:paraId="69745F3F">
            <w:pPr>
              <w:spacing w:line="240" w:lineRule="auto"/>
              <w:rPr>
                <w:rFonts w:ascii="宋体"/>
                <w:sz w:val="18"/>
                <w:szCs w:val="18"/>
              </w:rPr>
            </w:pPr>
          </w:p>
        </w:tc>
        <w:tc>
          <w:tcPr>
            <w:tcW w:w="544" w:type="dxa"/>
            <w:vAlign w:val="center"/>
          </w:tcPr>
          <w:p w14:paraId="3076EB66">
            <w:pPr>
              <w:spacing w:line="240" w:lineRule="auto"/>
              <w:rPr>
                <w:rFonts w:ascii="宋体"/>
                <w:sz w:val="18"/>
                <w:szCs w:val="18"/>
              </w:rPr>
            </w:pPr>
          </w:p>
        </w:tc>
        <w:tc>
          <w:tcPr>
            <w:tcW w:w="535" w:type="dxa"/>
            <w:vAlign w:val="center"/>
          </w:tcPr>
          <w:p w14:paraId="5D317707">
            <w:pPr>
              <w:spacing w:line="240" w:lineRule="auto"/>
              <w:rPr>
                <w:rFonts w:ascii="宋体"/>
                <w:sz w:val="18"/>
                <w:szCs w:val="18"/>
              </w:rPr>
            </w:pPr>
          </w:p>
        </w:tc>
        <w:tc>
          <w:tcPr>
            <w:tcW w:w="599" w:type="dxa"/>
            <w:vAlign w:val="center"/>
          </w:tcPr>
          <w:p w14:paraId="4DB0329D">
            <w:pPr>
              <w:spacing w:line="240" w:lineRule="auto"/>
              <w:rPr>
                <w:rFonts w:ascii="宋体"/>
                <w:sz w:val="18"/>
                <w:szCs w:val="18"/>
              </w:rPr>
            </w:pPr>
          </w:p>
        </w:tc>
      </w:tr>
      <w:tr w14:paraId="0264E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34" w:type="dxa"/>
            <w:gridSpan w:val="2"/>
            <w:vMerge w:val="continue"/>
            <w:vAlign w:val="center"/>
          </w:tcPr>
          <w:p w14:paraId="6C525C71">
            <w:pPr>
              <w:spacing w:line="240" w:lineRule="auto"/>
              <w:rPr>
                <w:rFonts w:ascii="宋体"/>
                <w:sz w:val="18"/>
                <w:szCs w:val="18"/>
              </w:rPr>
            </w:pPr>
          </w:p>
        </w:tc>
        <w:tc>
          <w:tcPr>
            <w:tcW w:w="736" w:type="dxa"/>
            <w:vAlign w:val="center"/>
          </w:tcPr>
          <w:p w14:paraId="2EB15B1B">
            <w:pPr>
              <w:spacing w:line="240" w:lineRule="auto"/>
              <w:jc w:val="center"/>
              <w:rPr>
                <w:rFonts w:ascii="宋体"/>
                <w:sz w:val="18"/>
                <w:szCs w:val="18"/>
              </w:rPr>
            </w:pPr>
            <w:r>
              <w:rPr>
                <w:rFonts w:hint="eastAsia" w:ascii="宋体"/>
                <w:sz w:val="18"/>
                <w:szCs w:val="18"/>
              </w:rPr>
              <w:t>Ⅲ</w:t>
            </w:r>
          </w:p>
        </w:tc>
        <w:tc>
          <w:tcPr>
            <w:tcW w:w="538" w:type="dxa"/>
            <w:vAlign w:val="center"/>
          </w:tcPr>
          <w:p w14:paraId="6500DE9E">
            <w:pPr>
              <w:spacing w:line="240" w:lineRule="auto"/>
              <w:rPr>
                <w:rFonts w:ascii="宋体"/>
                <w:sz w:val="18"/>
                <w:szCs w:val="18"/>
              </w:rPr>
            </w:pPr>
          </w:p>
        </w:tc>
        <w:tc>
          <w:tcPr>
            <w:tcW w:w="538" w:type="dxa"/>
            <w:vAlign w:val="center"/>
          </w:tcPr>
          <w:p w14:paraId="6D693BFF">
            <w:pPr>
              <w:spacing w:line="240" w:lineRule="auto"/>
              <w:rPr>
                <w:rFonts w:ascii="宋体"/>
                <w:sz w:val="18"/>
                <w:szCs w:val="18"/>
              </w:rPr>
            </w:pPr>
          </w:p>
        </w:tc>
        <w:tc>
          <w:tcPr>
            <w:tcW w:w="538" w:type="dxa"/>
            <w:vAlign w:val="center"/>
          </w:tcPr>
          <w:p w14:paraId="792F955A">
            <w:pPr>
              <w:spacing w:line="240" w:lineRule="auto"/>
              <w:rPr>
                <w:rFonts w:ascii="宋体"/>
                <w:sz w:val="18"/>
                <w:szCs w:val="18"/>
              </w:rPr>
            </w:pPr>
          </w:p>
        </w:tc>
        <w:tc>
          <w:tcPr>
            <w:tcW w:w="538" w:type="dxa"/>
            <w:gridSpan w:val="2"/>
            <w:vAlign w:val="center"/>
          </w:tcPr>
          <w:p w14:paraId="3181974E">
            <w:pPr>
              <w:spacing w:line="240" w:lineRule="auto"/>
              <w:rPr>
                <w:rFonts w:ascii="宋体"/>
                <w:sz w:val="18"/>
                <w:szCs w:val="18"/>
              </w:rPr>
            </w:pPr>
          </w:p>
        </w:tc>
        <w:tc>
          <w:tcPr>
            <w:tcW w:w="538" w:type="dxa"/>
            <w:vAlign w:val="center"/>
          </w:tcPr>
          <w:p w14:paraId="53965DAE">
            <w:pPr>
              <w:spacing w:line="240" w:lineRule="auto"/>
              <w:rPr>
                <w:rFonts w:ascii="宋体"/>
                <w:sz w:val="18"/>
                <w:szCs w:val="18"/>
              </w:rPr>
            </w:pPr>
          </w:p>
        </w:tc>
        <w:tc>
          <w:tcPr>
            <w:tcW w:w="538" w:type="dxa"/>
            <w:vAlign w:val="center"/>
          </w:tcPr>
          <w:p w14:paraId="4A94CDF4">
            <w:pPr>
              <w:spacing w:line="240" w:lineRule="auto"/>
              <w:rPr>
                <w:rFonts w:ascii="宋体"/>
                <w:sz w:val="18"/>
                <w:szCs w:val="18"/>
              </w:rPr>
            </w:pPr>
          </w:p>
        </w:tc>
        <w:tc>
          <w:tcPr>
            <w:tcW w:w="538" w:type="dxa"/>
            <w:vAlign w:val="center"/>
          </w:tcPr>
          <w:p w14:paraId="49ADD924">
            <w:pPr>
              <w:spacing w:line="240" w:lineRule="auto"/>
              <w:rPr>
                <w:rFonts w:ascii="宋体"/>
                <w:sz w:val="18"/>
                <w:szCs w:val="18"/>
              </w:rPr>
            </w:pPr>
          </w:p>
        </w:tc>
        <w:tc>
          <w:tcPr>
            <w:tcW w:w="539" w:type="dxa"/>
            <w:vAlign w:val="center"/>
          </w:tcPr>
          <w:p w14:paraId="2D700934">
            <w:pPr>
              <w:spacing w:line="240" w:lineRule="auto"/>
              <w:rPr>
                <w:rFonts w:ascii="宋体"/>
                <w:sz w:val="18"/>
                <w:szCs w:val="18"/>
              </w:rPr>
            </w:pPr>
          </w:p>
        </w:tc>
        <w:tc>
          <w:tcPr>
            <w:tcW w:w="538" w:type="dxa"/>
            <w:vAlign w:val="center"/>
          </w:tcPr>
          <w:p w14:paraId="3E1DE289">
            <w:pPr>
              <w:spacing w:line="240" w:lineRule="auto"/>
              <w:rPr>
                <w:rFonts w:ascii="宋体"/>
                <w:sz w:val="18"/>
                <w:szCs w:val="18"/>
              </w:rPr>
            </w:pPr>
          </w:p>
        </w:tc>
        <w:tc>
          <w:tcPr>
            <w:tcW w:w="538" w:type="dxa"/>
            <w:vAlign w:val="center"/>
          </w:tcPr>
          <w:p w14:paraId="1B888906">
            <w:pPr>
              <w:spacing w:line="240" w:lineRule="auto"/>
              <w:rPr>
                <w:rFonts w:ascii="宋体"/>
                <w:sz w:val="18"/>
                <w:szCs w:val="18"/>
              </w:rPr>
            </w:pPr>
          </w:p>
        </w:tc>
        <w:tc>
          <w:tcPr>
            <w:tcW w:w="538" w:type="dxa"/>
            <w:gridSpan w:val="2"/>
            <w:vAlign w:val="center"/>
          </w:tcPr>
          <w:p w14:paraId="5FFD6A31">
            <w:pPr>
              <w:spacing w:line="240" w:lineRule="auto"/>
              <w:rPr>
                <w:rFonts w:ascii="宋体"/>
                <w:sz w:val="18"/>
                <w:szCs w:val="18"/>
              </w:rPr>
            </w:pPr>
          </w:p>
        </w:tc>
        <w:tc>
          <w:tcPr>
            <w:tcW w:w="544" w:type="dxa"/>
            <w:vAlign w:val="center"/>
          </w:tcPr>
          <w:p w14:paraId="17DFD0CA">
            <w:pPr>
              <w:spacing w:line="240" w:lineRule="auto"/>
              <w:rPr>
                <w:rFonts w:ascii="宋体"/>
                <w:sz w:val="18"/>
                <w:szCs w:val="18"/>
              </w:rPr>
            </w:pPr>
          </w:p>
        </w:tc>
        <w:tc>
          <w:tcPr>
            <w:tcW w:w="535" w:type="dxa"/>
            <w:vAlign w:val="center"/>
          </w:tcPr>
          <w:p w14:paraId="005999F2">
            <w:pPr>
              <w:spacing w:line="240" w:lineRule="auto"/>
              <w:rPr>
                <w:rFonts w:ascii="宋体"/>
                <w:sz w:val="18"/>
                <w:szCs w:val="18"/>
              </w:rPr>
            </w:pPr>
          </w:p>
        </w:tc>
        <w:tc>
          <w:tcPr>
            <w:tcW w:w="599" w:type="dxa"/>
            <w:vAlign w:val="center"/>
          </w:tcPr>
          <w:p w14:paraId="0873941C">
            <w:pPr>
              <w:spacing w:line="240" w:lineRule="auto"/>
              <w:rPr>
                <w:rFonts w:ascii="宋体"/>
                <w:sz w:val="18"/>
                <w:szCs w:val="18"/>
              </w:rPr>
            </w:pPr>
          </w:p>
        </w:tc>
      </w:tr>
      <w:tr w14:paraId="09C3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34" w:type="dxa"/>
            <w:gridSpan w:val="2"/>
            <w:vMerge w:val="continue"/>
            <w:vAlign w:val="center"/>
          </w:tcPr>
          <w:p w14:paraId="74625929">
            <w:pPr>
              <w:spacing w:line="240" w:lineRule="auto"/>
              <w:rPr>
                <w:rFonts w:ascii="宋体"/>
                <w:sz w:val="18"/>
                <w:szCs w:val="18"/>
              </w:rPr>
            </w:pPr>
          </w:p>
        </w:tc>
        <w:tc>
          <w:tcPr>
            <w:tcW w:w="736" w:type="dxa"/>
            <w:vAlign w:val="center"/>
          </w:tcPr>
          <w:p w14:paraId="7C037E24">
            <w:pPr>
              <w:spacing w:line="240" w:lineRule="auto"/>
              <w:jc w:val="center"/>
              <w:rPr>
                <w:rFonts w:ascii="宋体"/>
                <w:sz w:val="18"/>
                <w:szCs w:val="18"/>
              </w:rPr>
            </w:pPr>
            <w:r>
              <w:rPr>
                <w:rFonts w:hint="eastAsia" w:ascii="宋体"/>
                <w:sz w:val="18"/>
                <w:szCs w:val="18"/>
              </w:rPr>
              <w:t>Ⅳ</w:t>
            </w:r>
          </w:p>
        </w:tc>
        <w:tc>
          <w:tcPr>
            <w:tcW w:w="538" w:type="dxa"/>
            <w:vAlign w:val="center"/>
          </w:tcPr>
          <w:p w14:paraId="2D0B32C6">
            <w:pPr>
              <w:spacing w:line="240" w:lineRule="auto"/>
              <w:rPr>
                <w:rFonts w:ascii="宋体"/>
                <w:sz w:val="18"/>
                <w:szCs w:val="18"/>
              </w:rPr>
            </w:pPr>
          </w:p>
        </w:tc>
        <w:tc>
          <w:tcPr>
            <w:tcW w:w="538" w:type="dxa"/>
            <w:vAlign w:val="center"/>
          </w:tcPr>
          <w:p w14:paraId="21A7ADF9">
            <w:pPr>
              <w:spacing w:line="240" w:lineRule="auto"/>
              <w:rPr>
                <w:rFonts w:ascii="宋体"/>
                <w:sz w:val="18"/>
                <w:szCs w:val="18"/>
              </w:rPr>
            </w:pPr>
          </w:p>
        </w:tc>
        <w:tc>
          <w:tcPr>
            <w:tcW w:w="538" w:type="dxa"/>
            <w:vAlign w:val="center"/>
          </w:tcPr>
          <w:p w14:paraId="38C9ED58">
            <w:pPr>
              <w:spacing w:line="240" w:lineRule="auto"/>
              <w:rPr>
                <w:rFonts w:ascii="宋体"/>
                <w:sz w:val="18"/>
                <w:szCs w:val="18"/>
              </w:rPr>
            </w:pPr>
          </w:p>
        </w:tc>
        <w:tc>
          <w:tcPr>
            <w:tcW w:w="538" w:type="dxa"/>
            <w:gridSpan w:val="2"/>
            <w:vAlign w:val="center"/>
          </w:tcPr>
          <w:p w14:paraId="35A3122D">
            <w:pPr>
              <w:spacing w:line="240" w:lineRule="auto"/>
              <w:rPr>
                <w:rFonts w:ascii="宋体"/>
                <w:sz w:val="18"/>
                <w:szCs w:val="18"/>
              </w:rPr>
            </w:pPr>
          </w:p>
        </w:tc>
        <w:tc>
          <w:tcPr>
            <w:tcW w:w="538" w:type="dxa"/>
            <w:vAlign w:val="center"/>
          </w:tcPr>
          <w:p w14:paraId="4BFD0D95">
            <w:pPr>
              <w:spacing w:line="240" w:lineRule="auto"/>
              <w:rPr>
                <w:rFonts w:ascii="宋体"/>
                <w:sz w:val="18"/>
                <w:szCs w:val="18"/>
              </w:rPr>
            </w:pPr>
          </w:p>
        </w:tc>
        <w:tc>
          <w:tcPr>
            <w:tcW w:w="538" w:type="dxa"/>
            <w:vAlign w:val="center"/>
          </w:tcPr>
          <w:p w14:paraId="45FEE0AD">
            <w:pPr>
              <w:spacing w:line="240" w:lineRule="auto"/>
              <w:rPr>
                <w:rFonts w:ascii="宋体"/>
                <w:sz w:val="18"/>
                <w:szCs w:val="18"/>
              </w:rPr>
            </w:pPr>
          </w:p>
        </w:tc>
        <w:tc>
          <w:tcPr>
            <w:tcW w:w="538" w:type="dxa"/>
            <w:vAlign w:val="center"/>
          </w:tcPr>
          <w:p w14:paraId="5DFE14A1">
            <w:pPr>
              <w:spacing w:line="240" w:lineRule="auto"/>
              <w:rPr>
                <w:rFonts w:ascii="宋体"/>
                <w:sz w:val="18"/>
                <w:szCs w:val="18"/>
              </w:rPr>
            </w:pPr>
          </w:p>
        </w:tc>
        <w:tc>
          <w:tcPr>
            <w:tcW w:w="539" w:type="dxa"/>
            <w:vAlign w:val="center"/>
          </w:tcPr>
          <w:p w14:paraId="776A3EC6">
            <w:pPr>
              <w:spacing w:line="240" w:lineRule="auto"/>
              <w:rPr>
                <w:rFonts w:ascii="宋体"/>
                <w:sz w:val="18"/>
                <w:szCs w:val="18"/>
              </w:rPr>
            </w:pPr>
          </w:p>
        </w:tc>
        <w:tc>
          <w:tcPr>
            <w:tcW w:w="538" w:type="dxa"/>
            <w:vAlign w:val="center"/>
          </w:tcPr>
          <w:p w14:paraId="41F72D69">
            <w:pPr>
              <w:spacing w:line="240" w:lineRule="auto"/>
              <w:rPr>
                <w:rFonts w:ascii="宋体"/>
                <w:sz w:val="18"/>
                <w:szCs w:val="18"/>
              </w:rPr>
            </w:pPr>
          </w:p>
        </w:tc>
        <w:tc>
          <w:tcPr>
            <w:tcW w:w="538" w:type="dxa"/>
            <w:vAlign w:val="center"/>
          </w:tcPr>
          <w:p w14:paraId="4295FC2C">
            <w:pPr>
              <w:spacing w:line="240" w:lineRule="auto"/>
              <w:rPr>
                <w:rFonts w:ascii="宋体"/>
                <w:sz w:val="18"/>
                <w:szCs w:val="18"/>
              </w:rPr>
            </w:pPr>
          </w:p>
        </w:tc>
        <w:tc>
          <w:tcPr>
            <w:tcW w:w="538" w:type="dxa"/>
            <w:gridSpan w:val="2"/>
            <w:vAlign w:val="center"/>
          </w:tcPr>
          <w:p w14:paraId="0EF7F476">
            <w:pPr>
              <w:spacing w:line="240" w:lineRule="auto"/>
              <w:rPr>
                <w:rFonts w:ascii="宋体"/>
                <w:sz w:val="18"/>
                <w:szCs w:val="18"/>
              </w:rPr>
            </w:pPr>
          </w:p>
        </w:tc>
        <w:tc>
          <w:tcPr>
            <w:tcW w:w="544" w:type="dxa"/>
            <w:vAlign w:val="center"/>
          </w:tcPr>
          <w:p w14:paraId="596A097D">
            <w:pPr>
              <w:spacing w:line="240" w:lineRule="auto"/>
              <w:rPr>
                <w:rFonts w:ascii="宋体"/>
                <w:sz w:val="18"/>
                <w:szCs w:val="18"/>
              </w:rPr>
            </w:pPr>
          </w:p>
        </w:tc>
        <w:tc>
          <w:tcPr>
            <w:tcW w:w="535" w:type="dxa"/>
            <w:vAlign w:val="center"/>
          </w:tcPr>
          <w:p w14:paraId="53FAEA35">
            <w:pPr>
              <w:spacing w:line="240" w:lineRule="auto"/>
              <w:rPr>
                <w:rFonts w:ascii="宋体"/>
                <w:sz w:val="18"/>
                <w:szCs w:val="18"/>
              </w:rPr>
            </w:pPr>
          </w:p>
        </w:tc>
        <w:tc>
          <w:tcPr>
            <w:tcW w:w="599" w:type="dxa"/>
            <w:vAlign w:val="center"/>
          </w:tcPr>
          <w:p w14:paraId="5BF7DF60">
            <w:pPr>
              <w:spacing w:line="240" w:lineRule="auto"/>
              <w:rPr>
                <w:rFonts w:ascii="宋体"/>
                <w:sz w:val="18"/>
                <w:szCs w:val="18"/>
              </w:rPr>
            </w:pPr>
          </w:p>
        </w:tc>
      </w:tr>
      <w:tr w14:paraId="18264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70" w:type="dxa"/>
            <w:gridSpan w:val="3"/>
            <w:vAlign w:val="center"/>
          </w:tcPr>
          <w:p w14:paraId="2974AD54">
            <w:pPr>
              <w:spacing w:line="240" w:lineRule="auto"/>
              <w:rPr>
                <w:rFonts w:ascii="宋体"/>
                <w:sz w:val="18"/>
                <w:szCs w:val="18"/>
              </w:rPr>
            </w:pPr>
            <w:r>
              <w:rPr>
                <w:rFonts w:hint="eastAsia" w:ascii="宋体"/>
                <w:sz w:val="18"/>
                <w:szCs w:val="18"/>
              </w:rPr>
              <w:t>同跨标高差</w:t>
            </w:r>
          </w:p>
        </w:tc>
        <w:tc>
          <w:tcPr>
            <w:tcW w:w="538" w:type="dxa"/>
            <w:vAlign w:val="center"/>
          </w:tcPr>
          <w:p w14:paraId="7C2A3964">
            <w:pPr>
              <w:spacing w:line="240" w:lineRule="auto"/>
              <w:rPr>
                <w:rFonts w:ascii="宋体"/>
                <w:sz w:val="18"/>
                <w:szCs w:val="18"/>
              </w:rPr>
            </w:pPr>
          </w:p>
        </w:tc>
        <w:tc>
          <w:tcPr>
            <w:tcW w:w="538" w:type="dxa"/>
            <w:vAlign w:val="center"/>
          </w:tcPr>
          <w:p w14:paraId="7AE8B546">
            <w:pPr>
              <w:spacing w:line="240" w:lineRule="auto"/>
              <w:rPr>
                <w:rFonts w:ascii="宋体"/>
                <w:sz w:val="18"/>
                <w:szCs w:val="18"/>
              </w:rPr>
            </w:pPr>
          </w:p>
        </w:tc>
        <w:tc>
          <w:tcPr>
            <w:tcW w:w="538" w:type="dxa"/>
            <w:vAlign w:val="center"/>
          </w:tcPr>
          <w:p w14:paraId="4C7F39B0">
            <w:pPr>
              <w:spacing w:line="240" w:lineRule="auto"/>
              <w:rPr>
                <w:rFonts w:ascii="宋体"/>
                <w:sz w:val="18"/>
                <w:szCs w:val="18"/>
              </w:rPr>
            </w:pPr>
          </w:p>
        </w:tc>
        <w:tc>
          <w:tcPr>
            <w:tcW w:w="538" w:type="dxa"/>
            <w:gridSpan w:val="2"/>
            <w:vAlign w:val="center"/>
          </w:tcPr>
          <w:p w14:paraId="47D4E722">
            <w:pPr>
              <w:spacing w:line="240" w:lineRule="auto"/>
              <w:rPr>
                <w:rFonts w:ascii="宋体"/>
                <w:sz w:val="18"/>
                <w:szCs w:val="18"/>
              </w:rPr>
            </w:pPr>
          </w:p>
        </w:tc>
        <w:tc>
          <w:tcPr>
            <w:tcW w:w="538" w:type="dxa"/>
            <w:vAlign w:val="center"/>
          </w:tcPr>
          <w:p w14:paraId="4DB3E728">
            <w:pPr>
              <w:spacing w:line="240" w:lineRule="auto"/>
              <w:rPr>
                <w:rFonts w:ascii="宋体"/>
                <w:sz w:val="18"/>
                <w:szCs w:val="18"/>
              </w:rPr>
            </w:pPr>
          </w:p>
        </w:tc>
        <w:tc>
          <w:tcPr>
            <w:tcW w:w="538" w:type="dxa"/>
            <w:vAlign w:val="center"/>
          </w:tcPr>
          <w:p w14:paraId="09B7C147">
            <w:pPr>
              <w:spacing w:line="240" w:lineRule="auto"/>
              <w:rPr>
                <w:rFonts w:ascii="宋体"/>
                <w:sz w:val="18"/>
                <w:szCs w:val="18"/>
              </w:rPr>
            </w:pPr>
          </w:p>
        </w:tc>
        <w:tc>
          <w:tcPr>
            <w:tcW w:w="538" w:type="dxa"/>
            <w:vAlign w:val="center"/>
          </w:tcPr>
          <w:p w14:paraId="697E68CD">
            <w:pPr>
              <w:spacing w:line="240" w:lineRule="auto"/>
              <w:rPr>
                <w:rFonts w:ascii="宋体"/>
                <w:sz w:val="18"/>
                <w:szCs w:val="18"/>
              </w:rPr>
            </w:pPr>
          </w:p>
        </w:tc>
        <w:tc>
          <w:tcPr>
            <w:tcW w:w="539" w:type="dxa"/>
            <w:vAlign w:val="center"/>
          </w:tcPr>
          <w:p w14:paraId="31878087">
            <w:pPr>
              <w:spacing w:line="240" w:lineRule="auto"/>
              <w:rPr>
                <w:rFonts w:ascii="宋体"/>
                <w:sz w:val="18"/>
                <w:szCs w:val="18"/>
              </w:rPr>
            </w:pPr>
          </w:p>
        </w:tc>
        <w:tc>
          <w:tcPr>
            <w:tcW w:w="538" w:type="dxa"/>
            <w:vAlign w:val="center"/>
          </w:tcPr>
          <w:p w14:paraId="365A7EC7">
            <w:pPr>
              <w:spacing w:line="240" w:lineRule="auto"/>
              <w:rPr>
                <w:rFonts w:ascii="宋体"/>
                <w:sz w:val="18"/>
                <w:szCs w:val="18"/>
              </w:rPr>
            </w:pPr>
          </w:p>
        </w:tc>
        <w:tc>
          <w:tcPr>
            <w:tcW w:w="538" w:type="dxa"/>
            <w:vAlign w:val="center"/>
          </w:tcPr>
          <w:p w14:paraId="48BE79ED">
            <w:pPr>
              <w:spacing w:line="240" w:lineRule="auto"/>
              <w:rPr>
                <w:rFonts w:ascii="宋体"/>
                <w:sz w:val="18"/>
                <w:szCs w:val="18"/>
              </w:rPr>
            </w:pPr>
          </w:p>
        </w:tc>
        <w:tc>
          <w:tcPr>
            <w:tcW w:w="538" w:type="dxa"/>
            <w:gridSpan w:val="2"/>
            <w:vAlign w:val="center"/>
          </w:tcPr>
          <w:p w14:paraId="4E584693">
            <w:pPr>
              <w:spacing w:line="240" w:lineRule="auto"/>
              <w:rPr>
                <w:rFonts w:ascii="宋体"/>
                <w:sz w:val="18"/>
                <w:szCs w:val="18"/>
              </w:rPr>
            </w:pPr>
          </w:p>
        </w:tc>
        <w:tc>
          <w:tcPr>
            <w:tcW w:w="544" w:type="dxa"/>
            <w:vAlign w:val="center"/>
          </w:tcPr>
          <w:p w14:paraId="2B984833">
            <w:pPr>
              <w:spacing w:line="240" w:lineRule="auto"/>
              <w:rPr>
                <w:rFonts w:ascii="宋体"/>
                <w:sz w:val="18"/>
                <w:szCs w:val="18"/>
              </w:rPr>
            </w:pPr>
          </w:p>
        </w:tc>
        <w:tc>
          <w:tcPr>
            <w:tcW w:w="535" w:type="dxa"/>
            <w:vAlign w:val="center"/>
          </w:tcPr>
          <w:p w14:paraId="0C169B5B">
            <w:pPr>
              <w:spacing w:line="240" w:lineRule="auto"/>
              <w:rPr>
                <w:rFonts w:ascii="宋体"/>
                <w:sz w:val="18"/>
                <w:szCs w:val="18"/>
              </w:rPr>
            </w:pPr>
          </w:p>
        </w:tc>
        <w:tc>
          <w:tcPr>
            <w:tcW w:w="599" w:type="dxa"/>
            <w:vAlign w:val="center"/>
          </w:tcPr>
          <w:p w14:paraId="5A52A8D4">
            <w:pPr>
              <w:spacing w:line="240" w:lineRule="auto"/>
              <w:rPr>
                <w:rFonts w:ascii="宋体"/>
                <w:sz w:val="18"/>
                <w:szCs w:val="18"/>
              </w:rPr>
            </w:pPr>
          </w:p>
        </w:tc>
      </w:tr>
      <w:tr w14:paraId="46FB1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34" w:type="dxa"/>
            <w:gridSpan w:val="2"/>
            <w:vMerge w:val="restart"/>
            <w:vAlign w:val="center"/>
          </w:tcPr>
          <w:p w14:paraId="0FAC96C9">
            <w:pPr>
              <w:spacing w:line="240" w:lineRule="auto"/>
              <w:jc w:val="center"/>
              <w:rPr>
                <w:rFonts w:ascii="宋体"/>
                <w:sz w:val="18"/>
                <w:szCs w:val="18"/>
              </w:rPr>
            </w:pPr>
            <w:r>
              <w:rPr>
                <w:rFonts w:hint="eastAsia" w:ascii="宋体"/>
                <w:sz w:val="18"/>
                <w:szCs w:val="18"/>
              </w:rPr>
              <w:t>轨道接头偏差</w:t>
            </w:r>
          </w:p>
        </w:tc>
        <w:tc>
          <w:tcPr>
            <w:tcW w:w="736" w:type="dxa"/>
            <w:vAlign w:val="center"/>
          </w:tcPr>
          <w:p w14:paraId="6B2150B8">
            <w:pPr>
              <w:spacing w:line="240" w:lineRule="auto"/>
              <w:rPr>
                <w:rFonts w:ascii="宋体"/>
                <w:sz w:val="18"/>
                <w:szCs w:val="18"/>
              </w:rPr>
            </w:pPr>
            <w:r>
              <w:rPr>
                <w:rFonts w:hint="eastAsia" w:ascii="宋体"/>
                <w:sz w:val="18"/>
                <w:szCs w:val="18"/>
              </w:rPr>
              <w:t>上下</w:t>
            </w:r>
          </w:p>
        </w:tc>
        <w:tc>
          <w:tcPr>
            <w:tcW w:w="538" w:type="dxa"/>
            <w:vAlign w:val="center"/>
          </w:tcPr>
          <w:p w14:paraId="7822896B">
            <w:pPr>
              <w:spacing w:line="240" w:lineRule="auto"/>
              <w:rPr>
                <w:rFonts w:ascii="宋体"/>
                <w:sz w:val="18"/>
                <w:szCs w:val="18"/>
              </w:rPr>
            </w:pPr>
          </w:p>
        </w:tc>
        <w:tc>
          <w:tcPr>
            <w:tcW w:w="538" w:type="dxa"/>
            <w:vAlign w:val="center"/>
          </w:tcPr>
          <w:p w14:paraId="5FFEC155">
            <w:pPr>
              <w:spacing w:line="240" w:lineRule="auto"/>
              <w:rPr>
                <w:rFonts w:ascii="宋体"/>
                <w:sz w:val="18"/>
                <w:szCs w:val="18"/>
              </w:rPr>
            </w:pPr>
          </w:p>
        </w:tc>
        <w:tc>
          <w:tcPr>
            <w:tcW w:w="538" w:type="dxa"/>
            <w:vAlign w:val="center"/>
          </w:tcPr>
          <w:p w14:paraId="4B4BD6A2">
            <w:pPr>
              <w:spacing w:line="240" w:lineRule="auto"/>
              <w:rPr>
                <w:rFonts w:ascii="宋体"/>
                <w:sz w:val="18"/>
                <w:szCs w:val="18"/>
              </w:rPr>
            </w:pPr>
          </w:p>
        </w:tc>
        <w:tc>
          <w:tcPr>
            <w:tcW w:w="538" w:type="dxa"/>
            <w:gridSpan w:val="2"/>
            <w:vAlign w:val="center"/>
          </w:tcPr>
          <w:p w14:paraId="3775EF40">
            <w:pPr>
              <w:spacing w:line="240" w:lineRule="auto"/>
              <w:rPr>
                <w:rFonts w:ascii="宋体"/>
                <w:sz w:val="18"/>
                <w:szCs w:val="18"/>
              </w:rPr>
            </w:pPr>
          </w:p>
        </w:tc>
        <w:tc>
          <w:tcPr>
            <w:tcW w:w="538" w:type="dxa"/>
            <w:vAlign w:val="center"/>
          </w:tcPr>
          <w:p w14:paraId="42684164">
            <w:pPr>
              <w:spacing w:line="240" w:lineRule="auto"/>
              <w:rPr>
                <w:rFonts w:ascii="宋体"/>
                <w:sz w:val="18"/>
                <w:szCs w:val="18"/>
              </w:rPr>
            </w:pPr>
          </w:p>
        </w:tc>
        <w:tc>
          <w:tcPr>
            <w:tcW w:w="538" w:type="dxa"/>
            <w:vAlign w:val="center"/>
          </w:tcPr>
          <w:p w14:paraId="34A17CAF">
            <w:pPr>
              <w:spacing w:line="240" w:lineRule="auto"/>
              <w:rPr>
                <w:rFonts w:ascii="宋体"/>
                <w:sz w:val="18"/>
                <w:szCs w:val="18"/>
              </w:rPr>
            </w:pPr>
          </w:p>
        </w:tc>
        <w:tc>
          <w:tcPr>
            <w:tcW w:w="538" w:type="dxa"/>
            <w:vAlign w:val="center"/>
          </w:tcPr>
          <w:p w14:paraId="323919DF">
            <w:pPr>
              <w:spacing w:line="240" w:lineRule="auto"/>
              <w:rPr>
                <w:rFonts w:ascii="宋体"/>
                <w:sz w:val="18"/>
                <w:szCs w:val="18"/>
              </w:rPr>
            </w:pPr>
          </w:p>
        </w:tc>
        <w:tc>
          <w:tcPr>
            <w:tcW w:w="539" w:type="dxa"/>
            <w:vAlign w:val="center"/>
          </w:tcPr>
          <w:p w14:paraId="53A240C0">
            <w:pPr>
              <w:spacing w:line="240" w:lineRule="auto"/>
              <w:rPr>
                <w:rFonts w:ascii="宋体"/>
                <w:sz w:val="18"/>
                <w:szCs w:val="18"/>
              </w:rPr>
            </w:pPr>
          </w:p>
        </w:tc>
        <w:tc>
          <w:tcPr>
            <w:tcW w:w="538" w:type="dxa"/>
            <w:vAlign w:val="center"/>
          </w:tcPr>
          <w:p w14:paraId="129ADD32">
            <w:pPr>
              <w:spacing w:line="240" w:lineRule="auto"/>
              <w:rPr>
                <w:rFonts w:ascii="宋体"/>
                <w:sz w:val="18"/>
                <w:szCs w:val="18"/>
              </w:rPr>
            </w:pPr>
          </w:p>
        </w:tc>
        <w:tc>
          <w:tcPr>
            <w:tcW w:w="538" w:type="dxa"/>
            <w:vAlign w:val="center"/>
          </w:tcPr>
          <w:p w14:paraId="5A2479AA">
            <w:pPr>
              <w:spacing w:line="240" w:lineRule="auto"/>
              <w:rPr>
                <w:rFonts w:ascii="宋体"/>
                <w:sz w:val="18"/>
                <w:szCs w:val="18"/>
              </w:rPr>
            </w:pPr>
          </w:p>
        </w:tc>
        <w:tc>
          <w:tcPr>
            <w:tcW w:w="538" w:type="dxa"/>
            <w:gridSpan w:val="2"/>
            <w:vAlign w:val="center"/>
          </w:tcPr>
          <w:p w14:paraId="445C58EE">
            <w:pPr>
              <w:spacing w:line="240" w:lineRule="auto"/>
              <w:rPr>
                <w:rFonts w:ascii="宋体"/>
                <w:sz w:val="18"/>
                <w:szCs w:val="18"/>
              </w:rPr>
            </w:pPr>
          </w:p>
        </w:tc>
        <w:tc>
          <w:tcPr>
            <w:tcW w:w="544" w:type="dxa"/>
            <w:vAlign w:val="center"/>
          </w:tcPr>
          <w:p w14:paraId="25CC8B10">
            <w:pPr>
              <w:spacing w:line="240" w:lineRule="auto"/>
              <w:rPr>
                <w:rFonts w:ascii="宋体"/>
                <w:sz w:val="18"/>
                <w:szCs w:val="18"/>
              </w:rPr>
            </w:pPr>
          </w:p>
        </w:tc>
        <w:tc>
          <w:tcPr>
            <w:tcW w:w="535" w:type="dxa"/>
            <w:vAlign w:val="center"/>
          </w:tcPr>
          <w:p w14:paraId="32FFAE2B">
            <w:pPr>
              <w:spacing w:line="240" w:lineRule="auto"/>
              <w:rPr>
                <w:rFonts w:ascii="宋体"/>
                <w:sz w:val="18"/>
                <w:szCs w:val="18"/>
              </w:rPr>
            </w:pPr>
          </w:p>
        </w:tc>
        <w:tc>
          <w:tcPr>
            <w:tcW w:w="599" w:type="dxa"/>
            <w:vAlign w:val="center"/>
          </w:tcPr>
          <w:p w14:paraId="15C97ACB">
            <w:pPr>
              <w:spacing w:line="240" w:lineRule="auto"/>
              <w:rPr>
                <w:rFonts w:ascii="宋体"/>
                <w:sz w:val="18"/>
                <w:szCs w:val="18"/>
              </w:rPr>
            </w:pPr>
          </w:p>
        </w:tc>
      </w:tr>
      <w:tr w14:paraId="7B2A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34" w:type="dxa"/>
            <w:gridSpan w:val="2"/>
            <w:vMerge w:val="continue"/>
            <w:vAlign w:val="center"/>
          </w:tcPr>
          <w:p w14:paraId="28C29A32">
            <w:pPr>
              <w:spacing w:line="240" w:lineRule="auto"/>
              <w:rPr>
                <w:rFonts w:ascii="宋体"/>
                <w:sz w:val="18"/>
                <w:szCs w:val="18"/>
              </w:rPr>
            </w:pPr>
          </w:p>
        </w:tc>
        <w:tc>
          <w:tcPr>
            <w:tcW w:w="736" w:type="dxa"/>
            <w:vAlign w:val="center"/>
          </w:tcPr>
          <w:p w14:paraId="4CA23493">
            <w:pPr>
              <w:spacing w:line="240" w:lineRule="auto"/>
              <w:rPr>
                <w:rFonts w:ascii="宋体"/>
                <w:sz w:val="18"/>
                <w:szCs w:val="18"/>
              </w:rPr>
            </w:pPr>
            <w:r>
              <w:rPr>
                <w:rFonts w:hint="eastAsia" w:ascii="宋体"/>
                <w:sz w:val="18"/>
                <w:szCs w:val="18"/>
              </w:rPr>
              <w:t>左右</w:t>
            </w:r>
          </w:p>
        </w:tc>
        <w:tc>
          <w:tcPr>
            <w:tcW w:w="538" w:type="dxa"/>
            <w:vAlign w:val="center"/>
          </w:tcPr>
          <w:p w14:paraId="05C7BF07">
            <w:pPr>
              <w:spacing w:line="240" w:lineRule="auto"/>
              <w:rPr>
                <w:rFonts w:ascii="宋体"/>
                <w:sz w:val="18"/>
                <w:szCs w:val="18"/>
              </w:rPr>
            </w:pPr>
          </w:p>
        </w:tc>
        <w:tc>
          <w:tcPr>
            <w:tcW w:w="538" w:type="dxa"/>
            <w:vAlign w:val="center"/>
          </w:tcPr>
          <w:p w14:paraId="5AF817EE">
            <w:pPr>
              <w:spacing w:line="240" w:lineRule="auto"/>
              <w:rPr>
                <w:rFonts w:ascii="宋体"/>
                <w:sz w:val="18"/>
                <w:szCs w:val="18"/>
              </w:rPr>
            </w:pPr>
          </w:p>
        </w:tc>
        <w:tc>
          <w:tcPr>
            <w:tcW w:w="538" w:type="dxa"/>
            <w:vAlign w:val="center"/>
          </w:tcPr>
          <w:p w14:paraId="7ABADBA0">
            <w:pPr>
              <w:spacing w:line="240" w:lineRule="auto"/>
              <w:rPr>
                <w:rFonts w:ascii="宋体"/>
                <w:sz w:val="18"/>
                <w:szCs w:val="18"/>
              </w:rPr>
            </w:pPr>
          </w:p>
        </w:tc>
        <w:tc>
          <w:tcPr>
            <w:tcW w:w="538" w:type="dxa"/>
            <w:gridSpan w:val="2"/>
            <w:vAlign w:val="center"/>
          </w:tcPr>
          <w:p w14:paraId="6D8884FB">
            <w:pPr>
              <w:spacing w:line="240" w:lineRule="auto"/>
              <w:rPr>
                <w:rFonts w:ascii="宋体"/>
                <w:sz w:val="18"/>
                <w:szCs w:val="18"/>
              </w:rPr>
            </w:pPr>
          </w:p>
        </w:tc>
        <w:tc>
          <w:tcPr>
            <w:tcW w:w="538" w:type="dxa"/>
            <w:vAlign w:val="center"/>
          </w:tcPr>
          <w:p w14:paraId="296274C4">
            <w:pPr>
              <w:spacing w:line="240" w:lineRule="auto"/>
              <w:rPr>
                <w:rFonts w:ascii="宋体"/>
                <w:sz w:val="18"/>
                <w:szCs w:val="18"/>
              </w:rPr>
            </w:pPr>
          </w:p>
        </w:tc>
        <w:tc>
          <w:tcPr>
            <w:tcW w:w="538" w:type="dxa"/>
            <w:vAlign w:val="center"/>
          </w:tcPr>
          <w:p w14:paraId="4126461D">
            <w:pPr>
              <w:spacing w:line="240" w:lineRule="auto"/>
              <w:rPr>
                <w:rFonts w:ascii="宋体"/>
                <w:sz w:val="18"/>
                <w:szCs w:val="18"/>
              </w:rPr>
            </w:pPr>
          </w:p>
        </w:tc>
        <w:tc>
          <w:tcPr>
            <w:tcW w:w="538" w:type="dxa"/>
            <w:vAlign w:val="center"/>
          </w:tcPr>
          <w:p w14:paraId="745CA83D">
            <w:pPr>
              <w:spacing w:line="240" w:lineRule="auto"/>
              <w:rPr>
                <w:rFonts w:ascii="宋体"/>
                <w:sz w:val="18"/>
                <w:szCs w:val="18"/>
              </w:rPr>
            </w:pPr>
          </w:p>
        </w:tc>
        <w:tc>
          <w:tcPr>
            <w:tcW w:w="539" w:type="dxa"/>
            <w:vAlign w:val="center"/>
          </w:tcPr>
          <w:p w14:paraId="21AF26F8">
            <w:pPr>
              <w:spacing w:line="240" w:lineRule="auto"/>
              <w:rPr>
                <w:rFonts w:ascii="宋体"/>
                <w:sz w:val="18"/>
                <w:szCs w:val="18"/>
              </w:rPr>
            </w:pPr>
          </w:p>
        </w:tc>
        <w:tc>
          <w:tcPr>
            <w:tcW w:w="538" w:type="dxa"/>
            <w:vAlign w:val="center"/>
          </w:tcPr>
          <w:p w14:paraId="5776C6D8">
            <w:pPr>
              <w:spacing w:line="240" w:lineRule="auto"/>
              <w:rPr>
                <w:rFonts w:ascii="宋体"/>
                <w:sz w:val="18"/>
                <w:szCs w:val="18"/>
              </w:rPr>
            </w:pPr>
          </w:p>
        </w:tc>
        <w:tc>
          <w:tcPr>
            <w:tcW w:w="538" w:type="dxa"/>
            <w:vAlign w:val="center"/>
          </w:tcPr>
          <w:p w14:paraId="02B722A4">
            <w:pPr>
              <w:spacing w:line="240" w:lineRule="auto"/>
              <w:rPr>
                <w:rFonts w:ascii="宋体"/>
                <w:sz w:val="18"/>
                <w:szCs w:val="18"/>
              </w:rPr>
            </w:pPr>
          </w:p>
        </w:tc>
        <w:tc>
          <w:tcPr>
            <w:tcW w:w="538" w:type="dxa"/>
            <w:gridSpan w:val="2"/>
            <w:vAlign w:val="center"/>
          </w:tcPr>
          <w:p w14:paraId="46B89CB5">
            <w:pPr>
              <w:spacing w:line="240" w:lineRule="auto"/>
              <w:rPr>
                <w:rFonts w:ascii="宋体"/>
                <w:sz w:val="18"/>
                <w:szCs w:val="18"/>
              </w:rPr>
            </w:pPr>
          </w:p>
        </w:tc>
        <w:tc>
          <w:tcPr>
            <w:tcW w:w="544" w:type="dxa"/>
            <w:vAlign w:val="center"/>
          </w:tcPr>
          <w:p w14:paraId="3360AF43">
            <w:pPr>
              <w:spacing w:line="240" w:lineRule="auto"/>
              <w:rPr>
                <w:rFonts w:ascii="宋体"/>
                <w:sz w:val="18"/>
                <w:szCs w:val="18"/>
              </w:rPr>
            </w:pPr>
          </w:p>
        </w:tc>
        <w:tc>
          <w:tcPr>
            <w:tcW w:w="535" w:type="dxa"/>
            <w:vAlign w:val="center"/>
          </w:tcPr>
          <w:p w14:paraId="1F307036">
            <w:pPr>
              <w:spacing w:line="240" w:lineRule="auto"/>
              <w:rPr>
                <w:rFonts w:ascii="宋体"/>
                <w:sz w:val="18"/>
                <w:szCs w:val="18"/>
              </w:rPr>
            </w:pPr>
          </w:p>
        </w:tc>
        <w:tc>
          <w:tcPr>
            <w:tcW w:w="599" w:type="dxa"/>
            <w:vAlign w:val="center"/>
          </w:tcPr>
          <w:p w14:paraId="204D9D6A">
            <w:pPr>
              <w:spacing w:line="240" w:lineRule="auto"/>
              <w:rPr>
                <w:rFonts w:ascii="宋体"/>
                <w:sz w:val="18"/>
                <w:szCs w:val="18"/>
              </w:rPr>
            </w:pPr>
          </w:p>
        </w:tc>
      </w:tr>
      <w:tr w14:paraId="238A3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34" w:type="dxa"/>
            <w:gridSpan w:val="2"/>
            <w:vMerge w:val="continue"/>
            <w:vAlign w:val="center"/>
          </w:tcPr>
          <w:p w14:paraId="36DDC471">
            <w:pPr>
              <w:spacing w:line="240" w:lineRule="auto"/>
              <w:rPr>
                <w:rFonts w:ascii="宋体"/>
                <w:sz w:val="18"/>
                <w:szCs w:val="18"/>
              </w:rPr>
            </w:pPr>
          </w:p>
        </w:tc>
        <w:tc>
          <w:tcPr>
            <w:tcW w:w="736" w:type="dxa"/>
            <w:vAlign w:val="center"/>
          </w:tcPr>
          <w:p w14:paraId="74C5FD30">
            <w:pPr>
              <w:spacing w:line="240" w:lineRule="auto"/>
              <w:rPr>
                <w:rFonts w:ascii="宋体"/>
                <w:sz w:val="18"/>
                <w:szCs w:val="18"/>
              </w:rPr>
            </w:pPr>
            <w:r>
              <w:rPr>
                <w:rFonts w:hint="eastAsia" w:ascii="宋体"/>
                <w:sz w:val="18"/>
                <w:szCs w:val="18"/>
              </w:rPr>
              <w:t>间隙</w:t>
            </w:r>
          </w:p>
        </w:tc>
        <w:tc>
          <w:tcPr>
            <w:tcW w:w="538" w:type="dxa"/>
            <w:vAlign w:val="center"/>
          </w:tcPr>
          <w:p w14:paraId="6A8F07FB">
            <w:pPr>
              <w:spacing w:line="240" w:lineRule="auto"/>
              <w:rPr>
                <w:rFonts w:ascii="宋体"/>
                <w:sz w:val="18"/>
                <w:szCs w:val="18"/>
              </w:rPr>
            </w:pPr>
          </w:p>
        </w:tc>
        <w:tc>
          <w:tcPr>
            <w:tcW w:w="538" w:type="dxa"/>
            <w:vAlign w:val="center"/>
          </w:tcPr>
          <w:p w14:paraId="0C32179B">
            <w:pPr>
              <w:spacing w:line="240" w:lineRule="auto"/>
              <w:rPr>
                <w:rFonts w:ascii="宋体"/>
                <w:sz w:val="18"/>
                <w:szCs w:val="18"/>
              </w:rPr>
            </w:pPr>
          </w:p>
        </w:tc>
        <w:tc>
          <w:tcPr>
            <w:tcW w:w="538" w:type="dxa"/>
            <w:vAlign w:val="center"/>
          </w:tcPr>
          <w:p w14:paraId="78C04C9A">
            <w:pPr>
              <w:spacing w:line="240" w:lineRule="auto"/>
              <w:rPr>
                <w:rFonts w:ascii="宋体"/>
                <w:sz w:val="18"/>
                <w:szCs w:val="18"/>
              </w:rPr>
            </w:pPr>
          </w:p>
        </w:tc>
        <w:tc>
          <w:tcPr>
            <w:tcW w:w="538" w:type="dxa"/>
            <w:gridSpan w:val="2"/>
            <w:vAlign w:val="center"/>
          </w:tcPr>
          <w:p w14:paraId="0447B21A">
            <w:pPr>
              <w:spacing w:line="240" w:lineRule="auto"/>
              <w:rPr>
                <w:rFonts w:ascii="宋体"/>
                <w:sz w:val="18"/>
                <w:szCs w:val="18"/>
              </w:rPr>
            </w:pPr>
          </w:p>
        </w:tc>
        <w:tc>
          <w:tcPr>
            <w:tcW w:w="538" w:type="dxa"/>
            <w:vAlign w:val="center"/>
          </w:tcPr>
          <w:p w14:paraId="4D883030">
            <w:pPr>
              <w:spacing w:line="240" w:lineRule="auto"/>
              <w:rPr>
                <w:rFonts w:ascii="宋体"/>
                <w:sz w:val="18"/>
                <w:szCs w:val="18"/>
              </w:rPr>
            </w:pPr>
          </w:p>
        </w:tc>
        <w:tc>
          <w:tcPr>
            <w:tcW w:w="538" w:type="dxa"/>
            <w:vAlign w:val="center"/>
          </w:tcPr>
          <w:p w14:paraId="7CAD89BC">
            <w:pPr>
              <w:spacing w:line="240" w:lineRule="auto"/>
              <w:rPr>
                <w:rFonts w:ascii="宋体"/>
                <w:sz w:val="18"/>
                <w:szCs w:val="18"/>
              </w:rPr>
            </w:pPr>
          </w:p>
        </w:tc>
        <w:tc>
          <w:tcPr>
            <w:tcW w:w="538" w:type="dxa"/>
            <w:vAlign w:val="center"/>
          </w:tcPr>
          <w:p w14:paraId="2889EB82">
            <w:pPr>
              <w:spacing w:line="240" w:lineRule="auto"/>
              <w:rPr>
                <w:rFonts w:ascii="宋体"/>
                <w:sz w:val="18"/>
                <w:szCs w:val="18"/>
              </w:rPr>
            </w:pPr>
          </w:p>
        </w:tc>
        <w:tc>
          <w:tcPr>
            <w:tcW w:w="539" w:type="dxa"/>
            <w:vAlign w:val="center"/>
          </w:tcPr>
          <w:p w14:paraId="4E1C9798">
            <w:pPr>
              <w:spacing w:line="240" w:lineRule="auto"/>
              <w:rPr>
                <w:rFonts w:ascii="宋体"/>
                <w:sz w:val="18"/>
                <w:szCs w:val="18"/>
              </w:rPr>
            </w:pPr>
          </w:p>
        </w:tc>
        <w:tc>
          <w:tcPr>
            <w:tcW w:w="538" w:type="dxa"/>
            <w:vAlign w:val="center"/>
          </w:tcPr>
          <w:p w14:paraId="39F072FE">
            <w:pPr>
              <w:spacing w:line="240" w:lineRule="auto"/>
              <w:rPr>
                <w:rFonts w:ascii="宋体"/>
                <w:sz w:val="18"/>
                <w:szCs w:val="18"/>
              </w:rPr>
            </w:pPr>
          </w:p>
        </w:tc>
        <w:tc>
          <w:tcPr>
            <w:tcW w:w="538" w:type="dxa"/>
            <w:vAlign w:val="center"/>
          </w:tcPr>
          <w:p w14:paraId="58784CC5">
            <w:pPr>
              <w:spacing w:line="240" w:lineRule="auto"/>
              <w:rPr>
                <w:rFonts w:ascii="宋体"/>
                <w:sz w:val="18"/>
                <w:szCs w:val="18"/>
              </w:rPr>
            </w:pPr>
          </w:p>
        </w:tc>
        <w:tc>
          <w:tcPr>
            <w:tcW w:w="538" w:type="dxa"/>
            <w:gridSpan w:val="2"/>
            <w:vAlign w:val="center"/>
          </w:tcPr>
          <w:p w14:paraId="1A25FAE2">
            <w:pPr>
              <w:spacing w:line="240" w:lineRule="auto"/>
              <w:rPr>
                <w:rFonts w:ascii="宋体"/>
                <w:sz w:val="18"/>
                <w:szCs w:val="18"/>
              </w:rPr>
            </w:pPr>
          </w:p>
        </w:tc>
        <w:tc>
          <w:tcPr>
            <w:tcW w:w="544" w:type="dxa"/>
            <w:vAlign w:val="center"/>
          </w:tcPr>
          <w:p w14:paraId="3E16775C">
            <w:pPr>
              <w:spacing w:line="240" w:lineRule="auto"/>
              <w:rPr>
                <w:rFonts w:ascii="宋体"/>
                <w:sz w:val="18"/>
                <w:szCs w:val="18"/>
              </w:rPr>
            </w:pPr>
          </w:p>
        </w:tc>
        <w:tc>
          <w:tcPr>
            <w:tcW w:w="535" w:type="dxa"/>
            <w:vAlign w:val="center"/>
          </w:tcPr>
          <w:p w14:paraId="7EEDD44B">
            <w:pPr>
              <w:spacing w:line="240" w:lineRule="auto"/>
              <w:rPr>
                <w:rFonts w:ascii="宋体"/>
                <w:sz w:val="18"/>
                <w:szCs w:val="18"/>
              </w:rPr>
            </w:pPr>
          </w:p>
        </w:tc>
        <w:tc>
          <w:tcPr>
            <w:tcW w:w="599" w:type="dxa"/>
            <w:vAlign w:val="center"/>
          </w:tcPr>
          <w:p w14:paraId="04F63337">
            <w:pPr>
              <w:spacing w:line="240" w:lineRule="auto"/>
              <w:rPr>
                <w:rFonts w:ascii="宋体"/>
                <w:sz w:val="18"/>
                <w:szCs w:val="18"/>
              </w:rPr>
            </w:pPr>
          </w:p>
        </w:tc>
      </w:tr>
      <w:tr w14:paraId="383B1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734" w:type="dxa"/>
            <w:gridSpan w:val="2"/>
            <w:vAlign w:val="center"/>
          </w:tcPr>
          <w:p w14:paraId="09817AAF">
            <w:pPr>
              <w:rPr>
                <w:rFonts w:ascii="宋体"/>
                <w:sz w:val="18"/>
                <w:szCs w:val="18"/>
              </w:rPr>
            </w:pPr>
            <w:r>
              <w:rPr>
                <w:rFonts w:hint="eastAsia" w:ascii="宋体"/>
                <w:sz w:val="18"/>
                <w:szCs w:val="18"/>
              </w:rPr>
              <w:t>整改意见</w:t>
            </w:r>
          </w:p>
        </w:tc>
        <w:tc>
          <w:tcPr>
            <w:tcW w:w="8333" w:type="dxa"/>
            <w:gridSpan w:val="17"/>
          </w:tcPr>
          <w:p w14:paraId="50CB8209">
            <w:pPr>
              <w:rPr>
                <w:rFonts w:ascii="宋体"/>
                <w:sz w:val="18"/>
                <w:szCs w:val="18"/>
              </w:rPr>
            </w:pPr>
          </w:p>
          <w:p w14:paraId="2A48719B">
            <w:pPr>
              <w:rPr>
                <w:rFonts w:ascii="宋体"/>
                <w:sz w:val="18"/>
                <w:szCs w:val="18"/>
              </w:rPr>
            </w:pPr>
            <w:r>
              <w:rPr>
                <w:rFonts w:hint="eastAsia" w:ascii="宋体"/>
                <w:sz w:val="18"/>
                <w:szCs w:val="18"/>
              </w:rPr>
              <w:t xml:space="preserve">              签字:                                 年   月   日</w:t>
            </w:r>
          </w:p>
        </w:tc>
      </w:tr>
    </w:tbl>
    <w:p w14:paraId="4DA4B54C">
      <w:pPr>
        <w:pStyle w:val="221"/>
      </w:pPr>
      <w:r>
        <w:rPr>
          <w:rFonts w:hint="eastAsia"/>
        </w:rPr>
        <w:t>注:该表格适用于龙门吊轨道检测。</w:t>
      </w:r>
    </w:p>
    <w:p w14:paraId="6DFF7E6C">
      <w:pPr>
        <w:pStyle w:val="221"/>
      </w:pPr>
    </w:p>
    <w:sectPr>
      <w:footerReference r:id="rId12"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EU-F1">
    <w:altName w:val="Microsoft YaHei UI"/>
    <w:panose1 w:val="00000000000000000000"/>
    <w:charset w:val="86"/>
    <w:family w:val="script"/>
    <w:pitch w:val="default"/>
    <w:sig w:usb0="00000000" w:usb1="00000000" w:usb2="00000010" w:usb3="00000000" w:csb0="00040000" w:csb1="00000000"/>
  </w:font>
  <w:font w:name="Microsoft YaHei UI">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Black">
    <w:panose1 w:val="020B0A04020102020204"/>
    <w:charset w:val="00"/>
    <w:family w:val="swiss"/>
    <w:pitch w:val="default"/>
    <w:sig w:usb0="A00002AF" w:usb1="4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BBA08">
    <w:pPr>
      <w:pStyle w:val="24"/>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7CAD2">
    <w:pPr>
      <w:pStyle w:val="24"/>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3FB51">
    <w:pPr>
      <w:pStyle w:val="74"/>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D4C24">
    <w:pPr>
      <w:pStyle w:val="24"/>
      <w:framePr w:wrap="around" w:vAnchor="text" w:hAnchor="margin" w:xAlign="outside" w:y="1"/>
      <w:ind w:firstLine="180" w:firstLineChars="100"/>
      <w:rPr>
        <w:rStyle w:val="42"/>
      </w:rPr>
    </w:pPr>
    <w:r>
      <w:fldChar w:fldCharType="begin"/>
    </w:r>
    <w:r>
      <w:rPr>
        <w:rStyle w:val="42"/>
      </w:rPr>
      <w:instrText xml:space="preserve">PAGE  </w:instrText>
    </w:r>
    <w:r>
      <w:fldChar w:fldCharType="separate"/>
    </w:r>
    <w:r>
      <w:rPr>
        <w:rStyle w:val="42"/>
      </w:rPr>
      <w:t>2</w:t>
    </w:r>
    <w:r>
      <w:fldChar w:fldCharType="end"/>
    </w:r>
  </w:p>
  <w:p w14:paraId="5F4ED4EC">
    <w:pPr>
      <w:pStyle w:val="2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B118B">
    <w:pPr>
      <w:pStyle w:val="25"/>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4017A">
    <w:pPr>
      <w:pStyle w:val="25"/>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6FF2F">
    <w:pPr>
      <w:jc w:val="right"/>
      <w:rPr>
        <w:rFonts w:hint="eastAsia" w:ascii="宋体" w:hAnsi="宋体"/>
        <w:color w:val="FF0000"/>
      </w:rPr>
    </w:pPr>
    <w:r>
      <w:rPr>
        <w:rFonts w:ascii="宋体" w:hAnsi="宋体"/>
      </w:rPr>
      <w:t>T/CE</w:t>
    </w:r>
    <w:r>
      <w:rPr>
        <w:rFonts w:hint="eastAsia" w:ascii="宋体" w:hAnsi="宋体"/>
      </w:rPr>
      <w:t>P</w:t>
    </w:r>
    <w:r>
      <w:rPr>
        <w:rFonts w:ascii="宋体" w:hAnsi="宋体"/>
      </w:rPr>
      <w:t>C</w:t>
    </w:r>
    <w:r>
      <w:rPr>
        <w:rFonts w:hint="eastAsia" w:ascii="宋体" w:hAnsi="宋体"/>
      </w:rPr>
      <w:t xml:space="preserve">A  </w:t>
    </w:r>
    <w:r>
      <w:rPr>
        <w:rFonts w:hint="eastAsia" w:ascii="宋体" w:hAnsi="宋体"/>
        <w:color w:val="FF0000"/>
      </w:rPr>
      <w:t>20</w:t>
    </w:r>
    <w:r>
      <w:rPr>
        <w:rFonts w:ascii="宋体" w:hAnsi="宋体"/>
        <w:color w:val="FF0000"/>
      </w:rPr>
      <w:t>2</w:t>
    </w:r>
    <w:r>
      <w:rPr>
        <w:rFonts w:hint="eastAsia" w:ascii="宋体" w:hAnsi="宋体"/>
        <w:color w:val="FF0000"/>
      </w:rPr>
      <w:t>4033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B7697">
    <w:pPr>
      <w:pStyle w:val="25"/>
      <w:jc w:val="right"/>
    </w:pPr>
    <w:r>
      <w:fldChar w:fldCharType="begin"/>
    </w:r>
    <w:r>
      <w:instrText xml:space="preserve"> STYLEREF  标准文件_文件编号  \* MERGEFORMAT </w:instrText>
    </w:r>
    <w:r>
      <w:fldChar w:fldCharType="separate"/>
    </w:r>
    <w:r>
      <w:rPr>
        <w:b/>
      </w:rPr>
      <w:t>错误！文档中没有指定样式的文字。</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2F2680"/>
    <w:multiLevelType w:val="multilevel"/>
    <w:tmpl w:val="012F2680"/>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tentative="0">
      <w:start w:val="1"/>
      <w:numFmt w:val="decimal"/>
      <w:pStyle w:val="8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81"/>
      <w:suff w:val="nothing"/>
      <w:lvlText w:val="%1%2.%3　"/>
      <w:lvlJc w:val="left"/>
      <w:pPr>
        <w:ind w:left="0" w:firstLine="0"/>
      </w:pPr>
    </w:lvl>
    <w:lvl w:ilvl="3" w:tentative="0">
      <w:start w:val="1"/>
      <w:numFmt w:val="decimal"/>
      <w:pStyle w:val="140"/>
      <w:suff w:val="nothing"/>
      <w:lvlText w:val="%1%2.%3.%4　"/>
      <w:lvlJc w:val="left"/>
      <w:pPr>
        <w:ind w:left="0" w:firstLine="0"/>
      </w:pPr>
    </w:lvl>
    <w:lvl w:ilvl="4" w:tentative="0">
      <w:start w:val="1"/>
      <w:numFmt w:val="decimal"/>
      <w:pStyle w:val="175"/>
      <w:suff w:val="nothing"/>
      <w:lvlText w:val="%1%2.%3.%4.%5　"/>
      <w:lvlJc w:val="left"/>
      <w:pPr>
        <w:ind w:left="0" w:firstLine="0"/>
      </w:pPr>
    </w:lvl>
    <w:lvl w:ilvl="5" w:tentative="0">
      <w:start w:val="1"/>
      <w:numFmt w:val="decimal"/>
      <w:pStyle w:val="177"/>
      <w:suff w:val="nothing"/>
      <w:lvlText w:val="%1%2.%3.%4.%5.%6　"/>
      <w:lvlJc w:val="left"/>
      <w:pPr>
        <w:ind w:left="0" w:firstLine="0"/>
      </w:pPr>
    </w:lvl>
    <w:lvl w:ilvl="6" w:tentative="0">
      <w:start w:val="1"/>
      <w:numFmt w:val="decimal"/>
      <w:pStyle w:val="18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20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111"/>
      <w:lvlText w:val="%1"/>
      <w:lvlJc w:val="left"/>
      <w:pPr>
        <w:ind w:left="425" w:hanging="425"/>
      </w:pPr>
      <w:rPr>
        <w:rFonts w:hint="eastAsia"/>
      </w:rPr>
    </w:lvl>
    <w:lvl w:ilvl="1" w:tentative="0">
      <w:start w:val="1"/>
      <w:numFmt w:val="decimal"/>
      <w:pStyle w:val="222"/>
      <w:suff w:val="nothing"/>
      <w:lvlText w:val="%10.%2 "/>
      <w:lvlJc w:val="left"/>
      <w:pPr>
        <w:ind w:left="0" w:firstLine="0"/>
      </w:pPr>
      <w:rPr>
        <w:rFonts w:hint="eastAsia" w:ascii="黑体" w:eastAsia="黑体" w:hAnsiTheme="minorHAnsi"/>
        <w:b w:val="0"/>
        <w:i w:val="0"/>
        <w:sz w:val="21"/>
      </w:rPr>
    </w:lvl>
    <w:lvl w:ilvl="2" w:tentative="0">
      <w:start w:val="1"/>
      <w:numFmt w:val="decimal"/>
      <w:pStyle w:val="223"/>
      <w:suff w:val="nothing"/>
      <w:lvlText w:val="%10.%2.%3 "/>
      <w:lvlJc w:val="left"/>
      <w:pPr>
        <w:ind w:left="0" w:firstLine="0"/>
      </w:pPr>
      <w:rPr>
        <w:rFonts w:hint="eastAsia" w:ascii="黑体" w:eastAsia="黑体" w:hAnsiTheme="minorHAnsi"/>
        <w:b w:val="0"/>
        <w:i w:val="0"/>
        <w:sz w:val="21"/>
      </w:rPr>
    </w:lvl>
    <w:lvl w:ilvl="3" w:tentative="0">
      <w:start w:val="1"/>
      <w:numFmt w:val="decimal"/>
      <w:pStyle w:val="224"/>
      <w:suff w:val="nothing"/>
      <w:lvlText w:val="%10.%2.%3.%4 "/>
      <w:lvlJc w:val="left"/>
      <w:pPr>
        <w:ind w:left="0" w:firstLine="0"/>
      </w:pPr>
      <w:rPr>
        <w:rFonts w:hint="eastAsia" w:ascii="黑体" w:eastAsia="黑体" w:hAnsiTheme="minorHAnsi"/>
        <w:b w:val="0"/>
        <w:i w:val="0"/>
        <w:sz w:val="21"/>
      </w:rPr>
    </w:lvl>
    <w:lvl w:ilvl="4" w:tentative="0">
      <w:start w:val="1"/>
      <w:numFmt w:val="decimal"/>
      <w:pStyle w:val="225"/>
      <w:suff w:val="nothing"/>
      <w:lvlText w:val="%10.%2.%3.%4.%5 "/>
      <w:lvlJc w:val="left"/>
      <w:pPr>
        <w:ind w:left="0" w:firstLine="0"/>
      </w:pPr>
      <w:rPr>
        <w:rFonts w:hint="eastAsia" w:ascii="黑体" w:eastAsia="黑体" w:hAnsiTheme="minorHAnsi"/>
        <w:b w:val="0"/>
        <w:i w:val="0"/>
        <w:sz w:val="21"/>
      </w:rPr>
    </w:lvl>
    <w:lvl w:ilvl="5" w:tentative="0">
      <w:start w:val="1"/>
      <w:numFmt w:val="decimal"/>
      <w:pStyle w:val="22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20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8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9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8B51F95"/>
    <w:multiLevelType w:val="multilevel"/>
    <w:tmpl w:val="18B51F95"/>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196155FB"/>
    <w:multiLevelType w:val="multilevel"/>
    <w:tmpl w:val="196155FB"/>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1AD20F90"/>
    <w:multiLevelType w:val="multilevel"/>
    <w:tmpl w:val="1AD20F90"/>
    <w:lvl w:ilvl="0" w:tentative="0">
      <w:start w:val="1"/>
      <w:numFmt w:val="none"/>
      <w:pStyle w:val="13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AF15012"/>
    <w:multiLevelType w:val="multilevel"/>
    <w:tmpl w:val="1AF15012"/>
    <w:lvl w:ilvl="0" w:tentative="0">
      <w:start w:val="1"/>
      <w:numFmt w:val="upperLetter"/>
      <w:pStyle w:val="10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1EAA1992"/>
    <w:multiLevelType w:val="multilevel"/>
    <w:tmpl w:val="1EAA1992"/>
    <w:lvl w:ilvl="0" w:tentative="0">
      <w:start w:val="1"/>
      <w:numFmt w:val="none"/>
      <w:pStyle w:val="11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3">
    <w:nsid w:val="25236710"/>
    <w:multiLevelType w:val="multilevel"/>
    <w:tmpl w:val="25236710"/>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2AA822D4"/>
    <w:multiLevelType w:val="multilevel"/>
    <w:tmpl w:val="2AA822D4"/>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2B907314"/>
    <w:multiLevelType w:val="multilevel"/>
    <w:tmpl w:val="2B907314"/>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2C5917C3"/>
    <w:multiLevelType w:val="multilevel"/>
    <w:tmpl w:val="2C5917C3"/>
    <w:lvl w:ilvl="0" w:tentative="0">
      <w:start w:val="1"/>
      <w:numFmt w:val="none"/>
      <w:pStyle w:val="15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09"/>
      <w:lvlText w:val=""/>
      <w:lvlJc w:val="left"/>
      <w:pPr>
        <w:ind w:left="851" w:hanging="431"/>
      </w:pPr>
      <w:rPr>
        <w:rFonts w:hint="default" w:ascii="Symbol" w:hAnsi="Symbol"/>
        <w:sz w:val="21"/>
      </w:rPr>
    </w:lvl>
    <w:lvl w:ilvl="2" w:tentative="0">
      <w:start w:val="1"/>
      <w:numFmt w:val="bullet"/>
      <w:pStyle w:val="19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7">
    <w:nsid w:val="32F04FB2"/>
    <w:multiLevelType w:val="multilevel"/>
    <w:tmpl w:val="32F04FB2"/>
    <w:lvl w:ilvl="0" w:tentative="0">
      <w:start w:val="1"/>
      <w:numFmt w:val="lowerLetter"/>
      <w:pStyle w:val="12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8">
    <w:nsid w:val="3D2C099F"/>
    <w:multiLevelType w:val="multilevel"/>
    <w:tmpl w:val="3D2C099F"/>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44C50F90"/>
    <w:multiLevelType w:val="multilevel"/>
    <w:tmpl w:val="44C50F90"/>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pStyle w:val="131"/>
      <w:lvlText w:val="%2)"/>
      <w:lvlJc w:val="left"/>
      <w:pPr>
        <w:tabs>
          <w:tab w:val="left" w:pos="1276"/>
        </w:tabs>
        <w:ind w:left="1276" w:hanging="425"/>
      </w:pPr>
      <w:rPr>
        <w:rFonts w:hint="eastAsia" w:ascii="宋体" w:hAnsi="Times New Roman" w:eastAsia="宋体"/>
        <w:sz w:val="21"/>
      </w:rPr>
    </w:lvl>
    <w:lvl w:ilvl="2" w:tentative="0">
      <w:start w:val="1"/>
      <w:numFmt w:val="decimal"/>
      <w:pStyle w:val="13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0">
    <w:nsid w:val="48802D1C"/>
    <w:multiLevelType w:val="multilevel"/>
    <w:tmpl w:val="48802D1C"/>
    <w:lvl w:ilvl="0" w:tentative="0">
      <w:start w:val="1"/>
      <w:numFmt w:val="upperLetter"/>
      <w:pStyle w:val="220"/>
      <w:lvlText w:val="%1"/>
      <w:lvlJc w:val="left"/>
      <w:pPr>
        <w:ind w:left="420" w:hanging="420"/>
      </w:pPr>
      <w:rPr>
        <w:rFonts w:hint="eastAsia"/>
      </w:rPr>
    </w:lvl>
    <w:lvl w:ilvl="1" w:tentative="0">
      <w:start w:val="1"/>
      <w:numFmt w:val="decimal"/>
      <w:pStyle w:val="10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1">
    <w:nsid w:val="4B733A5F"/>
    <w:multiLevelType w:val="multilevel"/>
    <w:tmpl w:val="4B733A5F"/>
    <w:lvl w:ilvl="0" w:tentative="0">
      <w:start w:val="1"/>
      <w:numFmt w:val="decimal"/>
      <w:pStyle w:val="20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2">
    <w:nsid w:val="4E5D0534"/>
    <w:multiLevelType w:val="multilevel"/>
    <w:tmpl w:val="4E5D0534"/>
    <w:lvl w:ilvl="0" w:tentative="0">
      <w:start w:val="1"/>
      <w:numFmt w:val="decimal"/>
      <w:pStyle w:val="13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3">
    <w:nsid w:val="54632751"/>
    <w:multiLevelType w:val="multilevel"/>
    <w:tmpl w:val="54632751"/>
    <w:lvl w:ilvl="0" w:tentative="0">
      <w:start w:val="1"/>
      <w:numFmt w:val="none"/>
      <w:pStyle w:val="11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4">
    <w:nsid w:val="557C2AF5"/>
    <w:multiLevelType w:val="multilevel"/>
    <w:tmpl w:val="557C2AF5"/>
    <w:lvl w:ilvl="0" w:tentative="0">
      <w:start w:val="1"/>
      <w:numFmt w:val="decimal"/>
      <w:pStyle w:val="13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5">
    <w:nsid w:val="5603797C"/>
    <w:multiLevelType w:val="multilevel"/>
    <w:tmpl w:val="5603797C"/>
    <w:lvl w:ilvl="0" w:tentative="0">
      <w:start w:val="1"/>
      <w:numFmt w:val="upperLetter"/>
      <w:pStyle w:val="221"/>
      <w:suff w:val="space"/>
      <w:lvlText w:val="%1"/>
      <w:lvlJc w:val="left"/>
      <w:pPr>
        <w:ind w:left="425" w:hanging="425"/>
      </w:pPr>
      <w:rPr>
        <w:rFonts w:hint="eastAsia"/>
      </w:rPr>
    </w:lvl>
    <w:lvl w:ilvl="1" w:tentative="0">
      <w:start w:val="1"/>
      <w:numFmt w:val="decimal"/>
      <w:pStyle w:val="9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6">
    <w:nsid w:val="564D2089"/>
    <w:multiLevelType w:val="multilevel"/>
    <w:tmpl w:val="564D2089"/>
    <w:lvl w:ilvl="0" w:tentative="0">
      <w:start w:val="1"/>
      <w:numFmt w:val="none"/>
      <w:pStyle w:val="13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597527DD"/>
    <w:multiLevelType w:val="multilevel"/>
    <w:tmpl w:val="597527DD"/>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8">
    <w:nsid w:val="5BD12DAC"/>
    <w:multiLevelType w:val="multilevel"/>
    <w:tmpl w:val="5BD12DAC"/>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9">
    <w:nsid w:val="5E994E86"/>
    <w:multiLevelType w:val="multilevel"/>
    <w:tmpl w:val="5E994E86"/>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0">
    <w:nsid w:val="644622F9"/>
    <w:multiLevelType w:val="multilevel"/>
    <w:tmpl w:val="644622F9"/>
    <w:lvl w:ilvl="0" w:tentative="0">
      <w:start w:val="1"/>
      <w:numFmt w:val="upperRoman"/>
      <w:pStyle w:val="19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31">
    <w:nsid w:val="646260FA"/>
    <w:multiLevelType w:val="multilevel"/>
    <w:tmpl w:val="646260FA"/>
    <w:lvl w:ilvl="0" w:tentative="0">
      <w:start w:val="1"/>
      <w:numFmt w:val="decimal"/>
      <w:pStyle w:val="13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2">
    <w:nsid w:val="654A26C9"/>
    <w:multiLevelType w:val="multilevel"/>
    <w:tmpl w:val="654A26C9"/>
    <w:lvl w:ilvl="0" w:tentative="0">
      <w:start w:val="1"/>
      <w:numFmt w:val="none"/>
      <w:pStyle w:val="21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3">
    <w:nsid w:val="657D3FBC"/>
    <w:multiLevelType w:val="multilevel"/>
    <w:tmpl w:val="657D3FBC"/>
    <w:lvl w:ilvl="0" w:tentative="0">
      <w:start w:val="1"/>
      <w:numFmt w:val="upperLetter"/>
      <w:pStyle w:val="98"/>
      <w:suff w:val="nothing"/>
      <w:lvlText w:val="附录%1"/>
      <w:lvlJc w:val="left"/>
      <w:pPr>
        <w:ind w:left="0" w:firstLine="0"/>
      </w:pPr>
      <w:rPr>
        <w:rFonts w:hint="eastAsia"/>
        <w:spacing w:val="100"/>
      </w:rPr>
    </w:lvl>
    <w:lvl w:ilvl="1" w:tentative="0">
      <w:start w:val="1"/>
      <w:numFmt w:val="decimal"/>
      <w:pStyle w:val="100"/>
      <w:suff w:val="nothing"/>
      <w:lvlText w:val="%1.%2　"/>
      <w:lvlJc w:val="left"/>
      <w:pPr>
        <w:ind w:left="0" w:firstLine="0"/>
      </w:pPr>
      <w:rPr>
        <w:rFonts w:hint="eastAsia" w:ascii="黑体" w:eastAsia="黑体"/>
        <w:b w:val="0"/>
        <w:i w:val="0"/>
        <w:sz w:val="21"/>
      </w:rPr>
    </w:lvl>
    <w:lvl w:ilvl="2" w:tentative="0">
      <w:start w:val="1"/>
      <w:numFmt w:val="decimal"/>
      <w:pStyle w:val="101"/>
      <w:suff w:val="nothing"/>
      <w:lvlText w:val="%1.%2.%3　"/>
      <w:lvlJc w:val="left"/>
      <w:pPr>
        <w:ind w:left="0" w:firstLine="0"/>
      </w:pPr>
      <w:rPr>
        <w:rFonts w:hint="eastAsia" w:ascii="黑体" w:eastAsia="黑体"/>
        <w:b w:val="0"/>
        <w:i w:val="0"/>
        <w:sz w:val="21"/>
      </w:rPr>
    </w:lvl>
    <w:lvl w:ilvl="3" w:tentative="0">
      <w:start w:val="1"/>
      <w:numFmt w:val="decimal"/>
      <w:pStyle w:val="103"/>
      <w:suff w:val="nothing"/>
      <w:lvlText w:val="%1.%2.%3.%4　"/>
      <w:lvlJc w:val="left"/>
      <w:pPr>
        <w:ind w:left="0" w:firstLine="0"/>
      </w:pPr>
      <w:rPr>
        <w:rFonts w:hint="eastAsia" w:ascii="黑体" w:eastAsia="黑体"/>
        <w:b w:val="0"/>
        <w:i w:val="0"/>
        <w:sz w:val="21"/>
      </w:rPr>
    </w:lvl>
    <w:lvl w:ilvl="4" w:tentative="0">
      <w:start w:val="1"/>
      <w:numFmt w:val="decimal"/>
      <w:pStyle w:val="104"/>
      <w:suff w:val="nothing"/>
      <w:lvlText w:val="%1.%2.%3.%4.%5　"/>
      <w:lvlJc w:val="left"/>
      <w:pPr>
        <w:ind w:left="0" w:firstLine="0"/>
      </w:pPr>
      <w:rPr>
        <w:rFonts w:hint="eastAsia" w:ascii="黑体" w:eastAsia="黑体"/>
        <w:b w:val="0"/>
        <w:i w:val="0"/>
        <w:sz w:val="21"/>
      </w:rPr>
    </w:lvl>
    <w:lvl w:ilvl="5" w:tentative="0">
      <w:start w:val="1"/>
      <w:numFmt w:val="decimal"/>
      <w:pStyle w:val="10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4">
    <w:nsid w:val="69506ABF"/>
    <w:multiLevelType w:val="multilevel"/>
    <w:tmpl w:val="69506ABF"/>
    <w:lvl w:ilvl="0" w:tentative="0">
      <w:start w:val="1"/>
      <w:numFmt w:val="bullet"/>
      <w:pStyle w:val="21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5">
    <w:nsid w:val="6C391583"/>
    <w:multiLevelType w:val="multilevel"/>
    <w:tmpl w:val="6C391583"/>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6">
    <w:nsid w:val="6CA41985"/>
    <w:multiLevelType w:val="multilevel"/>
    <w:tmpl w:val="6CA41985"/>
    <w:lvl w:ilvl="0" w:tentative="0">
      <w:start w:val="1"/>
      <w:numFmt w:val="decimal"/>
      <w:pStyle w:val="11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7">
    <w:nsid w:val="6CE42AC1"/>
    <w:multiLevelType w:val="multilevel"/>
    <w:tmpl w:val="6CE42AC1"/>
    <w:lvl w:ilvl="0" w:tentative="0">
      <w:start w:val="1"/>
      <w:numFmt w:val="lowerLetter"/>
      <w:pStyle w:val="19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6CEA2025"/>
    <w:multiLevelType w:val="multilevel"/>
    <w:tmpl w:val="6CEA2025"/>
    <w:lvl w:ilvl="0" w:tentative="0">
      <w:start w:val="1"/>
      <w:numFmt w:val="none"/>
      <w:pStyle w:val="174"/>
      <w:suff w:val="nothing"/>
      <w:lvlText w:val="%1"/>
      <w:lvlJc w:val="left"/>
      <w:pPr>
        <w:ind w:left="0" w:firstLine="0"/>
      </w:pPr>
      <w:rPr>
        <w:rFonts w:hint="eastAsia"/>
      </w:rPr>
    </w:lvl>
    <w:lvl w:ilvl="1" w:tentative="0">
      <w:start w:val="1"/>
      <w:numFmt w:val="decimal"/>
      <w:pStyle w:val="126"/>
      <w:suff w:val="nothing"/>
      <w:lvlText w:val="%1%2　"/>
      <w:lvlJc w:val="left"/>
      <w:pPr>
        <w:ind w:left="1419" w:firstLine="0"/>
      </w:pPr>
      <w:rPr>
        <w:rFonts w:hint="eastAsia" w:ascii="黑体" w:eastAsia="黑体"/>
        <w:b w:val="0"/>
        <w:i w:val="0"/>
        <w:sz w:val="21"/>
      </w:rPr>
    </w:lvl>
    <w:lvl w:ilvl="2" w:tentative="0">
      <w:start w:val="1"/>
      <w:numFmt w:val="decimal"/>
      <w:pStyle w:val="127"/>
      <w:suff w:val="nothing"/>
      <w:lvlText w:val="%1%2.%3　"/>
      <w:lvlJc w:val="left"/>
      <w:pPr>
        <w:ind w:left="993"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87"/>
      <w:suff w:val="nothing"/>
      <w:lvlText w:val="%1%2.%3.%4　"/>
      <w:lvlJc w:val="left"/>
      <w:pPr>
        <w:ind w:left="0" w:firstLine="0"/>
      </w:pPr>
      <w:rPr>
        <w:rFonts w:hint="eastAsia" w:ascii="黑体" w:eastAsia="黑体"/>
        <w:b w:val="0"/>
        <w:i w:val="0"/>
        <w:color w:val="000000" w:themeColor="text1"/>
        <w:sz w:val="21"/>
        <w14:textFill>
          <w14:solidFill>
            <w14:schemeClr w14:val="tx1"/>
          </w14:solidFill>
        </w14:textFill>
      </w:rPr>
    </w:lvl>
    <w:lvl w:ilvl="4" w:tentative="0">
      <w:start w:val="1"/>
      <w:numFmt w:val="decimal"/>
      <w:pStyle w:val="116"/>
      <w:suff w:val="nothing"/>
      <w:lvlText w:val="%1%2.%3.%4.%5　"/>
      <w:lvlJc w:val="left"/>
      <w:pPr>
        <w:ind w:left="0" w:firstLine="0"/>
      </w:pPr>
      <w:rPr>
        <w:rFonts w:hint="eastAsia" w:ascii="黑体" w:eastAsia="黑体"/>
        <w:b w:val="0"/>
        <w:i w:val="0"/>
        <w:sz w:val="21"/>
      </w:rPr>
    </w:lvl>
    <w:lvl w:ilvl="5" w:tentative="0">
      <w:start w:val="1"/>
      <w:numFmt w:val="decimal"/>
      <w:pStyle w:val="120"/>
      <w:suff w:val="nothing"/>
      <w:lvlText w:val="%1%2.%3.%4.%5.%6　"/>
      <w:lvlJc w:val="left"/>
      <w:pPr>
        <w:ind w:left="0" w:firstLine="0"/>
      </w:pPr>
      <w:rPr>
        <w:rFonts w:hint="eastAsia" w:ascii="黑体" w:eastAsia="黑体"/>
        <w:b w:val="0"/>
        <w:i w:val="0"/>
        <w:sz w:val="21"/>
      </w:rPr>
    </w:lvl>
    <w:lvl w:ilvl="6" w:tentative="0">
      <w:start w:val="1"/>
      <w:numFmt w:val="decimal"/>
      <w:pStyle w:val="12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9">
    <w:nsid w:val="6DBF04F4"/>
    <w:multiLevelType w:val="multilevel"/>
    <w:tmpl w:val="6DBF04F4"/>
    <w:lvl w:ilvl="0" w:tentative="0">
      <w:start w:val="1"/>
      <w:numFmt w:val="none"/>
      <w:pStyle w:val="20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0">
    <w:nsid w:val="6DF35F19"/>
    <w:multiLevelType w:val="multilevel"/>
    <w:tmpl w:val="6DF35F19"/>
    <w:lvl w:ilvl="0" w:tentative="0">
      <w:start w:val="1"/>
      <w:numFmt w:val="decimal"/>
      <w:pStyle w:val="13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1">
    <w:nsid w:val="6F86360F"/>
    <w:multiLevelType w:val="multilevel"/>
    <w:tmpl w:val="6F86360F"/>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2">
    <w:nsid w:val="722B3EC1"/>
    <w:multiLevelType w:val="multilevel"/>
    <w:tmpl w:val="722B3EC1"/>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3">
    <w:nsid w:val="72767C09"/>
    <w:multiLevelType w:val="multilevel"/>
    <w:tmpl w:val="72767C09"/>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4">
    <w:nsid w:val="76933334"/>
    <w:multiLevelType w:val="multilevel"/>
    <w:tmpl w:val="76933334"/>
    <w:lvl w:ilvl="0" w:tentative="0">
      <w:start w:val="1"/>
      <w:numFmt w:val="none"/>
      <w:pStyle w:val="16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5">
    <w:nsid w:val="7E44422D"/>
    <w:multiLevelType w:val="multilevel"/>
    <w:tmpl w:val="7E44422D"/>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6">
    <w:nsid w:val="7EF6691B"/>
    <w:multiLevelType w:val="multilevel"/>
    <w:tmpl w:val="7EF6691B"/>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
  </w:num>
  <w:num w:numId="2">
    <w:abstractNumId w:val="38"/>
  </w:num>
  <w:num w:numId="3">
    <w:abstractNumId w:val="6"/>
  </w:num>
  <w:num w:numId="4">
    <w:abstractNumId w:val="33"/>
  </w:num>
  <w:num w:numId="5">
    <w:abstractNumId w:val="25"/>
  </w:num>
  <w:num w:numId="6">
    <w:abstractNumId w:val="20"/>
  </w:num>
  <w:num w:numId="7">
    <w:abstractNumId w:val="11"/>
  </w:num>
  <w:num w:numId="8">
    <w:abstractNumId w:val="4"/>
  </w:num>
  <w:num w:numId="9">
    <w:abstractNumId w:val="12"/>
  </w:num>
  <w:num w:numId="10">
    <w:abstractNumId w:val="23"/>
  </w:num>
  <w:num w:numId="11">
    <w:abstractNumId w:val="36"/>
  </w:num>
  <w:num w:numId="12">
    <w:abstractNumId w:val="17"/>
  </w:num>
  <w:num w:numId="13">
    <w:abstractNumId w:val="19"/>
  </w:num>
  <w:num w:numId="14">
    <w:abstractNumId w:val="10"/>
  </w:num>
  <w:num w:numId="15">
    <w:abstractNumId w:val="26"/>
  </w:num>
  <w:num w:numId="16">
    <w:abstractNumId w:val="31"/>
  </w:num>
  <w:num w:numId="17">
    <w:abstractNumId w:val="24"/>
  </w:num>
  <w:num w:numId="18">
    <w:abstractNumId w:val="40"/>
  </w:num>
  <w:num w:numId="19">
    <w:abstractNumId w:val="22"/>
  </w:num>
  <w:num w:numId="20">
    <w:abstractNumId w:val="2"/>
  </w:num>
  <w:num w:numId="21">
    <w:abstractNumId w:val="16"/>
  </w:num>
  <w:num w:numId="22">
    <w:abstractNumId w:val="44"/>
  </w:num>
  <w:num w:numId="23">
    <w:abstractNumId w:val="30"/>
  </w:num>
  <w:num w:numId="24">
    <w:abstractNumId w:val="7"/>
  </w:num>
  <w:num w:numId="25">
    <w:abstractNumId w:val="37"/>
  </w:num>
  <w:num w:numId="26">
    <w:abstractNumId w:val="39"/>
  </w:num>
  <w:num w:numId="27">
    <w:abstractNumId w:val="3"/>
  </w:num>
  <w:num w:numId="28">
    <w:abstractNumId w:val="5"/>
  </w:num>
  <w:num w:numId="29">
    <w:abstractNumId w:val="21"/>
  </w:num>
  <w:num w:numId="30">
    <w:abstractNumId w:val="34"/>
  </w:num>
  <w:num w:numId="31">
    <w:abstractNumId w:val="32"/>
  </w:num>
  <w:num w:numId="32">
    <w:abstractNumId w:val="45"/>
  </w:num>
  <w:num w:numId="33">
    <w:abstractNumId w:val="9"/>
  </w:num>
  <w:num w:numId="34">
    <w:abstractNumId w:val="35"/>
  </w:num>
  <w:num w:numId="35">
    <w:abstractNumId w:val="42"/>
  </w:num>
  <w:num w:numId="36">
    <w:abstractNumId w:val="15"/>
  </w:num>
  <w:num w:numId="37">
    <w:abstractNumId w:val="29"/>
  </w:num>
  <w:num w:numId="38">
    <w:abstractNumId w:val="13"/>
  </w:num>
  <w:num w:numId="39">
    <w:abstractNumId w:val="14"/>
  </w:num>
  <w:num w:numId="40">
    <w:abstractNumId w:val="8"/>
  </w:num>
  <w:num w:numId="41">
    <w:abstractNumId w:val="18"/>
  </w:num>
  <w:num w:numId="42">
    <w:abstractNumId w:val="0"/>
  </w:num>
  <w:num w:numId="43">
    <w:abstractNumId w:val="27"/>
  </w:num>
  <w:num w:numId="44">
    <w:abstractNumId w:val="43"/>
  </w:num>
  <w:num w:numId="45">
    <w:abstractNumId w:val="46"/>
  </w:num>
  <w:num w:numId="46">
    <w:abstractNumId w:val="28"/>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jMTdkYjc2MWFkYWZjMjgzNWU2Y2UwY2E3OWRiODAifQ=="/>
  </w:docVars>
  <w:rsids>
    <w:rsidRoot w:val="00B6525B"/>
    <w:rsid w:val="0000040A"/>
    <w:rsid w:val="00000A94"/>
    <w:rsid w:val="00001972"/>
    <w:rsid w:val="00001D9A"/>
    <w:rsid w:val="00004164"/>
    <w:rsid w:val="00007B3A"/>
    <w:rsid w:val="000107E0"/>
    <w:rsid w:val="00011FDE"/>
    <w:rsid w:val="00012FFD"/>
    <w:rsid w:val="00014162"/>
    <w:rsid w:val="00014340"/>
    <w:rsid w:val="00016A9C"/>
    <w:rsid w:val="00022184"/>
    <w:rsid w:val="00022762"/>
    <w:rsid w:val="000238E0"/>
    <w:rsid w:val="000249DB"/>
    <w:rsid w:val="0002521B"/>
    <w:rsid w:val="00025480"/>
    <w:rsid w:val="0002595E"/>
    <w:rsid w:val="000301EB"/>
    <w:rsid w:val="000303C3"/>
    <w:rsid w:val="00030E06"/>
    <w:rsid w:val="00031888"/>
    <w:rsid w:val="000331D3"/>
    <w:rsid w:val="0003399C"/>
    <w:rsid w:val="00033D9C"/>
    <w:rsid w:val="000346A5"/>
    <w:rsid w:val="00034BC6"/>
    <w:rsid w:val="000359C3"/>
    <w:rsid w:val="00035A7D"/>
    <w:rsid w:val="000365ED"/>
    <w:rsid w:val="0004249A"/>
    <w:rsid w:val="0004305A"/>
    <w:rsid w:val="00043238"/>
    <w:rsid w:val="00043282"/>
    <w:rsid w:val="00044286"/>
    <w:rsid w:val="00047F28"/>
    <w:rsid w:val="000503AA"/>
    <w:rsid w:val="000506A1"/>
    <w:rsid w:val="00051178"/>
    <w:rsid w:val="000515DD"/>
    <w:rsid w:val="0005265A"/>
    <w:rsid w:val="000539DD"/>
    <w:rsid w:val="00053BD3"/>
    <w:rsid w:val="00054835"/>
    <w:rsid w:val="000556ED"/>
    <w:rsid w:val="00055FE2"/>
    <w:rsid w:val="0005616F"/>
    <w:rsid w:val="00060812"/>
    <w:rsid w:val="00060C2E"/>
    <w:rsid w:val="00061033"/>
    <w:rsid w:val="000619E9"/>
    <w:rsid w:val="00061CE3"/>
    <w:rsid w:val="000622D4"/>
    <w:rsid w:val="0006357D"/>
    <w:rsid w:val="00067F1E"/>
    <w:rsid w:val="00070A7A"/>
    <w:rsid w:val="00071CC0"/>
    <w:rsid w:val="00071CFC"/>
    <w:rsid w:val="000724B0"/>
    <w:rsid w:val="00072BBD"/>
    <w:rsid w:val="00073A6E"/>
    <w:rsid w:val="00073C8C"/>
    <w:rsid w:val="00077B64"/>
    <w:rsid w:val="00080A1C"/>
    <w:rsid w:val="00081462"/>
    <w:rsid w:val="00082317"/>
    <w:rsid w:val="00083D2C"/>
    <w:rsid w:val="00086AA1"/>
    <w:rsid w:val="00087A77"/>
    <w:rsid w:val="00090CA6"/>
    <w:rsid w:val="00092B8A"/>
    <w:rsid w:val="00092FB0"/>
    <w:rsid w:val="000934C5"/>
    <w:rsid w:val="00093623"/>
    <w:rsid w:val="00093D25"/>
    <w:rsid w:val="00093DAB"/>
    <w:rsid w:val="00094D73"/>
    <w:rsid w:val="00096018"/>
    <w:rsid w:val="00096D63"/>
    <w:rsid w:val="000A0B60"/>
    <w:rsid w:val="000A0EB8"/>
    <w:rsid w:val="000A19FC"/>
    <w:rsid w:val="000A296B"/>
    <w:rsid w:val="000A6625"/>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2A1"/>
    <w:rsid w:val="000D4B9C"/>
    <w:rsid w:val="000D4D35"/>
    <w:rsid w:val="000D4EB6"/>
    <w:rsid w:val="000D4FD7"/>
    <w:rsid w:val="000D577C"/>
    <w:rsid w:val="000D753B"/>
    <w:rsid w:val="000E1332"/>
    <w:rsid w:val="000E4C9E"/>
    <w:rsid w:val="000E6FD7"/>
    <w:rsid w:val="000E7144"/>
    <w:rsid w:val="000E7735"/>
    <w:rsid w:val="000F06E1"/>
    <w:rsid w:val="000F0A33"/>
    <w:rsid w:val="000F0E3C"/>
    <w:rsid w:val="000F19D5"/>
    <w:rsid w:val="000F263F"/>
    <w:rsid w:val="000F4050"/>
    <w:rsid w:val="000F4AEA"/>
    <w:rsid w:val="000F5E3A"/>
    <w:rsid w:val="000F67E9"/>
    <w:rsid w:val="000F7D40"/>
    <w:rsid w:val="00100782"/>
    <w:rsid w:val="00100D32"/>
    <w:rsid w:val="00102A6F"/>
    <w:rsid w:val="00104926"/>
    <w:rsid w:val="001065BB"/>
    <w:rsid w:val="001078A0"/>
    <w:rsid w:val="00113B1E"/>
    <w:rsid w:val="0011711C"/>
    <w:rsid w:val="00124A35"/>
    <w:rsid w:val="00124E4F"/>
    <w:rsid w:val="001260B7"/>
    <w:rsid w:val="001265CB"/>
    <w:rsid w:val="001321C6"/>
    <w:rsid w:val="001325C4"/>
    <w:rsid w:val="00133010"/>
    <w:rsid w:val="001338EE"/>
    <w:rsid w:val="00133AAE"/>
    <w:rsid w:val="00135323"/>
    <w:rsid w:val="001356C4"/>
    <w:rsid w:val="001371D8"/>
    <w:rsid w:val="00137565"/>
    <w:rsid w:val="001379A5"/>
    <w:rsid w:val="00140FAE"/>
    <w:rsid w:val="00141114"/>
    <w:rsid w:val="00142969"/>
    <w:rsid w:val="001446C2"/>
    <w:rsid w:val="001457E7"/>
    <w:rsid w:val="00145D9D"/>
    <w:rsid w:val="00146388"/>
    <w:rsid w:val="001529E5"/>
    <w:rsid w:val="00152FB3"/>
    <w:rsid w:val="00153C7E"/>
    <w:rsid w:val="00155B86"/>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EDB"/>
    <w:rsid w:val="00172C39"/>
    <w:rsid w:val="00173163"/>
    <w:rsid w:val="0017340B"/>
    <w:rsid w:val="00173FB1"/>
    <w:rsid w:val="00176DFD"/>
    <w:rsid w:val="001770BD"/>
    <w:rsid w:val="00183BC7"/>
    <w:rsid w:val="00183C00"/>
    <w:rsid w:val="001852C9"/>
    <w:rsid w:val="00187A0B"/>
    <w:rsid w:val="00190087"/>
    <w:rsid w:val="001913C4"/>
    <w:rsid w:val="0019348F"/>
    <w:rsid w:val="00193A07"/>
    <w:rsid w:val="00194621"/>
    <w:rsid w:val="00194C95"/>
    <w:rsid w:val="00195C34"/>
    <w:rsid w:val="00196EF5"/>
    <w:rsid w:val="0019735F"/>
    <w:rsid w:val="00197AEF"/>
    <w:rsid w:val="001A1A53"/>
    <w:rsid w:val="001A1F44"/>
    <w:rsid w:val="001A234A"/>
    <w:rsid w:val="001A4CF3"/>
    <w:rsid w:val="001A6696"/>
    <w:rsid w:val="001B06E8"/>
    <w:rsid w:val="001B11C1"/>
    <w:rsid w:val="001B3B1D"/>
    <w:rsid w:val="001B71D0"/>
    <w:rsid w:val="001B71EE"/>
    <w:rsid w:val="001C04A8"/>
    <w:rsid w:val="001C162F"/>
    <w:rsid w:val="001C2C03"/>
    <w:rsid w:val="001C42F7"/>
    <w:rsid w:val="001C49E5"/>
    <w:rsid w:val="001C680C"/>
    <w:rsid w:val="001C7FEA"/>
    <w:rsid w:val="001D0499"/>
    <w:rsid w:val="001D0BBE"/>
    <w:rsid w:val="001D0ED4"/>
    <w:rsid w:val="001D212F"/>
    <w:rsid w:val="001D29D7"/>
    <w:rsid w:val="001D2DE7"/>
    <w:rsid w:val="001D3C94"/>
    <w:rsid w:val="001D40C9"/>
    <w:rsid w:val="001D411C"/>
    <w:rsid w:val="001D79CA"/>
    <w:rsid w:val="001E1B6A"/>
    <w:rsid w:val="001E2484"/>
    <w:rsid w:val="001E32EA"/>
    <w:rsid w:val="001E3CC4"/>
    <w:rsid w:val="001E4882"/>
    <w:rsid w:val="001E56E4"/>
    <w:rsid w:val="001E73AB"/>
    <w:rsid w:val="001F092D"/>
    <w:rsid w:val="001F143A"/>
    <w:rsid w:val="001F1605"/>
    <w:rsid w:val="001F2508"/>
    <w:rsid w:val="001F4816"/>
    <w:rsid w:val="001F63A3"/>
    <w:rsid w:val="001F69B4"/>
    <w:rsid w:val="001F6FF9"/>
    <w:rsid w:val="001F7686"/>
    <w:rsid w:val="001F77C7"/>
    <w:rsid w:val="00200183"/>
    <w:rsid w:val="00200333"/>
    <w:rsid w:val="0020107D"/>
    <w:rsid w:val="00202AA4"/>
    <w:rsid w:val="002031F7"/>
    <w:rsid w:val="002040E6"/>
    <w:rsid w:val="00204693"/>
    <w:rsid w:val="0020527B"/>
    <w:rsid w:val="00205F2C"/>
    <w:rsid w:val="00210B15"/>
    <w:rsid w:val="002142EA"/>
    <w:rsid w:val="002152B7"/>
    <w:rsid w:val="00215ADD"/>
    <w:rsid w:val="00217571"/>
    <w:rsid w:val="002204BB"/>
    <w:rsid w:val="00221B79"/>
    <w:rsid w:val="00221C6B"/>
    <w:rsid w:val="00221F6E"/>
    <w:rsid w:val="00223E1F"/>
    <w:rsid w:val="002251BB"/>
    <w:rsid w:val="002253A1"/>
    <w:rsid w:val="00225CF8"/>
    <w:rsid w:val="0022794E"/>
    <w:rsid w:val="00233D64"/>
    <w:rsid w:val="0023482A"/>
    <w:rsid w:val="002359CB"/>
    <w:rsid w:val="00237890"/>
    <w:rsid w:val="002419CE"/>
    <w:rsid w:val="00243540"/>
    <w:rsid w:val="0024497B"/>
    <w:rsid w:val="0024515B"/>
    <w:rsid w:val="00246021"/>
    <w:rsid w:val="0024666E"/>
    <w:rsid w:val="00247330"/>
    <w:rsid w:val="00247600"/>
    <w:rsid w:val="00247AFC"/>
    <w:rsid w:val="00247F52"/>
    <w:rsid w:val="00250B25"/>
    <w:rsid w:val="00250BBE"/>
    <w:rsid w:val="002515C2"/>
    <w:rsid w:val="0025194F"/>
    <w:rsid w:val="00252999"/>
    <w:rsid w:val="00256AA1"/>
    <w:rsid w:val="00256AB0"/>
    <w:rsid w:val="00257D16"/>
    <w:rsid w:val="0026148A"/>
    <w:rsid w:val="00262696"/>
    <w:rsid w:val="00263D25"/>
    <w:rsid w:val="002643C3"/>
    <w:rsid w:val="00264A0C"/>
    <w:rsid w:val="0026675C"/>
    <w:rsid w:val="00266EEB"/>
    <w:rsid w:val="00267EF4"/>
    <w:rsid w:val="00270CB8"/>
    <w:rsid w:val="0027124E"/>
    <w:rsid w:val="00272B08"/>
    <w:rsid w:val="00281BB8"/>
    <w:rsid w:val="00281D1B"/>
    <w:rsid w:val="00281E9E"/>
    <w:rsid w:val="00282405"/>
    <w:rsid w:val="00282860"/>
    <w:rsid w:val="00284773"/>
    <w:rsid w:val="00285170"/>
    <w:rsid w:val="00285361"/>
    <w:rsid w:val="00286A93"/>
    <w:rsid w:val="00287B6F"/>
    <w:rsid w:val="00290340"/>
    <w:rsid w:val="00292D60"/>
    <w:rsid w:val="00293B30"/>
    <w:rsid w:val="00293D51"/>
    <w:rsid w:val="00294D34"/>
    <w:rsid w:val="00294E3B"/>
    <w:rsid w:val="00296193"/>
    <w:rsid w:val="00296C66"/>
    <w:rsid w:val="00296EBE"/>
    <w:rsid w:val="002974E3"/>
    <w:rsid w:val="002A084B"/>
    <w:rsid w:val="002A1260"/>
    <w:rsid w:val="002A1589"/>
    <w:rsid w:val="002A1608"/>
    <w:rsid w:val="002A1E6E"/>
    <w:rsid w:val="002A25DC"/>
    <w:rsid w:val="002A3AAB"/>
    <w:rsid w:val="002A4CEA"/>
    <w:rsid w:val="002A5977"/>
    <w:rsid w:val="002A5A13"/>
    <w:rsid w:val="002A757F"/>
    <w:rsid w:val="002A7F44"/>
    <w:rsid w:val="002B0167"/>
    <w:rsid w:val="002B0C40"/>
    <w:rsid w:val="002B1966"/>
    <w:rsid w:val="002B2ED0"/>
    <w:rsid w:val="002B3507"/>
    <w:rsid w:val="002B4508"/>
    <w:rsid w:val="002B5779"/>
    <w:rsid w:val="002B7332"/>
    <w:rsid w:val="002B7F51"/>
    <w:rsid w:val="002C04DD"/>
    <w:rsid w:val="002C09E7"/>
    <w:rsid w:val="002C1E06"/>
    <w:rsid w:val="002C3468"/>
    <w:rsid w:val="002C3F07"/>
    <w:rsid w:val="002C5278"/>
    <w:rsid w:val="002C7EBB"/>
    <w:rsid w:val="002D06C1"/>
    <w:rsid w:val="002D2CEF"/>
    <w:rsid w:val="002D2F34"/>
    <w:rsid w:val="002D3254"/>
    <w:rsid w:val="002D42B5"/>
    <w:rsid w:val="002D4F1A"/>
    <w:rsid w:val="002D6EC6"/>
    <w:rsid w:val="002D79AC"/>
    <w:rsid w:val="002E039D"/>
    <w:rsid w:val="002E074A"/>
    <w:rsid w:val="002E37E7"/>
    <w:rsid w:val="002E4D5A"/>
    <w:rsid w:val="002E6326"/>
    <w:rsid w:val="002F30E0"/>
    <w:rsid w:val="002F35E4"/>
    <w:rsid w:val="002F3730"/>
    <w:rsid w:val="002F38E1"/>
    <w:rsid w:val="002F7088"/>
    <w:rsid w:val="002F718B"/>
    <w:rsid w:val="002F7745"/>
    <w:rsid w:val="002F7AF6"/>
    <w:rsid w:val="00300E63"/>
    <w:rsid w:val="00302F5F"/>
    <w:rsid w:val="0030441D"/>
    <w:rsid w:val="00306063"/>
    <w:rsid w:val="00307492"/>
    <w:rsid w:val="00307911"/>
    <w:rsid w:val="00313B85"/>
    <w:rsid w:val="00317959"/>
    <w:rsid w:val="00317988"/>
    <w:rsid w:val="003221B4"/>
    <w:rsid w:val="0032258D"/>
    <w:rsid w:val="00322E62"/>
    <w:rsid w:val="00324D13"/>
    <w:rsid w:val="00324EDD"/>
    <w:rsid w:val="0032505C"/>
    <w:rsid w:val="003331E4"/>
    <w:rsid w:val="003332C8"/>
    <w:rsid w:val="00336615"/>
    <w:rsid w:val="00336C64"/>
    <w:rsid w:val="00337162"/>
    <w:rsid w:val="0034194F"/>
    <w:rsid w:val="00344605"/>
    <w:rsid w:val="00346A9D"/>
    <w:rsid w:val="003474AA"/>
    <w:rsid w:val="0035013A"/>
    <w:rsid w:val="00350A73"/>
    <w:rsid w:val="00350C57"/>
    <w:rsid w:val="00350D1D"/>
    <w:rsid w:val="00352C83"/>
    <w:rsid w:val="00352F1A"/>
    <w:rsid w:val="003565EC"/>
    <w:rsid w:val="00360ED3"/>
    <w:rsid w:val="0036107C"/>
    <w:rsid w:val="003615D2"/>
    <w:rsid w:val="0036263E"/>
    <w:rsid w:val="00363463"/>
    <w:rsid w:val="0036429C"/>
    <w:rsid w:val="00364A53"/>
    <w:rsid w:val="003654CB"/>
    <w:rsid w:val="00365AA9"/>
    <w:rsid w:val="00365D4F"/>
    <w:rsid w:val="00365F86"/>
    <w:rsid w:val="00365F87"/>
    <w:rsid w:val="00366E89"/>
    <w:rsid w:val="003705F4"/>
    <w:rsid w:val="00370D58"/>
    <w:rsid w:val="00371316"/>
    <w:rsid w:val="00376713"/>
    <w:rsid w:val="00381815"/>
    <w:rsid w:val="003819AF"/>
    <w:rsid w:val="003820E9"/>
    <w:rsid w:val="00382DE7"/>
    <w:rsid w:val="00384436"/>
    <w:rsid w:val="00384FFC"/>
    <w:rsid w:val="003872FC"/>
    <w:rsid w:val="00387ADC"/>
    <w:rsid w:val="00390020"/>
    <w:rsid w:val="003903D6"/>
    <w:rsid w:val="00390EE6"/>
    <w:rsid w:val="0039118F"/>
    <w:rsid w:val="00392AD7"/>
    <w:rsid w:val="003938D9"/>
    <w:rsid w:val="00394376"/>
    <w:rsid w:val="003943FF"/>
    <w:rsid w:val="003974EB"/>
    <w:rsid w:val="00397CC5"/>
    <w:rsid w:val="003A0065"/>
    <w:rsid w:val="003A092E"/>
    <w:rsid w:val="003A11D1"/>
    <w:rsid w:val="003A1582"/>
    <w:rsid w:val="003A3D9C"/>
    <w:rsid w:val="003A4077"/>
    <w:rsid w:val="003A4AA7"/>
    <w:rsid w:val="003A57A4"/>
    <w:rsid w:val="003B09AD"/>
    <w:rsid w:val="003B1F18"/>
    <w:rsid w:val="003B4D72"/>
    <w:rsid w:val="003B5BF0"/>
    <w:rsid w:val="003B60BF"/>
    <w:rsid w:val="003B6BE3"/>
    <w:rsid w:val="003C010C"/>
    <w:rsid w:val="003C0A6C"/>
    <w:rsid w:val="003C14F8"/>
    <w:rsid w:val="003C38A3"/>
    <w:rsid w:val="003C5A43"/>
    <w:rsid w:val="003C5E64"/>
    <w:rsid w:val="003D0519"/>
    <w:rsid w:val="003D073B"/>
    <w:rsid w:val="003D0FF6"/>
    <w:rsid w:val="003D262C"/>
    <w:rsid w:val="003D2634"/>
    <w:rsid w:val="003D29CE"/>
    <w:rsid w:val="003D5534"/>
    <w:rsid w:val="003D6D61"/>
    <w:rsid w:val="003E019F"/>
    <w:rsid w:val="003E091D"/>
    <w:rsid w:val="003E0957"/>
    <w:rsid w:val="003E1C53"/>
    <w:rsid w:val="003E2A69"/>
    <w:rsid w:val="003E2D49"/>
    <w:rsid w:val="003E2FD4"/>
    <w:rsid w:val="003E3A1F"/>
    <w:rsid w:val="003E3A92"/>
    <w:rsid w:val="003E49F6"/>
    <w:rsid w:val="003E660F"/>
    <w:rsid w:val="003F0841"/>
    <w:rsid w:val="003F23D3"/>
    <w:rsid w:val="003F2A35"/>
    <w:rsid w:val="003F3F08"/>
    <w:rsid w:val="003F49F1"/>
    <w:rsid w:val="003F5999"/>
    <w:rsid w:val="003F6075"/>
    <w:rsid w:val="003F6272"/>
    <w:rsid w:val="00400E72"/>
    <w:rsid w:val="00401400"/>
    <w:rsid w:val="00404869"/>
    <w:rsid w:val="00404EF2"/>
    <w:rsid w:val="00405884"/>
    <w:rsid w:val="00407A46"/>
    <w:rsid w:val="00407D39"/>
    <w:rsid w:val="0041477A"/>
    <w:rsid w:val="00415D81"/>
    <w:rsid w:val="004167A3"/>
    <w:rsid w:val="00416E0E"/>
    <w:rsid w:val="00422BCC"/>
    <w:rsid w:val="0043191C"/>
    <w:rsid w:val="00432DAA"/>
    <w:rsid w:val="00434305"/>
    <w:rsid w:val="00435DF7"/>
    <w:rsid w:val="00437043"/>
    <w:rsid w:val="0043741A"/>
    <w:rsid w:val="00437457"/>
    <w:rsid w:val="0044083F"/>
    <w:rsid w:val="00441AE7"/>
    <w:rsid w:val="0044286F"/>
    <w:rsid w:val="0044320A"/>
    <w:rsid w:val="00445574"/>
    <w:rsid w:val="004467FB"/>
    <w:rsid w:val="00452D6B"/>
    <w:rsid w:val="00454484"/>
    <w:rsid w:val="0045517B"/>
    <w:rsid w:val="00455E37"/>
    <w:rsid w:val="00463B77"/>
    <w:rsid w:val="00463C7B"/>
    <w:rsid w:val="004644A6"/>
    <w:rsid w:val="00465474"/>
    <w:rsid w:val="004659BD"/>
    <w:rsid w:val="0046705C"/>
    <w:rsid w:val="00467CE1"/>
    <w:rsid w:val="00470775"/>
    <w:rsid w:val="0047445F"/>
    <w:rsid w:val="004746B1"/>
    <w:rsid w:val="0047583F"/>
    <w:rsid w:val="00475DE8"/>
    <w:rsid w:val="00481351"/>
    <w:rsid w:val="00481AB8"/>
    <w:rsid w:val="00481C44"/>
    <w:rsid w:val="0048463A"/>
    <w:rsid w:val="00484845"/>
    <w:rsid w:val="00484936"/>
    <w:rsid w:val="00485C89"/>
    <w:rsid w:val="00486BE3"/>
    <w:rsid w:val="004905E4"/>
    <w:rsid w:val="00490A89"/>
    <w:rsid w:val="00490AB4"/>
    <w:rsid w:val="004918BF"/>
    <w:rsid w:val="00491E53"/>
    <w:rsid w:val="00492F02"/>
    <w:rsid w:val="004939AE"/>
    <w:rsid w:val="00497995"/>
    <w:rsid w:val="004A08C1"/>
    <w:rsid w:val="004A08DE"/>
    <w:rsid w:val="004A12DF"/>
    <w:rsid w:val="004A1BA8"/>
    <w:rsid w:val="004A1D22"/>
    <w:rsid w:val="004A4B57"/>
    <w:rsid w:val="004A63FA"/>
    <w:rsid w:val="004A6A3D"/>
    <w:rsid w:val="004B0272"/>
    <w:rsid w:val="004B163E"/>
    <w:rsid w:val="004B2701"/>
    <w:rsid w:val="004B2E1B"/>
    <w:rsid w:val="004B3AA8"/>
    <w:rsid w:val="004B3E93"/>
    <w:rsid w:val="004B626F"/>
    <w:rsid w:val="004B69C6"/>
    <w:rsid w:val="004C1CB5"/>
    <w:rsid w:val="004C1FBC"/>
    <w:rsid w:val="004C25A2"/>
    <w:rsid w:val="004C3F1D"/>
    <w:rsid w:val="004C458D"/>
    <w:rsid w:val="004C4BD3"/>
    <w:rsid w:val="004C6731"/>
    <w:rsid w:val="004C7556"/>
    <w:rsid w:val="004C7E8B"/>
    <w:rsid w:val="004C7E9D"/>
    <w:rsid w:val="004C7F67"/>
    <w:rsid w:val="004D00B2"/>
    <w:rsid w:val="004D076D"/>
    <w:rsid w:val="004D0EF1"/>
    <w:rsid w:val="004D2253"/>
    <w:rsid w:val="004D4406"/>
    <w:rsid w:val="004D5E43"/>
    <w:rsid w:val="004D7C42"/>
    <w:rsid w:val="004E0465"/>
    <w:rsid w:val="004E0B7C"/>
    <w:rsid w:val="004E127B"/>
    <w:rsid w:val="004E1C0A"/>
    <w:rsid w:val="004E30C5"/>
    <w:rsid w:val="004E4AA5"/>
    <w:rsid w:val="004E4AEE"/>
    <w:rsid w:val="004E59E3"/>
    <w:rsid w:val="004E672A"/>
    <w:rsid w:val="004E67C0"/>
    <w:rsid w:val="004F391A"/>
    <w:rsid w:val="004F3CFB"/>
    <w:rsid w:val="004F6456"/>
    <w:rsid w:val="004F696E"/>
    <w:rsid w:val="004F6C71"/>
    <w:rsid w:val="004F72B9"/>
    <w:rsid w:val="00501139"/>
    <w:rsid w:val="00502AF0"/>
    <w:rsid w:val="00503370"/>
    <w:rsid w:val="0050363E"/>
    <w:rsid w:val="005039BC"/>
    <w:rsid w:val="00503F1D"/>
    <w:rsid w:val="005043BB"/>
    <w:rsid w:val="00504A3D"/>
    <w:rsid w:val="00505767"/>
    <w:rsid w:val="005073F0"/>
    <w:rsid w:val="00510A7B"/>
    <w:rsid w:val="00512F6E"/>
    <w:rsid w:val="00513038"/>
    <w:rsid w:val="0051371C"/>
    <w:rsid w:val="0051396F"/>
    <w:rsid w:val="00514174"/>
    <w:rsid w:val="00515D3B"/>
    <w:rsid w:val="00516088"/>
    <w:rsid w:val="00516B0B"/>
    <w:rsid w:val="005220EC"/>
    <w:rsid w:val="00523F95"/>
    <w:rsid w:val="00524D65"/>
    <w:rsid w:val="00525B16"/>
    <w:rsid w:val="00531C1B"/>
    <w:rsid w:val="00532623"/>
    <w:rsid w:val="00532BA0"/>
    <w:rsid w:val="00533D04"/>
    <w:rsid w:val="00534804"/>
    <w:rsid w:val="00534BDF"/>
    <w:rsid w:val="005354EA"/>
    <w:rsid w:val="0053585F"/>
    <w:rsid w:val="00535EC4"/>
    <w:rsid w:val="00535ED9"/>
    <w:rsid w:val="005364C0"/>
    <w:rsid w:val="0053692B"/>
    <w:rsid w:val="00541853"/>
    <w:rsid w:val="00542934"/>
    <w:rsid w:val="00543BDA"/>
    <w:rsid w:val="005440E6"/>
    <w:rsid w:val="005441CC"/>
    <w:rsid w:val="005479DA"/>
    <w:rsid w:val="00547BCC"/>
    <w:rsid w:val="0055013B"/>
    <w:rsid w:val="005512AF"/>
    <w:rsid w:val="00551F6F"/>
    <w:rsid w:val="005540F7"/>
    <w:rsid w:val="00555044"/>
    <w:rsid w:val="00561475"/>
    <w:rsid w:val="00562308"/>
    <w:rsid w:val="005623D3"/>
    <w:rsid w:val="0056487B"/>
    <w:rsid w:val="00564FB9"/>
    <w:rsid w:val="00573D9E"/>
    <w:rsid w:val="00573E1E"/>
    <w:rsid w:val="00575006"/>
    <w:rsid w:val="00575550"/>
    <w:rsid w:val="00576F95"/>
    <w:rsid w:val="005801E3"/>
    <w:rsid w:val="00581802"/>
    <w:rsid w:val="005836A8"/>
    <w:rsid w:val="0058409C"/>
    <w:rsid w:val="00584262"/>
    <w:rsid w:val="00586098"/>
    <w:rsid w:val="00586630"/>
    <w:rsid w:val="00587ADD"/>
    <w:rsid w:val="00592285"/>
    <w:rsid w:val="00593A49"/>
    <w:rsid w:val="00596160"/>
    <w:rsid w:val="005966E2"/>
    <w:rsid w:val="00597007"/>
    <w:rsid w:val="005973C3"/>
    <w:rsid w:val="005A0966"/>
    <w:rsid w:val="005A11B7"/>
    <w:rsid w:val="005A260B"/>
    <w:rsid w:val="005A35CE"/>
    <w:rsid w:val="005A3F06"/>
    <w:rsid w:val="005A4910"/>
    <w:rsid w:val="005A4A1B"/>
    <w:rsid w:val="005A5243"/>
    <w:rsid w:val="005A564D"/>
    <w:rsid w:val="005A678F"/>
    <w:rsid w:val="005A6B21"/>
    <w:rsid w:val="005A6BCD"/>
    <w:rsid w:val="005A7830"/>
    <w:rsid w:val="005A7FCE"/>
    <w:rsid w:val="005B06C5"/>
    <w:rsid w:val="005B0F3F"/>
    <w:rsid w:val="005B1314"/>
    <w:rsid w:val="005B191C"/>
    <w:rsid w:val="005B4903"/>
    <w:rsid w:val="005B51CE"/>
    <w:rsid w:val="005B5885"/>
    <w:rsid w:val="005B5CD7"/>
    <w:rsid w:val="005B5F74"/>
    <w:rsid w:val="005B6CF6"/>
    <w:rsid w:val="005B7422"/>
    <w:rsid w:val="005C05F2"/>
    <w:rsid w:val="005C2002"/>
    <w:rsid w:val="005C2488"/>
    <w:rsid w:val="005C29B8"/>
    <w:rsid w:val="005C4368"/>
    <w:rsid w:val="005C5F21"/>
    <w:rsid w:val="005C7156"/>
    <w:rsid w:val="005C745B"/>
    <w:rsid w:val="005C7A46"/>
    <w:rsid w:val="005D03CD"/>
    <w:rsid w:val="005D0C75"/>
    <w:rsid w:val="005D4171"/>
    <w:rsid w:val="005D6A95"/>
    <w:rsid w:val="005D6B2C"/>
    <w:rsid w:val="005D6D9C"/>
    <w:rsid w:val="005E1FAF"/>
    <w:rsid w:val="005E2335"/>
    <w:rsid w:val="005E30BF"/>
    <w:rsid w:val="005E34CA"/>
    <w:rsid w:val="005E3C18"/>
    <w:rsid w:val="005E4250"/>
    <w:rsid w:val="005E562A"/>
    <w:rsid w:val="005E5940"/>
    <w:rsid w:val="005E6812"/>
    <w:rsid w:val="005E7881"/>
    <w:rsid w:val="005E78E0"/>
    <w:rsid w:val="005F09A4"/>
    <w:rsid w:val="005F0D9C"/>
    <w:rsid w:val="005F1270"/>
    <w:rsid w:val="005F2747"/>
    <w:rsid w:val="005F284E"/>
    <w:rsid w:val="005F30A9"/>
    <w:rsid w:val="006015CE"/>
    <w:rsid w:val="00601A23"/>
    <w:rsid w:val="00603AB7"/>
    <w:rsid w:val="00604784"/>
    <w:rsid w:val="00605379"/>
    <w:rsid w:val="00606419"/>
    <w:rsid w:val="0060648B"/>
    <w:rsid w:val="00607D29"/>
    <w:rsid w:val="00612952"/>
    <w:rsid w:val="00614CC1"/>
    <w:rsid w:val="00614ED8"/>
    <w:rsid w:val="00615A9D"/>
    <w:rsid w:val="00617387"/>
    <w:rsid w:val="006205D6"/>
    <w:rsid w:val="006210A1"/>
    <w:rsid w:val="006245B6"/>
    <w:rsid w:val="006252D8"/>
    <w:rsid w:val="006259BC"/>
    <w:rsid w:val="0062636B"/>
    <w:rsid w:val="00632182"/>
    <w:rsid w:val="00632AE0"/>
    <w:rsid w:val="00633C17"/>
    <w:rsid w:val="00634D9E"/>
    <w:rsid w:val="00636E3E"/>
    <w:rsid w:val="006379F7"/>
    <w:rsid w:val="00637E4D"/>
    <w:rsid w:val="00640620"/>
    <w:rsid w:val="00641A1F"/>
    <w:rsid w:val="00645904"/>
    <w:rsid w:val="00646FE0"/>
    <w:rsid w:val="006505C9"/>
    <w:rsid w:val="00650F69"/>
    <w:rsid w:val="00651ACB"/>
    <w:rsid w:val="00651C47"/>
    <w:rsid w:val="00652AB2"/>
    <w:rsid w:val="00653FED"/>
    <w:rsid w:val="00654EC0"/>
    <w:rsid w:val="0065525B"/>
    <w:rsid w:val="00655D4F"/>
    <w:rsid w:val="00656D29"/>
    <w:rsid w:val="006640E5"/>
    <w:rsid w:val="006646F1"/>
    <w:rsid w:val="00664929"/>
    <w:rsid w:val="00664F62"/>
    <w:rsid w:val="006655E1"/>
    <w:rsid w:val="00667C13"/>
    <w:rsid w:val="00672060"/>
    <w:rsid w:val="00672BFD"/>
    <w:rsid w:val="00672FEE"/>
    <w:rsid w:val="00675A9E"/>
    <w:rsid w:val="006766F1"/>
    <w:rsid w:val="006770F4"/>
    <w:rsid w:val="00677A84"/>
    <w:rsid w:val="0068026D"/>
    <w:rsid w:val="00680A27"/>
    <w:rsid w:val="00680D42"/>
    <w:rsid w:val="006816A4"/>
    <w:rsid w:val="006819B8"/>
    <w:rsid w:val="006840A6"/>
    <w:rsid w:val="006850CD"/>
    <w:rsid w:val="00685959"/>
    <w:rsid w:val="00685AAB"/>
    <w:rsid w:val="00693962"/>
    <w:rsid w:val="0069743E"/>
    <w:rsid w:val="006979AC"/>
    <w:rsid w:val="006A07AA"/>
    <w:rsid w:val="006A07EC"/>
    <w:rsid w:val="006A25E5"/>
    <w:rsid w:val="006A2B46"/>
    <w:rsid w:val="006A336D"/>
    <w:rsid w:val="006A37B9"/>
    <w:rsid w:val="006A42C1"/>
    <w:rsid w:val="006B2672"/>
    <w:rsid w:val="006B54BF"/>
    <w:rsid w:val="006B5756"/>
    <w:rsid w:val="006B5F44"/>
    <w:rsid w:val="006B5F90"/>
    <w:rsid w:val="006B62E4"/>
    <w:rsid w:val="006B6F7E"/>
    <w:rsid w:val="006B79B9"/>
    <w:rsid w:val="006C0B8D"/>
    <w:rsid w:val="006C0EE3"/>
    <w:rsid w:val="006C1BBA"/>
    <w:rsid w:val="006C2079"/>
    <w:rsid w:val="006C5A62"/>
    <w:rsid w:val="006C5D68"/>
    <w:rsid w:val="006C6976"/>
    <w:rsid w:val="006C6B42"/>
    <w:rsid w:val="006C6DD0"/>
    <w:rsid w:val="006C7A3D"/>
    <w:rsid w:val="006D04EA"/>
    <w:rsid w:val="006D16C4"/>
    <w:rsid w:val="006D2BB9"/>
    <w:rsid w:val="006D3E96"/>
    <w:rsid w:val="006D4515"/>
    <w:rsid w:val="006D4BB1"/>
    <w:rsid w:val="006D6593"/>
    <w:rsid w:val="006E7571"/>
    <w:rsid w:val="006F03A8"/>
    <w:rsid w:val="006F23ED"/>
    <w:rsid w:val="006F2ACA"/>
    <w:rsid w:val="006F2ADC"/>
    <w:rsid w:val="006F2BFE"/>
    <w:rsid w:val="006F31E9"/>
    <w:rsid w:val="006F366D"/>
    <w:rsid w:val="006F6284"/>
    <w:rsid w:val="007002C5"/>
    <w:rsid w:val="00704387"/>
    <w:rsid w:val="00706786"/>
    <w:rsid w:val="00707669"/>
    <w:rsid w:val="00707AD1"/>
    <w:rsid w:val="00711CBA"/>
    <w:rsid w:val="00711FB5"/>
    <w:rsid w:val="00712A01"/>
    <w:rsid w:val="007137F1"/>
    <w:rsid w:val="00714F58"/>
    <w:rsid w:val="007152C3"/>
    <w:rsid w:val="007224D8"/>
    <w:rsid w:val="00722FBF"/>
    <w:rsid w:val="00722FC2"/>
    <w:rsid w:val="00724E1B"/>
    <w:rsid w:val="00725949"/>
    <w:rsid w:val="00725E0B"/>
    <w:rsid w:val="00727FA2"/>
    <w:rsid w:val="007322D9"/>
    <w:rsid w:val="007326DB"/>
    <w:rsid w:val="00732BC0"/>
    <w:rsid w:val="007335CA"/>
    <w:rsid w:val="007351B1"/>
    <w:rsid w:val="0073720F"/>
    <w:rsid w:val="00737796"/>
    <w:rsid w:val="0074165C"/>
    <w:rsid w:val="007425BE"/>
    <w:rsid w:val="00742C35"/>
    <w:rsid w:val="007432CA"/>
    <w:rsid w:val="007439EB"/>
    <w:rsid w:val="00743CB4"/>
    <w:rsid w:val="00743F0A"/>
    <w:rsid w:val="007442E5"/>
    <w:rsid w:val="007444E8"/>
    <w:rsid w:val="0074548E"/>
    <w:rsid w:val="00745773"/>
    <w:rsid w:val="00746800"/>
    <w:rsid w:val="00747382"/>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B00"/>
    <w:rsid w:val="00790CA9"/>
    <w:rsid w:val="007959E8"/>
    <w:rsid w:val="00795E9C"/>
    <w:rsid w:val="00796074"/>
    <w:rsid w:val="00796ADA"/>
    <w:rsid w:val="007A0521"/>
    <w:rsid w:val="007A2E12"/>
    <w:rsid w:val="007A3475"/>
    <w:rsid w:val="007A41C8"/>
    <w:rsid w:val="007A54CE"/>
    <w:rsid w:val="007A5D3A"/>
    <w:rsid w:val="007A6FD9"/>
    <w:rsid w:val="007A7FFA"/>
    <w:rsid w:val="007B04EB"/>
    <w:rsid w:val="007B0B05"/>
    <w:rsid w:val="007B0D4F"/>
    <w:rsid w:val="007B19AF"/>
    <w:rsid w:val="007B5A3D"/>
    <w:rsid w:val="007B5B95"/>
    <w:rsid w:val="007B6032"/>
    <w:rsid w:val="007B68EA"/>
    <w:rsid w:val="007B7453"/>
    <w:rsid w:val="007C144B"/>
    <w:rsid w:val="007C17EB"/>
    <w:rsid w:val="007C2D89"/>
    <w:rsid w:val="007C4593"/>
    <w:rsid w:val="007C5309"/>
    <w:rsid w:val="007C6069"/>
    <w:rsid w:val="007C7A86"/>
    <w:rsid w:val="007D06C4"/>
    <w:rsid w:val="007D1352"/>
    <w:rsid w:val="007D2508"/>
    <w:rsid w:val="007D346A"/>
    <w:rsid w:val="007D5233"/>
    <w:rsid w:val="007D6518"/>
    <w:rsid w:val="007D6B14"/>
    <w:rsid w:val="007D75A4"/>
    <w:rsid w:val="007D76BD"/>
    <w:rsid w:val="007E0262"/>
    <w:rsid w:val="007E0BF1"/>
    <w:rsid w:val="007E349D"/>
    <w:rsid w:val="007E40D1"/>
    <w:rsid w:val="007E4487"/>
    <w:rsid w:val="007E4ED5"/>
    <w:rsid w:val="007E7708"/>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544"/>
    <w:rsid w:val="00817325"/>
    <w:rsid w:val="00820698"/>
    <w:rsid w:val="008209E6"/>
    <w:rsid w:val="00821BDB"/>
    <w:rsid w:val="00821D19"/>
    <w:rsid w:val="00823303"/>
    <w:rsid w:val="008233B2"/>
    <w:rsid w:val="00823A9F"/>
    <w:rsid w:val="00823C85"/>
    <w:rsid w:val="00825138"/>
    <w:rsid w:val="008269DD"/>
    <w:rsid w:val="00827CAA"/>
    <w:rsid w:val="00830621"/>
    <w:rsid w:val="0083348C"/>
    <w:rsid w:val="008373D3"/>
    <w:rsid w:val="00840617"/>
    <w:rsid w:val="00840F84"/>
    <w:rsid w:val="00841C88"/>
    <w:rsid w:val="00842A47"/>
    <w:rsid w:val="00843C13"/>
    <w:rsid w:val="00843DEF"/>
    <w:rsid w:val="008454F8"/>
    <w:rsid w:val="0085173A"/>
    <w:rsid w:val="00853360"/>
    <w:rsid w:val="008603CE"/>
    <w:rsid w:val="008620FC"/>
    <w:rsid w:val="008627A5"/>
    <w:rsid w:val="00863E05"/>
    <w:rsid w:val="00864865"/>
    <w:rsid w:val="00865ACA"/>
    <w:rsid w:val="00865D28"/>
    <w:rsid w:val="00865F85"/>
    <w:rsid w:val="00867AA0"/>
    <w:rsid w:val="00867C10"/>
    <w:rsid w:val="0087025E"/>
    <w:rsid w:val="00870439"/>
    <w:rsid w:val="00870DA1"/>
    <w:rsid w:val="008773FA"/>
    <w:rsid w:val="00882073"/>
    <w:rsid w:val="00883F93"/>
    <w:rsid w:val="00884DB3"/>
    <w:rsid w:val="00885A9D"/>
    <w:rsid w:val="008864F6"/>
    <w:rsid w:val="00886502"/>
    <w:rsid w:val="0089049D"/>
    <w:rsid w:val="008928C9"/>
    <w:rsid w:val="008930CB"/>
    <w:rsid w:val="008938DC"/>
    <w:rsid w:val="00893FD1"/>
    <w:rsid w:val="00894836"/>
    <w:rsid w:val="00895095"/>
    <w:rsid w:val="00895172"/>
    <w:rsid w:val="00895680"/>
    <w:rsid w:val="00896DFF"/>
    <w:rsid w:val="0089762C"/>
    <w:rsid w:val="008A173B"/>
    <w:rsid w:val="008A1893"/>
    <w:rsid w:val="008A57E6"/>
    <w:rsid w:val="008A5960"/>
    <w:rsid w:val="008A6F81"/>
    <w:rsid w:val="008A709B"/>
    <w:rsid w:val="008A769A"/>
    <w:rsid w:val="008A788C"/>
    <w:rsid w:val="008B0C9C"/>
    <w:rsid w:val="008B0EAD"/>
    <w:rsid w:val="008B166D"/>
    <w:rsid w:val="008B17F4"/>
    <w:rsid w:val="008B3615"/>
    <w:rsid w:val="008B4AC4"/>
    <w:rsid w:val="008B50C8"/>
    <w:rsid w:val="008B5281"/>
    <w:rsid w:val="008B7E05"/>
    <w:rsid w:val="008C1797"/>
    <w:rsid w:val="008C219C"/>
    <w:rsid w:val="008C404E"/>
    <w:rsid w:val="008C43A4"/>
    <w:rsid w:val="008C475E"/>
    <w:rsid w:val="008C6184"/>
    <w:rsid w:val="008C619A"/>
    <w:rsid w:val="008C7841"/>
    <w:rsid w:val="008D0CE8"/>
    <w:rsid w:val="008D2D1D"/>
    <w:rsid w:val="008D2E17"/>
    <w:rsid w:val="008D3C69"/>
    <w:rsid w:val="008D453D"/>
    <w:rsid w:val="008D53AD"/>
    <w:rsid w:val="008D562B"/>
    <w:rsid w:val="008D5733"/>
    <w:rsid w:val="008D622B"/>
    <w:rsid w:val="008D666C"/>
    <w:rsid w:val="008D7B54"/>
    <w:rsid w:val="008E0C9D"/>
    <w:rsid w:val="008E1648"/>
    <w:rsid w:val="008E1B3E"/>
    <w:rsid w:val="008E2319"/>
    <w:rsid w:val="008E4BB6"/>
    <w:rsid w:val="008E5518"/>
    <w:rsid w:val="008E6184"/>
    <w:rsid w:val="008E6A84"/>
    <w:rsid w:val="008F0CDC"/>
    <w:rsid w:val="008F17A3"/>
    <w:rsid w:val="008F1ED3"/>
    <w:rsid w:val="008F20BF"/>
    <w:rsid w:val="008F4C29"/>
    <w:rsid w:val="008F6294"/>
    <w:rsid w:val="008F70BD"/>
    <w:rsid w:val="008F788F"/>
    <w:rsid w:val="008F7EA2"/>
    <w:rsid w:val="00902722"/>
    <w:rsid w:val="009027BC"/>
    <w:rsid w:val="009062E6"/>
    <w:rsid w:val="00911BE5"/>
    <w:rsid w:val="0091275D"/>
    <w:rsid w:val="00913CA9"/>
    <w:rsid w:val="00913F28"/>
    <w:rsid w:val="009145AE"/>
    <w:rsid w:val="009146CE"/>
    <w:rsid w:val="00914CA7"/>
    <w:rsid w:val="00915C3E"/>
    <w:rsid w:val="009161A8"/>
    <w:rsid w:val="009245AE"/>
    <w:rsid w:val="009245F5"/>
    <w:rsid w:val="009249EC"/>
    <w:rsid w:val="009266EA"/>
    <w:rsid w:val="009273B3"/>
    <w:rsid w:val="009305B5"/>
    <w:rsid w:val="00933DEB"/>
    <w:rsid w:val="00935F93"/>
    <w:rsid w:val="00936144"/>
    <w:rsid w:val="009378DD"/>
    <w:rsid w:val="009409BA"/>
    <w:rsid w:val="009429D5"/>
    <w:rsid w:val="00942BBB"/>
    <w:rsid w:val="00942BF1"/>
    <w:rsid w:val="00943488"/>
    <w:rsid w:val="00945180"/>
    <w:rsid w:val="00945428"/>
    <w:rsid w:val="0094607B"/>
    <w:rsid w:val="009510AF"/>
    <w:rsid w:val="00952CA7"/>
    <w:rsid w:val="00953604"/>
    <w:rsid w:val="0095496B"/>
    <w:rsid w:val="00954EBE"/>
    <w:rsid w:val="00960F1E"/>
    <w:rsid w:val="009610DC"/>
    <w:rsid w:val="00961490"/>
    <w:rsid w:val="00962C01"/>
    <w:rsid w:val="009633AF"/>
    <w:rsid w:val="0096381A"/>
    <w:rsid w:val="00965E04"/>
    <w:rsid w:val="009674AD"/>
    <w:rsid w:val="00967E41"/>
    <w:rsid w:val="0097080D"/>
    <w:rsid w:val="00970CDC"/>
    <w:rsid w:val="009754F4"/>
    <w:rsid w:val="00975727"/>
    <w:rsid w:val="00977010"/>
    <w:rsid w:val="00977D02"/>
    <w:rsid w:val="00977FF9"/>
    <w:rsid w:val="009809BB"/>
    <w:rsid w:val="00981869"/>
    <w:rsid w:val="00982687"/>
    <w:rsid w:val="009829B2"/>
    <w:rsid w:val="0098364B"/>
    <w:rsid w:val="00983CA5"/>
    <w:rsid w:val="00984AF1"/>
    <w:rsid w:val="00986DBE"/>
    <w:rsid w:val="009872FC"/>
    <w:rsid w:val="009908A3"/>
    <w:rsid w:val="009909F7"/>
    <w:rsid w:val="009911AF"/>
    <w:rsid w:val="009917E3"/>
    <w:rsid w:val="00991875"/>
    <w:rsid w:val="00991F92"/>
    <w:rsid w:val="00992985"/>
    <w:rsid w:val="00993889"/>
    <w:rsid w:val="00994703"/>
    <w:rsid w:val="0099551B"/>
    <w:rsid w:val="00996BD2"/>
    <w:rsid w:val="00997BF1"/>
    <w:rsid w:val="009A089C"/>
    <w:rsid w:val="009A118E"/>
    <w:rsid w:val="009A21CD"/>
    <w:rsid w:val="009A278C"/>
    <w:rsid w:val="009A2BC2"/>
    <w:rsid w:val="009A42C1"/>
    <w:rsid w:val="009A5429"/>
    <w:rsid w:val="009A5E7F"/>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1AFA"/>
    <w:rsid w:val="009E4A58"/>
    <w:rsid w:val="009E5A2D"/>
    <w:rsid w:val="009E5AB2"/>
    <w:rsid w:val="009E6219"/>
    <w:rsid w:val="009F03B3"/>
    <w:rsid w:val="009F2069"/>
    <w:rsid w:val="009F45AB"/>
    <w:rsid w:val="009F5770"/>
    <w:rsid w:val="009F6A21"/>
    <w:rsid w:val="00A0096C"/>
    <w:rsid w:val="00A01757"/>
    <w:rsid w:val="00A028C0"/>
    <w:rsid w:val="00A02BAE"/>
    <w:rsid w:val="00A06A6B"/>
    <w:rsid w:val="00A07E47"/>
    <w:rsid w:val="00A12377"/>
    <w:rsid w:val="00A129D0"/>
    <w:rsid w:val="00A12C33"/>
    <w:rsid w:val="00A138BA"/>
    <w:rsid w:val="00A14C8E"/>
    <w:rsid w:val="00A153D9"/>
    <w:rsid w:val="00A15F09"/>
    <w:rsid w:val="00A169B6"/>
    <w:rsid w:val="00A175D6"/>
    <w:rsid w:val="00A2271D"/>
    <w:rsid w:val="00A237D5"/>
    <w:rsid w:val="00A271FC"/>
    <w:rsid w:val="00A30EFC"/>
    <w:rsid w:val="00A30FFA"/>
    <w:rsid w:val="00A31984"/>
    <w:rsid w:val="00A32377"/>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5673"/>
    <w:rsid w:val="00A46203"/>
    <w:rsid w:val="00A4661E"/>
    <w:rsid w:val="00A46775"/>
    <w:rsid w:val="00A55BD6"/>
    <w:rsid w:val="00A55D50"/>
    <w:rsid w:val="00A56044"/>
    <w:rsid w:val="00A57142"/>
    <w:rsid w:val="00A6070D"/>
    <w:rsid w:val="00A648CD"/>
    <w:rsid w:val="00A6537A"/>
    <w:rsid w:val="00A67866"/>
    <w:rsid w:val="00A70B07"/>
    <w:rsid w:val="00A71BE1"/>
    <w:rsid w:val="00A723F8"/>
    <w:rsid w:val="00A77036"/>
    <w:rsid w:val="00A77CCB"/>
    <w:rsid w:val="00A83D8D"/>
    <w:rsid w:val="00A8446B"/>
    <w:rsid w:val="00A8473F"/>
    <w:rsid w:val="00A862D6"/>
    <w:rsid w:val="00A8715E"/>
    <w:rsid w:val="00A8716C"/>
    <w:rsid w:val="00A925CD"/>
    <w:rsid w:val="00A9295B"/>
    <w:rsid w:val="00A93B09"/>
    <w:rsid w:val="00A93CAE"/>
    <w:rsid w:val="00A952D7"/>
    <w:rsid w:val="00A9558B"/>
    <w:rsid w:val="00A95D8B"/>
    <w:rsid w:val="00A963F7"/>
    <w:rsid w:val="00A96AD8"/>
    <w:rsid w:val="00A97424"/>
    <w:rsid w:val="00AA052C"/>
    <w:rsid w:val="00AA1E45"/>
    <w:rsid w:val="00AA2BD1"/>
    <w:rsid w:val="00AA35EE"/>
    <w:rsid w:val="00AA4286"/>
    <w:rsid w:val="00AA456B"/>
    <w:rsid w:val="00AA57F5"/>
    <w:rsid w:val="00AA672E"/>
    <w:rsid w:val="00AA6EC9"/>
    <w:rsid w:val="00AB2C87"/>
    <w:rsid w:val="00AB6309"/>
    <w:rsid w:val="00AB6C5F"/>
    <w:rsid w:val="00AB7129"/>
    <w:rsid w:val="00AB7490"/>
    <w:rsid w:val="00AC27A6"/>
    <w:rsid w:val="00AC30F7"/>
    <w:rsid w:val="00AC3557"/>
    <w:rsid w:val="00AC37D7"/>
    <w:rsid w:val="00AC3A5A"/>
    <w:rsid w:val="00AC3BBF"/>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5FB6"/>
    <w:rsid w:val="00AE72B5"/>
    <w:rsid w:val="00AF0C18"/>
    <w:rsid w:val="00AF18A7"/>
    <w:rsid w:val="00AF4097"/>
    <w:rsid w:val="00AF47C5"/>
    <w:rsid w:val="00AF5398"/>
    <w:rsid w:val="00AF6063"/>
    <w:rsid w:val="00AF71EA"/>
    <w:rsid w:val="00B03001"/>
    <w:rsid w:val="00B049AF"/>
    <w:rsid w:val="00B055B1"/>
    <w:rsid w:val="00B07242"/>
    <w:rsid w:val="00B10534"/>
    <w:rsid w:val="00B113DB"/>
    <w:rsid w:val="00B11D8A"/>
    <w:rsid w:val="00B12981"/>
    <w:rsid w:val="00B147DD"/>
    <w:rsid w:val="00B1543B"/>
    <w:rsid w:val="00B156FD"/>
    <w:rsid w:val="00B15EDE"/>
    <w:rsid w:val="00B21F61"/>
    <w:rsid w:val="00B24553"/>
    <w:rsid w:val="00B261F1"/>
    <w:rsid w:val="00B265BC"/>
    <w:rsid w:val="00B3028C"/>
    <w:rsid w:val="00B3186E"/>
    <w:rsid w:val="00B31FB1"/>
    <w:rsid w:val="00B33952"/>
    <w:rsid w:val="00B33C5E"/>
    <w:rsid w:val="00B342F4"/>
    <w:rsid w:val="00B34369"/>
    <w:rsid w:val="00B34DC2"/>
    <w:rsid w:val="00B378E5"/>
    <w:rsid w:val="00B421B2"/>
    <w:rsid w:val="00B429C9"/>
    <w:rsid w:val="00B4346D"/>
    <w:rsid w:val="00B440F4"/>
    <w:rsid w:val="00B447A5"/>
    <w:rsid w:val="00B4654C"/>
    <w:rsid w:val="00B47293"/>
    <w:rsid w:val="00B476EE"/>
    <w:rsid w:val="00B50E50"/>
    <w:rsid w:val="00B51F95"/>
    <w:rsid w:val="00B52120"/>
    <w:rsid w:val="00B533F9"/>
    <w:rsid w:val="00B53A7E"/>
    <w:rsid w:val="00B547B0"/>
    <w:rsid w:val="00B54ABC"/>
    <w:rsid w:val="00B56FBE"/>
    <w:rsid w:val="00B6097E"/>
    <w:rsid w:val="00B60ACF"/>
    <w:rsid w:val="00B62B58"/>
    <w:rsid w:val="00B65149"/>
    <w:rsid w:val="00B6525B"/>
    <w:rsid w:val="00B65BBE"/>
    <w:rsid w:val="00B66567"/>
    <w:rsid w:val="00B66F52"/>
    <w:rsid w:val="00B66FE5"/>
    <w:rsid w:val="00B72880"/>
    <w:rsid w:val="00B758BF"/>
    <w:rsid w:val="00B77EC8"/>
    <w:rsid w:val="00B80A74"/>
    <w:rsid w:val="00B827A6"/>
    <w:rsid w:val="00B831CE"/>
    <w:rsid w:val="00B86677"/>
    <w:rsid w:val="00B87131"/>
    <w:rsid w:val="00B9062A"/>
    <w:rsid w:val="00B90A9A"/>
    <w:rsid w:val="00B939B1"/>
    <w:rsid w:val="00B96D40"/>
    <w:rsid w:val="00B97386"/>
    <w:rsid w:val="00BA263B"/>
    <w:rsid w:val="00BA42B2"/>
    <w:rsid w:val="00BA58D4"/>
    <w:rsid w:val="00BA5B9E"/>
    <w:rsid w:val="00BA68BF"/>
    <w:rsid w:val="00BA7C9A"/>
    <w:rsid w:val="00BB05A7"/>
    <w:rsid w:val="00BB56F9"/>
    <w:rsid w:val="00BB5F8F"/>
    <w:rsid w:val="00BB657A"/>
    <w:rsid w:val="00BC0EED"/>
    <w:rsid w:val="00BC1A4E"/>
    <w:rsid w:val="00BC2295"/>
    <w:rsid w:val="00BC3D1D"/>
    <w:rsid w:val="00BC5DC7"/>
    <w:rsid w:val="00BC6B8B"/>
    <w:rsid w:val="00BC73D8"/>
    <w:rsid w:val="00BD21EF"/>
    <w:rsid w:val="00BD52D7"/>
    <w:rsid w:val="00BD5AD2"/>
    <w:rsid w:val="00BE21AD"/>
    <w:rsid w:val="00BE22F3"/>
    <w:rsid w:val="00BE5B52"/>
    <w:rsid w:val="00BE7B8D"/>
    <w:rsid w:val="00BF0993"/>
    <w:rsid w:val="00BF10A9"/>
    <w:rsid w:val="00BF1703"/>
    <w:rsid w:val="00BF181E"/>
    <w:rsid w:val="00BF231C"/>
    <w:rsid w:val="00BF264F"/>
    <w:rsid w:val="00BF35FD"/>
    <w:rsid w:val="00BF51E5"/>
    <w:rsid w:val="00BF74A6"/>
    <w:rsid w:val="00C00CBE"/>
    <w:rsid w:val="00C013AD"/>
    <w:rsid w:val="00C02332"/>
    <w:rsid w:val="00C035C2"/>
    <w:rsid w:val="00C04904"/>
    <w:rsid w:val="00C056B3"/>
    <w:rsid w:val="00C103E5"/>
    <w:rsid w:val="00C13319"/>
    <w:rsid w:val="00C13EE9"/>
    <w:rsid w:val="00C21540"/>
    <w:rsid w:val="00C21906"/>
    <w:rsid w:val="00C21BFA"/>
    <w:rsid w:val="00C24C8D"/>
    <w:rsid w:val="00C25FE2"/>
    <w:rsid w:val="00C26044"/>
    <w:rsid w:val="00C26B53"/>
    <w:rsid w:val="00C279B2"/>
    <w:rsid w:val="00C31C6D"/>
    <w:rsid w:val="00C33E50"/>
    <w:rsid w:val="00C3400C"/>
    <w:rsid w:val="00C34C20"/>
    <w:rsid w:val="00C35A3E"/>
    <w:rsid w:val="00C3657E"/>
    <w:rsid w:val="00C377FA"/>
    <w:rsid w:val="00C42130"/>
    <w:rsid w:val="00C423A4"/>
    <w:rsid w:val="00C423E3"/>
    <w:rsid w:val="00C441DB"/>
    <w:rsid w:val="00C44369"/>
    <w:rsid w:val="00C44BF5"/>
    <w:rsid w:val="00C521D6"/>
    <w:rsid w:val="00C55232"/>
    <w:rsid w:val="00C553A4"/>
    <w:rsid w:val="00C55A06"/>
    <w:rsid w:val="00C55D03"/>
    <w:rsid w:val="00C601BC"/>
    <w:rsid w:val="00C6026D"/>
    <w:rsid w:val="00C6329F"/>
    <w:rsid w:val="00C63340"/>
    <w:rsid w:val="00C633B2"/>
    <w:rsid w:val="00C63F3D"/>
    <w:rsid w:val="00C643F9"/>
    <w:rsid w:val="00C64E95"/>
    <w:rsid w:val="00C6627F"/>
    <w:rsid w:val="00C71372"/>
    <w:rsid w:val="00C72410"/>
    <w:rsid w:val="00C727BD"/>
    <w:rsid w:val="00C7287F"/>
    <w:rsid w:val="00C748F1"/>
    <w:rsid w:val="00C75F59"/>
    <w:rsid w:val="00C77FC2"/>
    <w:rsid w:val="00C80CB8"/>
    <w:rsid w:val="00C819F8"/>
    <w:rsid w:val="00C8248C"/>
    <w:rsid w:val="00C834D1"/>
    <w:rsid w:val="00C84E33"/>
    <w:rsid w:val="00C86D6F"/>
    <w:rsid w:val="00C905FC"/>
    <w:rsid w:val="00C90A8D"/>
    <w:rsid w:val="00C92D03"/>
    <w:rsid w:val="00C9319C"/>
    <w:rsid w:val="00C9435D"/>
    <w:rsid w:val="00C94DF2"/>
    <w:rsid w:val="00C95D59"/>
    <w:rsid w:val="00C9644C"/>
    <w:rsid w:val="00C964F3"/>
    <w:rsid w:val="00C96741"/>
    <w:rsid w:val="00C96DF1"/>
    <w:rsid w:val="00C9750C"/>
    <w:rsid w:val="00CA2D1B"/>
    <w:rsid w:val="00CA375D"/>
    <w:rsid w:val="00CA662A"/>
    <w:rsid w:val="00CA7AFD"/>
    <w:rsid w:val="00CA7C3C"/>
    <w:rsid w:val="00CB0189"/>
    <w:rsid w:val="00CB0BA2"/>
    <w:rsid w:val="00CB1A42"/>
    <w:rsid w:val="00CB1B0C"/>
    <w:rsid w:val="00CB2C0B"/>
    <w:rsid w:val="00CB517D"/>
    <w:rsid w:val="00CB7306"/>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CA7"/>
    <w:rsid w:val="00CE30EA"/>
    <w:rsid w:val="00CE61E5"/>
    <w:rsid w:val="00CF048A"/>
    <w:rsid w:val="00CF155A"/>
    <w:rsid w:val="00CF2947"/>
    <w:rsid w:val="00CF3FD8"/>
    <w:rsid w:val="00CF686F"/>
    <w:rsid w:val="00CF6E60"/>
    <w:rsid w:val="00CF7BCA"/>
    <w:rsid w:val="00CF7D9F"/>
    <w:rsid w:val="00D008FD"/>
    <w:rsid w:val="00D0321C"/>
    <w:rsid w:val="00D035EC"/>
    <w:rsid w:val="00D06AB1"/>
    <w:rsid w:val="00D06FC1"/>
    <w:rsid w:val="00D072ED"/>
    <w:rsid w:val="00D07A16"/>
    <w:rsid w:val="00D1067E"/>
    <w:rsid w:val="00D10F50"/>
    <w:rsid w:val="00D11272"/>
    <w:rsid w:val="00D126F5"/>
    <w:rsid w:val="00D1489E"/>
    <w:rsid w:val="00D15E85"/>
    <w:rsid w:val="00D20737"/>
    <w:rsid w:val="00D2107E"/>
    <w:rsid w:val="00D219D2"/>
    <w:rsid w:val="00D21E81"/>
    <w:rsid w:val="00D223DE"/>
    <w:rsid w:val="00D236CC"/>
    <w:rsid w:val="00D25E37"/>
    <w:rsid w:val="00D2661A"/>
    <w:rsid w:val="00D27582"/>
    <w:rsid w:val="00D27EC4"/>
    <w:rsid w:val="00D32719"/>
    <w:rsid w:val="00D32D84"/>
    <w:rsid w:val="00D33333"/>
    <w:rsid w:val="00D339C0"/>
    <w:rsid w:val="00D352A2"/>
    <w:rsid w:val="00D36C65"/>
    <w:rsid w:val="00D4162B"/>
    <w:rsid w:val="00D41F5E"/>
    <w:rsid w:val="00D4514F"/>
    <w:rsid w:val="00D451E2"/>
    <w:rsid w:val="00D45E89"/>
    <w:rsid w:val="00D45E8D"/>
    <w:rsid w:val="00D466AE"/>
    <w:rsid w:val="00D4734F"/>
    <w:rsid w:val="00D51BF3"/>
    <w:rsid w:val="00D63810"/>
    <w:rsid w:val="00D66846"/>
    <w:rsid w:val="00D675FB"/>
    <w:rsid w:val="00D71359"/>
    <w:rsid w:val="00D71F25"/>
    <w:rsid w:val="00D72A9C"/>
    <w:rsid w:val="00D75430"/>
    <w:rsid w:val="00D77031"/>
    <w:rsid w:val="00D81CBC"/>
    <w:rsid w:val="00D8425E"/>
    <w:rsid w:val="00D84941"/>
    <w:rsid w:val="00D84FA1"/>
    <w:rsid w:val="00D851F0"/>
    <w:rsid w:val="00D86DB7"/>
    <w:rsid w:val="00D87BF5"/>
    <w:rsid w:val="00D90721"/>
    <w:rsid w:val="00D926D0"/>
    <w:rsid w:val="00D92769"/>
    <w:rsid w:val="00D93030"/>
    <w:rsid w:val="00D936EF"/>
    <w:rsid w:val="00D950E1"/>
    <w:rsid w:val="00D9518B"/>
    <w:rsid w:val="00D952A6"/>
    <w:rsid w:val="00D97F99"/>
    <w:rsid w:val="00DA05F9"/>
    <w:rsid w:val="00DA1E08"/>
    <w:rsid w:val="00DA24F8"/>
    <w:rsid w:val="00DA28E8"/>
    <w:rsid w:val="00DA2FB4"/>
    <w:rsid w:val="00DA38D3"/>
    <w:rsid w:val="00DA3932"/>
    <w:rsid w:val="00DA3AFC"/>
    <w:rsid w:val="00DA52F0"/>
    <w:rsid w:val="00DA64F8"/>
    <w:rsid w:val="00DA6BA9"/>
    <w:rsid w:val="00DA6C15"/>
    <w:rsid w:val="00DA6DC8"/>
    <w:rsid w:val="00DB0258"/>
    <w:rsid w:val="00DB1349"/>
    <w:rsid w:val="00DB1D5A"/>
    <w:rsid w:val="00DB38EE"/>
    <w:rsid w:val="00DB498B"/>
    <w:rsid w:val="00DB66CA"/>
    <w:rsid w:val="00DB6BCA"/>
    <w:rsid w:val="00DB6F54"/>
    <w:rsid w:val="00DB73F7"/>
    <w:rsid w:val="00DC0321"/>
    <w:rsid w:val="00DC3067"/>
    <w:rsid w:val="00DC370B"/>
    <w:rsid w:val="00DC5B90"/>
    <w:rsid w:val="00DC68FC"/>
    <w:rsid w:val="00DC7DF0"/>
    <w:rsid w:val="00DD00FF"/>
    <w:rsid w:val="00DD0619"/>
    <w:rsid w:val="00DD07FB"/>
    <w:rsid w:val="00DD173A"/>
    <w:rsid w:val="00DD25C6"/>
    <w:rsid w:val="00DD4FE5"/>
    <w:rsid w:val="00DD54B0"/>
    <w:rsid w:val="00DD57EE"/>
    <w:rsid w:val="00DD65E3"/>
    <w:rsid w:val="00DD6BCC"/>
    <w:rsid w:val="00DE0A4B"/>
    <w:rsid w:val="00DE2410"/>
    <w:rsid w:val="00DE2939"/>
    <w:rsid w:val="00DE6E81"/>
    <w:rsid w:val="00DE703F"/>
    <w:rsid w:val="00DE7595"/>
    <w:rsid w:val="00DE75EE"/>
    <w:rsid w:val="00DF03B6"/>
    <w:rsid w:val="00DF0C9D"/>
    <w:rsid w:val="00DF1961"/>
    <w:rsid w:val="00DF44DE"/>
    <w:rsid w:val="00DF6ABA"/>
    <w:rsid w:val="00E01138"/>
    <w:rsid w:val="00E02DFB"/>
    <w:rsid w:val="00E030F9"/>
    <w:rsid w:val="00E0311A"/>
    <w:rsid w:val="00E03138"/>
    <w:rsid w:val="00E06111"/>
    <w:rsid w:val="00E06404"/>
    <w:rsid w:val="00E0679E"/>
    <w:rsid w:val="00E06856"/>
    <w:rsid w:val="00E06CCD"/>
    <w:rsid w:val="00E111E5"/>
    <w:rsid w:val="00E11A85"/>
    <w:rsid w:val="00E12495"/>
    <w:rsid w:val="00E141FD"/>
    <w:rsid w:val="00E15CCD"/>
    <w:rsid w:val="00E16659"/>
    <w:rsid w:val="00E201E6"/>
    <w:rsid w:val="00E202EF"/>
    <w:rsid w:val="00E2062C"/>
    <w:rsid w:val="00E210B5"/>
    <w:rsid w:val="00E2552F"/>
    <w:rsid w:val="00E3137A"/>
    <w:rsid w:val="00E32CCF"/>
    <w:rsid w:val="00E34A98"/>
    <w:rsid w:val="00E35D1E"/>
    <w:rsid w:val="00E36472"/>
    <w:rsid w:val="00E364F9"/>
    <w:rsid w:val="00E365FA"/>
    <w:rsid w:val="00E36789"/>
    <w:rsid w:val="00E36CF8"/>
    <w:rsid w:val="00E42503"/>
    <w:rsid w:val="00E44A54"/>
    <w:rsid w:val="00E44A83"/>
    <w:rsid w:val="00E502C1"/>
    <w:rsid w:val="00E502DD"/>
    <w:rsid w:val="00E50D3A"/>
    <w:rsid w:val="00E51387"/>
    <w:rsid w:val="00E51E68"/>
    <w:rsid w:val="00E52EFD"/>
    <w:rsid w:val="00E5408A"/>
    <w:rsid w:val="00E55B50"/>
    <w:rsid w:val="00E56800"/>
    <w:rsid w:val="00E57701"/>
    <w:rsid w:val="00E60C63"/>
    <w:rsid w:val="00E62FF9"/>
    <w:rsid w:val="00E635D6"/>
    <w:rsid w:val="00E639BC"/>
    <w:rsid w:val="00E63BC0"/>
    <w:rsid w:val="00E664CC"/>
    <w:rsid w:val="00E70388"/>
    <w:rsid w:val="00E70F92"/>
    <w:rsid w:val="00E722AE"/>
    <w:rsid w:val="00E74313"/>
    <w:rsid w:val="00E74C54"/>
    <w:rsid w:val="00E77A03"/>
    <w:rsid w:val="00E822E8"/>
    <w:rsid w:val="00E82554"/>
    <w:rsid w:val="00E82606"/>
    <w:rsid w:val="00E831C1"/>
    <w:rsid w:val="00E846C8"/>
    <w:rsid w:val="00E84957"/>
    <w:rsid w:val="00E84A55"/>
    <w:rsid w:val="00E85BFF"/>
    <w:rsid w:val="00E86153"/>
    <w:rsid w:val="00E90391"/>
    <w:rsid w:val="00E906C2"/>
    <w:rsid w:val="00E9311F"/>
    <w:rsid w:val="00E934D1"/>
    <w:rsid w:val="00E94AF0"/>
    <w:rsid w:val="00E94DBF"/>
    <w:rsid w:val="00E95D13"/>
    <w:rsid w:val="00E95DD3"/>
    <w:rsid w:val="00E96121"/>
    <w:rsid w:val="00E969D5"/>
    <w:rsid w:val="00EA58D1"/>
    <w:rsid w:val="00EA61BC"/>
    <w:rsid w:val="00EA6217"/>
    <w:rsid w:val="00EA681A"/>
    <w:rsid w:val="00EA735B"/>
    <w:rsid w:val="00EB1E69"/>
    <w:rsid w:val="00EB2086"/>
    <w:rsid w:val="00EB31ED"/>
    <w:rsid w:val="00EB5EDF"/>
    <w:rsid w:val="00EB60FE"/>
    <w:rsid w:val="00EB63D0"/>
    <w:rsid w:val="00EB74DB"/>
    <w:rsid w:val="00EC326D"/>
    <w:rsid w:val="00EC5359"/>
    <w:rsid w:val="00EC562A"/>
    <w:rsid w:val="00ED067A"/>
    <w:rsid w:val="00ED0852"/>
    <w:rsid w:val="00ED2B50"/>
    <w:rsid w:val="00EE0350"/>
    <w:rsid w:val="00EE0719"/>
    <w:rsid w:val="00EE0E80"/>
    <w:rsid w:val="00EE1540"/>
    <w:rsid w:val="00EE3692"/>
    <w:rsid w:val="00EE36A8"/>
    <w:rsid w:val="00EE5BBA"/>
    <w:rsid w:val="00EE6050"/>
    <w:rsid w:val="00EE613F"/>
    <w:rsid w:val="00EE7295"/>
    <w:rsid w:val="00EE7869"/>
    <w:rsid w:val="00EF0060"/>
    <w:rsid w:val="00EF054A"/>
    <w:rsid w:val="00EF1268"/>
    <w:rsid w:val="00EF29E7"/>
    <w:rsid w:val="00EF3235"/>
    <w:rsid w:val="00EF658D"/>
    <w:rsid w:val="00EF666A"/>
    <w:rsid w:val="00EF7E72"/>
    <w:rsid w:val="00F0628D"/>
    <w:rsid w:val="00F06D37"/>
    <w:rsid w:val="00F07511"/>
    <w:rsid w:val="00F07B9D"/>
    <w:rsid w:val="00F07EF6"/>
    <w:rsid w:val="00F1025C"/>
    <w:rsid w:val="00F11586"/>
    <w:rsid w:val="00F1183B"/>
    <w:rsid w:val="00F11C9F"/>
    <w:rsid w:val="00F12263"/>
    <w:rsid w:val="00F1409D"/>
    <w:rsid w:val="00F14214"/>
    <w:rsid w:val="00F157A9"/>
    <w:rsid w:val="00F16773"/>
    <w:rsid w:val="00F16F00"/>
    <w:rsid w:val="00F21641"/>
    <w:rsid w:val="00F22A27"/>
    <w:rsid w:val="00F236CF"/>
    <w:rsid w:val="00F25158"/>
    <w:rsid w:val="00F2529C"/>
    <w:rsid w:val="00F25BB6"/>
    <w:rsid w:val="00F26B7E"/>
    <w:rsid w:val="00F26D71"/>
    <w:rsid w:val="00F27A3B"/>
    <w:rsid w:val="00F312C8"/>
    <w:rsid w:val="00F32780"/>
    <w:rsid w:val="00F33817"/>
    <w:rsid w:val="00F420D5"/>
    <w:rsid w:val="00F45132"/>
    <w:rsid w:val="00F451EA"/>
    <w:rsid w:val="00F45447"/>
    <w:rsid w:val="00F456C6"/>
    <w:rsid w:val="00F4577B"/>
    <w:rsid w:val="00F46496"/>
    <w:rsid w:val="00F474D0"/>
    <w:rsid w:val="00F50179"/>
    <w:rsid w:val="00F504B8"/>
    <w:rsid w:val="00F515EE"/>
    <w:rsid w:val="00F5263B"/>
    <w:rsid w:val="00F54FBC"/>
    <w:rsid w:val="00F56511"/>
    <w:rsid w:val="00F60130"/>
    <w:rsid w:val="00F61032"/>
    <w:rsid w:val="00F6194E"/>
    <w:rsid w:val="00F623AC"/>
    <w:rsid w:val="00F63A01"/>
    <w:rsid w:val="00F6412A"/>
    <w:rsid w:val="00F65893"/>
    <w:rsid w:val="00F66A4A"/>
    <w:rsid w:val="00F71D54"/>
    <w:rsid w:val="00F71E22"/>
    <w:rsid w:val="00F72142"/>
    <w:rsid w:val="00F72AE7"/>
    <w:rsid w:val="00F82D7E"/>
    <w:rsid w:val="00F833BA"/>
    <w:rsid w:val="00F84FD0"/>
    <w:rsid w:val="00F859A8"/>
    <w:rsid w:val="00F86D87"/>
    <w:rsid w:val="00F9108B"/>
    <w:rsid w:val="00F9116C"/>
    <w:rsid w:val="00F91349"/>
    <w:rsid w:val="00F93A8A"/>
    <w:rsid w:val="00F95248"/>
    <w:rsid w:val="00F956A9"/>
    <w:rsid w:val="00F963ED"/>
    <w:rsid w:val="00F966CF"/>
    <w:rsid w:val="00F96CAE"/>
    <w:rsid w:val="00F97C99"/>
    <w:rsid w:val="00FA06DE"/>
    <w:rsid w:val="00FA190E"/>
    <w:rsid w:val="00FA662D"/>
    <w:rsid w:val="00FA73B1"/>
    <w:rsid w:val="00FB0CB9"/>
    <w:rsid w:val="00FB1553"/>
    <w:rsid w:val="00FB1AE6"/>
    <w:rsid w:val="00FB231D"/>
    <w:rsid w:val="00FB269F"/>
    <w:rsid w:val="00FB3B01"/>
    <w:rsid w:val="00FB45F1"/>
    <w:rsid w:val="00FB4A72"/>
    <w:rsid w:val="00FB54E8"/>
    <w:rsid w:val="00FB5D91"/>
    <w:rsid w:val="00FB7054"/>
    <w:rsid w:val="00FB70AE"/>
    <w:rsid w:val="00FC17B7"/>
    <w:rsid w:val="00FC2CB7"/>
    <w:rsid w:val="00FC4090"/>
    <w:rsid w:val="00FC55B4"/>
    <w:rsid w:val="00FD00E6"/>
    <w:rsid w:val="00FD09A1"/>
    <w:rsid w:val="00FD0F93"/>
    <w:rsid w:val="00FD2A7C"/>
    <w:rsid w:val="00FD59EB"/>
    <w:rsid w:val="00FD7299"/>
    <w:rsid w:val="00FE1FBE"/>
    <w:rsid w:val="00FE3901"/>
    <w:rsid w:val="00FE39D3"/>
    <w:rsid w:val="00FE4BCE"/>
    <w:rsid w:val="00FE54AE"/>
    <w:rsid w:val="00FE576A"/>
    <w:rsid w:val="00FE5E70"/>
    <w:rsid w:val="00FE7E79"/>
    <w:rsid w:val="00FF040F"/>
    <w:rsid w:val="00FF3E7D"/>
    <w:rsid w:val="00FF5B99"/>
    <w:rsid w:val="00FF6E63"/>
    <w:rsid w:val="00FF730C"/>
    <w:rsid w:val="00FF73F4"/>
    <w:rsid w:val="00FF778C"/>
    <w:rsid w:val="00FF7CE4"/>
    <w:rsid w:val="00FF7E39"/>
    <w:rsid w:val="012F2443"/>
    <w:rsid w:val="0560746A"/>
    <w:rsid w:val="05C408C9"/>
    <w:rsid w:val="06613A6D"/>
    <w:rsid w:val="07546AD2"/>
    <w:rsid w:val="086F6A25"/>
    <w:rsid w:val="088138B2"/>
    <w:rsid w:val="095100A5"/>
    <w:rsid w:val="095973F3"/>
    <w:rsid w:val="0FC67A21"/>
    <w:rsid w:val="11C64C4D"/>
    <w:rsid w:val="15EE5FD1"/>
    <w:rsid w:val="177C5775"/>
    <w:rsid w:val="1EAD2F43"/>
    <w:rsid w:val="1F07232C"/>
    <w:rsid w:val="2038452E"/>
    <w:rsid w:val="26D827BD"/>
    <w:rsid w:val="29E83F74"/>
    <w:rsid w:val="2FB14DC4"/>
    <w:rsid w:val="32424372"/>
    <w:rsid w:val="34FA777C"/>
    <w:rsid w:val="3B6646EA"/>
    <w:rsid w:val="3C6D2EFB"/>
    <w:rsid w:val="3E7F160D"/>
    <w:rsid w:val="43E048FB"/>
    <w:rsid w:val="45FD527A"/>
    <w:rsid w:val="470628CB"/>
    <w:rsid w:val="48260E77"/>
    <w:rsid w:val="490B770E"/>
    <w:rsid w:val="498618C4"/>
    <w:rsid w:val="4CC45EF1"/>
    <w:rsid w:val="50882BEA"/>
    <w:rsid w:val="52AB59C9"/>
    <w:rsid w:val="62CE02E9"/>
    <w:rsid w:val="76D408F2"/>
    <w:rsid w:val="795D1E8F"/>
    <w:rsid w:val="79CA32C3"/>
    <w:rsid w:val="7C221364"/>
    <w:rsid w:val="7DD504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0" w:semiHidden="0" w:name="Body Text Indent 2"/>
    <w:lsdException w:qFormat="1" w:uiPriority="0" w:semiHidden="0" w:name="Body Text Indent 3"/>
    <w:lsdException w:uiPriority="99"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0" w:semiHidden="0" w:name="HTML Acronym"/>
    <w:lsdException w:uiPriority="99" w:name="HTML Address"/>
    <w:lsdException w:qFormat="1" w:uiPriority="0" w:semiHidden="0" w:name="HTML Cite"/>
    <w:lsdException w:qFormat="1" w:uiPriority="0" w:semiHidden="0" w:name="HTML Code"/>
    <w:lsdException w:qFormat="1" w:uiPriority="0" w:semiHidden="0" w:name="HTML Definition"/>
    <w:lsdException w:qFormat="1" w:uiPriority="0" w:semiHidden="0" w:name="HTML Keyboard"/>
    <w:lsdException w:uiPriority="99" w:name="HTML Preformatted"/>
    <w:lsdException w:qFormat="1" w:uiPriority="0" w:semiHidden="0" w:name="HTML Sample"/>
    <w:lsdException w:uiPriority="99" w:name="HTML Typewriter"/>
    <w:lsdException w:qFormat="1" w:uiPriority="0" w:semiHidden="0"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after="160"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5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58"/>
    <w:qFormat/>
    <w:uiPriority w:val="0"/>
    <w:pPr>
      <w:keepNext/>
      <w:keepLines/>
      <w:spacing w:before="260" w:after="260" w:line="416" w:lineRule="auto"/>
      <w:outlineLvl w:val="2"/>
    </w:pPr>
    <w:rPr>
      <w:b/>
      <w:bCs/>
      <w:sz w:val="32"/>
      <w:szCs w:val="32"/>
    </w:rPr>
  </w:style>
  <w:style w:type="paragraph" w:styleId="5">
    <w:name w:val="heading 4"/>
    <w:basedOn w:val="1"/>
    <w:next w:val="1"/>
    <w:link w:val="59"/>
    <w:qFormat/>
    <w:uiPriority w:val="9"/>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6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6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6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6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64"/>
    <w:qFormat/>
    <w:uiPriority w:val="0"/>
    <w:pPr>
      <w:keepNext/>
      <w:keepLines/>
      <w:adjustRightInd/>
      <w:spacing w:before="240" w:after="64" w:line="320" w:lineRule="auto"/>
      <w:outlineLvl w:val="8"/>
    </w:pPr>
    <w:rPr>
      <w:rFonts w:ascii="Arial" w:hAnsi="Arial" w:eastAsia="黑体"/>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56"/>
    <w:qFormat/>
    <w:uiPriority w:val="0"/>
    <w:pPr>
      <w:adjustRightInd/>
      <w:spacing w:line="240" w:lineRule="auto"/>
    </w:pPr>
    <w:rPr>
      <w:rFonts w:ascii="宋体" w:hAnsi="Times New Roman"/>
      <w:sz w:val="18"/>
      <w:szCs w:val="18"/>
    </w:rPr>
  </w:style>
  <w:style w:type="paragraph" w:styleId="14">
    <w:name w:val="annotation text"/>
    <w:basedOn w:val="1"/>
    <w:link w:val="252"/>
    <w:unhideWhenUsed/>
    <w:qFormat/>
    <w:uiPriority w:val="99"/>
    <w:pPr>
      <w:adjustRightInd/>
      <w:spacing w:line="240" w:lineRule="auto"/>
      <w:jc w:val="left"/>
    </w:pPr>
    <w:rPr>
      <w:rFonts w:ascii="Times New Roman" w:hAnsi="Times New Roman"/>
      <w:szCs w:val="24"/>
    </w:rPr>
  </w:style>
  <w:style w:type="paragraph" w:styleId="15">
    <w:name w:val="Body Text"/>
    <w:basedOn w:val="1"/>
    <w:link w:val="108"/>
    <w:qFormat/>
    <w:uiPriority w:val="0"/>
    <w:pPr>
      <w:spacing w:after="120"/>
    </w:pPr>
  </w:style>
  <w:style w:type="paragraph" w:styleId="16">
    <w:name w:val="Body Text Indent"/>
    <w:basedOn w:val="1"/>
    <w:next w:val="1"/>
    <w:link w:val="257"/>
    <w:qFormat/>
    <w:uiPriority w:val="99"/>
    <w:pPr>
      <w:adjustRightInd/>
      <w:spacing w:after="120" w:line="240" w:lineRule="auto"/>
      <w:ind w:left="420" w:leftChars="200"/>
    </w:pPr>
    <w:rPr>
      <w:szCs w:val="24"/>
    </w:rPr>
  </w:style>
  <w:style w:type="paragraph" w:styleId="17">
    <w:name w:val="toc 5"/>
    <w:basedOn w:val="1"/>
    <w:next w:val="1"/>
    <w:unhideWhenUsed/>
    <w:qFormat/>
    <w:uiPriority w:val="39"/>
    <w:pPr>
      <w:ind w:left="839"/>
    </w:pPr>
    <w:rPr>
      <w:rFonts w:ascii="宋体"/>
    </w:rPr>
  </w:style>
  <w:style w:type="paragraph" w:styleId="18">
    <w:name w:val="toc 3"/>
    <w:basedOn w:val="1"/>
    <w:next w:val="1"/>
    <w:unhideWhenUsed/>
    <w:qFormat/>
    <w:uiPriority w:val="39"/>
    <w:pPr>
      <w:spacing w:line="300" w:lineRule="exact"/>
      <w:ind w:left="420"/>
    </w:pPr>
    <w:rPr>
      <w:rFonts w:ascii="宋体"/>
    </w:rPr>
  </w:style>
  <w:style w:type="paragraph" w:styleId="19">
    <w:name w:val="Plain Text"/>
    <w:basedOn w:val="1"/>
    <w:link w:val="258"/>
    <w:qFormat/>
    <w:uiPriority w:val="0"/>
    <w:pPr>
      <w:adjustRightInd/>
      <w:spacing w:line="240" w:lineRule="auto"/>
    </w:pPr>
    <w:rPr>
      <w:rFonts w:ascii="宋体" w:hAnsi="Courier New"/>
    </w:rPr>
  </w:style>
  <w:style w:type="paragraph" w:styleId="20">
    <w:name w:val="toc 8"/>
    <w:basedOn w:val="1"/>
    <w:next w:val="1"/>
    <w:unhideWhenUsed/>
    <w:qFormat/>
    <w:uiPriority w:val="39"/>
    <w:pPr>
      <w:adjustRightInd/>
      <w:spacing w:line="240" w:lineRule="auto"/>
      <w:ind w:left="2940" w:leftChars="1400"/>
    </w:pPr>
    <w:rPr>
      <w:rFonts w:asciiTheme="minorHAnsi" w:hAnsiTheme="minorHAnsi" w:eastAsiaTheme="minorEastAsia" w:cstheme="minorBidi"/>
      <w:szCs w:val="22"/>
    </w:rPr>
  </w:style>
  <w:style w:type="paragraph" w:styleId="21">
    <w:name w:val="Date"/>
    <w:basedOn w:val="1"/>
    <w:next w:val="1"/>
    <w:link w:val="259"/>
    <w:qFormat/>
    <w:uiPriority w:val="0"/>
    <w:pPr>
      <w:adjustRightInd/>
      <w:spacing w:line="240" w:lineRule="auto"/>
      <w:ind w:left="100" w:leftChars="2500"/>
    </w:pPr>
    <w:rPr>
      <w:rFonts w:ascii="Times New Roman" w:hAnsi="Times New Roman"/>
      <w:szCs w:val="24"/>
    </w:rPr>
  </w:style>
  <w:style w:type="paragraph" w:styleId="22">
    <w:name w:val="Body Text Indent 2"/>
    <w:basedOn w:val="1"/>
    <w:link w:val="260"/>
    <w:unhideWhenUsed/>
    <w:qFormat/>
    <w:uiPriority w:val="0"/>
    <w:pPr>
      <w:adjustRightInd/>
      <w:spacing w:after="120" w:line="480" w:lineRule="auto"/>
      <w:ind w:left="420" w:leftChars="200"/>
    </w:pPr>
    <w:rPr>
      <w:szCs w:val="20"/>
    </w:rPr>
  </w:style>
  <w:style w:type="paragraph" w:styleId="23">
    <w:name w:val="Balloon Text"/>
    <w:basedOn w:val="1"/>
    <w:link w:val="67"/>
    <w:unhideWhenUsed/>
    <w:qFormat/>
    <w:uiPriority w:val="0"/>
    <w:rPr>
      <w:sz w:val="18"/>
      <w:szCs w:val="18"/>
    </w:rPr>
  </w:style>
  <w:style w:type="paragraph" w:styleId="24">
    <w:name w:val="footer"/>
    <w:basedOn w:val="1"/>
    <w:link w:val="66"/>
    <w:qFormat/>
    <w:uiPriority w:val="99"/>
    <w:pPr>
      <w:tabs>
        <w:tab w:val="center" w:pos="4153"/>
        <w:tab w:val="right" w:pos="8306"/>
      </w:tabs>
      <w:adjustRightInd/>
      <w:snapToGrid w:val="0"/>
      <w:spacing w:line="240" w:lineRule="auto"/>
      <w:jc w:val="right"/>
    </w:pPr>
    <w:rPr>
      <w:rFonts w:ascii="宋体"/>
      <w:sz w:val="18"/>
      <w:szCs w:val="18"/>
    </w:rPr>
  </w:style>
  <w:style w:type="paragraph" w:styleId="25">
    <w:name w:val="header"/>
    <w:basedOn w:val="1"/>
    <w:link w:val="65"/>
    <w:qFormat/>
    <w:uiPriority w:val="99"/>
    <w:pPr>
      <w:tabs>
        <w:tab w:val="center" w:pos="4153"/>
        <w:tab w:val="right" w:pos="8306"/>
      </w:tabs>
      <w:adjustRightInd/>
      <w:snapToGrid w:val="0"/>
      <w:jc w:val="center"/>
    </w:pPr>
    <w:rPr>
      <w:sz w:val="18"/>
      <w:szCs w:val="18"/>
    </w:rPr>
  </w:style>
  <w:style w:type="paragraph" w:styleId="26">
    <w:name w:val="toc 1"/>
    <w:basedOn w:val="1"/>
    <w:next w:val="1"/>
    <w:unhideWhenUsed/>
    <w:qFormat/>
    <w:uiPriority w:val="39"/>
    <w:rPr>
      <w:rFonts w:ascii="宋体"/>
    </w:rPr>
  </w:style>
  <w:style w:type="paragraph" w:styleId="27">
    <w:name w:val="toc 4"/>
    <w:basedOn w:val="1"/>
    <w:next w:val="1"/>
    <w:unhideWhenUsed/>
    <w:qFormat/>
    <w:uiPriority w:val="39"/>
    <w:pPr>
      <w:tabs>
        <w:tab w:val="right" w:leader="dot" w:pos="9344"/>
      </w:tabs>
      <w:spacing w:line="300" w:lineRule="exact"/>
      <w:ind w:left="629"/>
    </w:pPr>
    <w:rPr>
      <w:rFonts w:ascii="宋体"/>
    </w:rPr>
  </w:style>
  <w:style w:type="paragraph" w:styleId="28">
    <w:name w:val="footnote text"/>
    <w:basedOn w:val="1"/>
    <w:next w:val="1"/>
    <w:link w:val="12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9">
    <w:name w:val="toc 6"/>
    <w:basedOn w:val="1"/>
    <w:next w:val="1"/>
    <w:unhideWhenUsed/>
    <w:qFormat/>
    <w:uiPriority w:val="39"/>
    <w:pPr>
      <w:spacing w:line="300" w:lineRule="exact"/>
      <w:ind w:left="1049"/>
    </w:pPr>
    <w:rPr>
      <w:rFonts w:ascii="宋体"/>
    </w:rPr>
  </w:style>
  <w:style w:type="paragraph" w:styleId="30">
    <w:name w:val="Body Text Indent 3"/>
    <w:basedOn w:val="1"/>
    <w:link w:val="261"/>
    <w:unhideWhenUsed/>
    <w:qFormat/>
    <w:uiPriority w:val="0"/>
    <w:pPr>
      <w:adjustRightInd/>
      <w:spacing w:line="300" w:lineRule="auto"/>
      <w:ind w:firstLine="480" w:firstLineChars="200"/>
    </w:pPr>
    <w:rPr>
      <w:rFonts w:ascii="宋体" w:hAnsi="宋体"/>
      <w:sz w:val="24"/>
      <w:szCs w:val="24"/>
    </w:rPr>
  </w:style>
  <w:style w:type="paragraph" w:styleId="31">
    <w:name w:val="table of figures"/>
    <w:basedOn w:val="1"/>
    <w:next w:val="1"/>
    <w:semiHidden/>
    <w:qFormat/>
    <w:uiPriority w:val="0"/>
    <w:pPr>
      <w:adjustRightInd/>
      <w:spacing w:line="240" w:lineRule="auto"/>
      <w:jc w:val="left"/>
    </w:pPr>
    <w:rPr>
      <w:szCs w:val="24"/>
    </w:rPr>
  </w:style>
  <w:style w:type="paragraph" w:styleId="32">
    <w:name w:val="toc 2"/>
    <w:basedOn w:val="1"/>
    <w:next w:val="1"/>
    <w:unhideWhenUsed/>
    <w:qFormat/>
    <w:uiPriority w:val="39"/>
    <w:pPr>
      <w:tabs>
        <w:tab w:val="right" w:leader="dot" w:pos="9344"/>
      </w:tabs>
      <w:spacing w:line="300" w:lineRule="exact"/>
      <w:ind w:left="210"/>
    </w:pPr>
    <w:rPr>
      <w:rFonts w:ascii="宋体"/>
    </w:rPr>
  </w:style>
  <w:style w:type="paragraph" w:styleId="33">
    <w:name w:val="toc 9"/>
    <w:basedOn w:val="1"/>
    <w:next w:val="1"/>
    <w:unhideWhenUsed/>
    <w:qFormat/>
    <w:uiPriority w:val="39"/>
    <w:pPr>
      <w:adjustRightInd/>
      <w:spacing w:line="240" w:lineRule="auto"/>
      <w:ind w:left="3360" w:leftChars="1600"/>
    </w:pPr>
    <w:rPr>
      <w:rFonts w:asciiTheme="minorHAnsi" w:hAnsiTheme="minorHAnsi" w:eastAsiaTheme="minorEastAsia" w:cstheme="minorBidi"/>
      <w:szCs w:val="22"/>
    </w:rPr>
  </w:style>
  <w:style w:type="paragraph" w:styleId="34">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35">
    <w:name w:val="Title"/>
    <w:basedOn w:val="1"/>
    <w:link w:val="70"/>
    <w:qFormat/>
    <w:uiPriority w:val="0"/>
    <w:pPr>
      <w:spacing w:before="240" w:after="60"/>
      <w:jc w:val="center"/>
      <w:outlineLvl w:val="0"/>
    </w:pPr>
    <w:rPr>
      <w:rFonts w:ascii="Arial" w:hAnsi="Arial" w:cs="Arial"/>
      <w:b/>
      <w:bCs/>
      <w:sz w:val="32"/>
      <w:szCs w:val="32"/>
    </w:rPr>
  </w:style>
  <w:style w:type="paragraph" w:styleId="36">
    <w:name w:val="annotation subject"/>
    <w:basedOn w:val="14"/>
    <w:next w:val="14"/>
    <w:link w:val="262"/>
    <w:unhideWhenUsed/>
    <w:qFormat/>
    <w:uiPriority w:val="0"/>
    <w:rPr>
      <w:b/>
      <w:bCs/>
    </w:rPr>
  </w:style>
  <w:style w:type="paragraph" w:styleId="37">
    <w:name w:val="Body Text First Indent 2"/>
    <w:basedOn w:val="16"/>
    <w:next w:val="1"/>
    <w:link w:val="263"/>
    <w:qFormat/>
    <w:uiPriority w:val="0"/>
    <w:pPr>
      <w:ind w:left="0" w:leftChars="0"/>
      <w:jc w:val="center"/>
    </w:pPr>
    <w:rPr>
      <w:rFonts w:ascii="黑体" w:hAnsi="黑体" w:eastAsia="黑体" w:cs="黑体"/>
      <w:sz w:val="32"/>
      <w:szCs w:val="32"/>
    </w:rPr>
  </w:style>
  <w:style w:type="table" w:styleId="39">
    <w:name w:val="Table Grid"/>
    <w:basedOn w:val="3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0"/>
    <w:rPr>
      <w:b/>
      <w:bCs/>
    </w:rPr>
  </w:style>
  <w:style w:type="character" w:styleId="42">
    <w:name w:val="page number"/>
    <w:qFormat/>
    <w:uiPriority w:val="0"/>
    <w:rPr>
      <w:rFonts w:ascii="宋体" w:hAnsi="Times New Roman" w:eastAsia="宋体"/>
      <w:sz w:val="18"/>
    </w:rPr>
  </w:style>
  <w:style w:type="character" w:styleId="43">
    <w:name w:val="FollowedHyperlink"/>
    <w:unhideWhenUsed/>
    <w:qFormat/>
    <w:uiPriority w:val="0"/>
    <w:rPr>
      <w:color w:val="338DE6"/>
      <w:u w:val="none"/>
    </w:rPr>
  </w:style>
  <w:style w:type="character" w:styleId="44">
    <w:name w:val="Emphasis"/>
    <w:qFormat/>
    <w:uiPriority w:val="20"/>
    <w:rPr>
      <w:i/>
      <w:iCs/>
    </w:rPr>
  </w:style>
  <w:style w:type="character" w:styleId="45">
    <w:name w:val="HTML Definition"/>
    <w:basedOn w:val="40"/>
    <w:unhideWhenUsed/>
    <w:qFormat/>
    <w:uiPriority w:val="0"/>
  </w:style>
  <w:style w:type="character" w:styleId="46">
    <w:name w:val="HTML Acronym"/>
    <w:basedOn w:val="40"/>
    <w:unhideWhenUsed/>
    <w:qFormat/>
    <w:uiPriority w:val="0"/>
    <w:rPr>
      <w:color w:val="FF6600"/>
    </w:rPr>
  </w:style>
  <w:style w:type="character" w:styleId="47">
    <w:name w:val="HTML Variable"/>
    <w:basedOn w:val="40"/>
    <w:unhideWhenUsed/>
    <w:qFormat/>
    <w:uiPriority w:val="0"/>
  </w:style>
  <w:style w:type="character" w:styleId="48">
    <w:name w:val="Hyperlink"/>
    <w:qFormat/>
    <w:uiPriority w:val="99"/>
    <w:rPr>
      <w:rFonts w:ascii="宋体" w:hAnsi="Times New Roman" w:eastAsia="宋体"/>
      <w:color w:val="auto"/>
      <w:spacing w:val="0"/>
      <w:w w:val="100"/>
      <w:position w:val="0"/>
      <w:sz w:val="21"/>
      <w:u w:val="none"/>
      <w:vertAlign w:val="baseline"/>
    </w:rPr>
  </w:style>
  <w:style w:type="character" w:styleId="49">
    <w:name w:val="HTML Code"/>
    <w:unhideWhenUsed/>
    <w:qFormat/>
    <w:uiPriority w:val="0"/>
    <w:rPr>
      <w:rFonts w:hint="default" w:ascii="monospace" w:hAnsi="monospace" w:eastAsia="monospace" w:cs="monospace"/>
      <w:sz w:val="21"/>
      <w:szCs w:val="21"/>
    </w:rPr>
  </w:style>
  <w:style w:type="character" w:styleId="50">
    <w:name w:val="annotation reference"/>
    <w:basedOn w:val="40"/>
    <w:unhideWhenUsed/>
    <w:qFormat/>
    <w:uiPriority w:val="0"/>
    <w:rPr>
      <w:sz w:val="21"/>
      <w:szCs w:val="21"/>
    </w:rPr>
  </w:style>
  <w:style w:type="character" w:styleId="51">
    <w:name w:val="HTML Cite"/>
    <w:basedOn w:val="40"/>
    <w:unhideWhenUsed/>
    <w:qFormat/>
    <w:uiPriority w:val="0"/>
  </w:style>
  <w:style w:type="character" w:styleId="52">
    <w:name w:val="footnote reference"/>
    <w:semiHidden/>
    <w:qFormat/>
    <w:uiPriority w:val="0"/>
    <w:rPr>
      <w:rFonts w:ascii="宋体" w:hAnsi="宋体" w:eastAsia="宋体" w:cs="Times New Roman"/>
      <w:spacing w:val="0"/>
      <w:sz w:val="18"/>
      <w:vertAlign w:val="superscript"/>
    </w:rPr>
  </w:style>
  <w:style w:type="character" w:styleId="53">
    <w:name w:val="HTML Keyboard"/>
    <w:unhideWhenUsed/>
    <w:qFormat/>
    <w:uiPriority w:val="0"/>
    <w:rPr>
      <w:rFonts w:hint="default" w:ascii="monospace" w:hAnsi="monospace" w:eastAsia="monospace" w:cs="monospace"/>
      <w:sz w:val="21"/>
      <w:szCs w:val="21"/>
    </w:rPr>
  </w:style>
  <w:style w:type="character" w:styleId="54">
    <w:name w:val="HTML Sample"/>
    <w:unhideWhenUsed/>
    <w:qFormat/>
    <w:uiPriority w:val="0"/>
    <w:rPr>
      <w:rFonts w:ascii="monospace" w:hAnsi="monospace" w:eastAsia="monospace" w:cs="monospace"/>
      <w:sz w:val="21"/>
      <w:szCs w:val="21"/>
    </w:rPr>
  </w:style>
  <w:style w:type="paragraph" w:customStyle="1" w:styleId="55">
    <w:name w:val="样式1"/>
    <w:basedOn w:val="1"/>
    <w:next w:val="1"/>
    <w:link w:val="253"/>
    <w:qFormat/>
    <w:uiPriority w:val="0"/>
    <w:pPr>
      <w:spacing w:line="240" w:lineRule="auto"/>
      <w:ind w:firstLine="600" w:firstLineChars="200"/>
    </w:pPr>
    <w:rPr>
      <w:szCs w:val="24"/>
    </w:rPr>
  </w:style>
  <w:style w:type="character" w:customStyle="1" w:styleId="56">
    <w:name w:val="标题 1 字符"/>
    <w:link w:val="2"/>
    <w:qFormat/>
    <w:uiPriority w:val="0"/>
    <w:rPr>
      <w:b/>
      <w:bCs/>
      <w:kern w:val="44"/>
      <w:sz w:val="44"/>
      <w:szCs w:val="44"/>
    </w:rPr>
  </w:style>
  <w:style w:type="character" w:customStyle="1" w:styleId="57">
    <w:name w:val="标题 2 字符"/>
    <w:link w:val="3"/>
    <w:qFormat/>
    <w:uiPriority w:val="0"/>
    <w:rPr>
      <w:rFonts w:ascii="Arial" w:hAnsi="Arial" w:eastAsia="黑体"/>
      <w:b/>
      <w:bCs/>
      <w:kern w:val="2"/>
      <w:sz w:val="32"/>
      <w:szCs w:val="32"/>
    </w:rPr>
  </w:style>
  <w:style w:type="character" w:customStyle="1" w:styleId="58">
    <w:name w:val="标题 3 字符"/>
    <w:link w:val="4"/>
    <w:qFormat/>
    <w:uiPriority w:val="0"/>
    <w:rPr>
      <w:b/>
      <w:bCs/>
      <w:kern w:val="2"/>
      <w:sz w:val="32"/>
      <w:szCs w:val="32"/>
    </w:rPr>
  </w:style>
  <w:style w:type="character" w:customStyle="1" w:styleId="59">
    <w:name w:val="标题 4 字符"/>
    <w:link w:val="5"/>
    <w:qFormat/>
    <w:uiPriority w:val="9"/>
    <w:rPr>
      <w:rFonts w:ascii="Arial" w:hAnsi="Arial" w:eastAsia="黑体"/>
      <w:b/>
      <w:bCs/>
      <w:kern w:val="2"/>
      <w:sz w:val="28"/>
      <w:szCs w:val="28"/>
    </w:rPr>
  </w:style>
  <w:style w:type="character" w:customStyle="1" w:styleId="60">
    <w:name w:val="标题 5 字符"/>
    <w:link w:val="6"/>
    <w:qFormat/>
    <w:uiPriority w:val="0"/>
    <w:rPr>
      <w:b/>
      <w:bCs/>
      <w:kern w:val="2"/>
      <w:sz w:val="28"/>
      <w:szCs w:val="28"/>
    </w:rPr>
  </w:style>
  <w:style w:type="character" w:customStyle="1" w:styleId="61">
    <w:name w:val="标题 6 字符"/>
    <w:link w:val="7"/>
    <w:qFormat/>
    <w:uiPriority w:val="0"/>
    <w:rPr>
      <w:rFonts w:ascii="Arial" w:hAnsi="Arial" w:eastAsia="黑体"/>
      <w:b/>
      <w:bCs/>
      <w:kern w:val="2"/>
      <w:sz w:val="24"/>
      <w:szCs w:val="24"/>
    </w:rPr>
  </w:style>
  <w:style w:type="character" w:customStyle="1" w:styleId="62">
    <w:name w:val="标题 7 字符"/>
    <w:link w:val="8"/>
    <w:qFormat/>
    <w:uiPriority w:val="0"/>
    <w:rPr>
      <w:b/>
      <w:bCs/>
      <w:kern w:val="2"/>
      <w:sz w:val="24"/>
      <w:szCs w:val="24"/>
    </w:rPr>
  </w:style>
  <w:style w:type="character" w:customStyle="1" w:styleId="63">
    <w:name w:val="标题 8 字符"/>
    <w:link w:val="9"/>
    <w:qFormat/>
    <w:uiPriority w:val="0"/>
    <w:rPr>
      <w:rFonts w:ascii="Arial" w:hAnsi="Arial" w:eastAsia="黑体"/>
      <w:kern w:val="2"/>
      <w:sz w:val="24"/>
      <w:szCs w:val="24"/>
    </w:rPr>
  </w:style>
  <w:style w:type="character" w:customStyle="1" w:styleId="64">
    <w:name w:val="标题 9 字符"/>
    <w:link w:val="10"/>
    <w:qFormat/>
    <w:uiPriority w:val="0"/>
    <w:rPr>
      <w:rFonts w:ascii="Arial" w:hAnsi="Arial" w:eastAsia="黑体"/>
      <w:kern w:val="2"/>
      <w:sz w:val="21"/>
      <w:szCs w:val="21"/>
    </w:rPr>
  </w:style>
  <w:style w:type="character" w:customStyle="1" w:styleId="65">
    <w:name w:val="页眉 字符"/>
    <w:link w:val="25"/>
    <w:qFormat/>
    <w:uiPriority w:val="99"/>
    <w:rPr>
      <w:kern w:val="2"/>
      <w:sz w:val="18"/>
      <w:szCs w:val="18"/>
    </w:rPr>
  </w:style>
  <w:style w:type="character" w:customStyle="1" w:styleId="66">
    <w:name w:val="页脚 字符"/>
    <w:link w:val="24"/>
    <w:qFormat/>
    <w:uiPriority w:val="99"/>
    <w:rPr>
      <w:rFonts w:ascii="宋体"/>
      <w:kern w:val="2"/>
      <w:sz w:val="18"/>
      <w:szCs w:val="18"/>
    </w:rPr>
  </w:style>
  <w:style w:type="character" w:customStyle="1" w:styleId="67">
    <w:name w:val="批注框文本 字符"/>
    <w:link w:val="23"/>
    <w:qFormat/>
    <w:uiPriority w:val="0"/>
    <w:rPr>
      <w:kern w:val="2"/>
      <w:sz w:val="18"/>
      <w:szCs w:val="18"/>
    </w:rPr>
  </w:style>
  <w:style w:type="paragraph" w:styleId="68">
    <w:name w:val="Quote"/>
    <w:basedOn w:val="1"/>
    <w:next w:val="1"/>
    <w:link w:val="69"/>
    <w:qFormat/>
    <w:uiPriority w:val="29"/>
    <w:rPr>
      <w:i/>
      <w:iCs/>
      <w:color w:val="000000"/>
    </w:rPr>
  </w:style>
  <w:style w:type="character" w:customStyle="1" w:styleId="69">
    <w:name w:val="引用 字符"/>
    <w:link w:val="68"/>
    <w:qFormat/>
    <w:uiPriority w:val="29"/>
    <w:rPr>
      <w:i/>
      <w:iCs/>
      <w:color w:val="000000"/>
      <w:kern w:val="2"/>
      <w:sz w:val="21"/>
      <w:szCs w:val="21"/>
    </w:rPr>
  </w:style>
  <w:style w:type="character" w:customStyle="1" w:styleId="70">
    <w:name w:val="标题 字符"/>
    <w:link w:val="35"/>
    <w:qFormat/>
    <w:uiPriority w:val="0"/>
    <w:rPr>
      <w:rFonts w:ascii="Arial" w:hAnsi="Arial" w:cs="Arial"/>
      <w:b/>
      <w:bCs/>
      <w:kern w:val="2"/>
      <w:sz w:val="32"/>
      <w:szCs w:val="32"/>
    </w:rPr>
  </w:style>
  <w:style w:type="paragraph" w:customStyle="1" w:styleId="71">
    <w:name w:val="标准标志"/>
    <w:next w:val="1"/>
    <w:qFormat/>
    <w:uiPriority w:val="0"/>
    <w:pPr>
      <w:framePr w:w="2268" w:h="1392" w:hRule="exact" w:wrap="around" w:vAnchor="margin" w:hAnchor="margin" w:x="6748" w:y="171" w:anchorLock="1"/>
      <w:shd w:val="solid" w:color="FFFFFF" w:fill="FFFFFF"/>
      <w:spacing w:after="160" w:line="0" w:lineRule="atLeast"/>
      <w:jc w:val="right"/>
    </w:pPr>
    <w:rPr>
      <w:rFonts w:ascii="Times New Roman" w:hAnsi="Times New Roman" w:eastAsia="宋体" w:cs="Times New Roman"/>
      <w:b/>
      <w:w w:val="130"/>
      <w:sz w:val="96"/>
      <w:lang w:val="en-US" w:eastAsia="zh-CN" w:bidi="ar-SA"/>
    </w:rPr>
  </w:style>
  <w:style w:type="paragraph" w:customStyle="1" w:styleId="7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after="160" w:line="0" w:lineRule="atLeast"/>
      <w:jc w:val="distribute"/>
    </w:pPr>
    <w:rPr>
      <w:rFonts w:ascii="宋体" w:hAnsi="Times New Roman" w:eastAsia="宋体" w:cs="Times New Roman"/>
      <w:b/>
      <w:bCs/>
      <w:w w:val="148"/>
      <w:sz w:val="52"/>
      <w:lang w:val="en-US" w:eastAsia="zh-CN" w:bidi="ar-SA"/>
    </w:rPr>
  </w:style>
  <w:style w:type="paragraph" w:customStyle="1" w:styleId="73">
    <w:name w:val="标准文件_页脚偶数页"/>
    <w:qFormat/>
    <w:uiPriority w:val="0"/>
    <w:pPr>
      <w:spacing w:after="160" w:line="278" w:lineRule="auto"/>
      <w:ind w:left="198"/>
    </w:pPr>
    <w:rPr>
      <w:rFonts w:ascii="宋体" w:hAnsi="Times New Roman" w:eastAsia="宋体" w:cs="Times New Roman"/>
      <w:sz w:val="18"/>
      <w:lang w:val="en-US" w:eastAsia="zh-CN" w:bidi="ar-SA"/>
    </w:rPr>
  </w:style>
  <w:style w:type="paragraph" w:customStyle="1" w:styleId="74">
    <w:name w:val="标准文件_页脚奇数页"/>
    <w:qFormat/>
    <w:uiPriority w:val="0"/>
    <w:pPr>
      <w:spacing w:after="160" w:line="278" w:lineRule="auto"/>
      <w:ind w:right="227"/>
      <w:jc w:val="right"/>
    </w:pPr>
    <w:rPr>
      <w:rFonts w:ascii="宋体" w:hAnsi="Times New Roman" w:eastAsia="宋体" w:cs="Times New Roman"/>
      <w:sz w:val="18"/>
      <w:lang w:val="en-US" w:eastAsia="zh-CN" w:bidi="ar-SA"/>
    </w:rPr>
  </w:style>
  <w:style w:type="paragraph" w:customStyle="1" w:styleId="75">
    <w:name w:val="标准书眉一"/>
    <w:qFormat/>
    <w:uiPriority w:val="0"/>
    <w:pPr>
      <w:spacing w:after="160" w:line="278" w:lineRule="auto"/>
      <w:jc w:val="both"/>
    </w:pPr>
    <w:rPr>
      <w:rFonts w:ascii="Times New Roman" w:hAnsi="Times New Roman" w:eastAsia="宋体" w:cs="Times New Roman"/>
      <w:lang w:val="en-US" w:eastAsia="zh-CN" w:bidi="ar-SA"/>
    </w:rPr>
  </w:style>
  <w:style w:type="paragraph" w:customStyle="1" w:styleId="76">
    <w:name w:val="标准文件_ICS"/>
    <w:basedOn w:val="1"/>
    <w:qFormat/>
    <w:uiPriority w:val="0"/>
    <w:pPr>
      <w:spacing w:line="0" w:lineRule="atLeast"/>
    </w:pPr>
    <w:rPr>
      <w:rFonts w:ascii="黑体" w:hAnsi="宋体" w:eastAsia="黑体"/>
    </w:rPr>
  </w:style>
  <w:style w:type="paragraph" w:customStyle="1" w:styleId="77">
    <w:name w:val="标准文件_标准正文"/>
    <w:basedOn w:val="1"/>
    <w:next w:val="78"/>
    <w:qFormat/>
    <w:uiPriority w:val="0"/>
    <w:pPr>
      <w:snapToGrid w:val="0"/>
      <w:ind w:firstLine="200" w:firstLineChars="200"/>
    </w:pPr>
    <w:rPr>
      <w:kern w:val="0"/>
    </w:rPr>
  </w:style>
  <w:style w:type="paragraph" w:customStyle="1" w:styleId="78">
    <w:name w:val="标准文件_段"/>
    <w:link w:val="206"/>
    <w:qFormat/>
    <w:uiPriority w:val="0"/>
    <w:pPr>
      <w:autoSpaceDE w:val="0"/>
      <w:autoSpaceDN w:val="0"/>
      <w:spacing w:after="160" w:line="278" w:lineRule="auto"/>
      <w:ind w:firstLine="200" w:firstLineChars="200"/>
      <w:jc w:val="both"/>
    </w:pPr>
    <w:rPr>
      <w:rFonts w:ascii="宋体" w:hAnsi="Times New Roman" w:eastAsia="宋体" w:cs="Times New Roman"/>
      <w:sz w:val="21"/>
      <w:lang w:val="en-US" w:eastAsia="zh-CN" w:bidi="ar-SA"/>
    </w:rPr>
  </w:style>
  <w:style w:type="paragraph" w:customStyle="1" w:styleId="79">
    <w:name w:val="标准文件_版本"/>
    <w:basedOn w:val="77"/>
    <w:qFormat/>
    <w:uiPriority w:val="0"/>
    <w:pPr>
      <w:adjustRightInd/>
      <w:snapToGrid/>
      <w:ind w:firstLine="0" w:firstLineChars="0"/>
    </w:pPr>
    <w:rPr>
      <w:rFonts w:ascii="宋体" w:hAnsi="宋体"/>
      <w:kern w:val="2"/>
    </w:rPr>
  </w:style>
  <w:style w:type="paragraph" w:customStyle="1" w:styleId="80">
    <w:name w:val="标准文件_标准部门"/>
    <w:basedOn w:val="1"/>
    <w:qFormat/>
    <w:uiPriority w:val="0"/>
    <w:pPr>
      <w:jc w:val="center"/>
    </w:pPr>
    <w:rPr>
      <w:rFonts w:ascii="黑体" w:eastAsia="黑体"/>
      <w:kern w:val="0"/>
      <w:sz w:val="44"/>
    </w:rPr>
  </w:style>
  <w:style w:type="paragraph" w:customStyle="1" w:styleId="81">
    <w:name w:val="标准文件_标准代替"/>
    <w:basedOn w:val="1"/>
    <w:next w:val="1"/>
    <w:qFormat/>
    <w:uiPriority w:val="0"/>
    <w:pPr>
      <w:spacing w:line="310" w:lineRule="exact"/>
      <w:jc w:val="right"/>
    </w:pPr>
    <w:rPr>
      <w:rFonts w:ascii="宋体" w:hAnsi="宋体"/>
      <w:kern w:val="0"/>
    </w:rPr>
  </w:style>
  <w:style w:type="paragraph" w:customStyle="1" w:styleId="8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83">
    <w:name w:val="标准文件_页眉奇数页"/>
    <w:next w:val="1"/>
    <w:qFormat/>
    <w:uiPriority w:val="0"/>
    <w:pPr>
      <w:tabs>
        <w:tab w:val="center" w:pos="4154"/>
        <w:tab w:val="right" w:pos="8306"/>
      </w:tabs>
      <w:spacing w:after="120" w:line="278" w:lineRule="auto"/>
      <w:jc w:val="right"/>
    </w:pPr>
    <w:rPr>
      <w:rFonts w:ascii="黑体" w:hAnsi="宋体" w:eastAsia="黑体" w:cs="Times New Roman"/>
      <w:sz w:val="21"/>
      <w:lang w:val="en-US" w:eastAsia="zh-CN" w:bidi="ar-SA"/>
    </w:rPr>
  </w:style>
  <w:style w:type="paragraph" w:customStyle="1" w:styleId="84">
    <w:name w:val="标准文件_页眉偶数页"/>
    <w:basedOn w:val="83"/>
    <w:next w:val="1"/>
    <w:qFormat/>
    <w:uiPriority w:val="0"/>
    <w:pPr>
      <w:jc w:val="left"/>
    </w:pPr>
  </w:style>
  <w:style w:type="paragraph" w:customStyle="1" w:styleId="85">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86">
    <w:name w:val="标准文件_参考文献条目"/>
    <w:qFormat/>
    <w:uiPriority w:val="0"/>
    <w:pPr>
      <w:numPr>
        <w:ilvl w:val="0"/>
        <w:numId w:val="1"/>
      </w:numPr>
      <w:spacing w:after="160" w:line="278" w:lineRule="auto"/>
    </w:pPr>
    <w:rPr>
      <w:rFonts w:ascii="宋体" w:hAnsi="Times New Roman" w:eastAsia="宋体" w:cs="Times New Roman"/>
      <w:lang w:val="en-US" w:eastAsia="zh-CN" w:bidi="ar-SA"/>
    </w:rPr>
  </w:style>
  <w:style w:type="paragraph" w:customStyle="1" w:styleId="87">
    <w:name w:val="标准文件_二级条标题"/>
    <w:next w:val="78"/>
    <w:qFormat/>
    <w:uiPriority w:val="0"/>
    <w:pPr>
      <w:widowControl w:val="0"/>
      <w:numPr>
        <w:ilvl w:val="3"/>
        <w:numId w:val="2"/>
      </w:numPr>
      <w:spacing w:before="50" w:beforeLines="50" w:after="50" w:afterLines="50" w:line="278" w:lineRule="auto"/>
      <w:jc w:val="both"/>
      <w:outlineLvl w:val="2"/>
    </w:pPr>
    <w:rPr>
      <w:rFonts w:ascii="黑体" w:hAnsi="Times New Roman" w:eastAsia="黑体" w:cs="Times New Roman"/>
      <w:sz w:val="21"/>
      <w:lang w:val="en-US" w:eastAsia="zh-CN" w:bidi="ar-SA"/>
    </w:rPr>
  </w:style>
  <w:style w:type="character" w:customStyle="1" w:styleId="88">
    <w:name w:val="标准文件_发布"/>
    <w:qFormat/>
    <w:uiPriority w:val="0"/>
    <w:rPr>
      <w:rFonts w:ascii="黑体" w:eastAsia="黑体"/>
      <w:spacing w:val="0"/>
      <w:w w:val="100"/>
      <w:position w:val="3"/>
      <w:sz w:val="28"/>
    </w:rPr>
  </w:style>
  <w:style w:type="paragraph" w:customStyle="1" w:styleId="89">
    <w:name w:val="标准文件_方框数字列项"/>
    <w:basedOn w:val="78"/>
    <w:qFormat/>
    <w:uiPriority w:val="0"/>
    <w:pPr>
      <w:numPr>
        <w:ilvl w:val="0"/>
        <w:numId w:val="3"/>
      </w:numPr>
      <w:ind w:firstLine="0" w:firstLineChars="0"/>
    </w:pPr>
  </w:style>
  <w:style w:type="paragraph" w:customStyle="1" w:styleId="90">
    <w:name w:val="标准文件_封面标准编号"/>
    <w:basedOn w:val="1"/>
    <w:next w:val="81"/>
    <w:qFormat/>
    <w:uiPriority w:val="0"/>
    <w:pPr>
      <w:spacing w:line="310" w:lineRule="exact"/>
      <w:jc w:val="right"/>
    </w:pPr>
    <w:rPr>
      <w:rFonts w:ascii="黑体" w:eastAsia="黑体"/>
      <w:kern w:val="0"/>
      <w:sz w:val="28"/>
    </w:rPr>
  </w:style>
  <w:style w:type="paragraph" w:customStyle="1" w:styleId="91">
    <w:name w:val="标准文件_封面标准分类号"/>
    <w:basedOn w:val="1"/>
    <w:qFormat/>
    <w:uiPriority w:val="0"/>
    <w:rPr>
      <w:rFonts w:ascii="黑体" w:eastAsia="黑体"/>
      <w:b/>
      <w:kern w:val="0"/>
      <w:sz w:val="28"/>
    </w:rPr>
  </w:style>
  <w:style w:type="paragraph" w:customStyle="1" w:styleId="92">
    <w:name w:val="标准文件_封面标准名称"/>
    <w:basedOn w:val="1"/>
    <w:qFormat/>
    <w:uiPriority w:val="0"/>
    <w:pPr>
      <w:spacing w:line="240" w:lineRule="auto"/>
      <w:jc w:val="center"/>
    </w:pPr>
    <w:rPr>
      <w:rFonts w:ascii="黑体" w:eastAsia="黑体"/>
      <w:kern w:val="0"/>
      <w:sz w:val="52"/>
    </w:rPr>
  </w:style>
  <w:style w:type="paragraph" w:customStyle="1" w:styleId="93">
    <w:name w:val="标准文件_封面标准英文名称"/>
    <w:basedOn w:val="1"/>
    <w:qFormat/>
    <w:uiPriority w:val="0"/>
    <w:pPr>
      <w:spacing w:line="240" w:lineRule="auto"/>
      <w:jc w:val="center"/>
    </w:pPr>
    <w:rPr>
      <w:rFonts w:ascii="黑体" w:eastAsia="黑体"/>
      <w:b/>
      <w:sz w:val="28"/>
    </w:rPr>
  </w:style>
  <w:style w:type="paragraph" w:customStyle="1" w:styleId="94">
    <w:name w:val="标准文件_封面发布日期"/>
    <w:basedOn w:val="1"/>
    <w:qFormat/>
    <w:uiPriority w:val="0"/>
    <w:pPr>
      <w:spacing w:line="310" w:lineRule="exact"/>
    </w:pPr>
    <w:rPr>
      <w:rFonts w:ascii="黑体" w:eastAsia="黑体"/>
      <w:kern w:val="0"/>
      <w:sz w:val="28"/>
    </w:rPr>
  </w:style>
  <w:style w:type="paragraph" w:customStyle="1" w:styleId="95">
    <w:name w:val="标准文件_封面密级"/>
    <w:basedOn w:val="1"/>
    <w:qFormat/>
    <w:uiPriority w:val="0"/>
    <w:rPr>
      <w:rFonts w:eastAsia="黑体"/>
      <w:sz w:val="32"/>
    </w:rPr>
  </w:style>
  <w:style w:type="paragraph" w:customStyle="1" w:styleId="96">
    <w:name w:val="标准文件_封面实施日期"/>
    <w:basedOn w:val="1"/>
    <w:qFormat/>
    <w:uiPriority w:val="0"/>
    <w:pPr>
      <w:spacing w:line="310" w:lineRule="exact"/>
      <w:jc w:val="right"/>
    </w:pPr>
    <w:rPr>
      <w:rFonts w:ascii="黑体" w:eastAsia="黑体"/>
      <w:sz w:val="28"/>
    </w:rPr>
  </w:style>
  <w:style w:type="paragraph" w:customStyle="1" w:styleId="97">
    <w:name w:val="标准文件_封面抬头"/>
    <w:basedOn w:val="78"/>
    <w:qFormat/>
    <w:uiPriority w:val="0"/>
    <w:pPr>
      <w:adjustRightInd w:val="0"/>
      <w:spacing w:line="800" w:lineRule="exact"/>
      <w:ind w:firstLine="0" w:firstLineChars="0"/>
      <w:jc w:val="distribute"/>
    </w:pPr>
    <w:rPr>
      <w:rFonts w:ascii="黑体" w:eastAsia="黑体"/>
      <w:b/>
      <w:sz w:val="64"/>
    </w:rPr>
  </w:style>
  <w:style w:type="paragraph" w:customStyle="1" w:styleId="98">
    <w:name w:val="标准文件_附录标识"/>
    <w:next w:val="78"/>
    <w:qFormat/>
    <w:uiPriority w:val="0"/>
    <w:pPr>
      <w:numPr>
        <w:ilvl w:val="0"/>
        <w:numId w:val="4"/>
      </w:numPr>
      <w:shd w:val="clear" w:color="FFFFFF" w:fill="FFFFFF"/>
      <w:tabs>
        <w:tab w:val="left" w:pos="6406"/>
      </w:tabs>
      <w:spacing w:before="560" w:after="50" w:afterLines="50" w:line="278" w:lineRule="auto"/>
      <w:jc w:val="center"/>
      <w:outlineLvl w:val="0"/>
    </w:pPr>
    <w:rPr>
      <w:rFonts w:ascii="黑体" w:hAnsi="Times New Roman" w:eastAsia="黑体" w:cs="Times New Roman"/>
      <w:sz w:val="21"/>
      <w:lang w:val="en-US" w:eastAsia="zh-CN" w:bidi="ar-SA"/>
    </w:rPr>
  </w:style>
  <w:style w:type="paragraph" w:customStyle="1" w:styleId="99">
    <w:name w:val="标准文件_附录表标题"/>
    <w:next w:val="78"/>
    <w:qFormat/>
    <w:uiPriority w:val="0"/>
    <w:pPr>
      <w:numPr>
        <w:ilvl w:val="1"/>
        <w:numId w:val="5"/>
      </w:numPr>
      <w:adjustRightInd w:val="0"/>
      <w:snapToGrid w:val="0"/>
      <w:spacing w:before="50" w:beforeLines="50" w:after="50" w:afterLines="50" w:line="278" w:lineRule="auto"/>
      <w:jc w:val="center"/>
      <w:textAlignment w:val="baseline"/>
    </w:pPr>
    <w:rPr>
      <w:rFonts w:ascii="黑体" w:hAnsi="Times New Roman" w:eastAsia="黑体" w:cs="Times New Roman"/>
      <w:kern w:val="21"/>
      <w:sz w:val="21"/>
      <w:lang w:val="en-US" w:eastAsia="zh-CN" w:bidi="ar-SA"/>
    </w:rPr>
  </w:style>
  <w:style w:type="paragraph" w:customStyle="1" w:styleId="100">
    <w:name w:val="标准文件_附录一级条标题"/>
    <w:next w:val="78"/>
    <w:qFormat/>
    <w:uiPriority w:val="0"/>
    <w:pPr>
      <w:widowControl w:val="0"/>
      <w:numPr>
        <w:ilvl w:val="1"/>
        <w:numId w:val="4"/>
      </w:numPr>
      <w:spacing w:before="50" w:beforeLines="50" w:after="50" w:afterLines="50" w:line="278" w:lineRule="auto"/>
      <w:jc w:val="both"/>
      <w:outlineLvl w:val="2"/>
    </w:pPr>
    <w:rPr>
      <w:rFonts w:ascii="黑体" w:hAnsi="Times New Roman" w:eastAsia="黑体" w:cs="Times New Roman"/>
      <w:kern w:val="21"/>
      <w:sz w:val="21"/>
      <w:lang w:val="en-US" w:eastAsia="zh-CN" w:bidi="ar-SA"/>
    </w:rPr>
  </w:style>
  <w:style w:type="paragraph" w:customStyle="1" w:styleId="101">
    <w:name w:val="标准文件_附录二级条标题"/>
    <w:basedOn w:val="100"/>
    <w:next w:val="78"/>
    <w:qFormat/>
    <w:uiPriority w:val="0"/>
    <w:pPr>
      <w:widowControl/>
      <w:numPr>
        <w:ilvl w:val="2"/>
      </w:numPr>
      <w:wordWrap w:val="0"/>
      <w:overflowPunct w:val="0"/>
      <w:autoSpaceDE w:val="0"/>
      <w:autoSpaceDN w:val="0"/>
      <w:textAlignment w:val="baseline"/>
      <w:outlineLvl w:val="3"/>
    </w:pPr>
  </w:style>
  <w:style w:type="paragraph" w:customStyle="1" w:styleId="102">
    <w:name w:val="标准文件_附录公式"/>
    <w:basedOn w:val="77"/>
    <w:next w:val="7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103">
    <w:name w:val="标准文件_附录三级条标题"/>
    <w:next w:val="78"/>
    <w:qFormat/>
    <w:uiPriority w:val="0"/>
    <w:pPr>
      <w:widowControl w:val="0"/>
      <w:numPr>
        <w:ilvl w:val="3"/>
        <w:numId w:val="4"/>
      </w:numPr>
      <w:spacing w:before="50" w:beforeLines="50" w:after="50" w:afterLines="50" w:line="278" w:lineRule="auto"/>
      <w:jc w:val="both"/>
      <w:outlineLvl w:val="4"/>
    </w:pPr>
    <w:rPr>
      <w:rFonts w:ascii="黑体" w:hAnsi="Times New Roman" w:eastAsia="黑体" w:cs="Times New Roman"/>
      <w:kern w:val="21"/>
      <w:sz w:val="21"/>
      <w:lang w:val="en-US" w:eastAsia="zh-CN" w:bidi="ar-SA"/>
    </w:rPr>
  </w:style>
  <w:style w:type="paragraph" w:customStyle="1" w:styleId="104">
    <w:name w:val="标准文件_附录四级条标题"/>
    <w:next w:val="78"/>
    <w:qFormat/>
    <w:uiPriority w:val="0"/>
    <w:pPr>
      <w:widowControl w:val="0"/>
      <w:numPr>
        <w:ilvl w:val="4"/>
        <w:numId w:val="4"/>
      </w:numPr>
      <w:spacing w:before="50" w:beforeLines="50" w:after="50" w:afterLines="50" w:line="278" w:lineRule="auto"/>
      <w:jc w:val="both"/>
      <w:outlineLvl w:val="5"/>
    </w:pPr>
    <w:rPr>
      <w:rFonts w:ascii="黑体" w:hAnsi="Times New Roman" w:eastAsia="黑体" w:cs="Times New Roman"/>
      <w:kern w:val="21"/>
      <w:sz w:val="21"/>
      <w:lang w:val="en-US" w:eastAsia="zh-CN" w:bidi="ar-SA"/>
    </w:rPr>
  </w:style>
  <w:style w:type="paragraph" w:customStyle="1" w:styleId="105">
    <w:name w:val="标准文件_附录图标题"/>
    <w:next w:val="78"/>
    <w:qFormat/>
    <w:uiPriority w:val="0"/>
    <w:pPr>
      <w:numPr>
        <w:ilvl w:val="1"/>
        <w:numId w:val="6"/>
      </w:numPr>
      <w:adjustRightInd w:val="0"/>
      <w:snapToGrid w:val="0"/>
      <w:spacing w:before="50" w:beforeLines="50" w:after="50" w:afterLines="50" w:line="278" w:lineRule="auto"/>
      <w:jc w:val="center"/>
    </w:pPr>
    <w:rPr>
      <w:rFonts w:ascii="黑体" w:hAnsi="Times New Roman" w:eastAsia="黑体" w:cs="Times New Roman"/>
      <w:sz w:val="21"/>
      <w:lang w:val="en-US" w:eastAsia="zh-CN" w:bidi="ar-SA"/>
    </w:rPr>
  </w:style>
  <w:style w:type="paragraph" w:customStyle="1" w:styleId="106">
    <w:name w:val="标准文件_附录五级条标题"/>
    <w:next w:val="78"/>
    <w:qFormat/>
    <w:uiPriority w:val="0"/>
    <w:pPr>
      <w:widowControl w:val="0"/>
      <w:numPr>
        <w:ilvl w:val="5"/>
        <w:numId w:val="4"/>
      </w:numPr>
      <w:spacing w:before="50" w:beforeLines="50" w:after="50" w:afterLines="50" w:line="278" w:lineRule="auto"/>
      <w:jc w:val="both"/>
      <w:outlineLvl w:val="6"/>
    </w:pPr>
    <w:rPr>
      <w:rFonts w:ascii="黑体" w:hAnsi="Times New Roman" w:eastAsia="黑体" w:cs="Times New Roman"/>
      <w:kern w:val="21"/>
      <w:sz w:val="21"/>
      <w:lang w:val="en-US" w:eastAsia="zh-CN" w:bidi="ar-SA"/>
    </w:rPr>
  </w:style>
  <w:style w:type="paragraph" w:customStyle="1" w:styleId="107">
    <w:name w:val="标准文件_附录英文标识"/>
    <w:next w:val="15"/>
    <w:qFormat/>
    <w:uiPriority w:val="0"/>
    <w:pPr>
      <w:numPr>
        <w:ilvl w:val="0"/>
        <w:numId w:val="7"/>
      </w:numPr>
      <w:tabs>
        <w:tab w:val="left" w:pos="6406"/>
      </w:tabs>
      <w:spacing w:before="220" w:after="320" w:line="278" w:lineRule="auto"/>
      <w:jc w:val="center"/>
      <w:outlineLvl w:val="0"/>
    </w:pPr>
    <w:rPr>
      <w:rFonts w:ascii="黑体" w:hAnsi="Times New Roman" w:eastAsia="黑体" w:cs="Times New Roman"/>
      <w:sz w:val="21"/>
      <w:lang w:val="en-US" w:eastAsia="zh-CN" w:bidi="ar-SA"/>
    </w:rPr>
  </w:style>
  <w:style w:type="character" w:customStyle="1" w:styleId="108">
    <w:name w:val="正文文本 字符"/>
    <w:link w:val="15"/>
    <w:qFormat/>
    <w:uiPriority w:val="0"/>
    <w:rPr>
      <w:kern w:val="2"/>
      <w:sz w:val="21"/>
      <w:szCs w:val="21"/>
    </w:rPr>
  </w:style>
  <w:style w:type="paragraph" w:customStyle="1" w:styleId="109">
    <w:name w:val="标准文件_附录章标题"/>
    <w:next w:val="78"/>
    <w:qFormat/>
    <w:uiPriority w:val="0"/>
    <w:pPr>
      <w:wordWrap w:val="0"/>
      <w:overflowPunct w:val="0"/>
      <w:autoSpaceDE w:val="0"/>
      <w:spacing w:beforeLines="50" w:after="160" w:afterLines="50" w:line="278" w:lineRule="auto"/>
      <w:jc w:val="both"/>
      <w:textAlignment w:val="baseline"/>
      <w:outlineLvl w:val="1"/>
    </w:pPr>
    <w:rPr>
      <w:rFonts w:ascii="黑体" w:hAnsi="Times New Roman" w:eastAsia="黑体" w:cs="Times New Roman"/>
      <w:kern w:val="21"/>
      <w:sz w:val="21"/>
      <w:lang w:val="en-US" w:eastAsia="zh-CN" w:bidi="ar-SA"/>
    </w:rPr>
  </w:style>
  <w:style w:type="paragraph" w:customStyle="1" w:styleId="110">
    <w:name w:val="标准文件_公式后的破折号"/>
    <w:basedOn w:val="78"/>
    <w:next w:val="78"/>
    <w:qFormat/>
    <w:uiPriority w:val="0"/>
    <w:pPr>
      <w:ind w:left="488" w:leftChars="200" w:hanging="289" w:hangingChars="290"/>
    </w:pPr>
  </w:style>
  <w:style w:type="paragraph" w:customStyle="1" w:styleId="111">
    <w:name w:val="标准文件_前言、引言标题"/>
    <w:next w:val="1"/>
    <w:qFormat/>
    <w:uiPriority w:val="0"/>
    <w:pPr>
      <w:numPr>
        <w:ilvl w:val="0"/>
        <w:numId w:val="8"/>
      </w:numPr>
      <w:shd w:val="clear" w:color="FFFFFF" w:fill="FFFFFF"/>
      <w:spacing w:before="480" w:after="150" w:afterLines="150" w:line="278" w:lineRule="auto"/>
      <w:jc w:val="center"/>
      <w:outlineLvl w:val="0"/>
    </w:pPr>
    <w:rPr>
      <w:rFonts w:ascii="黑体" w:hAnsi="Times New Roman" w:eastAsia="黑体" w:cs="Times New Roman"/>
      <w:sz w:val="32"/>
      <w:lang w:val="en-US" w:eastAsia="zh-CN" w:bidi="ar-SA"/>
    </w:rPr>
  </w:style>
  <w:style w:type="paragraph" w:customStyle="1" w:styleId="112">
    <w:name w:val="标准文件_目次、标准名称标题"/>
    <w:basedOn w:val="111"/>
    <w:next w:val="78"/>
    <w:qFormat/>
    <w:uiPriority w:val="0"/>
    <w:pPr>
      <w:spacing w:line="460" w:lineRule="exact"/>
      <w:ind w:left="0" w:firstLine="0"/>
    </w:pPr>
  </w:style>
  <w:style w:type="paragraph" w:customStyle="1" w:styleId="11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114">
    <w:name w:val="标准文件_破折号列项"/>
    <w:qFormat/>
    <w:uiPriority w:val="0"/>
    <w:pPr>
      <w:numPr>
        <w:ilvl w:val="0"/>
        <w:numId w:val="9"/>
      </w:numPr>
      <w:adjustRightInd w:val="0"/>
      <w:snapToGrid w:val="0"/>
      <w:spacing w:after="160" w:line="278" w:lineRule="auto"/>
    </w:pPr>
    <w:rPr>
      <w:rFonts w:ascii="Times New Roman" w:hAnsi="Times New Roman" w:eastAsia="宋体" w:cs="Times New Roman"/>
      <w:sz w:val="21"/>
      <w:lang w:val="en-US" w:eastAsia="zh-CN" w:bidi="ar-SA"/>
    </w:rPr>
  </w:style>
  <w:style w:type="paragraph" w:customStyle="1" w:styleId="115">
    <w:name w:val="标准文件_破折号列项（二级）"/>
    <w:basedOn w:val="114"/>
    <w:qFormat/>
    <w:uiPriority w:val="0"/>
    <w:pPr>
      <w:numPr>
        <w:numId w:val="10"/>
      </w:numPr>
    </w:pPr>
  </w:style>
  <w:style w:type="paragraph" w:customStyle="1" w:styleId="116">
    <w:name w:val="标准文件_三级条标题"/>
    <w:basedOn w:val="87"/>
    <w:next w:val="78"/>
    <w:qFormat/>
    <w:uiPriority w:val="0"/>
    <w:pPr>
      <w:widowControl/>
      <w:numPr>
        <w:ilvl w:val="4"/>
      </w:numPr>
      <w:outlineLvl w:val="3"/>
    </w:pPr>
  </w:style>
  <w:style w:type="character" w:customStyle="1" w:styleId="117">
    <w:name w:val="不明显参考1"/>
    <w:qFormat/>
    <w:uiPriority w:val="31"/>
    <w:rPr>
      <w:smallCaps/>
      <w:color w:val="C0504D"/>
      <w:u w:val="single"/>
    </w:rPr>
  </w:style>
  <w:style w:type="paragraph" w:customStyle="1" w:styleId="118">
    <w:name w:val="标准文件_示例后续"/>
    <w:basedOn w:val="1"/>
    <w:qFormat/>
    <w:uiPriority w:val="0"/>
    <w:pPr>
      <w:adjustRightInd/>
      <w:spacing w:line="240" w:lineRule="auto"/>
      <w:ind w:firstLine="200" w:firstLineChars="200"/>
    </w:pPr>
    <w:rPr>
      <w:sz w:val="18"/>
      <w:szCs w:val="24"/>
    </w:rPr>
  </w:style>
  <w:style w:type="paragraph" w:customStyle="1" w:styleId="119">
    <w:name w:val="标准文件_数字编号列项"/>
    <w:qFormat/>
    <w:uiPriority w:val="0"/>
    <w:pPr>
      <w:numPr>
        <w:ilvl w:val="0"/>
        <w:numId w:val="11"/>
      </w:numPr>
      <w:spacing w:after="160" w:line="278" w:lineRule="auto"/>
      <w:jc w:val="both"/>
    </w:pPr>
    <w:rPr>
      <w:rFonts w:ascii="宋体" w:hAnsi="宋体" w:eastAsia="宋体" w:cs="Times New Roman"/>
      <w:sz w:val="21"/>
      <w:lang w:val="en-US" w:eastAsia="zh-CN" w:bidi="ar-SA"/>
    </w:rPr>
  </w:style>
  <w:style w:type="paragraph" w:customStyle="1" w:styleId="120">
    <w:name w:val="标准文件_四级条标题"/>
    <w:next w:val="78"/>
    <w:qFormat/>
    <w:uiPriority w:val="0"/>
    <w:pPr>
      <w:widowControl w:val="0"/>
      <w:numPr>
        <w:ilvl w:val="5"/>
        <w:numId w:val="2"/>
      </w:numPr>
      <w:spacing w:before="50" w:beforeLines="50" w:after="50" w:afterLines="50" w:line="278" w:lineRule="auto"/>
      <w:jc w:val="both"/>
      <w:outlineLvl w:val="4"/>
    </w:pPr>
    <w:rPr>
      <w:rFonts w:ascii="黑体" w:hAnsi="Times New Roman" w:eastAsia="黑体" w:cs="Times New Roman"/>
      <w:sz w:val="21"/>
      <w:lang w:val="en-US" w:eastAsia="zh-CN" w:bidi="ar-SA"/>
    </w:rPr>
  </w:style>
  <w:style w:type="character" w:customStyle="1" w:styleId="121">
    <w:name w:val="脚注文本 字符"/>
    <w:link w:val="28"/>
    <w:semiHidden/>
    <w:qFormat/>
    <w:uiPriority w:val="0"/>
    <w:rPr>
      <w:rFonts w:ascii="宋体"/>
      <w:kern w:val="2"/>
      <w:sz w:val="18"/>
      <w:szCs w:val="18"/>
    </w:rPr>
  </w:style>
  <w:style w:type="paragraph" w:customStyle="1" w:styleId="122">
    <w:name w:val="标准文件_条文脚注"/>
    <w:basedOn w:val="28"/>
    <w:qFormat/>
    <w:uiPriority w:val="0"/>
    <w:pPr>
      <w:adjustRightInd w:val="0"/>
      <w:spacing w:line="240" w:lineRule="auto"/>
      <w:ind w:left="0" w:leftChars="0" w:firstLine="200" w:firstLineChars="200"/>
      <w:jc w:val="both"/>
    </w:pPr>
    <w:rPr>
      <w:rFonts w:hAnsi="宋体"/>
    </w:rPr>
  </w:style>
  <w:style w:type="paragraph" w:customStyle="1" w:styleId="123">
    <w:name w:val="标准文件_图表脚注"/>
    <w:basedOn w:val="1"/>
    <w:next w:val="78"/>
    <w:qFormat/>
    <w:uiPriority w:val="0"/>
    <w:pPr>
      <w:numPr>
        <w:ilvl w:val="0"/>
        <w:numId w:val="12"/>
      </w:numPr>
      <w:spacing w:line="240" w:lineRule="auto"/>
      <w:jc w:val="left"/>
    </w:pPr>
    <w:rPr>
      <w:rFonts w:ascii="宋体" w:hAnsi="宋体"/>
      <w:sz w:val="18"/>
    </w:rPr>
  </w:style>
  <w:style w:type="character" w:customStyle="1" w:styleId="124">
    <w:name w:val="标准文件_图表脚注内容"/>
    <w:qFormat/>
    <w:uiPriority w:val="0"/>
    <w:rPr>
      <w:rFonts w:ascii="宋体" w:hAnsi="宋体" w:eastAsia="宋体" w:cs="Times New Roman"/>
      <w:spacing w:val="0"/>
      <w:sz w:val="18"/>
      <w:vertAlign w:val="superscript"/>
    </w:rPr>
  </w:style>
  <w:style w:type="paragraph" w:customStyle="1" w:styleId="125">
    <w:name w:val="标准文件_五级条标题"/>
    <w:next w:val="78"/>
    <w:qFormat/>
    <w:uiPriority w:val="0"/>
    <w:pPr>
      <w:widowControl w:val="0"/>
      <w:numPr>
        <w:ilvl w:val="6"/>
        <w:numId w:val="2"/>
      </w:numPr>
      <w:spacing w:before="50" w:beforeLines="50" w:after="50" w:afterLines="50" w:line="278" w:lineRule="auto"/>
      <w:jc w:val="both"/>
      <w:outlineLvl w:val="5"/>
    </w:pPr>
    <w:rPr>
      <w:rFonts w:ascii="黑体" w:hAnsi="Times New Roman" w:eastAsia="黑体" w:cs="Times New Roman"/>
      <w:sz w:val="21"/>
      <w:lang w:val="en-US" w:eastAsia="zh-CN" w:bidi="ar-SA"/>
    </w:rPr>
  </w:style>
  <w:style w:type="paragraph" w:customStyle="1" w:styleId="126">
    <w:name w:val="标准文件_章标题"/>
    <w:next w:val="78"/>
    <w:qFormat/>
    <w:uiPriority w:val="0"/>
    <w:pPr>
      <w:numPr>
        <w:ilvl w:val="1"/>
        <w:numId w:val="2"/>
      </w:numPr>
      <w:spacing w:before="100" w:beforeLines="100" w:after="100" w:afterLines="100" w:line="278" w:lineRule="auto"/>
      <w:ind w:left="0"/>
      <w:jc w:val="both"/>
      <w:outlineLvl w:val="0"/>
    </w:pPr>
    <w:rPr>
      <w:rFonts w:ascii="黑体" w:hAnsi="Times New Roman" w:eastAsia="黑体" w:cs="Times New Roman"/>
      <w:sz w:val="21"/>
      <w:lang w:val="en-US" w:eastAsia="zh-CN" w:bidi="ar-SA"/>
    </w:rPr>
  </w:style>
  <w:style w:type="paragraph" w:customStyle="1" w:styleId="127">
    <w:name w:val="标准文件_一级条标题"/>
    <w:basedOn w:val="126"/>
    <w:next w:val="78"/>
    <w:qFormat/>
    <w:uiPriority w:val="0"/>
    <w:pPr>
      <w:numPr>
        <w:ilvl w:val="2"/>
      </w:numPr>
      <w:spacing w:before="50" w:beforeLines="50" w:after="50" w:afterLines="50"/>
      <w:ind w:left="0"/>
      <w:outlineLvl w:val="1"/>
    </w:pPr>
  </w:style>
  <w:style w:type="paragraph" w:customStyle="1" w:styleId="128">
    <w:name w:val="标准文件_一致程度"/>
    <w:basedOn w:val="1"/>
    <w:qFormat/>
    <w:uiPriority w:val="0"/>
    <w:pPr>
      <w:spacing w:line="440" w:lineRule="exact"/>
      <w:jc w:val="center"/>
    </w:pPr>
    <w:rPr>
      <w:sz w:val="28"/>
    </w:rPr>
  </w:style>
  <w:style w:type="paragraph" w:customStyle="1" w:styleId="129">
    <w:name w:val="标准文件_引言标题"/>
    <w:next w:val="1"/>
    <w:qFormat/>
    <w:uiPriority w:val="0"/>
    <w:pPr>
      <w:shd w:val="clear" w:color="FFFFFF" w:fill="FFFFFF"/>
      <w:spacing w:before="540" w:after="600" w:line="278" w:lineRule="auto"/>
      <w:jc w:val="center"/>
      <w:outlineLvl w:val="0"/>
    </w:pPr>
    <w:rPr>
      <w:rFonts w:ascii="黑体" w:hAnsi="Times New Roman" w:eastAsia="黑体" w:cs="Times New Roman"/>
      <w:sz w:val="32"/>
      <w:lang w:val="en-US" w:eastAsia="zh-CN" w:bidi="ar-SA"/>
    </w:rPr>
  </w:style>
  <w:style w:type="paragraph" w:customStyle="1" w:styleId="130">
    <w:name w:val="标准文件_英文图表脚注"/>
    <w:basedOn w:val="77"/>
    <w:qFormat/>
    <w:uiPriority w:val="0"/>
    <w:pPr>
      <w:widowControl/>
      <w:adjustRightInd/>
      <w:snapToGrid/>
      <w:spacing w:line="240" w:lineRule="auto"/>
      <w:ind w:left="79" w:hanging="79" w:hangingChars="80"/>
    </w:pPr>
    <w:rPr>
      <w:rFonts w:ascii="宋体" w:hAnsi="宋体"/>
    </w:rPr>
  </w:style>
  <w:style w:type="paragraph" w:customStyle="1" w:styleId="131">
    <w:name w:val="标准文件_数字编号列项（二级）"/>
    <w:qFormat/>
    <w:uiPriority w:val="0"/>
    <w:pPr>
      <w:numPr>
        <w:ilvl w:val="1"/>
        <w:numId w:val="13"/>
      </w:numPr>
      <w:spacing w:after="160" w:line="278" w:lineRule="auto"/>
      <w:jc w:val="both"/>
    </w:pPr>
    <w:rPr>
      <w:rFonts w:ascii="宋体" w:hAnsi="Times New Roman" w:eastAsia="宋体" w:cs="Times New Roman"/>
      <w:sz w:val="21"/>
      <w:lang w:val="en-US" w:eastAsia="zh-CN" w:bidi="ar-SA"/>
    </w:rPr>
  </w:style>
  <w:style w:type="paragraph" w:customStyle="1" w:styleId="132">
    <w:name w:val="标准文件_英文注："/>
    <w:basedOn w:val="1"/>
    <w:next w:val="7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3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34">
    <w:name w:val="标准文件_正文表标题"/>
    <w:next w:val="78"/>
    <w:qFormat/>
    <w:uiPriority w:val="0"/>
    <w:pPr>
      <w:numPr>
        <w:ilvl w:val="0"/>
        <w:numId w:val="16"/>
      </w:numPr>
      <w:tabs>
        <w:tab w:val="left" w:pos="0"/>
      </w:tabs>
      <w:spacing w:before="50" w:beforeLines="50" w:after="50" w:afterLines="50" w:line="278" w:lineRule="auto"/>
      <w:jc w:val="center"/>
    </w:pPr>
    <w:rPr>
      <w:rFonts w:ascii="黑体" w:hAnsi="Times New Roman" w:eastAsia="黑体" w:cs="Times New Roman"/>
      <w:sz w:val="21"/>
      <w:lang w:val="en-US" w:eastAsia="zh-CN" w:bidi="ar-SA"/>
    </w:rPr>
  </w:style>
  <w:style w:type="paragraph" w:customStyle="1" w:styleId="135">
    <w:name w:val="标准文件_正文公式"/>
    <w:basedOn w:val="1"/>
    <w:next w:val="77"/>
    <w:qFormat/>
    <w:uiPriority w:val="0"/>
    <w:pPr>
      <w:tabs>
        <w:tab w:val="center" w:pos="4678"/>
        <w:tab w:val="right" w:leader="middleDot" w:pos="9356"/>
      </w:tabs>
      <w:spacing w:line="240" w:lineRule="auto"/>
    </w:pPr>
    <w:rPr>
      <w:rFonts w:ascii="宋体" w:hAnsi="宋体"/>
    </w:rPr>
  </w:style>
  <w:style w:type="paragraph" w:customStyle="1" w:styleId="136">
    <w:name w:val="标准文件_正文图标题"/>
    <w:next w:val="78"/>
    <w:qFormat/>
    <w:uiPriority w:val="0"/>
    <w:pPr>
      <w:numPr>
        <w:ilvl w:val="0"/>
        <w:numId w:val="17"/>
      </w:numPr>
      <w:spacing w:before="50" w:beforeLines="50" w:after="50" w:afterLines="50" w:line="278" w:lineRule="auto"/>
      <w:jc w:val="center"/>
    </w:pPr>
    <w:rPr>
      <w:rFonts w:ascii="黑体" w:hAnsi="Times New Roman" w:eastAsia="黑体" w:cs="Times New Roman"/>
      <w:sz w:val="21"/>
      <w:lang w:val="en-US" w:eastAsia="zh-CN" w:bidi="ar-SA"/>
    </w:rPr>
  </w:style>
  <w:style w:type="paragraph" w:customStyle="1" w:styleId="137">
    <w:name w:val="标准文件_正文英文表标题"/>
    <w:next w:val="78"/>
    <w:qFormat/>
    <w:uiPriority w:val="0"/>
    <w:pPr>
      <w:numPr>
        <w:ilvl w:val="0"/>
        <w:numId w:val="18"/>
      </w:numPr>
      <w:spacing w:after="160" w:line="278" w:lineRule="auto"/>
      <w:jc w:val="center"/>
    </w:pPr>
    <w:rPr>
      <w:rFonts w:ascii="黑体" w:hAnsi="Times New Roman" w:eastAsia="黑体" w:cs="Times New Roman"/>
      <w:sz w:val="21"/>
      <w:lang w:val="en-US" w:eastAsia="zh-CN" w:bidi="ar-SA"/>
    </w:rPr>
  </w:style>
  <w:style w:type="paragraph" w:customStyle="1" w:styleId="138">
    <w:name w:val="标准文件_正文英文图标题"/>
    <w:next w:val="78"/>
    <w:qFormat/>
    <w:uiPriority w:val="0"/>
    <w:pPr>
      <w:numPr>
        <w:ilvl w:val="0"/>
        <w:numId w:val="19"/>
      </w:numPr>
      <w:spacing w:after="160" w:line="278" w:lineRule="auto"/>
      <w:jc w:val="center"/>
    </w:pPr>
    <w:rPr>
      <w:rFonts w:ascii="黑体" w:hAnsi="Times New Roman" w:eastAsia="黑体" w:cs="Times New Roman"/>
      <w:sz w:val="21"/>
      <w:lang w:val="en-US" w:eastAsia="zh-CN" w:bidi="ar-SA"/>
    </w:rPr>
  </w:style>
  <w:style w:type="paragraph" w:customStyle="1" w:styleId="139">
    <w:name w:val="标准文件_编号列项（三级）"/>
    <w:qFormat/>
    <w:uiPriority w:val="0"/>
    <w:pPr>
      <w:numPr>
        <w:ilvl w:val="2"/>
        <w:numId w:val="13"/>
      </w:numPr>
      <w:spacing w:after="160" w:line="278" w:lineRule="auto"/>
    </w:pPr>
    <w:rPr>
      <w:rFonts w:ascii="宋体" w:hAnsi="Times New Roman" w:eastAsia="宋体" w:cs="Times New Roman"/>
      <w:sz w:val="21"/>
      <w:lang w:val="en-US" w:eastAsia="zh-CN" w:bidi="ar-SA"/>
    </w:rPr>
  </w:style>
  <w:style w:type="paragraph" w:customStyle="1" w:styleId="14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41">
    <w:name w:val="发布部门"/>
    <w:next w:val="78"/>
    <w:qFormat/>
    <w:uiPriority w:val="0"/>
    <w:pPr>
      <w:framePr w:w="7433" w:h="585" w:hRule="exact" w:hSpace="180" w:vSpace="180" w:wrap="around" w:vAnchor="margin" w:hAnchor="margin" w:xAlign="center" w:y="14401" w:anchorLock="1"/>
      <w:spacing w:after="160" w:line="278" w:lineRule="auto"/>
      <w:jc w:val="center"/>
    </w:pPr>
    <w:rPr>
      <w:rFonts w:ascii="宋体" w:hAnsi="Times New Roman" w:eastAsia="宋体" w:cs="Times New Roman"/>
      <w:b/>
      <w:w w:val="135"/>
      <w:sz w:val="36"/>
      <w:lang w:val="en-US" w:eastAsia="zh-CN" w:bidi="ar-SA"/>
    </w:rPr>
  </w:style>
  <w:style w:type="paragraph" w:customStyle="1" w:styleId="142">
    <w:name w:val="发布日期"/>
    <w:qFormat/>
    <w:uiPriority w:val="0"/>
    <w:pPr>
      <w:framePr w:w="4000" w:h="473" w:hRule="exact" w:hSpace="180" w:vSpace="180" w:wrap="around" w:vAnchor="margin" w:hAnchor="margin" w:y="13511" w:anchorLock="1"/>
      <w:spacing w:after="160" w:line="278" w:lineRule="auto"/>
    </w:pPr>
    <w:rPr>
      <w:rFonts w:ascii="Times New Roman" w:hAnsi="Times New Roman" w:eastAsia="黑体" w:cs="Times New Roman"/>
      <w:sz w:val="28"/>
      <w:lang w:val="en-US" w:eastAsia="zh-CN" w:bidi="ar-SA"/>
    </w:rPr>
  </w:style>
  <w:style w:type="paragraph" w:customStyle="1" w:styleId="14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44">
    <w:name w:val="封面标准名称"/>
    <w:qFormat/>
    <w:uiPriority w:val="0"/>
    <w:pPr>
      <w:framePr w:w="9638" w:h="6917" w:hRule="exact" w:wrap="around" w:vAnchor="margin" w:hAnchor="margin" w:xAlign="center" w:y="5955" w:anchorLock="1"/>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45">
    <w:name w:val="封面标准文稿编辑信息"/>
    <w:qFormat/>
    <w:uiPriority w:val="0"/>
    <w:pPr>
      <w:spacing w:before="180" w:after="160" w:line="180" w:lineRule="exact"/>
      <w:jc w:val="center"/>
    </w:pPr>
    <w:rPr>
      <w:rFonts w:ascii="宋体" w:hAnsi="Times New Roman" w:eastAsia="宋体" w:cs="Times New Roman"/>
      <w:sz w:val="21"/>
      <w:lang w:val="en-US" w:eastAsia="zh-CN" w:bidi="ar-SA"/>
    </w:rPr>
  </w:style>
  <w:style w:type="paragraph" w:customStyle="1" w:styleId="146">
    <w:name w:val="封面标准文稿类别"/>
    <w:qFormat/>
    <w:uiPriority w:val="0"/>
    <w:pPr>
      <w:spacing w:before="440" w:after="160" w:line="400" w:lineRule="exact"/>
      <w:jc w:val="center"/>
    </w:pPr>
    <w:rPr>
      <w:rFonts w:ascii="宋体" w:hAnsi="Times New Roman" w:eastAsia="宋体" w:cs="Times New Roman"/>
      <w:sz w:val="24"/>
      <w:lang w:val="en-US" w:eastAsia="zh-CN" w:bidi="ar-SA"/>
    </w:rPr>
  </w:style>
  <w:style w:type="paragraph" w:customStyle="1" w:styleId="147">
    <w:name w:val="封面标准英文名称"/>
    <w:qFormat/>
    <w:uiPriority w:val="0"/>
    <w:pPr>
      <w:widowControl w:val="0"/>
      <w:spacing w:after="160" w:line="360" w:lineRule="exact"/>
      <w:jc w:val="center"/>
    </w:pPr>
    <w:rPr>
      <w:rFonts w:ascii="Times New Roman" w:hAnsi="Times New Roman" w:eastAsia="宋体" w:cs="Times New Roman"/>
      <w:sz w:val="28"/>
      <w:lang w:val="en-US" w:eastAsia="zh-CN" w:bidi="ar-SA"/>
    </w:rPr>
  </w:style>
  <w:style w:type="paragraph" w:customStyle="1" w:styleId="148">
    <w:name w:val="封面一致性程度标识"/>
    <w:qFormat/>
    <w:uiPriority w:val="0"/>
    <w:pPr>
      <w:spacing w:before="440" w:after="160" w:line="440" w:lineRule="exact"/>
      <w:jc w:val="center"/>
    </w:pPr>
    <w:rPr>
      <w:rFonts w:ascii="Times New Roman" w:hAnsi="Times New Roman" w:eastAsia="宋体" w:cs="Times New Roman"/>
      <w:sz w:val="28"/>
      <w:lang w:val="en-US" w:eastAsia="zh-CN" w:bidi="ar-SA"/>
    </w:rPr>
  </w:style>
  <w:style w:type="paragraph" w:customStyle="1" w:styleId="149">
    <w:name w:val="封面正文"/>
    <w:qFormat/>
    <w:uiPriority w:val="0"/>
    <w:pPr>
      <w:spacing w:after="160" w:line="278" w:lineRule="auto"/>
      <w:jc w:val="both"/>
    </w:pPr>
    <w:rPr>
      <w:rFonts w:ascii="Times New Roman" w:hAnsi="Times New Roman" w:eastAsia="宋体" w:cs="Times New Roman"/>
      <w:lang w:val="en-US" w:eastAsia="zh-CN" w:bidi="ar-SA"/>
    </w:rPr>
  </w:style>
  <w:style w:type="paragraph" w:customStyle="1" w:styleId="150">
    <w:name w:val="附录二级无标题条"/>
    <w:basedOn w:val="1"/>
    <w:next w:val="7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51">
    <w:name w:val="附录三级无标题条"/>
    <w:basedOn w:val="150"/>
    <w:next w:val="78"/>
    <w:qFormat/>
    <w:uiPriority w:val="0"/>
    <w:pPr>
      <w:outlineLvl w:val="4"/>
    </w:pPr>
  </w:style>
  <w:style w:type="paragraph" w:customStyle="1" w:styleId="152">
    <w:name w:val="附录四级无标题条"/>
    <w:basedOn w:val="151"/>
    <w:next w:val="78"/>
    <w:qFormat/>
    <w:uiPriority w:val="0"/>
    <w:pPr>
      <w:outlineLvl w:val="5"/>
    </w:pPr>
  </w:style>
  <w:style w:type="paragraph" w:customStyle="1" w:styleId="153">
    <w:name w:val="附录图"/>
    <w:next w:val="78"/>
    <w:qFormat/>
    <w:uiPriority w:val="0"/>
    <w:pPr>
      <w:wordWrap w:val="0"/>
      <w:overflowPunct w:val="0"/>
      <w:autoSpaceDE w:val="0"/>
      <w:spacing w:before="50" w:beforeLines="50" w:after="50" w:afterLines="50" w:line="278" w:lineRule="auto"/>
      <w:jc w:val="center"/>
      <w:textAlignment w:val="baseline"/>
      <w:outlineLvl w:val="1"/>
    </w:pPr>
    <w:rPr>
      <w:rFonts w:ascii="黑体" w:hAnsi="Times New Roman" w:eastAsia="黑体" w:cs="Times New Roman"/>
      <w:kern w:val="21"/>
      <w:sz w:val="21"/>
      <w:lang w:val="en-US" w:eastAsia="zh-CN" w:bidi="ar-SA"/>
    </w:rPr>
  </w:style>
  <w:style w:type="paragraph" w:customStyle="1" w:styleId="154">
    <w:name w:val="标准文件_一级项"/>
    <w:qFormat/>
    <w:uiPriority w:val="0"/>
    <w:pPr>
      <w:numPr>
        <w:ilvl w:val="0"/>
        <w:numId w:val="21"/>
      </w:numPr>
      <w:spacing w:after="160" w:line="278" w:lineRule="auto"/>
    </w:pPr>
    <w:rPr>
      <w:rFonts w:ascii="宋体" w:hAnsi="Times New Roman" w:eastAsia="宋体" w:cs="Times New Roman"/>
      <w:sz w:val="21"/>
      <w:lang w:val="en-US" w:eastAsia="zh-CN" w:bidi="ar-SA"/>
    </w:rPr>
  </w:style>
  <w:style w:type="paragraph" w:customStyle="1" w:styleId="155">
    <w:name w:val="附录五级无标题条"/>
    <w:basedOn w:val="152"/>
    <w:next w:val="78"/>
    <w:qFormat/>
    <w:uiPriority w:val="0"/>
    <w:pPr>
      <w:outlineLvl w:val="6"/>
    </w:pPr>
  </w:style>
  <w:style w:type="paragraph" w:customStyle="1" w:styleId="156">
    <w:name w:val="附录性质"/>
    <w:basedOn w:val="1"/>
    <w:qFormat/>
    <w:uiPriority w:val="0"/>
    <w:pPr>
      <w:widowControl/>
      <w:adjustRightInd/>
      <w:jc w:val="center"/>
    </w:pPr>
    <w:rPr>
      <w:rFonts w:ascii="黑体" w:eastAsia="黑体"/>
    </w:rPr>
  </w:style>
  <w:style w:type="paragraph" w:customStyle="1" w:styleId="157">
    <w:name w:val="附录一级无标题条"/>
    <w:basedOn w:val="109"/>
    <w:next w:val="78"/>
    <w:qFormat/>
    <w:uiPriority w:val="0"/>
    <w:pPr>
      <w:autoSpaceDN w:val="0"/>
      <w:outlineLvl w:val="2"/>
    </w:pPr>
    <w:rPr>
      <w:rFonts w:ascii="宋体" w:hAnsi="宋体" w:eastAsia="宋体"/>
    </w:rPr>
  </w:style>
  <w:style w:type="character" w:customStyle="1" w:styleId="158">
    <w:name w:val="个人答复风格"/>
    <w:qFormat/>
    <w:uiPriority w:val="0"/>
    <w:rPr>
      <w:rFonts w:ascii="Arial" w:hAnsi="Arial" w:eastAsia="宋体" w:cs="Arial"/>
      <w:color w:val="auto"/>
      <w:spacing w:val="0"/>
      <w:sz w:val="20"/>
    </w:rPr>
  </w:style>
  <w:style w:type="character" w:customStyle="1" w:styleId="159">
    <w:name w:val="个人撰写风格"/>
    <w:qFormat/>
    <w:uiPriority w:val="0"/>
    <w:rPr>
      <w:rFonts w:ascii="Arial" w:hAnsi="Arial" w:eastAsia="宋体" w:cs="Arial"/>
      <w:color w:val="auto"/>
      <w:spacing w:val="0"/>
      <w:sz w:val="20"/>
    </w:rPr>
  </w:style>
  <w:style w:type="paragraph" w:customStyle="1" w:styleId="160">
    <w:name w:val="脚注后续"/>
    <w:qFormat/>
    <w:uiPriority w:val="0"/>
    <w:pPr>
      <w:spacing w:after="160" w:line="278" w:lineRule="auto"/>
      <w:ind w:left="350" w:leftChars="350"/>
      <w:jc w:val="both"/>
    </w:pPr>
    <w:rPr>
      <w:rFonts w:ascii="宋体" w:hAnsi="Times New Roman" w:eastAsia="宋体" w:cs="Times New Roman"/>
      <w:sz w:val="18"/>
      <w:lang w:val="en-US" w:eastAsia="zh-CN" w:bidi="ar-SA"/>
    </w:rPr>
  </w:style>
  <w:style w:type="paragraph" w:customStyle="1" w:styleId="161">
    <w:name w:val="列项——"/>
    <w:qFormat/>
    <w:uiPriority w:val="0"/>
    <w:pPr>
      <w:widowControl w:val="0"/>
      <w:numPr>
        <w:ilvl w:val="0"/>
        <w:numId w:val="22"/>
      </w:numPr>
      <w:spacing w:after="160" w:line="278" w:lineRule="auto"/>
      <w:jc w:val="both"/>
    </w:pPr>
    <w:rPr>
      <w:rFonts w:ascii="宋体" w:hAnsi="宋体" w:eastAsia="宋体" w:cs="Times New Roman"/>
      <w:sz w:val="21"/>
      <w:lang w:val="en-US" w:eastAsia="zh-CN" w:bidi="ar-SA"/>
    </w:rPr>
  </w:style>
  <w:style w:type="paragraph" w:customStyle="1" w:styleId="162">
    <w:name w:val="列项·"/>
    <w:basedOn w:val="78"/>
    <w:qFormat/>
    <w:uiPriority w:val="0"/>
    <w:pPr>
      <w:tabs>
        <w:tab w:val="left" w:pos="840"/>
      </w:tabs>
    </w:pPr>
  </w:style>
  <w:style w:type="paragraph" w:customStyle="1" w:styleId="163">
    <w:name w:val="目次、索引正文"/>
    <w:qFormat/>
    <w:uiPriority w:val="0"/>
    <w:pPr>
      <w:spacing w:after="160" w:line="320" w:lineRule="exact"/>
      <w:jc w:val="both"/>
    </w:pPr>
    <w:rPr>
      <w:rFonts w:ascii="宋体" w:hAnsi="Times New Roman" w:eastAsia="宋体" w:cs="Times New Roman"/>
      <w:sz w:val="21"/>
      <w:lang w:val="en-US" w:eastAsia="zh-CN" w:bidi="ar-SA"/>
    </w:rPr>
  </w:style>
  <w:style w:type="paragraph" w:customStyle="1" w:styleId="164">
    <w:name w:val="目录 21"/>
    <w:basedOn w:val="1"/>
    <w:next w:val="1"/>
    <w:semiHidden/>
    <w:qFormat/>
    <w:uiPriority w:val="0"/>
    <w:pPr>
      <w:adjustRightInd/>
      <w:spacing w:line="240" w:lineRule="auto"/>
      <w:jc w:val="left"/>
    </w:pPr>
    <w:rPr>
      <w:bCs/>
      <w:iCs/>
    </w:rPr>
  </w:style>
  <w:style w:type="paragraph" w:customStyle="1" w:styleId="165">
    <w:name w:val="目录 31"/>
    <w:basedOn w:val="1"/>
    <w:next w:val="1"/>
    <w:semiHidden/>
    <w:qFormat/>
    <w:uiPriority w:val="0"/>
    <w:pPr>
      <w:spacing w:line="240" w:lineRule="auto"/>
    </w:pPr>
    <w:rPr>
      <w:rFonts w:ascii="宋体" w:hAnsi="宋体"/>
      <w:iCs/>
    </w:rPr>
  </w:style>
  <w:style w:type="paragraph" w:customStyle="1" w:styleId="166">
    <w:name w:val="目录 41"/>
    <w:basedOn w:val="1"/>
    <w:next w:val="1"/>
    <w:semiHidden/>
    <w:qFormat/>
    <w:uiPriority w:val="0"/>
    <w:pPr>
      <w:adjustRightInd/>
      <w:spacing w:line="240" w:lineRule="auto"/>
      <w:jc w:val="left"/>
    </w:pPr>
  </w:style>
  <w:style w:type="paragraph" w:customStyle="1" w:styleId="167">
    <w:name w:val="目录 51"/>
    <w:basedOn w:val="1"/>
    <w:next w:val="1"/>
    <w:semiHidden/>
    <w:qFormat/>
    <w:uiPriority w:val="0"/>
    <w:pPr>
      <w:spacing w:line="240" w:lineRule="auto"/>
    </w:pPr>
    <w:rPr>
      <w:rFonts w:ascii="宋体" w:hAnsi="宋体"/>
    </w:rPr>
  </w:style>
  <w:style w:type="paragraph" w:customStyle="1" w:styleId="168">
    <w:name w:val="目录 61"/>
    <w:basedOn w:val="1"/>
    <w:next w:val="1"/>
    <w:semiHidden/>
    <w:qFormat/>
    <w:uiPriority w:val="0"/>
    <w:pPr>
      <w:adjustRightInd/>
      <w:spacing w:line="240" w:lineRule="auto"/>
      <w:jc w:val="left"/>
    </w:pPr>
  </w:style>
  <w:style w:type="paragraph" w:customStyle="1" w:styleId="169">
    <w:name w:val="目录 71"/>
    <w:basedOn w:val="168"/>
    <w:semiHidden/>
    <w:qFormat/>
    <w:uiPriority w:val="0"/>
    <w:pPr>
      <w:ind w:left="1260"/>
    </w:pPr>
  </w:style>
  <w:style w:type="paragraph" w:customStyle="1" w:styleId="170">
    <w:name w:val="目录 81"/>
    <w:basedOn w:val="169"/>
    <w:semiHidden/>
    <w:qFormat/>
    <w:uiPriority w:val="0"/>
    <w:pPr>
      <w:ind w:left="1470"/>
    </w:pPr>
  </w:style>
  <w:style w:type="paragraph" w:customStyle="1" w:styleId="171">
    <w:name w:val="目录 91"/>
    <w:basedOn w:val="170"/>
    <w:semiHidden/>
    <w:qFormat/>
    <w:uiPriority w:val="0"/>
    <w:pPr>
      <w:ind w:left="1680"/>
    </w:pPr>
  </w:style>
  <w:style w:type="paragraph" w:customStyle="1" w:styleId="172">
    <w:name w:val="其他标准称谓"/>
    <w:qFormat/>
    <w:uiPriority w:val="0"/>
    <w:pPr>
      <w:spacing w:after="160" w:line="0" w:lineRule="atLeast"/>
      <w:jc w:val="distribute"/>
    </w:pPr>
    <w:rPr>
      <w:rFonts w:ascii="黑体" w:hAnsi="宋体" w:eastAsia="黑体" w:cs="Times New Roman"/>
      <w:sz w:val="52"/>
      <w:lang w:val="en-US" w:eastAsia="zh-CN" w:bidi="ar-SA"/>
    </w:rPr>
  </w:style>
  <w:style w:type="paragraph" w:customStyle="1" w:styleId="173">
    <w:name w:val="其他发布部门"/>
    <w:basedOn w:val="141"/>
    <w:qFormat/>
    <w:uiPriority w:val="0"/>
    <w:pPr>
      <w:framePr w:wrap="around"/>
      <w:spacing w:line="0" w:lineRule="atLeast"/>
    </w:pPr>
    <w:rPr>
      <w:rFonts w:ascii="黑体" w:eastAsia="黑体"/>
      <w:b w:val="0"/>
    </w:rPr>
  </w:style>
  <w:style w:type="paragraph" w:customStyle="1" w:styleId="174">
    <w:name w:val="前言标题"/>
    <w:next w:val="1"/>
    <w:qFormat/>
    <w:uiPriority w:val="0"/>
    <w:pPr>
      <w:numPr>
        <w:ilvl w:val="0"/>
        <w:numId w:val="2"/>
      </w:numPr>
      <w:shd w:val="clear" w:color="FFFFFF" w:fill="FFFFFF"/>
      <w:spacing w:before="540" w:after="600" w:line="278" w:lineRule="auto"/>
      <w:jc w:val="center"/>
      <w:outlineLvl w:val="0"/>
    </w:pPr>
    <w:rPr>
      <w:rFonts w:ascii="黑体" w:hAnsi="Times New Roman" w:eastAsia="黑体" w:cs="Times New Roman"/>
      <w:sz w:val="32"/>
      <w:lang w:val="en-US" w:eastAsia="zh-CN" w:bidi="ar-SA"/>
    </w:rPr>
  </w:style>
  <w:style w:type="paragraph" w:customStyle="1" w:styleId="17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76">
    <w:name w:val="实施日期"/>
    <w:basedOn w:val="142"/>
    <w:qFormat/>
    <w:uiPriority w:val="0"/>
    <w:pPr>
      <w:framePr w:hSpace="0" w:wrap="around" w:xAlign="right"/>
      <w:jc w:val="right"/>
    </w:pPr>
  </w:style>
  <w:style w:type="paragraph" w:customStyle="1" w:styleId="17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78">
    <w:name w:val="文献分类号"/>
    <w:qFormat/>
    <w:uiPriority w:val="0"/>
    <w:pPr>
      <w:framePr w:hSpace="180" w:vSpace="180" w:wrap="around" w:vAnchor="margin" w:hAnchor="margin" w:y="1" w:anchorLock="1"/>
      <w:widowControl w:val="0"/>
      <w:spacing w:after="160" w:line="278" w:lineRule="auto"/>
      <w:textAlignment w:val="center"/>
    </w:pPr>
    <w:rPr>
      <w:rFonts w:ascii="Times New Roman" w:hAnsi="Times New Roman" w:eastAsia="黑体" w:cs="Times New Roman"/>
      <w:sz w:val="21"/>
      <w:lang w:val="en-US" w:eastAsia="zh-CN" w:bidi="ar-SA"/>
    </w:rPr>
  </w:style>
  <w:style w:type="paragraph" w:customStyle="1" w:styleId="179">
    <w:name w:val="无标题条"/>
    <w:next w:val="78"/>
    <w:qFormat/>
    <w:uiPriority w:val="0"/>
    <w:pPr>
      <w:spacing w:after="160" w:line="278" w:lineRule="auto"/>
      <w:jc w:val="both"/>
    </w:pPr>
    <w:rPr>
      <w:rFonts w:ascii="宋体" w:hAnsi="宋体" w:eastAsia="宋体" w:cs="Times New Roman"/>
      <w:sz w:val="21"/>
      <w:lang w:val="en-US" w:eastAsia="zh-CN" w:bidi="ar-SA"/>
    </w:rPr>
  </w:style>
  <w:style w:type="paragraph" w:customStyle="1" w:styleId="180">
    <w:name w:val="五级无标题条"/>
    <w:basedOn w:val="1"/>
    <w:qFormat/>
    <w:uiPriority w:val="0"/>
    <w:pPr>
      <w:numPr>
        <w:ilvl w:val="6"/>
        <w:numId w:val="20"/>
      </w:numPr>
      <w:adjustRightInd/>
    </w:pPr>
    <w:rPr>
      <w:szCs w:val="24"/>
    </w:rPr>
  </w:style>
  <w:style w:type="paragraph" w:customStyle="1" w:styleId="18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82">
    <w:name w:val="注:后续"/>
    <w:qFormat/>
    <w:uiPriority w:val="0"/>
    <w:pPr>
      <w:spacing w:after="160"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83">
    <w:name w:val="注×:后续"/>
    <w:basedOn w:val="182"/>
    <w:qFormat/>
    <w:uiPriority w:val="0"/>
    <w:pPr>
      <w:ind w:left="1406" w:leftChars="0" w:hanging="499" w:firstLineChars="0"/>
    </w:pPr>
  </w:style>
  <w:style w:type="paragraph" w:customStyle="1" w:styleId="184">
    <w:name w:val="标准文件_一级无标题"/>
    <w:basedOn w:val="127"/>
    <w:qFormat/>
    <w:uiPriority w:val="0"/>
    <w:pPr>
      <w:spacing w:before="0" w:beforeLines="0" w:after="0" w:afterLines="0"/>
      <w:outlineLvl w:val="9"/>
    </w:pPr>
    <w:rPr>
      <w:rFonts w:ascii="宋体" w:eastAsia="宋体"/>
    </w:rPr>
  </w:style>
  <w:style w:type="paragraph" w:customStyle="1" w:styleId="185">
    <w:name w:val="标准文件_五级无标题"/>
    <w:basedOn w:val="125"/>
    <w:qFormat/>
    <w:uiPriority w:val="0"/>
    <w:pPr>
      <w:spacing w:before="0" w:beforeLines="0" w:after="0" w:afterLines="0"/>
      <w:outlineLvl w:val="9"/>
    </w:pPr>
    <w:rPr>
      <w:rFonts w:ascii="宋体" w:eastAsia="宋体"/>
    </w:rPr>
  </w:style>
  <w:style w:type="paragraph" w:customStyle="1" w:styleId="186">
    <w:name w:val="标准文件_三级无标题"/>
    <w:basedOn w:val="116"/>
    <w:qFormat/>
    <w:uiPriority w:val="0"/>
    <w:pPr>
      <w:spacing w:before="0" w:beforeLines="0" w:after="0" w:afterLines="0"/>
      <w:outlineLvl w:val="9"/>
    </w:pPr>
    <w:rPr>
      <w:rFonts w:ascii="宋体" w:eastAsia="宋体"/>
    </w:rPr>
  </w:style>
  <w:style w:type="paragraph" w:customStyle="1" w:styleId="187">
    <w:name w:val="标准文件_二级无标题"/>
    <w:basedOn w:val="87"/>
    <w:qFormat/>
    <w:uiPriority w:val="0"/>
    <w:pPr>
      <w:spacing w:before="0" w:beforeLines="0" w:after="0" w:afterLines="0"/>
      <w:outlineLvl w:val="9"/>
    </w:pPr>
    <w:rPr>
      <w:rFonts w:ascii="宋体" w:eastAsia="宋体"/>
    </w:rPr>
  </w:style>
  <w:style w:type="paragraph" w:customStyle="1" w:styleId="188">
    <w:name w:val="标准_四级无标题"/>
    <w:basedOn w:val="120"/>
    <w:next w:val="78"/>
    <w:qFormat/>
    <w:uiPriority w:val="0"/>
    <w:rPr>
      <w:rFonts w:eastAsia="宋体"/>
    </w:rPr>
  </w:style>
  <w:style w:type="paragraph" w:customStyle="1" w:styleId="189">
    <w:name w:val="标准文件_四级无标题"/>
    <w:basedOn w:val="120"/>
    <w:qFormat/>
    <w:uiPriority w:val="0"/>
    <w:pPr>
      <w:spacing w:before="0" w:beforeLines="0" w:after="0" w:afterLines="0"/>
      <w:outlineLvl w:val="9"/>
    </w:pPr>
    <w:rPr>
      <w:rFonts w:ascii="宋体" w:hAnsi="黑体" w:eastAsia="宋体"/>
      <w:szCs w:val="52"/>
    </w:rPr>
  </w:style>
  <w:style w:type="paragraph" w:customStyle="1" w:styleId="190">
    <w:name w:val="标准文件_大写罗马数字编号列项"/>
    <w:basedOn w:val="78"/>
    <w:qFormat/>
    <w:uiPriority w:val="0"/>
    <w:pPr>
      <w:numPr>
        <w:ilvl w:val="0"/>
        <w:numId w:val="23"/>
      </w:numPr>
      <w:ind w:firstLine="0" w:firstLineChars="0"/>
    </w:pPr>
    <w:rPr>
      <w:rFonts w:ascii="Times New Roman" w:cs="Arial"/>
      <w:szCs w:val="28"/>
    </w:rPr>
  </w:style>
  <w:style w:type="paragraph" w:customStyle="1" w:styleId="191">
    <w:name w:val="标准文件_小写罗马数字编号列项"/>
    <w:basedOn w:val="78"/>
    <w:qFormat/>
    <w:uiPriority w:val="0"/>
    <w:pPr>
      <w:numPr>
        <w:ilvl w:val="0"/>
        <w:numId w:val="24"/>
      </w:numPr>
      <w:ind w:firstLine="0" w:firstLineChars="0"/>
    </w:pPr>
    <w:rPr>
      <w:rFonts w:cs="Arial"/>
      <w:szCs w:val="28"/>
    </w:rPr>
  </w:style>
  <w:style w:type="paragraph" w:customStyle="1" w:styleId="192">
    <w:name w:val="标准文件_附录标题"/>
    <w:basedOn w:val="98"/>
    <w:qFormat/>
    <w:uiPriority w:val="0"/>
    <w:pPr>
      <w:numPr>
        <w:numId w:val="0"/>
      </w:numPr>
      <w:spacing w:after="280"/>
      <w:outlineLvl w:val="9"/>
    </w:pPr>
  </w:style>
  <w:style w:type="paragraph" w:customStyle="1" w:styleId="193">
    <w:name w:val="标准文件_二级项"/>
    <w:qFormat/>
    <w:uiPriority w:val="0"/>
    <w:pPr>
      <w:spacing w:after="160" w:line="278" w:lineRule="auto"/>
    </w:pPr>
    <w:rPr>
      <w:rFonts w:ascii="宋体" w:hAnsi="Times New Roman" w:eastAsia="宋体" w:cs="Times New Roman"/>
      <w:sz w:val="21"/>
      <w:lang w:val="en-US" w:eastAsia="zh-CN" w:bidi="ar-SA"/>
    </w:rPr>
  </w:style>
  <w:style w:type="paragraph" w:customStyle="1" w:styleId="194">
    <w:name w:val="标准文件_三级项"/>
    <w:basedOn w:val="1"/>
    <w:qFormat/>
    <w:uiPriority w:val="0"/>
    <w:pPr>
      <w:numPr>
        <w:ilvl w:val="2"/>
        <w:numId w:val="21"/>
      </w:numPr>
      <w:spacing w:line="536870612" w:lineRule="auto"/>
    </w:pPr>
    <w:rPr>
      <w:rFonts w:ascii="Times New Roman" w:hAnsi="Times New Roman"/>
    </w:rPr>
  </w:style>
  <w:style w:type="paragraph" w:customStyle="1" w:styleId="195">
    <w:name w:val="图表脚注说明"/>
    <w:basedOn w:val="1"/>
    <w:next w:val="78"/>
    <w:qFormat/>
    <w:uiPriority w:val="0"/>
    <w:pPr>
      <w:numPr>
        <w:ilvl w:val="0"/>
        <w:numId w:val="25"/>
      </w:numPr>
      <w:adjustRightInd/>
      <w:spacing w:line="240" w:lineRule="auto"/>
    </w:pPr>
    <w:rPr>
      <w:rFonts w:ascii="宋体" w:hAnsi="Times New Roman"/>
      <w:sz w:val="18"/>
      <w:szCs w:val="18"/>
    </w:rPr>
  </w:style>
  <w:style w:type="paragraph" w:customStyle="1" w:styleId="196">
    <w:name w:val="标准文件_字母编号列项（一级）"/>
    <w:qFormat/>
    <w:uiPriority w:val="0"/>
    <w:pPr>
      <w:tabs>
        <w:tab w:val="left" w:pos="851"/>
      </w:tabs>
      <w:spacing w:after="160" w:line="278" w:lineRule="auto"/>
      <w:jc w:val="both"/>
    </w:pPr>
    <w:rPr>
      <w:rFonts w:ascii="宋体" w:hAnsi="Times New Roman" w:eastAsia="宋体" w:cs="Times New Roman"/>
      <w:sz w:val="21"/>
      <w:lang w:val="en-US" w:eastAsia="zh-CN" w:bidi="ar-SA"/>
    </w:rPr>
  </w:style>
  <w:style w:type="paragraph" w:customStyle="1" w:styleId="197">
    <w:name w:val="标准文件_索引字母"/>
    <w:next w:val="78"/>
    <w:qFormat/>
    <w:uiPriority w:val="0"/>
    <w:pPr>
      <w:spacing w:after="160" w:line="278" w:lineRule="auto"/>
      <w:jc w:val="center"/>
    </w:pPr>
    <w:rPr>
      <w:rFonts w:ascii="宋体" w:hAnsi="宋体" w:eastAsia="Times New Roman" w:cs="Times New Roman"/>
      <w:b/>
      <w:kern w:val="2"/>
      <w:sz w:val="21"/>
      <w:lang w:val="en-US" w:eastAsia="zh-CN" w:bidi="ar-SA"/>
    </w:rPr>
  </w:style>
  <w:style w:type="paragraph" w:customStyle="1" w:styleId="198">
    <w:name w:val="标准文件_附录前"/>
    <w:next w:val="78"/>
    <w:qFormat/>
    <w:uiPriority w:val="0"/>
    <w:pPr>
      <w:spacing w:after="160" w:line="20" w:lineRule="atLeast"/>
      <w:ind w:firstLine="200"/>
    </w:pPr>
    <w:rPr>
      <w:rFonts w:ascii="宋体" w:hAnsi="宋体" w:eastAsia="宋体" w:cs="Times New Roman"/>
      <w:kern w:val="2"/>
      <w:sz w:val="10"/>
      <w:lang w:val="en-US" w:eastAsia="zh-CN" w:bidi="ar-SA"/>
    </w:rPr>
  </w:style>
  <w:style w:type="paragraph" w:customStyle="1" w:styleId="19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200">
    <w:name w:val="标准文件_表格"/>
    <w:basedOn w:val="78"/>
    <w:qFormat/>
    <w:uiPriority w:val="0"/>
    <w:pPr>
      <w:ind w:firstLine="0" w:firstLineChars="0"/>
      <w:jc w:val="center"/>
    </w:pPr>
    <w:rPr>
      <w:sz w:val="18"/>
    </w:rPr>
  </w:style>
  <w:style w:type="paragraph" w:customStyle="1" w:styleId="201">
    <w:name w:val="标准文件_注："/>
    <w:next w:val="78"/>
    <w:qFormat/>
    <w:uiPriority w:val="0"/>
    <w:pPr>
      <w:widowControl w:val="0"/>
      <w:numPr>
        <w:ilvl w:val="0"/>
        <w:numId w:val="26"/>
      </w:numPr>
      <w:autoSpaceDE w:val="0"/>
      <w:autoSpaceDN w:val="0"/>
      <w:spacing w:after="160" w:line="278" w:lineRule="auto"/>
      <w:jc w:val="both"/>
    </w:pPr>
    <w:rPr>
      <w:rFonts w:ascii="宋体" w:hAnsi="Times New Roman" w:eastAsia="宋体" w:cs="Times New Roman"/>
      <w:sz w:val="18"/>
      <w:szCs w:val="18"/>
      <w:lang w:val="en-US" w:eastAsia="zh-CN" w:bidi="ar-SA"/>
    </w:rPr>
  </w:style>
  <w:style w:type="paragraph" w:customStyle="1" w:styleId="202">
    <w:name w:val="标准文件_注×："/>
    <w:qFormat/>
    <w:uiPriority w:val="0"/>
    <w:pPr>
      <w:widowControl w:val="0"/>
      <w:numPr>
        <w:ilvl w:val="0"/>
        <w:numId w:val="27"/>
      </w:numPr>
      <w:autoSpaceDE w:val="0"/>
      <w:autoSpaceDN w:val="0"/>
      <w:spacing w:after="160" w:line="278" w:lineRule="auto"/>
      <w:jc w:val="both"/>
    </w:pPr>
    <w:rPr>
      <w:rFonts w:ascii="宋体" w:hAnsi="Times New Roman" w:eastAsia="宋体" w:cs="Times New Roman"/>
      <w:sz w:val="18"/>
      <w:szCs w:val="18"/>
      <w:lang w:val="en-US" w:eastAsia="zh-CN" w:bidi="ar-SA"/>
    </w:rPr>
  </w:style>
  <w:style w:type="paragraph" w:customStyle="1" w:styleId="203">
    <w:name w:val="标准文件_示例："/>
    <w:next w:val="204"/>
    <w:qFormat/>
    <w:uiPriority w:val="0"/>
    <w:pPr>
      <w:widowControl w:val="0"/>
      <w:numPr>
        <w:ilvl w:val="0"/>
        <w:numId w:val="28"/>
      </w:numPr>
      <w:spacing w:after="160" w:line="278" w:lineRule="auto"/>
      <w:jc w:val="both"/>
    </w:pPr>
    <w:rPr>
      <w:rFonts w:ascii="宋体" w:hAnsi="Times New Roman" w:eastAsia="宋体" w:cs="Times New Roman"/>
      <w:sz w:val="18"/>
      <w:szCs w:val="18"/>
      <w:lang w:val="en-US" w:eastAsia="zh-CN" w:bidi="ar-SA"/>
    </w:rPr>
  </w:style>
  <w:style w:type="paragraph" w:customStyle="1" w:styleId="204">
    <w:name w:val="标准文件_示例内容"/>
    <w:basedOn w:val="78"/>
    <w:qFormat/>
    <w:uiPriority w:val="0"/>
    <w:pPr>
      <w:ind w:firstLine="420"/>
    </w:pPr>
    <w:rPr>
      <w:sz w:val="18"/>
    </w:rPr>
  </w:style>
  <w:style w:type="paragraph" w:customStyle="1" w:styleId="205">
    <w:name w:val="标准文件_示例×："/>
    <w:basedOn w:val="1"/>
    <w:next w:val="20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206">
    <w:name w:val="标准文件_段 Char"/>
    <w:link w:val="78"/>
    <w:qFormat/>
    <w:uiPriority w:val="0"/>
    <w:rPr>
      <w:rFonts w:ascii="宋体" w:hAnsi="Times New Roman"/>
      <w:sz w:val="21"/>
    </w:rPr>
  </w:style>
  <w:style w:type="paragraph" w:customStyle="1" w:styleId="207">
    <w:name w:val="标准文件_表格续"/>
    <w:basedOn w:val="78"/>
    <w:next w:val="78"/>
    <w:qFormat/>
    <w:uiPriority w:val="0"/>
    <w:pPr>
      <w:jc w:val="center"/>
    </w:pPr>
    <w:rPr>
      <w:rFonts w:ascii="黑体" w:hAnsi="黑体" w:eastAsia="黑体"/>
    </w:rPr>
  </w:style>
  <w:style w:type="character" w:styleId="208">
    <w:name w:val="Placeholder Text"/>
    <w:basedOn w:val="40"/>
    <w:semiHidden/>
    <w:qFormat/>
    <w:uiPriority w:val="99"/>
    <w:rPr>
      <w:color w:val="808080"/>
    </w:rPr>
  </w:style>
  <w:style w:type="paragraph" w:customStyle="1" w:styleId="209">
    <w:name w:val="标准文件_二级项2"/>
    <w:basedOn w:val="78"/>
    <w:qFormat/>
    <w:uiPriority w:val="0"/>
    <w:pPr>
      <w:numPr>
        <w:ilvl w:val="1"/>
        <w:numId w:val="21"/>
      </w:numPr>
      <w:ind w:firstLine="0" w:firstLineChars="0"/>
    </w:pPr>
  </w:style>
  <w:style w:type="paragraph" w:customStyle="1" w:styleId="210">
    <w:name w:val="标准文件_三级项2"/>
    <w:basedOn w:val="78"/>
    <w:qFormat/>
    <w:uiPriority w:val="0"/>
    <w:pPr>
      <w:numPr>
        <w:ilvl w:val="0"/>
        <w:numId w:val="30"/>
      </w:numPr>
      <w:spacing w:line="300" w:lineRule="exact"/>
      <w:ind w:firstLineChars="0"/>
    </w:pPr>
    <w:rPr>
      <w:rFonts w:ascii="Times New Roman"/>
    </w:rPr>
  </w:style>
  <w:style w:type="paragraph" w:customStyle="1" w:styleId="211">
    <w:name w:val="标准文件_一级项2"/>
    <w:basedOn w:val="78"/>
    <w:qFormat/>
    <w:uiPriority w:val="0"/>
    <w:pPr>
      <w:numPr>
        <w:ilvl w:val="0"/>
        <w:numId w:val="31"/>
      </w:numPr>
      <w:spacing w:line="300" w:lineRule="exact"/>
      <w:ind w:firstLineChars="0"/>
    </w:pPr>
    <w:rPr>
      <w:rFonts w:ascii="Times New Roman"/>
    </w:rPr>
  </w:style>
  <w:style w:type="paragraph" w:customStyle="1" w:styleId="212">
    <w:name w:val="标准文件_提示"/>
    <w:basedOn w:val="78"/>
    <w:next w:val="78"/>
    <w:qFormat/>
    <w:uiPriority w:val="0"/>
    <w:pPr>
      <w:ind w:firstLine="420"/>
    </w:pPr>
    <w:rPr>
      <w:rFonts w:ascii="黑体" w:eastAsia="黑体"/>
    </w:rPr>
  </w:style>
  <w:style w:type="character" w:customStyle="1" w:styleId="213">
    <w:name w:val="标准文件_来源"/>
    <w:basedOn w:val="40"/>
    <w:qFormat/>
    <w:uiPriority w:val="1"/>
    <w:rPr>
      <w:rFonts w:eastAsia="宋体"/>
      <w:sz w:val="21"/>
    </w:rPr>
  </w:style>
  <w:style w:type="paragraph" w:customStyle="1" w:styleId="214">
    <w:name w:val="标准文件_图表说明"/>
    <w:qFormat/>
    <w:uiPriority w:val="0"/>
    <w:pPr>
      <w:spacing w:after="160" w:line="276" w:lineRule="auto"/>
      <w:ind w:firstLine="420"/>
    </w:pPr>
    <w:rPr>
      <w:rFonts w:ascii="宋体" w:hAnsi="宋体" w:eastAsia="宋体" w:cs="Times New Roman"/>
      <w:kern w:val="2"/>
      <w:sz w:val="18"/>
      <w:lang w:val="en-US" w:eastAsia="zh-CN" w:bidi="ar-SA"/>
    </w:rPr>
  </w:style>
  <w:style w:type="paragraph" w:customStyle="1" w:styleId="215">
    <w:name w:val="其他发布日期"/>
    <w:basedOn w:val="142"/>
    <w:qFormat/>
    <w:uiPriority w:val="0"/>
    <w:pPr>
      <w:framePr w:w="3997" w:h="471" w:hRule="exact" w:hSpace="0" w:vSpace="181" w:wrap="around" w:vAnchor="page" w:hAnchor="page" w:x="1419" w:y="14097"/>
    </w:pPr>
  </w:style>
  <w:style w:type="paragraph" w:customStyle="1" w:styleId="216">
    <w:name w:val="其他实施日期"/>
    <w:basedOn w:val="176"/>
    <w:qFormat/>
    <w:uiPriority w:val="0"/>
    <w:pPr>
      <w:framePr w:w="3997" w:h="471" w:hRule="exact" w:vSpace="181" w:wrap="around" w:vAnchor="page" w:hAnchor="page" w:x="7089" w:y="14097"/>
    </w:pPr>
  </w:style>
  <w:style w:type="paragraph" w:customStyle="1" w:styleId="217">
    <w:name w:val="标准文件_文件编号"/>
    <w:basedOn w:val="7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18">
    <w:name w:val="标准文件_替换文件编号"/>
    <w:basedOn w:val="217"/>
    <w:qFormat/>
    <w:uiPriority w:val="0"/>
    <w:pPr>
      <w:framePr w:wrap="around"/>
      <w:spacing w:before="57"/>
    </w:pPr>
    <w:rPr>
      <w:sz w:val="21"/>
    </w:rPr>
  </w:style>
  <w:style w:type="paragraph" w:customStyle="1" w:styleId="219">
    <w:name w:val="标准文件_文件名称"/>
    <w:basedOn w:val="78"/>
    <w:next w:val="7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20">
    <w:name w:val="标准文件_附录图标号"/>
    <w:basedOn w:val="78"/>
    <w:next w:val="7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21">
    <w:name w:val="标准文件_附录表标号"/>
    <w:basedOn w:val="78"/>
    <w:next w:val="78"/>
    <w:qFormat/>
    <w:uiPriority w:val="0"/>
    <w:pPr>
      <w:numPr>
        <w:ilvl w:val="0"/>
        <w:numId w:val="5"/>
      </w:numPr>
      <w:spacing w:line="14" w:lineRule="exact"/>
      <w:ind w:firstLine="0" w:firstLineChars="0"/>
      <w:jc w:val="center"/>
    </w:pPr>
    <w:rPr>
      <w:rFonts w:eastAsia="黑体"/>
      <w:vanish/>
      <w:sz w:val="2"/>
    </w:rPr>
  </w:style>
  <w:style w:type="paragraph" w:customStyle="1" w:styleId="222">
    <w:name w:val="标准文件_引言一级条标题"/>
    <w:basedOn w:val="78"/>
    <w:next w:val="78"/>
    <w:qFormat/>
    <w:uiPriority w:val="0"/>
    <w:pPr>
      <w:numPr>
        <w:ilvl w:val="1"/>
        <w:numId w:val="8"/>
      </w:numPr>
      <w:spacing w:before="50" w:beforeLines="50" w:after="50" w:afterLines="50"/>
      <w:ind w:firstLineChars="0"/>
    </w:pPr>
    <w:rPr>
      <w:rFonts w:ascii="黑体" w:eastAsia="黑体"/>
    </w:rPr>
  </w:style>
  <w:style w:type="paragraph" w:customStyle="1" w:styleId="223">
    <w:name w:val="标准文件_引言二级条标题"/>
    <w:basedOn w:val="78"/>
    <w:next w:val="78"/>
    <w:qFormat/>
    <w:uiPriority w:val="0"/>
    <w:pPr>
      <w:numPr>
        <w:ilvl w:val="2"/>
        <w:numId w:val="8"/>
      </w:numPr>
      <w:spacing w:before="50" w:beforeLines="50" w:after="50" w:afterLines="50"/>
      <w:ind w:firstLineChars="0"/>
    </w:pPr>
    <w:rPr>
      <w:rFonts w:ascii="黑体" w:eastAsia="黑体"/>
    </w:rPr>
  </w:style>
  <w:style w:type="paragraph" w:customStyle="1" w:styleId="224">
    <w:name w:val="标准文件_引言三级条标题"/>
    <w:basedOn w:val="78"/>
    <w:next w:val="78"/>
    <w:qFormat/>
    <w:uiPriority w:val="0"/>
    <w:pPr>
      <w:numPr>
        <w:ilvl w:val="3"/>
        <w:numId w:val="8"/>
      </w:numPr>
      <w:spacing w:before="50" w:beforeLines="50" w:after="50" w:afterLines="50"/>
      <w:ind w:firstLineChars="0"/>
    </w:pPr>
    <w:rPr>
      <w:rFonts w:ascii="黑体" w:eastAsia="黑体"/>
    </w:rPr>
  </w:style>
  <w:style w:type="paragraph" w:customStyle="1" w:styleId="225">
    <w:name w:val="标准文件_引言四级条标题"/>
    <w:basedOn w:val="78"/>
    <w:next w:val="78"/>
    <w:qFormat/>
    <w:uiPriority w:val="0"/>
    <w:pPr>
      <w:numPr>
        <w:ilvl w:val="4"/>
        <w:numId w:val="8"/>
      </w:numPr>
      <w:spacing w:before="50" w:beforeLines="50" w:after="50" w:afterLines="50"/>
      <w:ind w:firstLineChars="0"/>
    </w:pPr>
    <w:rPr>
      <w:rFonts w:ascii="黑体" w:eastAsia="黑体"/>
    </w:rPr>
  </w:style>
  <w:style w:type="paragraph" w:customStyle="1" w:styleId="226">
    <w:name w:val="标准文件_引言五级条标题"/>
    <w:basedOn w:val="78"/>
    <w:next w:val="78"/>
    <w:qFormat/>
    <w:uiPriority w:val="0"/>
    <w:pPr>
      <w:numPr>
        <w:ilvl w:val="5"/>
        <w:numId w:val="8"/>
      </w:numPr>
      <w:spacing w:before="50" w:beforeLines="50" w:after="50" w:afterLines="50"/>
      <w:ind w:firstLineChars="0"/>
    </w:pPr>
    <w:rPr>
      <w:rFonts w:ascii="黑体" w:eastAsia="黑体"/>
    </w:rPr>
  </w:style>
  <w:style w:type="paragraph" w:customStyle="1" w:styleId="227">
    <w:name w:val="标准文件_注后"/>
    <w:basedOn w:val="78"/>
    <w:qFormat/>
    <w:uiPriority w:val="0"/>
    <w:pPr>
      <w:ind w:left="811" w:firstLine="0" w:firstLineChars="0"/>
    </w:pPr>
    <w:rPr>
      <w:sz w:val="18"/>
    </w:rPr>
  </w:style>
  <w:style w:type="paragraph" w:customStyle="1" w:styleId="228">
    <w:name w:val="标准文件_注X后"/>
    <w:basedOn w:val="78"/>
    <w:qFormat/>
    <w:uiPriority w:val="0"/>
    <w:pPr>
      <w:ind w:left="811" w:firstLine="0" w:firstLineChars="0"/>
    </w:pPr>
    <w:rPr>
      <w:sz w:val="18"/>
    </w:rPr>
  </w:style>
  <w:style w:type="paragraph" w:customStyle="1" w:styleId="229">
    <w:name w:val="标准文件_示例后"/>
    <w:basedOn w:val="78"/>
    <w:qFormat/>
    <w:uiPriority w:val="0"/>
    <w:pPr>
      <w:ind w:left="964" w:firstLine="0" w:firstLineChars="0"/>
    </w:pPr>
    <w:rPr>
      <w:sz w:val="18"/>
    </w:rPr>
  </w:style>
  <w:style w:type="paragraph" w:customStyle="1" w:styleId="230">
    <w:name w:val="标准文件_示例X后"/>
    <w:basedOn w:val="78"/>
    <w:link w:val="231"/>
    <w:qFormat/>
    <w:uiPriority w:val="0"/>
    <w:pPr>
      <w:ind w:left="1049" w:firstLine="0" w:firstLineChars="0"/>
    </w:pPr>
    <w:rPr>
      <w:sz w:val="18"/>
    </w:rPr>
  </w:style>
  <w:style w:type="character" w:customStyle="1" w:styleId="231">
    <w:name w:val="标准文件_示例X后 字符"/>
    <w:basedOn w:val="206"/>
    <w:link w:val="230"/>
    <w:qFormat/>
    <w:uiPriority w:val="0"/>
    <w:rPr>
      <w:rFonts w:ascii="宋体" w:hAnsi="Times New Roman"/>
      <w:sz w:val="18"/>
    </w:rPr>
  </w:style>
  <w:style w:type="paragraph" w:customStyle="1" w:styleId="232">
    <w:name w:val="标准文件_索引项"/>
    <w:basedOn w:val="78"/>
    <w:next w:val="78"/>
    <w:qFormat/>
    <w:uiPriority w:val="0"/>
    <w:pPr>
      <w:tabs>
        <w:tab w:val="right" w:leader="dot" w:pos="9356"/>
      </w:tabs>
      <w:ind w:left="210" w:hanging="210" w:firstLineChars="0"/>
      <w:jc w:val="left"/>
    </w:pPr>
  </w:style>
  <w:style w:type="paragraph" w:customStyle="1" w:styleId="233">
    <w:name w:val="标准文件_附录一级无标题"/>
    <w:basedOn w:val="100"/>
    <w:qFormat/>
    <w:uiPriority w:val="0"/>
    <w:pPr>
      <w:spacing w:before="0" w:beforeLines="0" w:after="0" w:afterLines="0" w:line="276" w:lineRule="auto"/>
      <w:outlineLvl w:val="9"/>
    </w:pPr>
    <w:rPr>
      <w:rFonts w:ascii="宋体" w:eastAsia="宋体"/>
    </w:rPr>
  </w:style>
  <w:style w:type="paragraph" w:customStyle="1" w:styleId="234">
    <w:name w:val="标准文件_附录二级无标题"/>
    <w:basedOn w:val="101"/>
    <w:qFormat/>
    <w:uiPriority w:val="0"/>
    <w:pPr>
      <w:spacing w:before="0" w:beforeLines="0" w:after="0" w:afterLines="0" w:line="276" w:lineRule="auto"/>
      <w:outlineLvl w:val="9"/>
    </w:pPr>
    <w:rPr>
      <w:rFonts w:ascii="宋体" w:eastAsia="宋体"/>
    </w:rPr>
  </w:style>
  <w:style w:type="paragraph" w:customStyle="1" w:styleId="235">
    <w:name w:val="标准文件_附录三级无标题"/>
    <w:basedOn w:val="103"/>
    <w:qFormat/>
    <w:uiPriority w:val="0"/>
    <w:pPr>
      <w:spacing w:before="0" w:beforeLines="0" w:after="0" w:afterLines="0" w:line="276" w:lineRule="auto"/>
      <w:outlineLvl w:val="9"/>
    </w:pPr>
    <w:rPr>
      <w:rFonts w:ascii="宋体" w:eastAsia="宋体"/>
    </w:rPr>
  </w:style>
  <w:style w:type="paragraph" w:customStyle="1" w:styleId="236">
    <w:name w:val="标准文件_附录四级无标题"/>
    <w:basedOn w:val="104"/>
    <w:qFormat/>
    <w:uiPriority w:val="0"/>
    <w:pPr>
      <w:spacing w:before="0" w:beforeLines="0" w:after="0" w:afterLines="0" w:line="276" w:lineRule="auto"/>
      <w:outlineLvl w:val="9"/>
    </w:pPr>
    <w:rPr>
      <w:rFonts w:ascii="宋体" w:eastAsia="宋体"/>
    </w:rPr>
  </w:style>
  <w:style w:type="paragraph" w:customStyle="1" w:styleId="237">
    <w:name w:val="标准文件_附录五级无标题"/>
    <w:basedOn w:val="106"/>
    <w:qFormat/>
    <w:uiPriority w:val="0"/>
    <w:pPr>
      <w:spacing w:before="0" w:beforeLines="0" w:after="0" w:afterLines="0" w:line="276" w:lineRule="auto"/>
      <w:outlineLvl w:val="9"/>
    </w:pPr>
    <w:rPr>
      <w:rFonts w:ascii="宋体" w:eastAsia="宋体"/>
    </w:rPr>
  </w:style>
  <w:style w:type="paragraph" w:customStyle="1" w:styleId="238">
    <w:name w:val="标准文件_引言一级无标题"/>
    <w:basedOn w:val="222"/>
    <w:next w:val="78"/>
    <w:qFormat/>
    <w:uiPriority w:val="0"/>
    <w:pPr>
      <w:spacing w:before="0" w:beforeLines="0" w:after="0" w:afterLines="0" w:line="276" w:lineRule="auto"/>
    </w:pPr>
    <w:rPr>
      <w:rFonts w:ascii="宋体" w:eastAsia="宋体"/>
    </w:rPr>
  </w:style>
  <w:style w:type="paragraph" w:customStyle="1" w:styleId="239">
    <w:name w:val="标准文件_引言二级无标题"/>
    <w:basedOn w:val="223"/>
    <w:next w:val="78"/>
    <w:qFormat/>
    <w:uiPriority w:val="0"/>
    <w:pPr>
      <w:spacing w:before="0" w:beforeLines="0" w:after="0" w:afterLines="0" w:line="276" w:lineRule="auto"/>
    </w:pPr>
    <w:rPr>
      <w:rFonts w:ascii="宋体" w:eastAsia="宋体"/>
    </w:rPr>
  </w:style>
  <w:style w:type="paragraph" w:customStyle="1" w:styleId="240">
    <w:name w:val="标准文件_引言三级无标题"/>
    <w:basedOn w:val="224"/>
    <w:qFormat/>
    <w:uiPriority w:val="0"/>
    <w:pPr>
      <w:spacing w:before="0" w:beforeLines="0" w:after="0" w:afterLines="0" w:line="276" w:lineRule="auto"/>
    </w:pPr>
    <w:rPr>
      <w:rFonts w:ascii="宋体" w:eastAsia="宋体"/>
    </w:rPr>
  </w:style>
  <w:style w:type="paragraph" w:customStyle="1" w:styleId="241">
    <w:name w:val="标准文件_引言四级无标题"/>
    <w:basedOn w:val="225"/>
    <w:next w:val="78"/>
    <w:qFormat/>
    <w:uiPriority w:val="0"/>
    <w:pPr>
      <w:spacing w:before="0" w:beforeLines="0" w:after="0" w:afterLines="0" w:line="276" w:lineRule="auto"/>
    </w:pPr>
    <w:rPr>
      <w:rFonts w:ascii="宋体" w:eastAsia="宋体"/>
    </w:rPr>
  </w:style>
  <w:style w:type="paragraph" w:customStyle="1" w:styleId="242">
    <w:name w:val="标准文件_引言五级无标题"/>
    <w:basedOn w:val="226"/>
    <w:next w:val="78"/>
    <w:qFormat/>
    <w:uiPriority w:val="0"/>
    <w:pPr>
      <w:spacing w:before="0" w:beforeLines="0" w:after="0" w:afterLines="0" w:line="276" w:lineRule="auto"/>
    </w:pPr>
    <w:rPr>
      <w:rFonts w:ascii="宋体" w:eastAsia="宋体"/>
    </w:rPr>
  </w:style>
  <w:style w:type="paragraph" w:customStyle="1" w:styleId="243">
    <w:name w:val="标准文件_索引标题"/>
    <w:basedOn w:val="85"/>
    <w:next w:val="78"/>
    <w:qFormat/>
    <w:uiPriority w:val="0"/>
    <w:rPr>
      <w:rFonts w:hAnsi="黑体"/>
    </w:rPr>
  </w:style>
  <w:style w:type="paragraph" w:customStyle="1" w:styleId="244">
    <w:name w:val="标准文件_脚注内容"/>
    <w:basedOn w:val="78"/>
    <w:qFormat/>
    <w:uiPriority w:val="0"/>
    <w:pPr>
      <w:ind w:left="400" w:leftChars="200" w:hanging="200" w:hangingChars="200"/>
    </w:pPr>
    <w:rPr>
      <w:sz w:val="15"/>
    </w:rPr>
  </w:style>
  <w:style w:type="paragraph" w:customStyle="1" w:styleId="245">
    <w:name w:val="标准文件_术语条一"/>
    <w:basedOn w:val="184"/>
    <w:next w:val="78"/>
    <w:qFormat/>
    <w:uiPriority w:val="0"/>
    <w:pPr>
      <w:ind w:left="993"/>
    </w:pPr>
  </w:style>
  <w:style w:type="paragraph" w:customStyle="1" w:styleId="246">
    <w:name w:val="标准文件_术语条二"/>
    <w:basedOn w:val="187"/>
    <w:next w:val="78"/>
    <w:qFormat/>
    <w:uiPriority w:val="0"/>
  </w:style>
  <w:style w:type="paragraph" w:customStyle="1" w:styleId="247">
    <w:name w:val="标准文件_术语条三"/>
    <w:basedOn w:val="186"/>
    <w:next w:val="78"/>
    <w:qFormat/>
    <w:uiPriority w:val="0"/>
  </w:style>
  <w:style w:type="paragraph" w:customStyle="1" w:styleId="248">
    <w:name w:val="标准文件_术语条四"/>
    <w:basedOn w:val="189"/>
    <w:next w:val="78"/>
    <w:qFormat/>
    <w:uiPriority w:val="0"/>
  </w:style>
  <w:style w:type="paragraph" w:customStyle="1" w:styleId="249">
    <w:name w:val="标准文件_术语条五"/>
    <w:basedOn w:val="185"/>
    <w:next w:val="78"/>
    <w:qFormat/>
    <w:uiPriority w:val="0"/>
  </w:style>
  <w:style w:type="paragraph" w:customStyle="1" w:styleId="250">
    <w:name w:val="Default"/>
    <w:qFormat/>
    <w:uiPriority w:val="99"/>
    <w:pPr>
      <w:widowControl w:val="0"/>
      <w:autoSpaceDE w:val="0"/>
      <w:autoSpaceDN w:val="0"/>
      <w:adjustRightInd w:val="0"/>
      <w:spacing w:after="160" w:line="278" w:lineRule="auto"/>
    </w:pPr>
    <w:rPr>
      <w:rFonts w:ascii="宋体" w:hAnsi="Calibri" w:eastAsia="宋体" w:cs="宋体"/>
      <w:color w:val="000000"/>
      <w:sz w:val="24"/>
      <w:szCs w:val="24"/>
      <w:lang w:val="en-US" w:eastAsia="zh-CN" w:bidi="ar-SA"/>
    </w:rPr>
  </w:style>
  <w:style w:type="character" w:customStyle="1" w:styleId="251">
    <w:name w:val="发布"/>
    <w:basedOn w:val="40"/>
    <w:qFormat/>
    <w:uiPriority w:val="0"/>
    <w:rPr>
      <w:rFonts w:ascii="黑体" w:eastAsia="黑体"/>
      <w:spacing w:val="85"/>
      <w:w w:val="100"/>
      <w:position w:val="3"/>
      <w:sz w:val="28"/>
      <w:szCs w:val="28"/>
    </w:rPr>
  </w:style>
  <w:style w:type="character" w:customStyle="1" w:styleId="252">
    <w:name w:val="批注文字 字符"/>
    <w:basedOn w:val="40"/>
    <w:link w:val="14"/>
    <w:qFormat/>
    <w:uiPriority w:val="99"/>
    <w:rPr>
      <w:rFonts w:ascii="Times New Roman" w:hAnsi="Times New Roman"/>
      <w:kern w:val="2"/>
      <w:sz w:val="21"/>
      <w:szCs w:val="24"/>
    </w:rPr>
  </w:style>
  <w:style w:type="character" w:customStyle="1" w:styleId="253">
    <w:name w:val="样式1 Char Char"/>
    <w:link w:val="55"/>
    <w:qFormat/>
    <w:uiPriority w:val="0"/>
    <w:rPr>
      <w:kern w:val="2"/>
      <w:sz w:val="21"/>
      <w:szCs w:val="24"/>
    </w:rPr>
  </w:style>
  <w:style w:type="paragraph" w:customStyle="1" w:styleId="254">
    <w:name w:val="表头"/>
    <w:basedOn w:val="1"/>
    <w:link w:val="255"/>
    <w:qFormat/>
    <w:uiPriority w:val="0"/>
    <w:pPr>
      <w:tabs>
        <w:tab w:val="center" w:pos="4706"/>
        <w:tab w:val="right" w:pos="9214"/>
      </w:tabs>
      <w:topLinePunct/>
      <w:adjustRightInd/>
      <w:spacing w:before="160" w:after="60" w:line="312" w:lineRule="exact"/>
      <w:jc w:val="center"/>
    </w:pPr>
    <w:rPr>
      <w:rFonts w:ascii="EU-F1" w:hAnsi="Times New Roman" w:eastAsia="黑体"/>
    </w:rPr>
  </w:style>
  <w:style w:type="character" w:customStyle="1" w:styleId="255">
    <w:name w:val="表头 Char"/>
    <w:link w:val="254"/>
    <w:qFormat/>
    <w:locked/>
    <w:uiPriority w:val="0"/>
    <w:rPr>
      <w:rFonts w:ascii="EU-F1" w:hAnsi="Times New Roman" w:eastAsia="黑体"/>
      <w:kern w:val="2"/>
      <w:sz w:val="21"/>
      <w:szCs w:val="21"/>
    </w:rPr>
  </w:style>
  <w:style w:type="character" w:customStyle="1" w:styleId="256">
    <w:name w:val="文档结构图 字符"/>
    <w:basedOn w:val="40"/>
    <w:link w:val="13"/>
    <w:qFormat/>
    <w:uiPriority w:val="0"/>
    <w:rPr>
      <w:rFonts w:ascii="宋体" w:hAnsi="Times New Roman"/>
      <w:kern w:val="2"/>
      <w:sz w:val="18"/>
      <w:szCs w:val="18"/>
    </w:rPr>
  </w:style>
  <w:style w:type="character" w:customStyle="1" w:styleId="257">
    <w:name w:val="正文文本缩进 字符"/>
    <w:basedOn w:val="40"/>
    <w:link w:val="16"/>
    <w:qFormat/>
    <w:uiPriority w:val="99"/>
    <w:rPr>
      <w:kern w:val="2"/>
      <w:sz w:val="21"/>
      <w:szCs w:val="24"/>
    </w:rPr>
  </w:style>
  <w:style w:type="character" w:customStyle="1" w:styleId="258">
    <w:name w:val="纯文本 字符"/>
    <w:basedOn w:val="40"/>
    <w:link w:val="19"/>
    <w:qFormat/>
    <w:uiPriority w:val="0"/>
    <w:rPr>
      <w:rFonts w:ascii="宋体" w:hAnsi="Courier New"/>
      <w:kern w:val="2"/>
      <w:sz w:val="21"/>
      <w:szCs w:val="21"/>
    </w:rPr>
  </w:style>
  <w:style w:type="character" w:customStyle="1" w:styleId="259">
    <w:name w:val="日期 字符"/>
    <w:basedOn w:val="40"/>
    <w:link w:val="21"/>
    <w:qFormat/>
    <w:uiPriority w:val="0"/>
    <w:rPr>
      <w:rFonts w:ascii="Times New Roman" w:hAnsi="Times New Roman"/>
      <w:kern w:val="2"/>
      <w:sz w:val="21"/>
      <w:szCs w:val="24"/>
    </w:rPr>
  </w:style>
  <w:style w:type="character" w:customStyle="1" w:styleId="260">
    <w:name w:val="正文文本缩进 2 字符"/>
    <w:basedOn w:val="40"/>
    <w:link w:val="22"/>
    <w:qFormat/>
    <w:uiPriority w:val="0"/>
    <w:rPr>
      <w:kern w:val="2"/>
      <w:sz w:val="21"/>
    </w:rPr>
  </w:style>
  <w:style w:type="character" w:customStyle="1" w:styleId="261">
    <w:name w:val="正文文本缩进 3 字符"/>
    <w:basedOn w:val="40"/>
    <w:link w:val="30"/>
    <w:qFormat/>
    <w:uiPriority w:val="0"/>
    <w:rPr>
      <w:rFonts w:ascii="宋体" w:hAnsi="宋体"/>
      <w:kern w:val="2"/>
      <w:sz w:val="24"/>
      <w:szCs w:val="24"/>
    </w:rPr>
  </w:style>
  <w:style w:type="character" w:customStyle="1" w:styleId="262">
    <w:name w:val="批注主题 字符"/>
    <w:basedOn w:val="252"/>
    <w:link w:val="36"/>
    <w:qFormat/>
    <w:uiPriority w:val="0"/>
    <w:rPr>
      <w:rFonts w:ascii="Times New Roman" w:hAnsi="Times New Roman"/>
      <w:b/>
      <w:bCs/>
      <w:kern w:val="2"/>
      <w:sz w:val="21"/>
      <w:szCs w:val="24"/>
    </w:rPr>
  </w:style>
  <w:style w:type="character" w:customStyle="1" w:styleId="263">
    <w:name w:val="正文文本首行缩进 2 字符"/>
    <w:basedOn w:val="257"/>
    <w:link w:val="37"/>
    <w:qFormat/>
    <w:uiPriority w:val="0"/>
    <w:rPr>
      <w:rFonts w:ascii="黑体" w:hAnsi="黑体" w:eastAsia="黑体" w:cs="黑体"/>
      <w:kern w:val="2"/>
      <w:sz w:val="32"/>
      <w:szCs w:val="32"/>
    </w:rPr>
  </w:style>
  <w:style w:type="character" w:customStyle="1" w:styleId="264">
    <w:name w:val="fontborder"/>
    <w:qFormat/>
    <w:uiPriority w:val="0"/>
    <w:rPr>
      <w:bdr w:val="single" w:color="000000" w:sz="4" w:space="0"/>
    </w:rPr>
  </w:style>
  <w:style w:type="character" w:customStyle="1" w:styleId="265">
    <w:name w:val="解释 Char"/>
    <w:link w:val="266"/>
    <w:qFormat/>
    <w:uiPriority w:val="0"/>
    <w:rPr>
      <w:rFonts w:ascii="楷体_GB2312" w:hAnsi="楷体" w:eastAsia="楷体_GB2312"/>
      <w:kern w:val="2"/>
      <w:sz w:val="18"/>
      <w:szCs w:val="18"/>
      <w:lang w:val="zh-CN"/>
    </w:rPr>
  </w:style>
  <w:style w:type="paragraph" w:customStyle="1" w:styleId="266">
    <w:name w:val="解释"/>
    <w:basedOn w:val="267"/>
    <w:link w:val="265"/>
    <w:qFormat/>
    <w:uiPriority w:val="0"/>
    <w:pPr>
      <w:adjustRightInd w:val="0"/>
      <w:snapToGrid w:val="0"/>
      <w:spacing w:line="360" w:lineRule="exact"/>
    </w:pPr>
  </w:style>
  <w:style w:type="paragraph" w:customStyle="1" w:styleId="267">
    <w:name w:val="p0"/>
    <w:basedOn w:val="1"/>
    <w:qFormat/>
    <w:uiPriority w:val="0"/>
    <w:pPr>
      <w:widowControl/>
      <w:adjustRightInd/>
      <w:spacing w:line="380" w:lineRule="exact"/>
      <w:ind w:left="2485" w:hanging="360"/>
      <w:jc w:val="left"/>
    </w:pPr>
    <w:rPr>
      <w:rFonts w:ascii="楷体_GB2312" w:hAnsi="楷体" w:eastAsia="楷体_GB2312"/>
      <w:sz w:val="18"/>
      <w:szCs w:val="18"/>
      <w:lang w:val="zh-CN"/>
    </w:rPr>
  </w:style>
  <w:style w:type="character" w:customStyle="1" w:styleId="268">
    <w:name w:val="fontstrikethrough"/>
    <w:qFormat/>
    <w:uiPriority w:val="0"/>
    <w:rPr>
      <w:strike/>
    </w:rPr>
  </w:style>
  <w:style w:type="character" w:customStyle="1" w:styleId="269">
    <w:name w:val="表中文字 Char"/>
    <w:link w:val="270"/>
    <w:qFormat/>
    <w:uiPriority w:val="0"/>
    <w:rPr>
      <w:rFonts w:ascii="宋体" w:hAnsi="宋体" w:cs="宋体"/>
      <w:kern w:val="2"/>
      <w:sz w:val="18"/>
      <w:szCs w:val="18"/>
    </w:rPr>
  </w:style>
  <w:style w:type="paragraph" w:customStyle="1" w:styleId="270">
    <w:name w:val="表中文字"/>
    <w:basedOn w:val="1"/>
    <w:link w:val="269"/>
    <w:qFormat/>
    <w:uiPriority w:val="0"/>
    <w:pPr>
      <w:widowControl/>
      <w:tabs>
        <w:tab w:val="left" w:pos="600"/>
      </w:tabs>
      <w:adjustRightInd/>
      <w:spacing w:line="240" w:lineRule="auto"/>
    </w:pPr>
    <w:rPr>
      <w:rFonts w:ascii="宋体" w:hAnsi="宋体" w:cs="宋体"/>
      <w:sz w:val="18"/>
      <w:szCs w:val="18"/>
    </w:rPr>
  </w:style>
  <w:style w:type="paragraph" w:customStyle="1" w:styleId="271">
    <w:name w:val="列出段落1"/>
    <w:basedOn w:val="1"/>
    <w:qFormat/>
    <w:uiPriority w:val="34"/>
    <w:pPr>
      <w:adjustRightInd/>
      <w:spacing w:line="240" w:lineRule="auto"/>
      <w:ind w:firstLine="420" w:firstLineChars="200"/>
    </w:pPr>
    <w:rPr>
      <w:szCs w:val="24"/>
    </w:rPr>
  </w:style>
  <w:style w:type="paragraph" w:customStyle="1" w:styleId="272">
    <w:name w:val="列出段落111"/>
    <w:basedOn w:val="1"/>
    <w:qFormat/>
    <w:uiPriority w:val="34"/>
    <w:pPr>
      <w:adjustRightInd/>
      <w:spacing w:line="240" w:lineRule="auto"/>
      <w:ind w:firstLine="420" w:firstLineChars="200"/>
    </w:pPr>
    <w:rPr>
      <w:szCs w:val="24"/>
    </w:rPr>
  </w:style>
  <w:style w:type="paragraph" w:customStyle="1" w:styleId="273">
    <w:name w:val="章编号和标题 Char"/>
    <w:basedOn w:val="1"/>
    <w:qFormat/>
    <w:uiPriority w:val="0"/>
    <w:pPr>
      <w:adjustRightInd/>
      <w:spacing w:line="240" w:lineRule="auto"/>
    </w:pPr>
    <w:rPr>
      <w:szCs w:val="22"/>
    </w:rPr>
  </w:style>
  <w:style w:type="paragraph" w:customStyle="1" w:styleId="274">
    <w:name w:val="列出段落11"/>
    <w:basedOn w:val="1"/>
    <w:qFormat/>
    <w:uiPriority w:val="99"/>
    <w:pPr>
      <w:adjustRightInd/>
      <w:spacing w:line="240" w:lineRule="auto"/>
      <w:ind w:firstLine="420" w:firstLineChars="200"/>
    </w:pPr>
    <w:rPr>
      <w:szCs w:val="24"/>
    </w:rPr>
  </w:style>
  <w:style w:type="paragraph" w:customStyle="1" w:styleId="275">
    <w:name w:val="正文 A"/>
    <w:qFormat/>
    <w:uiPriority w:val="0"/>
    <w:pPr>
      <w:widowControl w:val="0"/>
      <w:spacing w:after="160" w:line="278" w:lineRule="auto"/>
      <w:jc w:val="both"/>
    </w:pPr>
    <w:rPr>
      <w:rFonts w:ascii="Calibri" w:hAnsi="Calibri" w:eastAsia="Calibri" w:cs="Calibri"/>
      <w:color w:val="000000"/>
      <w:kern w:val="2"/>
      <w:sz w:val="21"/>
      <w:szCs w:val="21"/>
      <w:lang w:val="en-US" w:eastAsia="zh-CN" w:bidi="ar-SA"/>
    </w:rPr>
  </w:style>
  <w:style w:type="paragraph" w:customStyle="1" w:styleId="276">
    <w:name w:val="列出段落2"/>
    <w:basedOn w:val="1"/>
    <w:qFormat/>
    <w:uiPriority w:val="34"/>
    <w:pPr>
      <w:adjustRightInd/>
      <w:spacing w:line="240" w:lineRule="auto"/>
      <w:ind w:firstLine="420" w:firstLineChars="200"/>
    </w:pPr>
    <w:rPr>
      <w:szCs w:val="22"/>
    </w:rPr>
  </w:style>
  <w:style w:type="paragraph" w:customStyle="1" w:styleId="277">
    <w:name w:val="正文首行缩进 Char Char Char"/>
    <w:basedOn w:val="1"/>
    <w:qFormat/>
    <w:uiPriority w:val="0"/>
    <w:pPr>
      <w:tabs>
        <w:tab w:val="left" w:pos="720"/>
      </w:tabs>
      <w:adjustRightInd/>
      <w:spacing w:line="240" w:lineRule="auto"/>
      <w:ind w:left="720" w:hanging="720"/>
    </w:pPr>
    <w:rPr>
      <w:szCs w:val="22"/>
    </w:rPr>
  </w:style>
  <w:style w:type="paragraph" w:customStyle="1" w:styleId="278">
    <w:name w:val="无间隔1"/>
    <w:qFormat/>
    <w:uiPriority w:val="99"/>
    <w:pPr>
      <w:widowControl w:val="0"/>
      <w:spacing w:after="160" w:line="278" w:lineRule="auto"/>
      <w:jc w:val="both"/>
    </w:pPr>
    <w:rPr>
      <w:rFonts w:ascii="Calibri" w:hAnsi="Calibri" w:eastAsia="宋体" w:cs="Times New Roman"/>
      <w:kern w:val="2"/>
      <w:sz w:val="21"/>
      <w:szCs w:val="24"/>
      <w:lang w:val="en-US" w:eastAsia="zh-CN" w:bidi="ar-SA"/>
    </w:rPr>
  </w:style>
  <w:style w:type="paragraph" w:customStyle="1" w:styleId="279">
    <w:name w:val="列出段落3"/>
    <w:basedOn w:val="1"/>
    <w:qFormat/>
    <w:uiPriority w:val="34"/>
    <w:pPr>
      <w:adjustRightInd/>
      <w:spacing w:line="240" w:lineRule="auto"/>
      <w:ind w:firstLine="420" w:firstLineChars="200"/>
    </w:pPr>
    <w:rPr>
      <w:szCs w:val="24"/>
    </w:rPr>
  </w:style>
  <w:style w:type="paragraph" w:customStyle="1" w:styleId="280">
    <w:name w:val="修订1"/>
    <w:hidden/>
    <w:semiHidden/>
    <w:qFormat/>
    <w:uiPriority w:val="99"/>
    <w:pPr>
      <w:spacing w:after="160" w:line="278" w:lineRule="auto"/>
    </w:pPr>
    <w:rPr>
      <w:rFonts w:ascii="Calibri" w:hAnsi="Calibri" w:eastAsia="宋体" w:cs="Times New Roman"/>
      <w:kern w:val="2"/>
      <w:sz w:val="21"/>
      <w:szCs w:val="24"/>
      <w:lang w:val="en-US" w:eastAsia="zh-CN" w:bidi="ar-SA"/>
    </w:rPr>
  </w:style>
  <w:style w:type="paragraph" w:customStyle="1" w:styleId="281">
    <w:name w:val="修订2"/>
    <w:hidden/>
    <w:unhideWhenUsed/>
    <w:qFormat/>
    <w:uiPriority w:val="99"/>
    <w:pPr>
      <w:spacing w:after="160" w:line="278" w:lineRule="auto"/>
    </w:pPr>
    <w:rPr>
      <w:rFonts w:ascii="Calibri" w:hAnsi="Calibri" w:eastAsia="宋体" w:cs="Times New Roman"/>
      <w:kern w:val="2"/>
      <w:sz w:val="21"/>
      <w:szCs w:val="24"/>
      <w:lang w:val="en-US" w:eastAsia="zh-CN" w:bidi="ar-SA"/>
    </w:rPr>
  </w:style>
  <w:style w:type="paragraph" w:customStyle="1" w:styleId="282">
    <w:name w:val="WPSOffice手动目录 1"/>
    <w:qFormat/>
    <w:uiPriority w:val="0"/>
    <w:pPr>
      <w:spacing w:after="160" w:line="278" w:lineRule="auto"/>
    </w:pPr>
    <w:rPr>
      <w:rFonts w:ascii="Times New Roman" w:hAnsi="Times New Roman" w:eastAsia="宋体" w:cs="Times New Roman"/>
      <w:lang w:val="en-US" w:eastAsia="zh-CN" w:bidi="ar-SA"/>
    </w:rPr>
  </w:style>
  <w:style w:type="paragraph" w:customStyle="1" w:styleId="283">
    <w:name w:val="修订3"/>
    <w:hidden/>
    <w:unhideWhenUsed/>
    <w:qFormat/>
    <w:uiPriority w:val="99"/>
    <w:pPr>
      <w:spacing w:after="160" w:line="278" w:lineRule="auto"/>
    </w:pPr>
    <w:rPr>
      <w:rFonts w:ascii="Calibri" w:hAnsi="Calibri" w:eastAsia="宋体" w:cs="Times New Roman"/>
      <w:kern w:val="2"/>
      <w:sz w:val="21"/>
      <w:szCs w:val="24"/>
      <w:lang w:val="en-US" w:eastAsia="zh-CN" w:bidi="ar-SA"/>
    </w:rPr>
  </w:style>
  <w:style w:type="paragraph" w:customStyle="1" w:styleId="284">
    <w:name w:val="修订31"/>
    <w:unhideWhenUsed/>
    <w:qFormat/>
    <w:uiPriority w:val="99"/>
    <w:pPr>
      <w:spacing w:after="160" w:line="278" w:lineRule="auto"/>
    </w:pPr>
    <w:rPr>
      <w:rFonts w:ascii="Calibri" w:hAnsi="Calibri" w:eastAsia="宋体" w:cs="Times New Roman"/>
      <w:kern w:val="2"/>
      <w:sz w:val="21"/>
      <w:szCs w:val="24"/>
      <w:lang w:val="en-US" w:eastAsia="zh-CN" w:bidi="ar-SA"/>
    </w:rPr>
  </w:style>
  <w:style w:type="character" w:customStyle="1" w:styleId="285">
    <w:name w:val="sp2"/>
    <w:basedOn w:val="40"/>
    <w:qFormat/>
    <w:uiPriority w:val="0"/>
  </w:style>
  <w:style w:type="character" w:customStyle="1" w:styleId="286">
    <w:name w:val="sp21"/>
    <w:basedOn w:val="40"/>
    <w:qFormat/>
    <w:uiPriority w:val="0"/>
  </w:style>
  <w:style w:type="paragraph" w:customStyle="1" w:styleId="287">
    <w:name w:val="修订4"/>
    <w:hidden/>
    <w:unhideWhenUsed/>
    <w:qFormat/>
    <w:uiPriority w:val="99"/>
    <w:pPr>
      <w:spacing w:after="160" w:line="278" w:lineRule="auto"/>
    </w:pPr>
    <w:rPr>
      <w:rFonts w:ascii="Calibri" w:hAnsi="Calibri" w:eastAsia="宋体" w:cs="Times New Roman"/>
      <w:kern w:val="2"/>
      <w:sz w:val="21"/>
      <w:szCs w:val="24"/>
      <w:lang w:val="en-US" w:eastAsia="zh-CN" w:bidi="ar-SA"/>
    </w:rPr>
  </w:style>
  <w:style w:type="paragraph" w:styleId="288">
    <w:name w:val="List Paragraph"/>
    <w:basedOn w:val="1"/>
    <w:unhideWhenUsed/>
    <w:qFormat/>
    <w:uiPriority w:val="1"/>
    <w:pPr>
      <w:adjustRightInd/>
      <w:spacing w:line="240" w:lineRule="auto"/>
      <w:ind w:firstLine="420" w:firstLineChars="200"/>
    </w:pPr>
    <w:rPr>
      <w:szCs w:val="24"/>
    </w:rPr>
  </w:style>
  <w:style w:type="table" w:customStyle="1" w:styleId="289">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90">
    <w:name w:val="Table Paragraph"/>
    <w:basedOn w:val="1"/>
    <w:qFormat/>
    <w:uiPriority w:val="1"/>
    <w:pPr>
      <w:autoSpaceDE w:val="0"/>
      <w:autoSpaceDN w:val="0"/>
      <w:adjustRightInd/>
      <w:spacing w:before="50" w:line="240" w:lineRule="auto"/>
      <w:ind w:left="413" w:right="389"/>
      <w:jc w:val="left"/>
    </w:pPr>
    <w:rPr>
      <w:rFonts w:ascii="宋体" w:hAnsi="宋体" w:cs="宋体"/>
      <w:kern w:val="0"/>
      <w:sz w:val="22"/>
      <w:szCs w:val="22"/>
      <w:lang w:eastAsia="en-US"/>
    </w:rPr>
  </w:style>
  <w:style w:type="paragraph" w:customStyle="1" w:styleId="291">
    <w:name w:val="TOC 标题1"/>
    <w:basedOn w:val="2"/>
    <w:next w:val="1"/>
    <w:unhideWhenUsed/>
    <w:qFormat/>
    <w:uiPriority w:val="39"/>
    <w:pPr>
      <w:widowControl/>
      <w:adjustRightInd/>
      <w:spacing w:before="240" w:after="0" w:line="259" w:lineRule="auto"/>
      <w:jc w:val="center"/>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292">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293">
    <w:name w:val="Table Text"/>
    <w:basedOn w:val="1"/>
    <w:qFormat/>
    <w:uiPriority w:val="0"/>
    <w:rPr>
      <w:rFonts w:hint="eastAsia" w:ascii="宋体" w:hAnsi="宋体"/>
      <w:sz w:val="18"/>
      <w:szCs w:val="18"/>
    </w:rPr>
  </w:style>
  <w:style w:type="paragraph" w:customStyle="1" w:styleId="294">
    <w:name w:val="TOC 标题2"/>
    <w:basedOn w:val="2"/>
    <w:next w:val="1"/>
    <w:unhideWhenUsed/>
    <w:qFormat/>
    <w:uiPriority w:val="39"/>
    <w:pPr>
      <w:widowControl/>
      <w:adjustRightInd/>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295">
    <w:name w:val="样式3"/>
    <w:basedOn w:val="1"/>
    <w:qFormat/>
    <w:uiPriority w:val="0"/>
    <w:pPr>
      <w:keepNext/>
      <w:keepLines/>
      <w:topLinePunct/>
      <w:adjustRightInd/>
      <w:spacing w:line="312" w:lineRule="exact"/>
    </w:pPr>
    <w:rPr>
      <w:rFonts w:ascii="EU-F1" w:hAnsi="Times New Roman" w:eastAsia="黑体"/>
    </w:rPr>
  </w:style>
  <w:style w:type="paragraph" w:customStyle="1" w:styleId="296">
    <w:name w:val="修订5"/>
    <w:hidden/>
    <w:unhideWhenUsed/>
    <w:qFormat/>
    <w:uiPriority w:val="99"/>
    <w:pPr>
      <w:spacing w:after="160" w:line="278" w:lineRule="auto"/>
    </w:pPr>
    <w:rPr>
      <w:rFonts w:ascii="Calibri" w:hAnsi="Calibri" w:eastAsia="宋体" w:cs="Times New Roman"/>
      <w:kern w:val="2"/>
      <w:sz w:val="21"/>
      <w:szCs w:val="24"/>
      <w:lang w:val="en-US" w:eastAsia="zh-CN" w:bidi="ar-SA"/>
    </w:rPr>
  </w:style>
  <w:style w:type="paragraph" w:customStyle="1" w:styleId="297">
    <w:name w:val="修订6"/>
    <w:hidden/>
    <w:unhideWhenUsed/>
    <w:qFormat/>
    <w:uiPriority w:val="99"/>
    <w:pPr>
      <w:spacing w:after="160" w:line="278" w:lineRule="auto"/>
    </w:pPr>
    <w:rPr>
      <w:rFonts w:ascii="Calibri" w:hAnsi="Calibri" w:eastAsia="宋体" w:cs="Times New Roman"/>
      <w:kern w:val="2"/>
      <w:sz w:val="21"/>
      <w:szCs w:val="24"/>
      <w:lang w:val="en-US" w:eastAsia="zh-CN" w:bidi="ar-SA"/>
    </w:rPr>
  </w:style>
  <w:style w:type="table" w:customStyle="1" w:styleId="298">
    <w:name w:val="网格型4"/>
    <w:basedOn w:val="3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网格型1"/>
    <w:basedOn w:val="38"/>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0">
    <w:name w:val="修订7"/>
    <w:hidden/>
    <w:unhideWhenUsed/>
    <w:qFormat/>
    <w:uiPriority w:val="99"/>
    <w:pPr>
      <w:spacing w:after="160" w:line="278" w:lineRule="auto"/>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A8B4E53FFDE42688B6350DDA1905DA3"/>
        <w:style w:val=""/>
        <w:category>
          <w:name w:val="常规"/>
          <w:gallery w:val="placeholder"/>
        </w:category>
        <w:types>
          <w:type w:val="bbPlcHdr"/>
        </w:types>
        <w:behaviors>
          <w:behavior w:val="content"/>
        </w:behaviors>
        <w:description w:val=""/>
        <w:guid w:val="{071518EE-675C-413F-8ADC-65D64A92D7BB}"/>
      </w:docPartPr>
      <w:docPartBody>
        <w:p w14:paraId="3AF497F7">
          <w:pPr>
            <w:pStyle w:val="5"/>
            <w:rPr>
              <w:rFonts w:hint="eastAsia"/>
            </w:rPr>
          </w:pPr>
          <w:r>
            <w:rPr>
              <w:rStyle w:val="4"/>
              <w:rFonts w:hint="eastAsia"/>
            </w:rPr>
            <w:t>单击或点击此处输入文字。</w:t>
          </w:r>
        </w:p>
      </w:docPartBody>
    </w:docPart>
    <w:docPart>
      <w:docPartPr>
        <w:name w:val="D5F7AADE5BB745B5A7BE32F684B4BDD8"/>
        <w:style w:val=""/>
        <w:category>
          <w:name w:val="常规"/>
          <w:gallery w:val="placeholder"/>
        </w:category>
        <w:types>
          <w:type w:val="bbPlcHdr"/>
        </w:types>
        <w:behaviors>
          <w:behavior w:val="content"/>
        </w:behaviors>
        <w:description w:val=""/>
        <w:guid w:val="{B22DF17B-3E11-4A3D-8D24-9C000FE5F3C3}"/>
      </w:docPartPr>
      <w:docPartBody>
        <w:p w14:paraId="327E5F75">
          <w:pPr>
            <w:pStyle w:val="6"/>
            <w:rPr>
              <w:rFonts w:hint="eastAsia"/>
            </w:rPr>
          </w:pPr>
          <w:r>
            <w:rPr>
              <w:rStyle w:val="4"/>
              <w:rFonts w:hint="eastAsia"/>
            </w:rPr>
            <w:t>选择一项。</w:t>
          </w:r>
        </w:p>
      </w:docPartBody>
    </w:docPart>
    <w:docPart>
      <w:docPartPr>
        <w:name w:val="48BF37026A304D108E9FBB0E25F148C8"/>
        <w:style w:val=""/>
        <w:category>
          <w:name w:val="常规"/>
          <w:gallery w:val="placeholder"/>
        </w:category>
        <w:types>
          <w:type w:val="bbPlcHdr"/>
        </w:types>
        <w:behaviors>
          <w:behavior w:val="content"/>
        </w:behaviors>
        <w:description w:val=""/>
        <w:guid w:val="{C9539159-B60F-4892-85BD-A5FC51B804A5}"/>
      </w:docPartPr>
      <w:docPartBody>
        <w:p w14:paraId="23A24055">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283"/>
    <w:rsid w:val="00043238"/>
    <w:rsid w:val="0004415F"/>
    <w:rsid w:val="00096018"/>
    <w:rsid w:val="000D282F"/>
    <w:rsid w:val="000E1332"/>
    <w:rsid w:val="000F0A33"/>
    <w:rsid w:val="001078A0"/>
    <w:rsid w:val="001B11C1"/>
    <w:rsid w:val="001D2E10"/>
    <w:rsid w:val="00247600"/>
    <w:rsid w:val="00284605"/>
    <w:rsid w:val="002D2F34"/>
    <w:rsid w:val="002E0B8B"/>
    <w:rsid w:val="002E5646"/>
    <w:rsid w:val="003242D4"/>
    <w:rsid w:val="00325607"/>
    <w:rsid w:val="0033331B"/>
    <w:rsid w:val="00360ED3"/>
    <w:rsid w:val="00384436"/>
    <w:rsid w:val="00397B39"/>
    <w:rsid w:val="004B626F"/>
    <w:rsid w:val="004C6731"/>
    <w:rsid w:val="004D7978"/>
    <w:rsid w:val="00554C86"/>
    <w:rsid w:val="00575006"/>
    <w:rsid w:val="00581B97"/>
    <w:rsid w:val="00585040"/>
    <w:rsid w:val="00594EF3"/>
    <w:rsid w:val="005B059D"/>
    <w:rsid w:val="005B294A"/>
    <w:rsid w:val="005C4368"/>
    <w:rsid w:val="005E2DC6"/>
    <w:rsid w:val="006340ED"/>
    <w:rsid w:val="00646FE0"/>
    <w:rsid w:val="006B571D"/>
    <w:rsid w:val="006C4283"/>
    <w:rsid w:val="006E6B97"/>
    <w:rsid w:val="0073704A"/>
    <w:rsid w:val="007D2359"/>
    <w:rsid w:val="007D6B14"/>
    <w:rsid w:val="008205A2"/>
    <w:rsid w:val="008703E2"/>
    <w:rsid w:val="008A788C"/>
    <w:rsid w:val="008B67CC"/>
    <w:rsid w:val="008D2E17"/>
    <w:rsid w:val="008E1362"/>
    <w:rsid w:val="0094696E"/>
    <w:rsid w:val="00963039"/>
    <w:rsid w:val="0097080D"/>
    <w:rsid w:val="009A3EB3"/>
    <w:rsid w:val="009C2FBA"/>
    <w:rsid w:val="009D20C4"/>
    <w:rsid w:val="00A35B7B"/>
    <w:rsid w:val="00A67CEE"/>
    <w:rsid w:val="00AF1F1B"/>
    <w:rsid w:val="00B53A7E"/>
    <w:rsid w:val="00C26044"/>
    <w:rsid w:val="00C3400C"/>
    <w:rsid w:val="00C70F2A"/>
    <w:rsid w:val="00C727BD"/>
    <w:rsid w:val="00CF4D26"/>
    <w:rsid w:val="00D74137"/>
    <w:rsid w:val="00DD7AFC"/>
    <w:rsid w:val="00E111E5"/>
    <w:rsid w:val="00E1490C"/>
    <w:rsid w:val="00E849ED"/>
    <w:rsid w:val="00EB0782"/>
    <w:rsid w:val="00F23EF5"/>
    <w:rsid w:val="00F42D73"/>
    <w:rsid w:val="00F45132"/>
    <w:rsid w:val="00F54FBC"/>
    <w:rsid w:val="00FA78B9"/>
    <w:rsid w:val="00FF66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A8B4E53FFDE42688B6350DDA1905DA3"/>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D5F7AADE5BB745B5A7BE32F684B4BDD8"/>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48BF37026A304D108E9FBB0E25F148C8"/>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755D8D-C7C3-4921-B11D-B7DE72918AF4}">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23</Pages>
  <Words>15039</Words>
  <Characters>16230</Characters>
  <Lines>601</Lines>
  <Paragraphs>765</Paragraphs>
  <TotalTime>404</TotalTime>
  <ScaleCrop>false</ScaleCrop>
  <LinksUpToDate>false</LinksUpToDate>
  <CharactersWithSpaces>16522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2025-05-07T03:23:00Z</dcterms:created>
  <dc:creator>赵奕州</dc:creator>
  <cp:lastModifiedBy>16555</cp:lastModifiedBy>
  <cp:lastPrinted>2025-03-20T13:55:00Z</cp:lastPrinted>
  <dcterms:modified xsi:type="dcterms:W3CDTF">2025-05-16T08:28:50Z</dcterms:modified>
  <dc:title>团体标准</dc:title>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08AC367F84F943DEA5251C0CA791C8EA_12</vt:lpwstr>
  </property>
  <property fmtid="{D5CDD505-2E9C-101B-9397-08002B2CF9AE}" pid="16" name="KSOTemplateDocerSaveRecord">
    <vt:lpwstr>eyJoZGlkIjoiMDljYzUzMWQ4OWI0YzBkYjYzMDRhZTY5ZjZkYmFmYTgiLCJ1c2VySWQiOiI1MDYyMCJ9</vt:lpwstr>
  </property>
</Properties>
</file>