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BC093">
      <w:pPr>
        <w:pStyle w:val="201"/>
        <w:framePr w:wrap="around" w:x="1548" w:y="3250"/>
        <w:wordWrap/>
        <w:spacing w:before="159" w:after="159" w:line="360" w:lineRule="auto"/>
        <w:ind w:firstLine="560"/>
        <w:rPr>
          <w:rFonts w:hint="default" w:ascii="Times New Roman" w:hAnsi="Times New Roman" w:cs="Times New Roman"/>
        </w:rPr>
      </w:pPr>
      <w:bookmarkStart w:id="0" w:name="BookMark1"/>
      <w:bookmarkStart w:id="1" w:name="_Toc170375722"/>
      <w:bookmarkStart w:id="2" w:name="_Toc168660549"/>
      <w:r>
        <w:rPr>
          <w:rFonts w:hint="default" w:ascii="Times New Roman" w:hAnsi="Times New Roman" w:eastAsia="方正小标宋_GBK" w:cs="Times New Roman"/>
        </w:rPr>
        <w:t>T/</w:t>
      </w:r>
      <w:r>
        <w:rPr>
          <w:rFonts w:hint="default" w:ascii="Times New Roman" w:hAnsi="Times New Roman" w:eastAsia="方正小标宋_GBK" w:cs="Times New Roman"/>
        </w:rPr>
        <w:fldChar w:fldCharType="begin">
          <w:ffData>
            <w:name w:val="文字1"/>
            <w:enabled/>
            <w:calcOnExit w:val="0"/>
            <w:textInput>
              <w:default w:val="XXX"/>
            </w:textInput>
          </w:ffData>
        </w:fldChar>
      </w:r>
      <w:r>
        <w:rPr>
          <w:rFonts w:hint="default" w:ascii="Times New Roman" w:hAnsi="Times New Roman" w:eastAsia="方正小标宋_GBK" w:cs="Times New Roman"/>
        </w:rPr>
        <w:instrText xml:space="preserve"> FORMTEXT </w:instrText>
      </w:r>
      <w:r>
        <w:rPr>
          <w:rFonts w:hint="default" w:ascii="Times New Roman" w:hAnsi="Times New Roman" w:eastAsia="方正小标宋_GBK" w:cs="Times New Roman"/>
        </w:rPr>
        <w:fldChar w:fldCharType="separate"/>
      </w:r>
      <w:r>
        <w:rPr>
          <w:rFonts w:hint="default" w:ascii="Times New Roman" w:hAnsi="Times New Roman" w:eastAsia="方正小标宋_GBK" w:cs="Times New Roman"/>
        </w:rPr>
        <w:t>CEPCA</w:t>
      </w:r>
      <w:r>
        <w:rPr>
          <w:rFonts w:hint="default" w:ascii="Times New Roman" w:hAnsi="Times New Roman" w:eastAsia="方正小标宋_GBK" w:cs="Times New Roman"/>
        </w:rPr>
        <w:fldChar w:fldCharType="end"/>
      </w:r>
      <w:r>
        <w:rPr>
          <w:rFonts w:hint="default" w:ascii="Times New Roman" w:hAnsi="Times New Roman" w:cs="Times New Roman"/>
        </w:rPr>
        <w:t xml:space="preserve"> </w:t>
      </w:r>
      <w:r>
        <w:rPr>
          <w:rFonts w:hint="default" w:ascii="Times New Roman" w:hAnsi="Times New Roman" w:cs="Times New Roman"/>
        </w:rPr>
        <w:fldChar w:fldCharType="begin">
          <w:ffData>
            <w:enabled/>
            <w:calcOnExit w:val="0"/>
            <w:textInput>
              <w:default w:val="XXXX"/>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r>
        <w:rPr>
          <w:rFonts w:hint="default" w:ascii="Times New Roman" w:hAnsi="Times New Roman" w:cs="Times New Roman"/>
        </w:rPr>
        <w:t>—</w:t>
      </w:r>
      <w:r>
        <w:rPr>
          <w:rFonts w:hint="default" w:ascii="Times New Roman" w:hAnsi="Times New Roman" w:cs="Times New Roman"/>
        </w:rPr>
        <w:fldChar w:fldCharType="begin">
          <w:ffData>
            <w:name w:val="NSTD_CODE_B"/>
            <w:enabled/>
            <w:calcOnExit w:val="0"/>
            <w:textInput>
              <w:default w:val="XXXX"/>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p>
    <w:p w14:paraId="47578BB9">
      <w:pPr>
        <w:pStyle w:val="201"/>
        <w:framePr w:wrap="around" w:x="1548" w:y="3250"/>
        <w:wordWrap/>
        <w:spacing w:before="159" w:after="159" w:line="360" w:lineRule="auto"/>
        <w:ind w:firstLine="560"/>
        <w:rPr>
          <w:rFonts w:hint="default" w:ascii="Times New Roman" w:hAnsi="Times New Roman" w:cs="Times New Roman"/>
        </w:rPr>
      </w:pPr>
      <w:r>
        <w:rPr>
          <w:rFonts w:hint="default" w:ascii="Times New Roman" w:hAnsi="Times New Roman" w:eastAsia="方正小标宋_GBK" w:cs="Times New Roman"/>
        </w:rPr>
        <w:t>T/</w:t>
      </w:r>
      <w:r>
        <w:rPr>
          <w:rFonts w:hint="default" w:ascii="Times New Roman" w:hAnsi="Times New Roman" w:eastAsia="方正小标宋_GBK" w:cs="Times New Roman"/>
        </w:rPr>
        <w:fldChar w:fldCharType="begin">
          <w:ffData>
            <w:name w:val="文字1"/>
            <w:enabled/>
            <w:calcOnExit w:val="0"/>
            <w:textInput>
              <w:default w:val="XXX"/>
            </w:textInput>
          </w:ffData>
        </w:fldChar>
      </w:r>
      <w:bookmarkStart w:id="3" w:name="文字1"/>
      <w:r>
        <w:rPr>
          <w:rFonts w:hint="default" w:ascii="Times New Roman" w:hAnsi="Times New Roman" w:eastAsia="方正小标宋_GBK" w:cs="Times New Roman"/>
        </w:rPr>
        <w:instrText xml:space="preserve"> FORMTEXT </w:instrText>
      </w:r>
      <w:r>
        <w:rPr>
          <w:rFonts w:hint="default" w:ascii="Times New Roman" w:hAnsi="Times New Roman" w:eastAsia="方正小标宋_GBK" w:cs="Times New Roman"/>
        </w:rPr>
        <w:fldChar w:fldCharType="separate"/>
      </w:r>
      <w:r>
        <w:rPr>
          <w:rFonts w:hint="default" w:ascii="Times New Roman" w:hAnsi="Times New Roman" w:eastAsia="方正小标宋_GBK" w:cs="Times New Roman"/>
        </w:rPr>
        <w:t>CEPCA</w:t>
      </w:r>
      <w:r>
        <w:rPr>
          <w:rFonts w:hint="default" w:ascii="Times New Roman" w:hAnsi="Times New Roman" w:eastAsia="方正小标宋_GBK" w:cs="Times New Roman"/>
        </w:rPr>
        <w:fldChar w:fldCharType="end"/>
      </w:r>
      <w:bookmarkEnd w:id="3"/>
      <w:r>
        <w:rPr>
          <w:rFonts w:hint="default" w:ascii="Times New Roman" w:hAnsi="Times New Roman" w:cs="Times New Roman"/>
        </w:rPr>
        <w:t xml:space="preserve"> </w:t>
      </w:r>
      <w:r>
        <w:rPr>
          <w:rFonts w:hint="default" w:ascii="Times New Roman" w:hAnsi="Times New Roman" w:cs="Times New Roman"/>
        </w:rPr>
        <w:fldChar w:fldCharType="begin">
          <w:ffData>
            <w:name w:val="NSTD_CODE_F"/>
            <w:enabled/>
            <w:calcOnExit w:val="0"/>
            <w:textInput>
              <w:default w:val="XXXX"/>
            </w:textInput>
          </w:ffData>
        </w:fldChar>
      </w:r>
      <w:bookmarkStart w:id="4" w:name="NSTD_CODE_F"/>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4"/>
      <w:r>
        <w:rPr>
          <w:rFonts w:hint="default" w:ascii="Times New Roman" w:hAnsi="Times New Roman" w:cs="Times New Roman"/>
        </w:rPr>
        <w:t>—</w:t>
      </w:r>
      <w:r>
        <w:rPr>
          <w:rFonts w:hint="default" w:ascii="Times New Roman" w:hAnsi="Times New Roman" w:cs="Times New Roman"/>
        </w:rPr>
        <w:fldChar w:fldCharType="begin">
          <w:ffData>
            <w:name w:val="NSTD_CODE_B"/>
            <w:enabled/>
            <w:calcOnExit w:val="0"/>
            <w:textInput>
              <w:default w:val="XXXX"/>
            </w:textInput>
          </w:ffData>
        </w:fldChar>
      </w:r>
      <w:bookmarkStart w:id="5" w:name="NSTD_CODE_B"/>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5"/>
    </w:p>
    <w:p w14:paraId="42BA59FE">
      <w:pPr>
        <w:pStyle w:val="202"/>
        <w:framePr w:wrap="around" w:x="1548" w:y="3250"/>
        <w:wordWrap/>
        <w:spacing w:line="360" w:lineRule="auto"/>
        <w:ind w:firstLine="420"/>
        <w:rPr>
          <w:rFonts w:hint="default" w:ascii="Times New Roman" w:hAnsi="Times New Roman" w:cs="Times New Roman"/>
        </w:rPr>
      </w:pPr>
      <w:r>
        <w:rPr>
          <w:rFonts w:hint="default" w:ascii="Times New Roman" w:hAnsi="Times New Roman" w:cs="Times New Roman"/>
        </w:rPr>
        <w:fldChar w:fldCharType="begin">
          <w:ffData>
            <w:name w:val="OSTD_CODE"/>
            <w:enabled/>
            <w:calcOnExit w:val="0"/>
            <w:textInput/>
          </w:ffData>
        </w:fldChar>
      </w:r>
      <w:bookmarkStart w:id="6" w:name="OSTD_CODE"/>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     </w:t>
      </w:r>
      <w:r>
        <w:rPr>
          <w:rFonts w:hint="default" w:ascii="Times New Roman" w:hAnsi="Times New Roman" w:cs="Times New Roman"/>
        </w:rPr>
        <w:fldChar w:fldCharType="end"/>
      </w:r>
      <w:bookmarkEnd w:id="6"/>
    </w:p>
    <w:p w14:paraId="23494416">
      <w:pPr>
        <w:pStyle w:val="202"/>
        <w:framePr w:wrap="around" w:x="1548" w:y="3250"/>
        <w:wordWrap/>
        <w:spacing w:line="360" w:lineRule="auto"/>
        <w:ind w:firstLine="420"/>
        <w:rPr>
          <w:rFonts w:hint="default" w:ascii="Times New Roman" w:hAnsi="Times New Roman" w:cs="Times New Roman"/>
        </w:rPr>
      </w:pPr>
    </w:p>
    <w:p w14:paraId="79F74B11">
      <w:pPr>
        <w:pStyle w:val="97"/>
        <w:spacing w:after="360" w:line="360" w:lineRule="auto"/>
        <w:jc w:val="both"/>
        <w:rPr>
          <w:rFonts w:hint="default" w:ascii="Times New Roman" w:hAnsi="Times New Roman" w:cs="Times New Roman"/>
          <w:color w:val="000000" w:themeColor="text1"/>
          <w:spacing w:val="320"/>
          <w14:textFill>
            <w14:solidFill>
              <w14:schemeClr w14:val="tx1"/>
            </w14:solidFill>
          </w14:textFill>
        </w:rPr>
      </w:pPr>
      <w:r>
        <w:rPr>
          <w:rFonts w:hint="default" w:ascii="Times New Roman" w:hAnsi="Times New Roman" w:cs="Times New Roman"/>
          <w:sz w:val="10"/>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-405130</wp:posOffset>
                </wp:positionV>
                <wp:extent cx="1350010" cy="64960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349829" cy="64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1CAC19">
                            <w:pPr>
                              <w:rPr>
                                <w:rFonts w:ascii="Malgun Gothic" w:hAnsi="Malgun Gothic" w:eastAsia="Malgun Gothic" w:cs="Malgun Gothic"/>
                                <w:kern w:val="0"/>
                                <w:sz w:val="18"/>
                                <w:szCs w:val="18"/>
                              </w:rPr>
                            </w:pPr>
                            <w:r>
                              <w:rPr>
                                <w:rFonts w:hint="eastAsia" w:ascii="方正公文小标宋" w:hAnsi="方正公文小标宋" w:eastAsia="方正公文小标宋" w:cs="方正公文小标宋"/>
                                <w:b/>
                                <w:bCs/>
                                <w:kern w:val="0"/>
                                <w:sz w:val="18"/>
                                <w:szCs w:val="18"/>
                              </w:rPr>
                              <w:t xml:space="preserve">ICS  </w:t>
                            </w:r>
                            <w:r>
                              <w:rPr>
                                <w:rFonts w:ascii="Malgun Gothic" w:hAnsi="Malgun Gothic" w:eastAsia="Malgun Gothic" w:cs="Malgun Gothic"/>
                                <w:kern w:val="0"/>
                                <w:sz w:val="18"/>
                                <w:szCs w:val="18"/>
                              </w:rPr>
                              <w:t>XXX</w:t>
                            </w:r>
                          </w:p>
                          <w:p w14:paraId="14CCBD94">
                            <w:pPr>
                              <w:rPr>
                                <w:rFonts w:ascii="Malgun Gothic" w:hAnsi="Malgun Gothic" w:eastAsia="Malgun Gothic" w:cs="Malgun Gothic"/>
                                <w:kern w:val="0"/>
                                <w:sz w:val="18"/>
                                <w:szCs w:val="18"/>
                              </w:rPr>
                            </w:pPr>
                            <w:r>
                              <w:rPr>
                                <w:rFonts w:hint="eastAsia" w:ascii="方正公文小标宋" w:hAnsi="方正公文小标宋" w:eastAsia="方正公文小标宋" w:cs="方正公文小标宋"/>
                                <w:b/>
                                <w:bCs/>
                                <w:kern w:val="0"/>
                                <w:sz w:val="18"/>
                                <w:szCs w:val="18"/>
                              </w:rPr>
                              <w:t xml:space="preserve">CCS  </w:t>
                            </w:r>
                            <w:r>
                              <w:rPr>
                                <w:rFonts w:ascii="方正公文小标宋" w:hAnsi="方正公文小标宋" w:eastAsia="方正公文小标宋" w:cs="方正公文小标宋"/>
                                <w:b/>
                                <w:bCs/>
                                <w:kern w:val="0"/>
                                <w:sz w:val="18"/>
                                <w:szCs w:val="18"/>
                              </w:rPr>
                              <w:t>XXX</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31.9pt;height:51.15pt;width:106.3pt;mso-position-horizontal:left;mso-position-horizontal-relative:margin;z-index:251660288;mso-width-relative:page;mso-height-relative:page;" filled="f" stroked="f" coordsize="21600,21600" o:gfxdata="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NnUI3YAAAABwEAAA8AAAAAAAAAAQAgAAAAIgAAAGRycy9k&#10;b3ducmV2LnhtbFBLAQIUABQAAAAIAIdO4kD0ll6nOwIAAGYEAAAOAAAAAAAAAAEAIAAAACcBAABk&#10;cnMvZTJvRG9jLnhtbFBLBQYAAAAABgAGAFkBAADUBQAAAAA=&#10;">
                <v:fill on="f" focussize="0,0"/>
                <v:stroke on="f" weight="0.5pt"/>
                <v:imagedata o:title=""/>
                <o:lock v:ext="edit" aspectratio="f"/>
                <v:textbox>
                  <w:txbxContent>
                    <w:p w14:paraId="341CAC19">
                      <w:pPr>
                        <w:rPr>
                          <w:rFonts w:ascii="Malgun Gothic" w:hAnsi="Malgun Gothic" w:eastAsia="Malgun Gothic" w:cs="Malgun Gothic"/>
                          <w:kern w:val="0"/>
                          <w:sz w:val="18"/>
                          <w:szCs w:val="18"/>
                        </w:rPr>
                      </w:pPr>
                      <w:r>
                        <w:rPr>
                          <w:rFonts w:hint="eastAsia" w:ascii="方正公文小标宋" w:hAnsi="方正公文小标宋" w:eastAsia="方正公文小标宋" w:cs="方正公文小标宋"/>
                          <w:b/>
                          <w:bCs/>
                          <w:kern w:val="0"/>
                          <w:sz w:val="18"/>
                          <w:szCs w:val="18"/>
                        </w:rPr>
                        <w:t xml:space="preserve">ICS  </w:t>
                      </w:r>
                      <w:r>
                        <w:rPr>
                          <w:rFonts w:ascii="Malgun Gothic" w:hAnsi="Malgun Gothic" w:eastAsia="Malgun Gothic" w:cs="Malgun Gothic"/>
                          <w:kern w:val="0"/>
                          <w:sz w:val="18"/>
                          <w:szCs w:val="18"/>
                        </w:rPr>
                        <w:t>XXX</w:t>
                      </w:r>
                    </w:p>
                    <w:p w14:paraId="14CCBD94">
                      <w:pPr>
                        <w:rPr>
                          <w:rFonts w:ascii="Malgun Gothic" w:hAnsi="Malgun Gothic" w:eastAsia="Malgun Gothic" w:cs="Malgun Gothic"/>
                          <w:kern w:val="0"/>
                          <w:sz w:val="18"/>
                          <w:szCs w:val="18"/>
                        </w:rPr>
                      </w:pPr>
                      <w:r>
                        <w:rPr>
                          <w:rFonts w:hint="eastAsia" w:ascii="方正公文小标宋" w:hAnsi="方正公文小标宋" w:eastAsia="方正公文小标宋" w:cs="方正公文小标宋"/>
                          <w:b/>
                          <w:bCs/>
                          <w:kern w:val="0"/>
                          <w:sz w:val="18"/>
                          <w:szCs w:val="18"/>
                        </w:rPr>
                        <w:t xml:space="preserve">CCS  </w:t>
                      </w:r>
                      <w:r>
                        <w:rPr>
                          <w:rFonts w:ascii="方正公文小标宋" w:hAnsi="方正公文小标宋" w:eastAsia="方正公文小标宋" w:cs="方正公文小标宋"/>
                          <w:b/>
                          <w:bCs/>
                          <w:kern w:val="0"/>
                          <w:sz w:val="18"/>
                          <w:szCs w:val="18"/>
                        </w:rPr>
                        <w:t>XXX</w:t>
                      </w:r>
                    </w:p>
                  </w:txbxContent>
                </v:textbox>
              </v:shape>
            </w:pict>
          </mc:Fallback>
        </mc:AlternateContent>
      </w:r>
      <w:r>
        <w:rPr>
          <w:rFonts w:hint="default" w:ascii="Times New Roman" w:hAnsi="Times New Roman" w:eastAsia="宋体" w:cs="Times New Roman"/>
          <w:sz w:val="10"/>
          <w:szCs w:val="24"/>
        </w:rPr>
        <mc:AlternateContent>
          <mc:Choice Requires="wps">
            <w:drawing>
              <wp:anchor distT="0" distB="0" distL="114300" distR="114300" simplePos="0" relativeHeight="251661312" behindDoc="0" locked="0" layoutInCell="1" allowOverlap="1">
                <wp:simplePos x="0" y="0"/>
                <wp:positionH relativeFrom="column">
                  <wp:posOffset>2596515</wp:posOffset>
                </wp:positionH>
                <wp:positionV relativeFrom="page">
                  <wp:posOffset>447040</wp:posOffset>
                </wp:positionV>
                <wp:extent cx="3470910" cy="867410"/>
                <wp:effectExtent l="0" t="0" r="0" b="0"/>
                <wp:wrapNone/>
                <wp:docPr id="3" name="文本框 3"/>
                <wp:cNvGraphicFramePr/>
                <a:graphic xmlns:a="http://schemas.openxmlformats.org/drawingml/2006/main">
                  <a:graphicData uri="http://schemas.microsoft.com/office/word/2010/wordprocessingShape">
                    <wps:wsp>
                      <wps:cNvSpPr txBox="1"/>
                      <wps:spPr>
                        <a:xfrm>
                          <a:off x="0" y="0"/>
                          <a:ext cx="3470715" cy="867679"/>
                        </a:xfrm>
                        <a:prstGeom prst="rect">
                          <a:avLst/>
                        </a:prstGeom>
                        <a:noFill/>
                        <a:ln w="6350">
                          <a:noFill/>
                        </a:ln>
                        <a:effectLst/>
                      </wps:spPr>
                      <wps:txbx>
                        <w:txbxContent>
                          <w:p w14:paraId="3605FC4E">
                            <w:pPr>
                              <w:rPr>
                                <w:rFonts w:ascii="方正小标宋_GBK" w:hAnsi="方正小标宋_GBK" w:eastAsia="方正小标宋_GBK" w:cs="方正小标宋_GBK"/>
                                <w:w w:val="120"/>
                                <w:sz w:val="84"/>
                                <w:szCs w:val="84"/>
                              </w:rPr>
                            </w:pPr>
                          </w:p>
                          <w:p w14:paraId="3868E211">
                            <w:pPr>
                              <w:spacing w:before="100" w:beforeAutospacing="1"/>
                              <w:rPr>
                                <w:rFonts w:ascii="方正小标宋简体" w:hAnsi="方正小标宋_GBK" w:eastAsia="方正小标宋简体" w:cs="方正小标宋_GBK"/>
                                <w:w w:val="120"/>
                                <w:sz w:val="84"/>
                                <w:szCs w:val="84"/>
                              </w:rPr>
                            </w:pPr>
                            <w:r>
                              <w:rPr>
                                <w:rFonts w:hint="eastAsia" w:ascii="方正小标宋简体" w:hAnsi="方正小标宋_GBK" w:eastAsia="方正小标宋简体" w:cs="方正小标宋_GBK"/>
                                <w:w w:val="120"/>
                                <w:sz w:val="84"/>
                                <w:szCs w:val="84"/>
                              </w:rPr>
                              <w:t>T/CEPCA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4.45pt;margin-top:35.2pt;height:68.3pt;width:273.3pt;mso-position-vertical-relative:page;z-index:251661312;mso-width-relative:page;mso-height-relative:page;" filled="f" stroked="f" coordsize="21600,21600" o:gfxdata="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IMbzW2wAAAAoBAAAPAAAAAAAAAAEAIAAA&#10;ACIAAABkcnMvZG93bnJldi54bWxQSwECFAAUAAAACACHTuJAV9P8FkICAAB0BAAADgAAAAAAAAAB&#10;ACAAAAAqAQAAZHJzL2Uyb0RvYy54bWxQSwUGAAAAAAYABgBZAQAA3gUAAAAA&#10;">
                <v:fill on="f" focussize="0,0"/>
                <v:stroke on="f" weight="0.5pt"/>
                <v:imagedata o:title=""/>
                <o:lock v:ext="edit" aspectratio="f"/>
                <v:textbox>
                  <w:txbxContent>
                    <w:p w14:paraId="3605FC4E">
                      <w:pPr>
                        <w:rPr>
                          <w:rFonts w:ascii="方正小标宋_GBK" w:hAnsi="方正小标宋_GBK" w:eastAsia="方正小标宋_GBK" w:cs="方正小标宋_GBK"/>
                          <w:w w:val="120"/>
                          <w:sz w:val="84"/>
                          <w:szCs w:val="84"/>
                        </w:rPr>
                      </w:pPr>
                    </w:p>
                    <w:p w14:paraId="3868E211">
                      <w:pPr>
                        <w:spacing w:before="100" w:beforeAutospacing="1"/>
                        <w:rPr>
                          <w:rFonts w:ascii="方正小标宋简体" w:hAnsi="方正小标宋_GBK" w:eastAsia="方正小标宋简体" w:cs="方正小标宋_GBK"/>
                          <w:w w:val="120"/>
                          <w:sz w:val="84"/>
                          <w:szCs w:val="84"/>
                        </w:rPr>
                      </w:pPr>
                      <w:r>
                        <w:rPr>
                          <w:rFonts w:hint="eastAsia" w:ascii="方正小标宋简体" w:hAnsi="方正小标宋_GBK" w:eastAsia="方正小标宋简体" w:cs="方正小标宋_GBK"/>
                          <w:w w:val="120"/>
                          <w:sz w:val="84"/>
                          <w:szCs w:val="84"/>
                        </w:rPr>
                        <w:t>T/CEPCA</w:t>
                      </w:r>
                    </w:p>
                  </w:txbxContent>
                </v:textbox>
              </v:shape>
            </w:pict>
          </mc:Fallback>
        </mc:AlternateContent>
      </w:r>
    </w:p>
    <w:p w14:paraId="502CFAF6">
      <w:pPr>
        <w:pStyle w:val="203"/>
        <w:framePr w:h="5276" w:hRule="exact" w:wrap="around" w:x="1261" w:y="4811" w:anchorLock="1"/>
        <w:spacing w:before="159" w:after="159" w:line="360" w:lineRule="auto"/>
        <w:rPr>
          <w:rFonts w:hint="default" w:ascii="Times New Roman" w:hAnsi="Times New Roman" w:cs="Times New Roman"/>
        </w:rPr>
      </w:pPr>
      <w:r>
        <w:rPr>
          <w:rFonts w:hint="default" w:ascii="Times New Roman" w:hAnsi="Times New Roman" w:cs="Times New Roman"/>
        </w:rPr>
        <w:t>电力变压器</w:t>
      </w:r>
      <w:r>
        <w:rPr>
          <w:rFonts w:hint="eastAsia" w:ascii="Times New Roman" w:hAnsi="Times New Roman" w:cs="Times New Roman"/>
          <w:lang w:val="en-US" w:eastAsia="zh-CN"/>
        </w:rPr>
        <w:t>和</w:t>
      </w:r>
      <w:r>
        <w:rPr>
          <w:rFonts w:hint="default" w:ascii="Times New Roman" w:hAnsi="Times New Roman" w:cs="Times New Roman"/>
        </w:rPr>
        <w:t>气体绝缘金属封闭开关施工及质量验收规范</w:t>
      </w:r>
    </w:p>
    <w:p w14:paraId="286A33AF">
      <w:pPr>
        <w:framePr w:w="9639" w:h="5276" w:hRule="exact" w:wrap="around" w:vAnchor="page" w:hAnchor="page" w:x="1261" w:y="4811" w:anchorLock="1"/>
        <w:spacing w:line="360" w:lineRule="auto"/>
        <w:ind w:left="-1418"/>
        <w:rPr>
          <w:rFonts w:hint="default" w:ascii="Times New Roman" w:hAnsi="Times New Roman" w:cs="Times New Roman"/>
        </w:rPr>
      </w:pPr>
    </w:p>
    <w:p w14:paraId="496362E9">
      <w:pPr>
        <w:pStyle w:val="131"/>
        <w:framePr w:w="9639" w:h="5276" w:hRule="exact" w:wrap="around" w:vAnchor="page" w:hAnchor="page" w:x="1261" w:y="4811" w:anchorLock="1"/>
        <w:spacing w:line="360" w:lineRule="auto"/>
        <w:ind w:left="169" w:hanging="169"/>
        <w:textAlignment w:val="bottom"/>
        <w:rPr>
          <w:rFonts w:hint="default" w:ascii="Times New Roman" w:hAnsi="Times New Roman" w:eastAsia="黑体" w:cs="Times New Roman"/>
          <w:b/>
          <w:bCs/>
          <w:szCs w:val="28"/>
        </w:rPr>
      </w:pPr>
      <w:r>
        <w:rPr>
          <w:rFonts w:hint="default" w:ascii="Times New Roman" w:hAnsi="Times New Roman" w:eastAsia="黑体" w:cs="Times New Roman"/>
          <w:b/>
          <w:bCs/>
          <w:szCs w:val="28"/>
        </w:rPr>
        <w:t xml:space="preserve">Code for </w:t>
      </w:r>
      <w:r>
        <w:rPr>
          <w:rFonts w:hint="default" w:ascii="Times New Roman" w:hAnsi="Times New Roman" w:eastAsia="黑体" w:cs="Times New Roman"/>
          <w:b/>
          <w:bCs/>
          <w:szCs w:val="28"/>
          <w:lang w:val="en-US" w:eastAsia="zh-CN"/>
        </w:rPr>
        <w:t>c</w:t>
      </w:r>
      <w:r>
        <w:rPr>
          <w:rFonts w:hint="default" w:ascii="Times New Roman" w:hAnsi="Times New Roman" w:eastAsia="黑体" w:cs="Times New Roman"/>
          <w:b/>
          <w:bCs/>
          <w:szCs w:val="28"/>
        </w:rPr>
        <w:t xml:space="preserve">onstruction and quality acceptance of power transformers and </w:t>
      </w:r>
      <w:r>
        <w:rPr>
          <w:rFonts w:hint="default" w:ascii="Times New Roman" w:hAnsi="Times New Roman" w:eastAsia="黑体" w:cs="Times New Roman"/>
          <w:b/>
          <w:bCs/>
          <w:szCs w:val="28"/>
          <w:lang w:val="en-US" w:eastAsia="zh-CN"/>
        </w:rPr>
        <w:t>gas-insulated metal-enclosed switchgear</w:t>
      </w:r>
    </w:p>
    <w:p w14:paraId="14E53477">
      <w:pPr>
        <w:pStyle w:val="131"/>
        <w:framePr w:w="9639" w:h="5276" w:hRule="exact" w:wrap="around" w:vAnchor="page" w:hAnchor="page" w:x="1261" w:y="4811" w:anchorLock="1"/>
        <w:spacing w:before="720" w:beforeLines="300" w:after="72" w:afterLines="30" w:line="360" w:lineRule="auto"/>
        <w:jc w:val="center"/>
        <w:textAlignment w:val="bottom"/>
        <w:rPr>
          <w:rFonts w:hint="eastAsia" w:ascii="Times New Roman" w:hAnsi="Times New Roman" w:eastAsia="宋体" w:cs="Times New Roman"/>
          <w:b/>
          <w:sz w:val="40"/>
          <w:szCs w:val="52"/>
          <w:lang w:val="en-US" w:eastAsia="zh-CN"/>
        </w:rPr>
      </w:pPr>
      <w:bookmarkStart w:id="52" w:name="_GoBack"/>
      <w:r>
        <w:rPr>
          <w:rFonts w:hint="eastAsia" w:cs="Times New Roman"/>
          <w:b/>
          <w:sz w:val="40"/>
          <w:szCs w:val="52"/>
          <w:lang w:val="en-US" w:eastAsia="zh-CN"/>
        </w:rPr>
        <w:t>征求意见稿</w:t>
      </w:r>
    </w:p>
    <w:bookmarkEnd w:id="52"/>
    <w:p w14:paraId="0E60AC88">
      <w:pPr>
        <w:pStyle w:val="199"/>
        <w:framePr w:w="2661" w:wrap="around" w:x="1401" w:y="13661"/>
        <w:spacing w:line="360" w:lineRule="auto"/>
        <w:rPr>
          <w:rFonts w:hint="default" w:ascii="Times New Roman" w:hAnsi="Times New Roman" w:cs="Times New Roman"/>
        </w:rPr>
      </w:pPr>
      <w:r>
        <w:rPr>
          <w:rFonts w:hint="default" w:ascii="Times New Roman" w:hAnsi="Times New Roman" w:cs="Times New Roman"/>
          <w:b/>
          <w:bCs/>
        </w:rPr>
        <w:t xml:space="preserve">2025 - </w:t>
      </w:r>
      <w:r>
        <w:rPr>
          <w:rFonts w:hint="default" w:ascii="Times New Roman" w:hAnsi="Times New Roman" w:cs="Times New Roman"/>
          <w:b/>
          <w:bCs/>
        </w:rPr>
        <w:fldChar w:fldCharType="begin">
          <w:ffData>
            <w:name w:val="PLSH_DATE_M"/>
            <w:enabled/>
            <w:calcOnExit w:val="0"/>
            <w:textInput>
              <w:default w:val="XX"/>
              <w:maxLength w:val="2"/>
            </w:textInput>
          </w:ffData>
        </w:fldChar>
      </w:r>
      <w:r>
        <w:rPr>
          <w:rFonts w:hint="default" w:ascii="Times New Roman" w:hAnsi="Times New Roman" w:cs="Times New Roman"/>
          <w:b/>
          <w:bCs/>
        </w:rPr>
        <w:instrText xml:space="preserve"> FORMTEXT </w:instrText>
      </w:r>
      <w:r>
        <w:rPr>
          <w:rFonts w:hint="default" w:ascii="Times New Roman" w:hAnsi="Times New Roman" w:cs="Times New Roman"/>
          <w:b/>
          <w:bCs/>
        </w:rPr>
        <w:fldChar w:fldCharType="separate"/>
      </w:r>
      <w:r>
        <w:rPr>
          <w:rFonts w:hint="default" w:ascii="Times New Roman" w:hAnsi="Times New Roman" w:cs="Times New Roman"/>
          <w:b/>
          <w:bCs/>
        </w:rPr>
        <w:t>XX</w:t>
      </w:r>
      <w:r>
        <w:rPr>
          <w:rFonts w:hint="default" w:ascii="Times New Roman" w:hAnsi="Times New Roman" w:cs="Times New Roman"/>
          <w:b/>
          <w:bCs/>
        </w:rPr>
        <w:fldChar w:fldCharType="end"/>
      </w:r>
      <w:r>
        <w:rPr>
          <w:rFonts w:hint="default" w:ascii="Times New Roman" w:hAnsi="Times New Roman" w:cs="Times New Roman"/>
          <w:b/>
          <w:bCs/>
        </w:rPr>
        <w:t xml:space="preserve"> - </w:t>
      </w:r>
      <w:r>
        <w:rPr>
          <w:rFonts w:hint="default" w:ascii="Times New Roman" w:hAnsi="Times New Roman" w:cs="Times New Roman"/>
          <w:b/>
          <w:bCs/>
        </w:rPr>
        <w:fldChar w:fldCharType="begin">
          <w:ffData>
            <w:name w:val="PLSH_DATE_D"/>
            <w:enabled/>
            <w:calcOnExit w:val="0"/>
            <w:textInput>
              <w:default w:val="XX"/>
              <w:maxLength w:val="2"/>
            </w:textInput>
          </w:ffData>
        </w:fldChar>
      </w:r>
      <w:r>
        <w:rPr>
          <w:rFonts w:hint="default" w:ascii="Times New Roman" w:hAnsi="Times New Roman" w:cs="Times New Roman"/>
          <w:b/>
          <w:bCs/>
        </w:rPr>
        <w:instrText xml:space="preserve"> FORMTEXT </w:instrText>
      </w:r>
      <w:r>
        <w:rPr>
          <w:rFonts w:hint="default" w:ascii="Times New Roman" w:hAnsi="Times New Roman" w:cs="Times New Roman"/>
          <w:b/>
          <w:bCs/>
        </w:rPr>
        <w:fldChar w:fldCharType="separate"/>
      </w:r>
      <w:r>
        <w:rPr>
          <w:rFonts w:hint="default" w:ascii="Times New Roman" w:hAnsi="Times New Roman" w:cs="Times New Roman"/>
          <w:b/>
          <w:bCs/>
        </w:rPr>
        <w:t>XX</w:t>
      </w:r>
      <w:r>
        <w:rPr>
          <w:rFonts w:hint="default" w:ascii="Times New Roman" w:hAnsi="Times New Roman" w:cs="Times New Roman"/>
          <w:b/>
          <w:bCs/>
        </w:rPr>
        <w:fldChar w:fldCharType="end"/>
      </w:r>
      <w:r>
        <w:rPr>
          <w:rFonts w:hint="default" w:ascii="Times New Roman" w:hAnsi="Times New Roman" w:cs="Times New Roman"/>
          <w:b/>
          <w:bCs/>
        </w:rPr>
        <w:t xml:space="preserve"> 发布</w:t>
      </w:r>
    </w:p>
    <w:p w14:paraId="631C6BB1">
      <w:pPr>
        <w:pStyle w:val="199"/>
        <w:framePr w:w="2661" w:wrap="around" w:x="1401" w:y="13661"/>
        <w:spacing w:line="360" w:lineRule="auto"/>
        <w:ind w:left="5250"/>
        <w:rPr>
          <w:rFonts w:hint="default" w:ascii="Times New Roman" w:hAnsi="Times New Roman" w:cs="Times New Roman"/>
        </w:rPr>
      </w:pPr>
      <w:r>
        <w:rPr>
          <w:rFonts w:hint="default" w:ascii="Times New Roman" w:hAnsi="Times New Roman" w:cs="Times New Roman"/>
        </w:rPr>
        <w:t xml:space="preserve"> - </w:t>
      </w:r>
      <w:r>
        <w:rPr>
          <w:rFonts w:hint="default" w:ascii="Times New Roman" w:hAnsi="Times New Roman" w:cs="Times New Roman"/>
        </w:rPr>
        <w:fldChar w:fldCharType="begin">
          <w:ffData>
            <w:name w:val="PLSH_DATE_M"/>
            <w:enabled/>
            <w:calcOnExit w:val="0"/>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r>
        <w:rPr>
          <w:rFonts w:hint="default" w:ascii="Times New Roman" w:hAnsi="Times New Roman" w:cs="Times New Roman"/>
        </w:rPr>
        <w:t xml:space="preserve"> - </w:t>
      </w:r>
      <w:r>
        <w:rPr>
          <w:rFonts w:hint="default" w:ascii="Times New Roman" w:hAnsi="Times New Roman" w:cs="Times New Roman"/>
        </w:rPr>
        <w:fldChar w:fldCharType="begin">
          <w:ffData>
            <w:name w:val="PLSH_DATE_D"/>
            <w:enabled/>
            <w:calcOnExit w:val="0"/>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r>
        <w:rPr>
          <w:rFonts w:hint="default" w:ascii="Times New Roman" w:hAnsi="Times New Roman" w:cs="Times New Roman"/>
        </w:rPr>
        <w:t>发布</w:t>
      </w:r>
    </w:p>
    <w:p w14:paraId="36D32D23">
      <w:pPr>
        <w:pStyle w:val="200"/>
        <w:framePr w:w="2651" w:wrap="around" w:x="8451" w:y="13571"/>
        <w:spacing w:line="360" w:lineRule="auto"/>
        <w:rPr>
          <w:rFonts w:hint="default" w:ascii="Times New Roman" w:hAnsi="Times New Roman" w:cs="Times New Roman"/>
          <w:b/>
          <w:bCs/>
        </w:rPr>
      </w:pPr>
      <w:r>
        <w:rPr>
          <w:rFonts w:hint="default" w:ascii="Times New Roman" w:hAnsi="Times New Roman" w:cs="Times New Roman"/>
          <w:b/>
          <w:bCs/>
        </w:rPr>
        <w:t xml:space="preserve">2025 - </w:t>
      </w:r>
      <w:r>
        <w:rPr>
          <w:rFonts w:hint="default" w:ascii="Times New Roman" w:hAnsi="Times New Roman" w:cs="Times New Roman"/>
          <w:b/>
          <w:bCs/>
        </w:rPr>
        <w:fldChar w:fldCharType="begin">
          <w:ffData>
            <w:name w:val="CROT_DATE_M"/>
            <w:enabled/>
            <w:calcOnExit w:val="0"/>
            <w:textInput>
              <w:default w:val="XX"/>
              <w:maxLength w:val="2"/>
            </w:textInput>
          </w:ffData>
        </w:fldChar>
      </w:r>
      <w:r>
        <w:rPr>
          <w:rFonts w:hint="default" w:ascii="Times New Roman" w:hAnsi="Times New Roman" w:cs="Times New Roman"/>
          <w:b/>
          <w:bCs/>
        </w:rPr>
        <w:instrText xml:space="preserve"> FORMTEXT </w:instrText>
      </w:r>
      <w:r>
        <w:rPr>
          <w:rFonts w:hint="default" w:ascii="Times New Roman" w:hAnsi="Times New Roman" w:cs="Times New Roman"/>
          <w:b/>
          <w:bCs/>
        </w:rPr>
        <w:fldChar w:fldCharType="separate"/>
      </w:r>
      <w:r>
        <w:rPr>
          <w:rFonts w:hint="default" w:ascii="Times New Roman" w:hAnsi="Times New Roman" w:cs="Times New Roman"/>
          <w:b/>
          <w:bCs/>
        </w:rPr>
        <w:t>XX</w:t>
      </w:r>
      <w:r>
        <w:rPr>
          <w:rFonts w:hint="default" w:ascii="Times New Roman" w:hAnsi="Times New Roman" w:cs="Times New Roman"/>
          <w:b/>
          <w:bCs/>
        </w:rPr>
        <w:fldChar w:fldCharType="end"/>
      </w:r>
      <w:r>
        <w:rPr>
          <w:rFonts w:hint="default" w:ascii="Times New Roman" w:hAnsi="Times New Roman" w:cs="Times New Roman"/>
          <w:b/>
          <w:bCs/>
        </w:rPr>
        <w:t xml:space="preserve"> - </w:t>
      </w:r>
      <w:r>
        <w:rPr>
          <w:rFonts w:hint="default" w:ascii="Times New Roman" w:hAnsi="Times New Roman" w:cs="Times New Roman"/>
          <w:b/>
          <w:bCs/>
        </w:rPr>
        <w:fldChar w:fldCharType="begin">
          <w:ffData>
            <w:name w:val="CROT_DATE_D"/>
            <w:enabled/>
            <w:calcOnExit w:val="0"/>
            <w:textInput>
              <w:default w:val="XX"/>
              <w:maxLength w:val="2"/>
            </w:textInput>
          </w:ffData>
        </w:fldChar>
      </w:r>
      <w:r>
        <w:rPr>
          <w:rFonts w:hint="default" w:ascii="Times New Roman" w:hAnsi="Times New Roman" w:cs="Times New Roman"/>
          <w:b/>
          <w:bCs/>
        </w:rPr>
        <w:instrText xml:space="preserve"> FORMTEXT </w:instrText>
      </w:r>
      <w:r>
        <w:rPr>
          <w:rFonts w:hint="default" w:ascii="Times New Roman" w:hAnsi="Times New Roman" w:cs="Times New Roman"/>
          <w:b/>
          <w:bCs/>
        </w:rPr>
        <w:fldChar w:fldCharType="separate"/>
      </w:r>
      <w:r>
        <w:rPr>
          <w:rFonts w:hint="default" w:ascii="Times New Roman" w:hAnsi="Times New Roman" w:cs="Times New Roman"/>
          <w:b/>
          <w:bCs/>
        </w:rPr>
        <w:t>XX</w:t>
      </w:r>
      <w:r>
        <w:rPr>
          <w:rFonts w:hint="default" w:ascii="Times New Roman" w:hAnsi="Times New Roman" w:cs="Times New Roman"/>
          <w:b/>
          <w:bCs/>
        </w:rPr>
        <w:fldChar w:fldCharType="end"/>
      </w:r>
      <w:r>
        <w:rPr>
          <w:rFonts w:hint="default" w:ascii="Times New Roman" w:hAnsi="Times New Roman" w:cs="Times New Roman"/>
          <w:b/>
          <w:bCs/>
        </w:rPr>
        <w:t xml:space="preserve"> 实施</w:t>
      </w:r>
    </w:p>
    <w:p w14:paraId="1B01DAD1">
      <w:pPr>
        <w:pStyle w:val="97"/>
        <w:spacing w:after="360" w:line="360" w:lineRule="auto"/>
        <w:jc w:val="both"/>
        <w:rPr>
          <w:rFonts w:hint="default" w:ascii="Times New Roman" w:hAnsi="Times New Roman" w:cs="Times New Roman"/>
          <w:color w:val="000000" w:themeColor="text1"/>
          <w:spacing w:val="320"/>
          <w14:textFill>
            <w14:solidFill>
              <w14:schemeClr w14:val="tx1"/>
            </w14:solidFill>
          </w14:textFill>
        </w:rPr>
      </w:pPr>
    </w:p>
    <w:p w14:paraId="703E9C87">
      <w:pPr>
        <w:pStyle w:val="56"/>
        <w:framePr w:w="9639" w:h="624" w:hRule="exact" w:hSpace="181" w:vSpace="181" w:wrap="around" w:hAnchor="page" w:x="1279" w:y="2175"/>
        <w:spacing w:line="360" w:lineRule="auto"/>
        <w:rPr>
          <w:rFonts w:hint="default" w:ascii="Times New Roman" w:hAnsi="Times New Roman" w:eastAsia="黑体" w:cs="Times New Roman"/>
          <w:w w:val="110"/>
          <w:szCs w:val="52"/>
        </w:rPr>
      </w:pPr>
      <w:bookmarkStart w:id="7" w:name="_Hlk26473981"/>
      <w:r>
        <w:rPr>
          <w:rFonts w:hint="default" w:ascii="Times New Roman" w:hAnsi="Times New Roman" w:eastAsia="黑体" w:cs="Times New Roman"/>
          <w:w w:val="110"/>
          <w:szCs w:val="52"/>
        </w:rPr>
        <w:t>中国电力建设企业协会团体标准</w:t>
      </w:r>
    </w:p>
    <w:bookmarkEnd w:id="7"/>
    <w:p w14:paraId="34C7E0E3">
      <w:pPr>
        <w:spacing w:line="360" w:lineRule="auto"/>
        <w:rPr>
          <w:rFonts w:hint="default" w:ascii="Times New Roman" w:hAnsi="Times New Roman" w:eastAsia="黑体" w:cs="Times New Roman"/>
          <w:kern w:val="0"/>
          <w:sz w:val="10"/>
          <w:szCs w:val="10"/>
        </w:rPr>
      </w:pPr>
      <w:r>
        <w:rPr>
          <w:rFonts w:hint="default" w:ascii="Times New Roman" w:hAnsi="Times New Roman" w:eastAsia="黑体" w:cs="Times New Roman"/>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581BBF2">
      <w:pPr>
        <w:pStyle w:val="157"/>
        <w:framePr w:h="584" w:hRule="exact" w:hSpace="181" w:vSpace="181" w:wrap="around" w:vAnchor="page" w:hAnchor="page" w:x="2487" w:y="15507"/>
        <w:spacing w:line="360" w:lineRule="auto"/>
        <w:rPr>
          <w:rStyle w:val="235"/>
          <w:rFonts w:hint="default" w:ascii="Times New Roman" w:hAnsi="Times New Roman" w:cs="Times New Roman"/>
          <w:b/>
          <w:bCs/>
        </w:rPr>
      </w:pPr>
    </w:p>
    <w:p w14:paraId="06FC6C79">
      <w:pPr>
        <w:pStyle w:val="157"/>
        <w:framePr w:h="584" w:hRule="exact" w:hSpace="181" w:vSpace="181" w:wrap="around" w:vAnchor="page" w:hAnchor="page" w:x="2487" w:y="15507"/>
        <w:spacing w:line="360" w:lineRule="auto"/>
        <w:rPr>
          <w:rStyle w:val="235"/>
          <w:rFonts w:hint="default" w:ascii="Times New Roman" w:hAnsi="Times New Roman" w:cs="Times New Roman"/>
        </w:rPr>
      </w:pPr>
    </w:p>
    <w:p w14:paraId="20A8A126">
      <w:pPr>
        <w:pStyle w:val="157"/>
        <w:framePr w:h="584" w:hRule="exact" w:hSpace="181" w:vSpace="181" w:wrap="around" w:vAnchor="page" w:hAnchor="page" w:x="2487" w:y="15507"/>
        <w:spacing w:line="360" w:lineRule="auto"/>
        <w:rPr>
          <w:rFonts w:hint="default" w:ascii="Times New Roman" w:hAnsi="Times New Roman" w:cs="Times New Roman"/>
        </w:rPr>
      </w:pPr>
    </w:p>
    <w:p w14:paraId="279143E3">
      <w:pPr>
        <w:pStyle w:val="97"/>
        <w:spacing w:after="360" w:line="360" w:lineRule="auto"/>
        <w:rPr>
          <w:rFonts w:hint="default" w:ascii="Times New Roman" w:hAnsi="Times New Roman" w:cs="Times New Roman"/>
          <w:b/>
          <w:bCs/>
          <w:sz w:val="28"/>
        </w:rPr>
      </w:pPr>
    </w:p>
    <w:p w14:paraId="1BC579C1">
      <w:pPr>
        <w:pStyle w:val="97"/>
        <w:spacing w:after="360" w:line="360" w:lineRule="auto"/>
        <w:rPr>
          <w:rFonts w:hint="default" w:ascii="Times New Roman" w:hAnsi="Times New Roman" w:cs="Times New Roman"/>
          <w:color w:val="000000" w:themeColor="text1"/>
          <w:spacing w:val="320"/>
          <w14:textFill>
            <w14:solidFill>
              <w14:schemeClr w14:val="tx1"/>
            </w14:solidFill>
          </w14:textFill>
        </w:rPr>
      </w:pPr>
      <w:r>
        <w:rPr>
          <w:rFonts w:hint="default" w:ascii="Times New Roman" w:hAnsi="Times New Roman" w:cs="Times New Roman"/>
          <w:kern w:val="0"/>
          <w:sz w:val="10"/>
          <w:szCs w:val="10"/>
        </w:rPr>
        <mc:AlternateContent>
          <mc:Choice Requires="wps">
            <w:drawing>
              <wp:anchor distT="0" distB="0" distL="114300" distR="114300" simplePos="0" relativeHeight="251662336" behindDoc="0" locked="0" layoutInCell="1" allowOverlap="1">
                <wp:simplePos x="0" y="0"/>
                <wp:positionH relativeFrom="column">
                  <wp:posOffset>-248920</wp:posOffset>
                </wp:positionH>
                <wp:positionV relativeFrom="paragraph">
                  <wp:posOffset>80645</wp:posOffset>
                </wp:positionV>
                <wp:extent cx="5986780" cy="8890"/>
                <wp:effectExtent l="0" t="0" r="33655" b="29845"/>
                <wp:wrapNone/>
                <wp:docPr id="7" name="直接连接符 7"/>
                <wp:cNvGraphicFramePr/>
                <a:graphic xmlns:a="http://schemas.openxmlformats.org/drawingml/2006/main">
                  <a:graphicData uri="http://schemas.microsoft.com/office/word/2010/wordprocessingShape">
                    <wps:wsp>
                      <wps:cNvCnPr/>
                      <wps:spPr bwMode="auto">
                        <a:xfrm flipV="1">
                          <a:off x="0" y="0"/>
                          <a:ext cx="5986780" cy="889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9.6pt;margin-top:6.35pt;height:0.7pt;width:471.4pt;z-index:251662336;mso-width-relative:page;mso-height-relative:page;" filled="f" stroked="t" coordsize="21600,21600" o:gfxdata="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4J2B1wAAAAkBAAAPAAAAAAAAAAEAIAAA&#10;ACIAAABkcnMvZG93bnJldi54bWxQSwECFAAUAAAACACHTuJAqyN1MtQBAACFAwAADgAAAAAAAAAB&#10;ACAAAAAmAQAAZHJzL2Uyb0RvYy54bWxQSwUGAAAAAAYABgBZAQAAbAUAAAAA&#10;">
                <v:fill on="f" focussize="0,0"/>
                <v:stroke color="#000000" joinstyle="round"/>
                <v:imagedata o:title=""/>
                <o:lock v:ext="edit" aspectratio="f"/>
              </v:line>
            </w:pict>
          </mc:Fallback>
        </mc:AlternateContent>
      </w:r>
      <w:r>
        <w:rPr>
          <w:rFonts w:hint="default" w:ascii="Times New Roman" w:hAnsi="Times New Roman" w:cs="Times New Roman"/>
          <w:b/>
          <w:bCs/>
          <w:sz w:val="28"/>
        </w:rPr>
        <w:t>中国电力建设企业协会  发  布</w:t>
      </w:r>
    </w:p>
    <w:p w14:paraId="0E95BEA9">
      <w:pPr>
        <w:pStyle w:val="97"/>
        <w:spacing w:after="360" w:line="360" w:lineRule="auto"/>
        <w:rPr>
          <w:rFonts w:hint="default" w:ascii="Times New Roman" w:hAnsi="Times New Roman" w:cs="Times New Roman"/>
          <w:color w:val="000000" w:themeColor="text1"/>
          <w:spacing w:val="320"/>
          <w14:textFill>
            <w14:solidFill>
              <w14:schemeClr w14:val="tx1"/>
            </w14:solidFill>
          </w14:textFill>
        </w:rPr>
      </w:pPr>
      <w:bookmarkStart w:id="8" w:name="_Toc28477"/>
      <w:bookmarkStart w:id="9" w:name="_Toc9746"/>
      <w:bookmarkStart w:id="10" w:name="_Toc11985"/>
    </w:p>
    <w:p w14:paraId="5E1155A2">
      <w:pPr>
        <w:pStyle w:val="97"/>
        <w:keepNext w:val="0"/>
        <w:keepLines w:val="0"/>
        <w:pageBreakBefore w:val="0"/>
        <w:widowControl w:val="0"/>
        <w:kinsoku/>
        <w:wordWrap/>
        <w:overflowPunct/>
        <w:topLinePunct w:val="0"/>
        <w:autoSpaceDE/>
        <w:autoSpaceDN/>
        <w:bidi w:val="0"/>
        <w:adjustRightInd/>
        <w:snapToGrid/>
        <w:spacing w:after="480" w:afterLines="0" w:line="360" w:lineRule="auto"/>
        <w:textAlignment w:val="auto"/>
        <w:rPr>
          <w:rFonts w:hint="default" w:ascii="Times New Roman" w:hAnsi="Times New Roman" w:cs="Times New Roman"/>
          <w:color w:val="000000" w:themeColor="text1"/>
          <w:spacing w:val="0"/>
          <w:kern w:val="0"/>
          <w:sz w:val="32"/>
          <w14:textFill>
            <w14:solidFill>
              <w14:schemeClr w14:val="tx1"/>
            </w14:solidFill>
          </w14:textFill>
        </w:rPr>
      </w:pPr>
      <w:r>
        <w:rPr>
          <w:rFonts w:hint="default" w:ascii="Times New Roman" w:hAnsi="Times New Roman" w:cs="Times New Roman"/>
          <w:color w:val="000000" w:themeColor="text1"/>
          <w:spacing w:val="0"/>
          <w:kern w:val="0"/>
          <w:sz w:val="32"/>
          <w14:textFill>
            <w14:solidFill>
              <w14:schemeClr w14:val="tx1"/>
            </w14:solidFill>
          </w14:textFill>
        </w:rPr>
        <w:t>目</w:t>
      </w:r>
      <w:bookmarkStart w:id="11" w:name="BKML"/>
      <w:r>
        <w:rPr>
          <w:rFonts w:hint="default" w:ascii="Times New Roman" w:hAnsi="Times New Roman" w:cs="Times New Roman"/>
          <w:color w:val="000000" w:themeColor="text1"/>
          <w:spacing w:val="0"/>
          <w:kern w:val="0"/>
          <w:sz w:val="32"/>
          <w14:textFill>
            <w14:solidFill>
              <w14:schemeClr w14:val="tx1"/>
            </w14:solidFill>
          </w14:textFill>
        </w:rPr>
        <w:t>  次</w:t>
      </w:r>
      <w:bookmarkEnd w:id="8"/>
      <w:bookmarkEnd w:id="9"/>
      <w:bookmarkEnd w:id="10"/>
      <w:bookmarkEnd w:id="11"/>
    </w:p>
    <w:p w14:paraId="238FF230">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color w:val="000000" w:themeColor="text1"/>
          <w14:textFill>
            <w14:solidFill>
              <w14:schemeClr w14:val="tx1"/>
            </w14:solidFill>
          </w14:textFill>
        </w:rPr>
        <w:instrText xml:space="preserve">TOC \o "1-1" \h \u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_Toc8670 </w:instrText>
      </w:r>
      <w:r>
        <w:rPr>
          <w:rFonts w:hint="default" w:ascii="Times New Roman" w:hAnsi="Times New Roman" w:cs="Times New Roman"/>
        </w:rPr>
        <w:fldChar w:fldCharType="separate"/>
      </w:r>
      <w:r>
        <w:rPr>
          <w:rFonts w:hint="default" w:ascii="Times New Roman" w:hAnsi="Times New Roman" w:cs="Times New Roman"/>
          <w:spacing w:val="320"/>
        </w:rPr>
        <w:t>前</w:t>
      </w:r>
      <w:r>
        <w:rPr>
          <w:rFonts w:hint="default" w:ascii="Times New Roman" w:hAnsi="Times New Roman" w:cs="Times New Roman"/>
        </w:rPr>
        <w:t>言</w:t>
      </w:r>
      <w:r>
        <w:tab/>
      </w:r>
      <w:r>
        <w:fldChar w:fldCharType="begin"/>
      </w:r>
      <w:r>
        <w:instrText xml:space="preserve"> PAGEREF _Toc8670 \h </w:instrText>
      </w:r>
      <w:r>
        <w:fldChar w:fldCharType="separate"/>
      </w:r>
      <w:r>
        <w:t>III</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6E9F9FC3">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_Toc15618 </w:instrText>
      </w:r>
      <w:r>
        <w:rPr>
          <w:rFonts w:hint="default" w:ascii="Times New Roman" w:hAnsi="Times New Roman" w:cs="Times New Roman"/>
        </w:rPr>
        <w:fldChar w:fldCharType="separate"/>
      </w:r>
      <w:r>
        <w:rPr>
          <w:rFonts w:hint="eastAsia" w:ascii="黑体" w:hAnsi="Times New Roman" w:eastAsia="黑体" w:cs="Times New Roman"/>
          <w:i w:val="0"/>
        </w:rPr>
        <w:t xml:space="preserve">1 </w:t>
      </w:r>
      <w:r>
        <w:rPr>
          <w:rFonts w:hint="default" w:ascii="Times New Roman" w:hAnsi="Times New Roman" w:cs="Times New Roman"/>
        </w:rPr>
        <w:t>范围</w:t>
      </w:r>
      <w:r>
        <w:tab/>
      </w:r>
      <w:r>
        <w:fldChar w:fldCharType="begin"/>
      </w:r>
      <w:r>
        <w:instrText xml:space="preserve"> PAGEREF _Toc15618 \h </w:instrText>
      </w:r>
      <w:r>
        <w:fldChar w:fldCharType="separate"/>
      </w:r>
      <w:r>
        <w:t>1</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47B0B10D">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_Toc16589 </w:instrText>
      </w:r>
      <w:r>
        <w:rPr>
          <w:rFonts w:hint="default" w:ascii="Times New Roman" w:hAnsi="Times New Roman" w:cs="Times New Roman"/>
        </w:rPr>
        <w:fldChar w:fldCharType="separate"/>
      </w:r>
      <w:r>
        <w:rPr>
          <w:rFonts w:hint="eastAsia" w:ascii="黑体" w:hAnsi="Times New Roman" w:eastAsia="黑体" w:cs="Times New Roman"/>
          <w:i w:val="0"/>
        </w:rPr>
        <w:t xml:space="preserve">2 </w:t>
      </w:r>
      <w:r>
        <w:rPr>
          <w:rFonts w:hint="default" w:ascii="Times New Roman" w:hAnsi="Times New Roman" w:cs="Times New Roman"/>
        </w:rPr>
        <w:t>规范性引用文件</w:t>
      </w:r>
      <w:r>
        <w:tab/>
      </w:r>
      <w:r>
        <w:fldChar w:fldCharType="begin"/>
      </w:r>
      <w:r>
        <w:instrText xml:space="preserve"> PAGEREF _Toc16589 \h </w:instrText>
      </w:r>
      <w:r>
        <w:fldChar w:fldCharType="separate"/>
      </w:r>
      <w:r>
        <w:t>1</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1BC6DF1B">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_Toc7545 </w:instrText>
      </w:r>
      <w:r>
        <w:rPr>
          <w:rFonts w:hint="default" w:ascii="Times New Roman" w:hAnsi="Times New Roman" w:cs="Times New Roman"/>
        </w:rPr>
        <w:fldChar w:fldCharType="separate"/>
      </w:r>
      <w:r>
        <w:rPr>
          <w:rFonts w:hint="eastAsia" w:ascii="黑体" w:hAnsi="Times New Roman" w:eastAsia="黑体" w:cs="Times New Roman"/>
          <w:i w:val="0"/>
        </w:rPr>
        <w:t xml:space="preserve">3 </w:t>
      </w:r>
      <w:r>
        <w:rPr>
          <w:rFonts w:hint="default" w:ascii="Times New Roman" w:hAnsi="Times New Roman" w:cs="Times New Roman"/>
        </w:rPr>
        <w:t>术语和定义</w:t>
      </w:r>
      <w:r>
        <w:tab/>
      </w:r>
      <w:r>
        <w:fldChar w:fldCharType="begin"/>
      </w:r>
      <w:r>
        <w:instrText xml:space="preserve"> PAGEREF _Toc7545 \h </w:instrText>
      </w:r>
      <w:r>
        <w:fldChar w:fldCharType="separate"/>
      </w:r>
      <w:r>
        <w:t>2</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4FDDF69D">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_Toc22589 </w:instrText>
      </w:r>
      <w:r>
        <w:rPr>
          <w:rFonts w:hint="default" w:ascii="Times New Roman" w:hAnsi="Times New Roman" w:cs="Times New Roman"/>
        </w:rPr>
        <w:fldChar w:fldCharType="separate"/>
      </w:r>
      <w:r>
        <w:rPr>
          <w:rFonts w:hint="eastAsia" w:ascii="黑体" w:hAnsi="Times New Roman" w:eastAsia="黑体" w:cs="Times New Roman"/>
          <w:i w:val="0"/>
        </w:rPr>
        <w:t xml:space="preserve">4 </w:t>
      </w:r>
      <w:r>
        <w:rPr>
          <w:rFonts w:hint="default" w:ascii="Times New Roman" w:hAnsi="Times New Roman" w:cs="Times New Roman"/>
        </w:rPr>
        <w:t>总</w:t>
      </w:r>
      <w:r>
        <w:rPr>
          <w:rFonts w:hint="default" w:ascii="Times New Roman" w:hAnsi="Times New Roman" w:cs="Times New Roman"/>
          <w:lang w:val="en-US" w:eastAsia="zh-CN"/>
        </w:rPr>
        <w:t>则</w:t>
      </w:r>
      <w:r>
        <w:tab/>
      </w:r>
      <w:r>
        <w:fldChar w:fldCharType="begin"/>
      </w:r>
      <w:r>
        <w:instrText xml:space="preserve"> PAGEREF _Toc22589 \h </w:instrText>
      </w:r>
      <w:r>
        <w:fldChar w:fldCharType="separate"/>
      </w:r>
      <w:r>
        <w:t>2</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233A0E30">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_Toc23240 </w:instrText>
      </w:r>
      <w:r>
        <w:rPr>
          <w:rFonts w:hint="default" w:ascii="Times New Roman" w:hAnsi="Times New Roman" w:cs="Times New Roman"/>
        </w:rPr>
        <w:fldChar w:fldCharType="separate"/>
      </w:r>
      <w:r>
        <w:rPr>
          <w:rFonts w:hint="eastAsia" w:ascii="黑体" w:hAnsi="Times New Roman" w:eastAsia="黑体" w:cs="Times New Roman"/>
          <w:i w:val="0"/>
        </w:rPr>
        <w:t xml:space="preserve">5 </w:t>
      </w:r>
      <w:r>
        <w:rPr>
          <w:rFonts w:hint="default" w:ascii="Times New Roman" w:hAnsi="Times New Roman" w:cs="Times New Roman"/>
          <w:lang w:val="en-US" w:eastAsia="zh-CN"/>
        </w:rPr>
        <w:t>基本要求</w:t>
      </w:r>
      <w:r>
        <w:tab/>
      </w:r>
      <w:r>
        <w:fldChar w:fldCharType="begin"/>
      </w:r>
      <w:r>
        <w:instrText xml:space="preserve"> PAGEREF _Toc23240 \h </w:instrText>
      </w:r>
      <w:r>
        <w:fldChar w:fldCharType="separate"/>
      </w:r>
      <w:r>
        <w:t>3</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22ECD76F">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_Toc2828 </w:instrText>
      </w:r>
      <w:r>
        <w:rPr>
          <w:rFonts w:hint="default" w:ascii="Times New Roman" w:hAnsi="Times New Roman" w:cs="Times New Roman"/>
        </w:rPr>
        <w:fldChar w:fldCharType="separate"/>
      </w:r>
      <w:r>
        <w:rPr>
          <w:rFonts w:hint="eastAsia" w:ascii="黑体" w:hAnsi="Times New Roman" w:eastAsia="黑体" w:cs="Times New Roman"/>
          <w:i w:val="0"/>
          <w:lang w:val="en-US" w:eastAsia="zh-CN"/>
        </w:rPr>
        <w:t xml:space="preserve">6 </w:t>
      </w:r>
      <w:r>
        <w:rPr>
          <w:rFonts w:hint="default" w:ascii="Times New Roman" w:hAnsi="Times New Roman" w:cs="Times New Roman"/>
          <w:lang w:val="en-US" w:eastAsia="zh-CN"/>
        </w:rPr>
        <w:t>到货验收</w:t>
      </w:r>
      <w:r>
        <w:tab/>
      </w:r>
      <w:r>
        <w:fldChar w:fldCharType="begin"/>
      </w:r>
      <w:r>
        <w:instrText xml:space="preserve"> PAGEREF _Toc2828 \h </w:instrText>
      </w:r>
      <w:r>
        <w:fldChar w:fldCharType="separate"/>
      </w:r>
      <w:r>
        <w:t>3</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2435B9AA">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_Toc8518 </w:instrText>
      </w:r>
      <w:r>
        <w:rPr>
          <w:rFonts w:hint="default" w:ascii="Times New Roman" w:hAnsi="Times New Roman" w:cs="Times New Roman"/>
        </w:rPr>
        <w:fldChar w:fldCharType="separate"/>
      </w:r>
      <w:r>
        <w:rPr>
          <w:rFonts w:hint="eastAsia" w:ascii="黑体" w:hAnsi="Times New Roman" w:eastAsia="黑体" w:cs="Times New Roman"/>
          <w:i w:val="0"/>
          <w:lang w:val="en-US" w:eastAsia="zh-CN"/>
        </w:rPr>
        <w:t xml:space="preserve">7 </w:t>
      </w:r>
      <w:r>
        <w:rPr>
          <w:rFonts w:hint="default" w:ascii="Times New Roman" w:hAnsi="Times New Roman" w:cs="Times New Roman"/>
          <w:highlight w:val="none"/>
          <w:lang w:val="en-US" w:eastAsia="zh-CN"/>
        </w:rPr>
        <w:t>设备安装</w:t>
      </w:r>
      <w:r>
        <w:tab/>
      </w:r>
      <w:r>
        <w:fldChar w:fldCharType="begin"/>
      </w:r>
      <w:r>
        <w:instrText xml:space="preserve"> PAGEREF _Toc8518 \h </w:instrText>
      </w:r>
      <w:r>
        <w:fldChar w:fldCharType="separate"/>
      </w:r>
      <w:r>
        <w:t>5</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4CA92F0C">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_Toc15737 </w:instrText>
      </w:r>
      <w:r>
        <w:rPr>
          <w:rFonts w:hint="default" w:ascii="Times New Roman" w:hAnsi="Times New Roman" w:cs="Times New Roman"/>
        </w:rPr>
        <w:fldChar w:fldCharType="separate"/>
      </w:r>
      <w:r>
        <w:rPr>
          <w:rFonts w:hint="eastAsia" w:ascii="黑体" w:hAnsi="Times New Roman" w:eastAsia="黑体" w:cs="Times New Roman"/>
          <w:i w:val="0"/>
          <w:lang w:val="en-US" w:eastAsia="zh-CN"/>
        </w:rPr>
        <w:t xml:space="preserve">8 </w:t>
      </w:r>
      <w:r>
        <w:rPr>
          <w:rFonts w:hint="default" w:ascii="Times New Roman" w:hAnsi="Times New Roman" w:cs="Times New Roman"/>
          <w:lang w:val="en-US" w:eastAsia="zh-CN"/>
        </w:rPr>
        <w:t>交接试验</w:t>
      </w:r>
      <w:r>
        <w:tab/>
      </w:r>
      <w:r>
        <w:fldChar w:fldCharType="begin"/>
      </w:r>
      <w:r>
        <w:instrText xml:space="preserve"> PAGEREF _Toc15737 \h </w:instrText>
      </w:r>
      <w:r>
        <w:fldChar w:fldCharType="separate"/>
      </w:r>
      <w:r>
        <w:t>22</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6A429FDE">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_Toc4199 </w:instrText>
      </w:r>
      <w:r>
        <w:rPr>
          <w:rFonts w:hint="default" w:ascii="Times New Roman" w:hAnsi="Times New Roman" w:cs="Times New Roman"/>
        </w:rPr>
        <w:fldChar w:fldCharType="separate"/>
      </w:r>
      <w:r>
        <w:rPr>
          <w:rFonts w:hint="eastAsia" w:ascii="黑体" w:hAnsi="Times New Roman" w:eastAsia="黑体" w:cs="Times New Roman"/>
          <w:i w:val="0"/>
          <w:lang w:val="en-US" w:eastAsia="zh-CN"/>
        </w:rPr>
        <w:t xml:space="preserve">9 </w:t>
      </w:r>
      <w:r>
        <w:rPr>
          <w:rFonts w:hint="default" w:ascii="Times New Roman" w:hAnsi="Times New Roman" w:cs="Times New Roman"/>
          <w:lang w:val="en-US" w:eastAsia="zh-CN"/>
        </w:rPr>
        <w:t>保护调试</w:t>
      </w:r>
      <w:r>
        <w:tab/>
      </w:r>
      <w:r>
        <w:fldChar w:fldCharType="begin"/>
      </w:r>
      <w:r>
        <w:instrText xml:space="preserve"> PAGEREF _Toc4199 \h </w:instrText>
      </w:r>
      <w:r>
        <w:fldChar w:fldCharType="separate"/>
      </w:r>
      <w:r>
        <w:t>25</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57F0A6E9">
      <w:pPr>
        <w:pStyle w:val="21"/>
        <w:tabs>
          <w:tab w:val="right" w:leader="dot" w:pos="9354"/>
        </w:tabs>
      </w:pPr>
      <w:r>
        <w:rPr>
          <w:rFonts w:hint="default" w:ascii="Times New Roman" w:hAnsi="Times New Roman" w:cs="Times New Roman"/>
          <w:color w:val="000000" w:themeColor="text1"/>
          <w14:textFill>
            <w14:solidFill>
              <w14:schemeClr w14:val="tx1"/>
            </w14:solidFill>
          </w14:textFill>
        </w:rPr>
        <w:fldChar w:fldCharType="begin"/>
      </w:r>
      <w:r>
        <w:rPr>
          <w:rFonts w:hint="default" w:ascii="Times New Roman" w:hAnsi="Times New Roman" w:cs="Times New Roman"/>
        </w:rPr>
        <w:instrText xml:space="preserve"> HYPERLINK \l _Toc5242 </w:instrText>
      </w:r>
      <w:r>
        <w:rPr>
          <w:rFonts w:hint="default" w:ascii="Times New Roman" w:hAnsi="Times New Roman" w:cs="Times New Roman"/>
        </w:rPr>
        <w:fldChar w:fldCharType="separate"/>
      </w:r>
      <w:r>
        <w:rPr>
          <w:rFonts w:hint="eastAsia" w:ascii="黑体" w:hAnsi="Times New Roman" w:eastAsia="黑体" w:cs="Times New Roman"/>
          <w:i w:val="0"/>
          <w:lang w:val="en-US" w:eastAsia="zh-CN"/>
        </w:rPr>
        <w:t xml:space="preserve">10 </w:t>
      </w:r>
      <w:r>
        <w:rPr>
          <w:rFonts w:hint="default" w:ascii="Times New Roman" w:hAnsi="Times New Roman" w:cs="Times New Roman"/>
          <w:lang w:val="en-US" w:eastAsia="zh-CN"/>
        </w:rPr>
        <w:t>工程验收</w:t>
      </w:r>
      <w:r>
        <w:tab/>
      </w:r>
      <w:r>
        <w:fldChar w:fldCharType="begin"/>
      </w:r>
      <w:r>
        <w:instrText xml:space="preserve"> PAGEREF _Toc5242 \h </w:instrText>
      </w:r>
      <w:r>
        <w:fldChar w:fldCharType="separate"/>
      </w:r>
      <w:r>
        <w:t>29</w:t>
      </w:r>
      <w:r>
        <w:fldChar w:fldCharType="end"/>
      </w:r>
      <w:r>
        <w:rPr>
          <w:rFonts w:hint="default" w:ascii="Times New Roman" w:hAnsi="Times New Roman" w:cs="Times New Roman"/>
          <w:color w:val="000000" w:themeColor="text1"/>
          <w14:textFill>
            <w14:solidFill>
              <w14:schemeClr w14:val="tx1"/>
            </w14:solidFill>
          </w14:textFill>
        </w:rPr>
        <w:fldChar w:fldCharType="end"/>
      </w:r>
    </w:p>
    <w:p w14:paraId="6A243FB8">
      <w:pPr>
        <w:pStyle w:val="97"/>
        <w:spacing w:after="360" w:line="360" w:lineRule="auto"/>
        <w:rPr>
          <w:rFonts w:hint="default" w:ascii="Times New Roman" w:hAnsi="Times New Roman" w:cs="Times New Roman"/>
          <w:color w:val="000000" w:themeColor="text1"/>
          <w14:textFill>
            <w14:solidFill>
              <w14:schemeClr w14:val="tx1"/>
            </w14:solidFill>
          </w14:textFill>
        </w:rPr>
        <w:sectPr>
          <w:headerReference r:id="rId5" w:type="default"/>
          <w:footerReference r:id="rId7" w:type="default"/>
          <w:headerReference r:id="rId6"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rPr>
          <w:rFonts w:hint="default" w:ascii="Times New Roman" w:hAnsi="Times New Roman" w:cs="Times New Roman"/>
          <w:color w:val="000000" w:themeColor="text1"/>
          <w14:textFill>
            <w14:solidFill>
              <w14:schemeClr w14:val="tx1"/>
            </w14:solidFill>
          </w14:textFill>
        </w:rPr>
        <w:fldChar w:fldCharType="end"/>
      </w:r>
    </w:p>
    <w:bookmarkEnd w:id="0"/>
    <w:p w14:paraId="5E654C63">
      <w:pPr>
        <w:pStyle w:val="95"/>
        <w:keepNext w:val="0"/>
        <w:keepLines w:val="0"/>
        <w:pageBreakBefore w:val="0"/>
        <w:widowControl/>
        <w:kinsoku/>
        <w:wordWrap/>
        <w:overflowPunct/>
        <w:topLinePunct w:val="0"/>
        <w:autoSpaceDE/>
        <w:autoSpaceDN/>
        <w:bidi w:val="0"/>
        <w:adjustRightInd/>
        <w:snapToGrid/>
        <w:spacing w:before="900" w:after="360" w:line="360" w:lineRule="auto"/>
        <w:ind w:left="425" w:hanging="425"/>
        <w:textAlignment w:val="auto"/>
        <w:outlineLvl w:val="0"/>
        <w:rPr>
          <w:rFonts w:hint="default" w:ascii="Times New Roman" w:hAnsi="Times New Roman" w:cs="Times New Roman"/>
          <w:color w:val="000000" w:themeColor="text1"/>
          <w14:textFill>
            <w14:solidFill>
              <w14:schemeClr w14:val="tx1"/>
            </w14:solidFill>
          </w14:textFill>
        </w:rPr>
      </w:pPr>
      <w:bookmarkStart w:id="12" w:name="_Toc29009"/>
      <w:bookmarkStart w:id="13" w:name="_Toc191538957"/>
      <w:bookmarkStart w:id="14" w:name="_Toc24697"/>
      <w:bookmarkStart w:id="15" w:name="_Toc183188532"/>
      <w:bookmarkStart w:id="16" w:name="_Toc8670"/>
      <w:bookmarkStart w:id="17" w:name="BookMark2"/>
      <w:r>
        <w:rPr>
          <w:rFonts w:hint="default" w:ascii="Times New Roman" w:hAnsi="Times New Roman" w:cs="Times New Roman"/>
          <w:color w:val="000000" w:themeColor="text1"/>
          <w:spacing w:val="320"/>
          <w14:textFill>
            <w14:solidFill>
              <w14:schemeClr w14:val="tx1"/>
            </w14:solidFill>
          </w14:textFill>
        </w:rPr>
        <w:t>前</w:t>
      </w:r>
      <w:r>
        <w:rPr>
          <w:rFonts w:hint="default" w:ascii="Times New Roman" w:hAnsi="Times New Roman" w:cs="Times New Roman"/>
          <w:color w:val="000000" w:themeColor="text1"/>
          <w14:textFill>
            <w14:solidFill>
              <w14:schemeClr w14:val="tx1"/>
            </w14:solidFill>
          </w14:textFill>
        </w:rPr>
        <w:t>言</w:t>
      </w:r>
      <w:bookmarkEnd w:id="1"/>
      <w:bookmarkEnd w:id="2"/>
      <w:bookmarkEnd w:id="12"/>
      <w:bookmarkEnd w:id="13"/>
      <w:bookmarkEnd w:id="14"/>
      <w:bookmarkEnd w:id="15"/>
      <w:bookmarkEnd w:id="16"/>
    </w:p>
    <w:p w14:paraId="612E73B5">
      <w:pPr>
        <w:pStyle w:val="62"/>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w:t>
      </w:r>
      <w:r>
        <w:rPr>
          <w:rFonts w:hint="default" w:ascii="Times New Roman" w:hAnsi="Times New Roman" w:cs="Times New Roman"/>
          <w:color w:val="000000" w:themeColor="text1"/>
          <w:highlight w:val="none"/>
          <w14:textFill>
            <w14:solidFill>
              <w14:schemeClr w14:val="tx1"/>
            </w14:solidFill>
          </w14:textFill>
        </w:rPr>
        <w:t>按照GB/T 1.1-2020《标准化工作导则第1部分：标准化文件的机构和起草规则》、GB∕T</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20001.5-2017《标准编写规则</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第5部分：规范标准》</w:t>
      </w:r>
      <w:r>
        <w:rPr>
          <w:rFonts w:hint="default" w:ascii="Times New Roman" w:hAnsi="Times New Roman" w:cs="Times New Roman"/>
          <w:color w:val="000000" w:themeColor="text1"/>
          <w14:textFill>
            <w14:solidFill>
              <w14:schemeClr w14:val="tx1"/>
            </w14:solidFill>
          </w14:textFill>
        </w:rPr>
        <w:t>的规定起草。</w:t>
      </w:r>
    </w:p>
    <w:p w14:paraId="24139647">
      <w:pPr>
        <w:pStyle w:val="62"/>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请注意本文件的某些内容可能涉及专利。本文件的发布机构不承担识别专利的责任。</w:t>
      </w:r>
    </w:p>
    <w:p w14:paraId="7BFAFF12">
      <w:pPr>
        <w:pStyle w:val="62"/>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本文件由中国电力建设企业协会标准化工作委员会提出。</w:t>
      </w:r>
    </w:p>
    <w:p w14:paraId="324307C1">
      <w:pPr>
        <w:pStyle w:val="62"/>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本文件由中国电力建设企业协会归口。</w:t>
      </w:r>
    </w:p>
    <w:p w14:paraId="17CA8DBA">
      <w:pPr>
        <w:pStyle w:val="62"/>
        <w:spacing w:line="360" w:lineRule="auto"/>
        <w:ind w:firstLine="42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本文件起草单位：</w:t>
      </w:r>
      <w:r>
        <w:rPr>
          <w:rFonts w:hint="default" w:ascii="Times New Roman" w:hAnsi="Times New Roman" w:cs="Times New Roman"/>
          <w:color w:val="000000" w:themeColor="text1"/>
          <w:shd w:val="clear" w:color="FFFFFF" w:fill="D9D9D9"/>
          <w:lang w:eastAsia="zh-CN"/>
          <w14:textFill>
            <w14:solidFill>
              <w14:schemeClr w14:val="tx1"/>
            </w14:solidFill>
          </w14:textFill>
        </w:rPr>
        <w:t>……</w:t>
      </w:r>
    </w:p>
    <w:p w14:paraId="72EE4FCD">
      <w:pPr>
        <w:pStyle w:val="62"/>
        <w:spacing w:line="360" w:lineRule="auto"/>
        <w:ind w:firstLine="420"/>
        <w:rPr>
          <w:rFonts w:hint="default" w:ascii="Times New Roman" w:hAnsi="Times New Roman" w:eastAsia="宋体"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本文件主要起草人：</w:t>
      </w:r>
      <w:r>
        <w:rPr>
          <w:rFonts w:hint="default" w:ascii="Times New Roman" w:hAnsi="Times New Roman" w:cs="Times New Roman"/>
          <w:color w:val="000000" w:themeColor="text1"/>
          <w:shd w:val="clear" w:color="FFFFFF" w:fill="D9D9D9"/>
          <w:lang w:eastAsia="zh-CN"/>
          <w14:textFill>
            <w14:solidFill>
              <w14:schemeClr w14:val="tx1"/>
            </w14:solidFill>
          </w14:textFill>
        </w:rPr>
        <w:t>……</w:t>
      </w:r>
    </w:p>
    <w:p w14:paraId="48CCB37A">
      <w:pPr>
        <w:pStyle w:val="62"/>
        <w:spacing w:line="360" w:lineRule="auto"/>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本文件首次发布。</w:t>
      </w:r>
    </w:p>
    <w:p w14:paraId="27851304">
      <w:pPr>
        <w:pStyle w:val="62"/>
        <w:spacing w:line="360" w:lineRule="auto"/>
        <w:ind w:firstLine="420"/>
        <w:rPr>
          <w:rFonts w:hint="default" w:ascii="Times New Roman" w:hAnsi="Times New Roman" w:cs="Times New Roman"/>
          <w:color w:val="000000" w:themeColor="text1"/>
          <w14:textFill>
            <w14:solidFill>
              <w14:schemeClr w14:val="tx1"/>
            </w14:solidFill>
          </w14:textFill>
        </w:rPr>
      </w:pPr>
    </w:p>
    <w:p w14:paraId="3387A7FA">
      <w:pPr>
        <w:pStyle w:val="62"/>
        <w:spacing w:line="360" w:lineRule="auto"/>
        <w:ind w:firstLine="420"/>
        <w:rPr>
          <w:rFonts w:hint="default" w:ascii="Times New Roman" w:hAnsi="Times New Roman" w:cs="Times New Roman"/>
          <w:color w:val="000000" w:themeColor="text1"/>
          <w14:textFill>
            <w14:solidFill>
              <w14:schemeClr w14:val="tx1"/>
            </w14:solidFill>
          </w14:textFill>
        </w:rPr>
        <w:sectPr>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p>
    <w:bookmarkEnd w:id="17"/>
    <w:p w14:paraId="228029B4">
      <w:pPr>
        <w:pStyle w:val="183"/>
        <w:spacing w:line="360" w:lineRule="auto"/>
        <w:rPr>
          <w:rFonts w:hint="default" w:ascii="Times New Roman" w:hAnsi="Times New Roman" w:cs="Times New Roman"/>
          <w:color w:val="000000"/>
        </w:rPr>
      </w:pPr>
      <w:bookmarkStart w:id="18" w:name="_Toc12591"/>
      <w:bookmarkStart w:id="19" w:name="_Toc1097"/>
      <w:bookmarkStart w:id="20" w:name="NEW_STAND_NAME"/>
      <w:bookmarkStart w:id="21" w:name="BookMark4"/>
      <w:r>
        <w:rPr>
          <w:rFonts w:hint="default" w:ascii="Times New Roman" w:hAnsi="Times New Roman" w:cs="Times New Roman"/>
          <w:lang w:eastAsia="zh-CN"/>
        </w:rPr>
        <w:t>电力变压器</w:t>
      </w:r>
      <w:r>
        <w:rPr>
          <w:rFonts w:hint="eastAsia" w:ascii="Times New Roman" w:hAnsi="Times New Roman" w:cs="Times New Roman"/>
          <w:lang w:val="en-US" w:eastAsia="zh-CN"/>
        </w:rPr>
        <w:t>和</w:t>
      </w:r>
      <w:r>
        <w:rPr>
          <w:rFonts w:hint="default" w:ascii="Times New Roman" w:hAnsi="Times New Roman" w:cs="Times New Roman"/>
          <w:lang w:eastAsia="zh-CN"/>
        </w:rPr>
        <w:t>气体绝缘金属封闭开关施工及质量验收</w:t>
      </w:r>
      <w:bookmarkEnd w:id="18"/>
      <w:bookmarkEnd w:id="19"/>
      <w:r>
        <w:rPr>
          <w:rFonts w:hint="default" w:ascii="Times New Roman" w:hAnsi="Times New Roman" w:cs="Times New Roman"/>
          <w:lang w:eastAsia="zh-CN"/>
        </w:rPr>
        <w:t>规范</w:t>
      </w:r>
    </w:p>
    <w:bookmarkEnd w:id="20"/>
    <w:p w14:paraId="3534EBCF">
      <w:pPr>
        <w:pStyle w:val="110"/>
        <w:spacing w:before="240" w:after="240" w:line="360" w:lineRule="auto"/>
        <w:rPr>
          <w:rFonts w:hint="default" w:ascii="Times New Roman" w:hAnsi="Times New Roman" w:cs="Times New Roman"/>
          <w:color w:val="000000"/>
        </w:rPr>
      </w:pPr>
      <w:bookmarkStart w:id="22" w:name="_Toc15618"/>
      <w:bookmarkStart w:id="23" w:name="_Toc26648465"/>
      <w:bookmarkStart w:id="24" w:name="_Toc26986530"/>
      <w:bookmarkStart w:id="25" w:name="_Toc24884211"/>
      <w:bookmarkStart w:id="26" w:name="_Toc170375724"/>
      <w:bookmarkStart w:id="27" w:name="_Toc26986771"/>
      <w:bookmarkStart w:id="28" w:name="_Toc17233325"/>
      <w:bookmarkStart w:id="29" w:name="_Toc17233333"/>
      <w:bookmarkStart w:id="30" w:name="_Toc191538959"/>
      <w:bookmarkStart w:id="31" w:name="_Toc16892"/>
      <w:bookmarkStart w:id="32" w:name="_Toc26718930"/>
      <w:bookmarkStart w:id="33" w:name="_Toc168660551"/>
      <w:bookmarkStart w:id="34" w:name="_Toc97192964"/>
      <w:bookmarkStart w:id="35" w:name="_Toc183188534"/>
      <w:bookmarkStart w:id="36" w:name="_Toc24884218"/>
      <w:bookmarkStart w:id="37" w:name="_Toc5724"/>
      <w:r>
        <w:rPr>
          <w:rFonts w:hint="default" w:ascii="Times New Roman" w:hAnsi="Times New Roman" w:cs="Times New Roman"/>
          <w:color w:val="000000"/>
        </w:rPr>
        <w:t>范围</w:t>
      </w:r>
      <w:bookmarkEnd w:id="22"/>
    </w:p>
    <w:p w14:paraId="44840C27">
      <w:pPr>
        <w:pStyle w:val="245"/>
        <w:rPr>
          <w:rFonts w:hint="default" w:ascii="Times New Roman" w:hAnsi="Times New Roman" w:cs="Times New Roman"/>
          <w:shd w:val="clear" w:color="auto" w:fill="auto"/>
          <w:lang w:eastAsia="zh-CN"/>
        </w:rPr>
      </w:pPr>
      <w:r>
        <w:rPr>
          <w:rFonts w:hint="default" w:ascii="Times New Roman" w:hAnsi="Times New Roman" w:cs="Times New Roman"/>
          <w:shd w:val="clear" w:color="auto" w:fill="auto"/>
        </w:rPr>
        <w:t>本</w:t>
      </w:r>
      <w:r>
        <w:rPr>
          <w:rFonts w:hint="default" w:ascii="Times New Roman" w:hAnsi="Times New Roman" w:cs="Times New Roman"/>
          <w:shd w:val="clear" w:color="auto" w:fill="auto"/>
          <w:lang w:val="en-US" w:eastAsia="zh-CN"/>
        </w:rPr>
        <w:t>文件规定</w:t>
      </w:r>
      <w:r>
        <w:rPr>
          <w:rFonts w:hint="default" w:ascii="Times New Roman" w:hAnsi="Times New Roman" w:cs="Times New Roman"/>
          <w:shd w:val="clear" w:color="auto" w:fill="auto"/>
        </w:rPr>
        <w:t>了</w:t>
      </w:r>
      <w:r>
        <w:rPr>
          <w:rFonts w:hint="default" w:ascii="Times New Roman" w:hAnsi="Times New Roman" w:cs="Times New Roman"/>
          <w:shd w:val="clear" w:color="auto" w:fill="auto"/>
          <w:lang w:val="en-US" w:eastAsia="zh-CN"/>
        </w:rPr>
        <w:t>额定电压为35kV～750kV电力</w:t>
      </w:r>
      <w:r>
        <w:rPr>
          <w:rFonts w:hint="default" w:ascii="Times New Roman" w:hAnsi="Times New Roman" w:cs="Times New Roman"/>
          <w:shd w:val="clear" w:color="auto" w:fill="auto"/>
        </w:rPr>
        <w:t>建设</w:t>
      </w:r>
      <w:r>
        <w:rPr>
          <w:rFonts w:hint="default" w:ascii="Times New Roman" w:hAnsi="Times New Roman" w:cs="Times New Roman"/>
          <w:shd w:val="clear" w:color="auto" w:fill="auto"/>
          <w:lang w:val="en-US" w:eastAsia="zh-CN"/>
        </w:rPr>
        <w:t>工程</w:t>
      </w:r>
      <w:r>
        <w:rPr>
          <w:rFonts w:hint="default" w:ascii="Times New Roman" w:hAnsi="Times New Roman" w:cs="Times New Roman"/>
          <w:shd w:val="clear" w:color="auto" w:fill="auto"/>
        </w:rPr>
        <w:t>的电力变压器</w:t>
      </w:r>
      <w:r>
        <w:rPr>
          <w:rFonts w:hint="eastAsia" w:ascii="Times New Roman" w:cs="Times New Roman"/>
          <w:shd w:val="clear" w:color="auto" w:fill="auto"/>
          <w:lang w:val="en-US" w:eastAsia="zh-CN"/>
        </w:rPr>
        <w:t>和</w:t>
      </w:r>
      <w:r>
        <w:rPr>
          <w:rFonts w:hint="default" w:ascii="Times New Roman" w:hAnsi="Times New Roman" w:cs="Times New Roman"/>
          <w:shd w:val="clear" w:color="auto" w:fill="auto"/>
        </w:rPr>
        <w:t>气体绝缘金属封闭开关施工及质量验收要求，包括</w:t>
      </w:r>
      <w:r>
        <w:rPr>
          <w:rFonts w:hint="default" w:ascii="Times New Roman" w:hAnsi="Times New Roman" w:cs="Times New Roman"/>
          <w:shd w:val="clear" w:color="auto" w:fill="auto"/>
          <w:lang w:val="en-US" w:eastAsia="zh-CN"/>
        </w:rPr>
        <w:t>到货验收、设备安装、交接试验、保护调试、工程验收等</w:t>
      </w:r>
      <w:r>
        <w:rPr>
          <w:rFonts w:hint="default" w:ascii="Times New Roman" w:hAnsi="Times New Roman" w:cs="Times New Roman"/>
          <w:shd w:val="clear" w:color="auto" w:fill="auto"/>
        </w:rPr>
        <w:t>。</w:t>
      </w:r>
    </w:p>
    <w:p w14:paraId="0512884E">
      <w:pPr>
        <w:pStyle w:val="245"/>
        <w:rPr>
          <w:rFonts w:hint="default" w:ascii="Times New Roman" w:hAnsi="Times New Roman" w:cs="Times New Roman"/>
          <w:shd w:val="clear" w:color="auto" w:fill="auto"/>
        </w:rPr>
      </w:pPr>
      <w:r>
        <w:rPr>
          <w:rFonts w:hint="default" w:ascii="Times New Roman" w:hAnsi="Times New Roman" w:cs="Times New Roman"/>
          <w:shd w:val="clear" w:color="auto" w:fill="auto"/>
        </w:rPr>
        <w:t>本</w:t>
      </w:r>
      <w:r>
        <w:rPr>
          <w:rFonts w:hint="default" w:ascii="Times New Roman" w:hAnsi="Times New Roman" w:cs="Times New Roman"/>
          <w:shd w:val="clear" w:color="auto" w:fill="auto"/>
          <w:lang w:val="en-US" w:eastAsia="zh-CN"/>
        </w:rPr>
        <w:t>文件</w:t>
      </w:r>
      <w:r>
        <w:rPr>
          <w:rFonts w:hint="default" w:ascii="Times New Roman" w:hAnsi="Times New Roman" w:cs="Times New Roman"/>
          <w:shd w:val="clear" w:color="auto" w:fill="auto"/>
        </w:rPr>
        <w:t>适用于</w:t>
      </w:r>
      <w:r>
        <w:rPr>
          <w:rFonts w:hint="default" w:ascii="Times New Roman" w:hAnsi="Times New Roman" w:cs="Times New Roman"/>
          <w:shd w:val="clear" w:color="auto" w:fill="auto"/>
          <w:lang w:val="en-US" w:eastAsia="zh-CN"/>
        </w:rPr>
        <w:t>电力</w:t>
      </w:r>
      <w:r>
        <w:rPr>
          <w:rFonts w:hint="default" w:ascii="Times New Roman" w:hAnsi="Times New Roman" w:cs="Times New Roman"/>
          <w:shd w:val="clear" w:color="auto" w:fill="auto"/>
        </w:rPr>
        <w:t>建设</w:t>
      </w:r>
      <w:r>
        <w:rPr>
          <w:rFonts w:hint="default" w:ascii="Times New Roman" w:hAnsi="Times New Roman" w:cs="Times New Roman"/>
          <w:shd w:val="clear" w:color="auto" w:fill="auto"/>
          <w:lang w:val="en-US" w:eastAsia="zh-CN"/>
        </w:rPr>
        <w:t>工程电力</w:t>
      </w:r>
      <w:r>
        <w:rPr>
          <w:rFonts w:hint="default" w:ascii="Times New Roman" w:hAnsi="Times New Roman" w:cs="Times New Roman"/>
          <w:shd w:val="clear" w:color="auto" w:fill="auto"/>
        </w:rPr>
        <w:t>变压器、气体绝缘金属封闭开关施工及质量验收。</w:t>
      </w:r>
    </w:p>
    <w:p w14:paraId="6B46D47C">
      <w:pPr>
        <w:pStyle w:val="245"/>
        <w:rPr>
          <w:rFonts w:hint="default" w:ascii="Times New Roman" w:hAnsi="Times New Roman" w:cs="Times New Roman"/>
          <w:shd w:val="clear" w:color="auto" w:fill="auto"/>
        </w:rPr>
      </w:pPr>
      <w:r>
        <w:rPr>
          <w:rFonts w:hint="default" w:ascii="Times New Roman" w:hAnsi="Times New Roman" w:cs="Times New Roman"/>
          <w:shd w:val="clear" w:color="auto" w:fill="auto"/>
          <w:lang w:val="en-US" w:eastAsia="zh-CN"/>
        </w:rPr>
        <w:t>电力变压器、气体绝缘金属封闭开关的施工及验收，除应符合本文件外，尚应符合国家现行有关标准的规定</w:t>
      </w:r>
      <w:r>
        <w:rPr>
          <w:rFonts w:hint="default" w:ascii="Times New Roman" w:hAnsi="Times New Roman" w:cs="Times New Roman"/>
          <w:shd w:val="clear" w:color="auto" w:fill="auto"/>
        </w:rPr>
        <w:t>。</w:t>
      </w:r>
    </w:p>
    <w:p w14:paraId="61200105">
      <w:pPr>
        <w:pStyle w:val="110"/>
        <w:spacing w:before="240" w:after="240" w:line="360" w:lineRule="auto"/>
        <w:rPr>
          <w:rFonts w:hint="default" w:ascii="Times New Roman" w:hAnsi="Times New Roman" w:cs="Times New Roman"/>
          <w:color w:val="000000"/>
        </w:rPr>
      </w:pPr>
      <w:bookmarkStart w:id="38" w:name="_Toc16589"/>
      <w:r>
        <w:rPr>
          <w:rFonts w:hint="default" w:ascii="Times New Roman" w:hAnsi="Times New Roman" w:cs="Times New Roman"/>
          <w:color w:val="000000"/>
        </w:rPr>
        <w:t>规范性引用文件</w:t>
      </w:r>
      <w:bookmarkEnd w:id="38"/>
    </w:p>
    <w:p w14:paraId="407EF3D3">
      <w:pPr>
        <w:pStyle w:val="245"/>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B9E5221">
      <w:pPr>
        <w:pStyle w:val="245"/>
        <w:rPr>
          <w:rFonts w:hint="default" w:ascii="Times New Roman" w:hAnsi="Times New Roman" w:cs="Times New Roman"/>
          <w:lang w:val="en-US" w:eastAsia="zh-CN"/>
        </w:rPr>
      </w:pPr>
      <w:r>
        <w:rPr>
          <w:rFonts w:hint="default" w:ascii="Times New Roman" w:hAnsi="Times New Roman" w:cs="Times New Roman"/>
          <w:lang w:val="en-US" w:eastAsia="zh-CN"/>
        </w:rPr>
        <w:t>GB 1094.3 电力变压器第2部分：绝缘水平、绝缘试验和外绝缘空隙间隙</w:t>
      </w:r>
    </w:p>
    <w:p w14:paraId="34B6F60A">
      <w:pPr>
        <w:pStyle w:val="245"/>
        <w:rPr>
          <w:rFonts w:hint="default" w:ascii="Times New Roman" w:hAnsi="Times New Roman" w:cs="Times New Roman"/>
          <w:lang w:val="en-US" w:eastAsia="zh-CN"/>
        </w:rPr>
      </w:pPr>
      <w:r>
        <w:rPr>
          <w:rFonts w:hint="default" w:ascii="Times New Roman" w:hAnsi="Times New Roman" w:cs="Times New Roman"/>
          <w:lang w:val="en-US" w:eastAsia="zh-CN"/>
        </w:rPr>
        <w:t>GB 26860 电力安全工作规程 发电厂和变电站电气部分</w:t>
      </w:r>
    </w:p>
    <w:p w14:paraId="1983DEE4">
      <w:pPr>
        <w:pStyle w:val="245"/>
        <w:rPr>
          <w:rFonts w:hint="default" w:ascii="Times New Roman" w:hAnsi="Times New Roman" w:cs="Times New Roman"/>
        </w:rPr>
      </w:pPr>
      <w:r>
        <w:rPr>
          <w:rFonts w:hint="default" w:ascii="Times New Roman" w:hAnsi="Times New Roman" w:cs="Times New Roman"/>
        </w:rPr>
        <w:t>GB 50147</w:t>
      </w:r>
      <w:r>
        <w:rPr>
          <w:rFonts w:hint="default" w:ascii="Times New Roman" w:hAnsi="Times New Roman" w:cs="Times New Roman"/>
          <w:lang w:val="en-US" w:eastAsia="zh-CN"/>
        </w:rPr>
        <w:t xml:space="preserve"> </w:t>
      </w:r>
      <w:r>
        <w:rPr>
          <w:rFonts w:hint="default" w:ascii="Times New Roman" w:hAnsi="Times New Roman" w:cs="Times New Roman"/>
        </w:rPr>
        <w:t>电气装置安装工程 高压电器施工及验收规范</w:t>
      </w:r>
    </w:p>
    <w:p w14:paraId="1E24649C">
      <w:pPr>
        <w:pStyle w:val="245"/>
        <w:rPr>
          <w:rFonts w:hint="default" w:ascii="Times New Roman" w:hAnsi="Times New Roman" w:cs="Times New Roman"/>
          <w:lang w:val="en-US" w:eastAsia="zh-CN"/>
        </w:rPr>
      </w:pPr>
      <w:r>
        <w:rPr>
          <w:rFonts w:hint="default" w:ascii="Times New Roman" w:hAnsi="Times New Roman" w:cs="Times New Roman"/>
        </w:rPr>
        <w:t>GB 50148</w:t>
      </w:r>
      <w:r>
        <w:rPr>
          <w:rFonts w:hint="default" w:ascii="Times New Roman" w:hAnsi="Times New Roman" w:cs="Times New Roman"/>
          <w:lang w:val="en-US" w:eastAsia="zh-CN"/>
        </w:rPr>
        <w:t xml:space="preserve"> </w:t>
      </w:r>
      <w:r>
        <w:rPr>
          <w:rFonts w:hint="default" w:ascii="Times New Roman" w:hAnsi="Times New Roman" w:cs="Times New Roman"/>
        </w:rPr>
        <w:t>电气装置安装工程 电力变压器、油浸电抗器、互感器施工及验收规范</w:t>
      </w:r>
    </w:p>
    <w:p w14:paraId="5CBAEEDC">
      <w:pPr>
        <w:pStyle w:val="245"/>
        <w:rPr>
          <w:rFonts w:hint="default" w:ascii="Times New Roman" w:hAnsi="Times New Roman" w:cs="Times New Roman"/>
        </w:rPr>
      </w:pPr>
      <w:r>
        <w:rPr>
          <w:rFonts w:hint="default" w:ascii="Times New Roman" w:hAnsi="Times New Roman" w:cs="Times New Roman"/>
        </w:rPr>
        <w:t>GB</w:t>
      </w:r>
      <w:r>
        <w:rPr>
          <w:rFonts w:hint="default" w:ascii="Times New Roman" w:hAnsi="Times New Roman" w:cs="Times New Roman"/>
          <w:lang w:val="en-US" w:eastAsia="zh-CN"/>
        </w:rPr>
        <w:t xml:space="preserve"> </w:t>
      </w:r>
      <w:r>
        <w:rPr>
          <w:rFonts w:hint="default" w:ascii="Times New Roman" w:hAnsi="Times New Roman" w:cs="Times New Roman"/>
        </w:rPr>
        <w:t>50150</w:t>
      </w:r>
      <w:r>
        <w:rPr>
          <w:rFonts w:hint="default" w:ascii="Times New Roman" w:hAnsi="Times New Roman" w:cs="Times New Roman"/>
          <w:lang w:val="en-US" w:eastAsia="zh-CN"/>
        </w:rPr>
        <w:t xml:space="preserve"> </w:t>
      </w:r>
      <w:r>
        <w:rPr>
          <w:rFonts w:hint="default" w:ascii="Times New Roman" w:hAnsi="Times New Roman" w:cs="Times New Roman"/>
        </w:rPr>
        <w:t>电气装置安装工程 电气设备交接试验标准</w:t>
      </w:r>
    </w:p>
    <w:p w14:paraId="60C8A8A0">
      <w:pPr>
        <w:pStyle w:val="245"/>
        <w:rPr>
          <w:rFonts w:hint="default" w:ascii="Times New Roman" w:hAnsi="Times New Roman" w:cs="Times New Roman"/>
        </w:rPr>
      </w:pPr>
      <w:r>
        <w:rPr>
          <w:rFonts w:hint="default" w:ascii="Times New Roman" w:hAnsi="Times New Roman" w:cs="Times New Roman"/>
        </w:rPr>
        <w:t>GB</w:t>
      </w:r>
      <w:r>
        <w:rPr>
          <w:rFonts w:hint="default" w:ascii="Times New Roman" w:hAnsi="Times New Roman" w:cs="Times New Roman"/>
          <w:lang w:val="en-US" w:eastAsia="zh-CN"/>
        </w:rPr>
        <w:t xml:space="preserve"> </w:t>
      </w:r>
      <w:r>
        <w:rPr>
          <w:rFonts w:hint="default" w:ascii="Times New Roman" w:hAnsi="Times New Roman" w:cs="Times New Roman"/>
        </w:rPr>
        <w:t>50169</w:t>
      </w:r>
      <w:r>
        <w:rPr>
          <w:rFonts w:hint="default" w:ascii="Times New Roman" w:hAnsi="Times New Roman" w:cs="Times New Roman"/>
          <w:lang w:val="en-US" w:eastAsia="zh-CN"/>
        </w:rPr>
        <w:t xml:space="preserve"> </w:t>
      </w:r>
      <w:r>
        <w:rPr>
          <w:rFonts w:hint="default" w:ascii="Times New Roman" w:hAnsi="Times New Roman" w:cs="Times New Roman"/>
        </w:rPr>
        <w:t>电气装置安装工程 接地装置施工及验收规范</w:t>
      </w:r>
    </w:p>
    <w:p w14:paraId="1B377E79">
      <w:pPr>
        <w:pStyle w:val="245"/>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lang w:val="en-US" w:eastAsia="zh-CN"/>
        </w:rPr>
        <w:t xml:space="preserve"> </w:t>
      </w:r>
      <w:r>
        <w:rPr>
          <w:rFonts w:hint="default" w:ascii="Times New Roman" w:hAnsi="Times New Roman" w:cs="Times New Roman"/>
          <w:lang w:eastAsia="zh-CN"/>
        </w:rPr>
        <w:t>50171</w:t>
      </w:r>
      <w:r>
        <w:rPr>
          <w:rFonts w:hint="default" w:ascii="Times New Roman" w:hAnsi="Times New Roman" w:cs="Times New Roman"/>
          <w:lang w:val="en-US" w:eastAsia="zh-CN"/>
        </w:rPr>
        <w:t xml:space="preserve"> </w:t>
      </w:r>
      <w:r>
        <w:rPr>
          <w:rFonts w:hint="default" w:ascii="Times New Roman" w:hAnsi="Times New Roman" w:cs="Times New Roman"/>
          <w:lang w:eastAsia="zh-CN"/>
        </w:rPr>
        <w:t>电气装置安装工程 盘、柜及二次回路接线施工及验收规范</w:t>
      </w:r>
    </w:p>
    <w:p w14:paraId="46A896B6">
      <w:pPr>
        <w:pStyle w:val="245"/>
        <w:rPr>
          <w:rFonts w:hint="default" w:ascii="Times New Roman" w:hAnsi="Times New Roman" w:cs="Times New Roman"/>
          <w:lang w:val="en-US" w:eastAsia="zh-CN"/>
        </w:rPr>
      </w:pPr>
      <w:r>
        <w:rPr>
          <w:rFonts w:hint="default" w:ascii="Times New Roman" w:hAnsi="Times New Roman" w:cs="Times New Roman"/>
          <w:lang w:val="en-US" w:eastAsia="zh-CN"/>
        </w:rPr>
        <w:t>GB 50236 现场设备、工业管道焊接工程施工规范</w:t>
      </w:r>
    </w:p>
    <w:p w14:paraId="0CC3E23D">
      <w:pPr>
        <w:pStyle w:val="245"/>
        <w:rPr>
          <w:rFonts w:hint="default" w:ascii="Times New Roman" w:hAnsi="Times New Roman" w:cs="Times New Roman"/>
          <w:lang w:val="en-US" w:eastAsia="zh-CN"/>
        </w:rPr>
      </w:pPr>
      <w:r>
        <w:rPr>
          <w:rFonts w:hint="default" w:ascii="Times New Roman" w:hAnsi="Times New Roman" w:cs="Times New Roman"/>
          <w:lang w:val="en-US" w:eastAsia="zh-CN"/>
        </w:rPr>
        <w:t>GB/T 7252 变压器油中溶解气体分析和判断导则</w:t>
      </w:r>
    </w:p>
    <w:p w14:paraId="3E6BCA1A">
      <w:pPr>
        <w:pStyle w:val="245"/>
        <w:rPr>
          <w:rFonts w:hint="default" w:ascii="Times New Roman" w:hAnsi="Times New Roman" w:cs="Times New Roman"/>
          <w:lang w:val="en-US" w:eastAsia="zh-CN"/>
        </w:rPr>
      </w:pPr>
      <w:r>
        <w:rPr>
          <w:rFonts w:hint="default" w:ascii="Times New Roman" w:hAnsi="Times New Roman" w:cs="Times New Roman"/>
        </w:rPr>
        <w:t>GB</w:t>
      </w:r>
      <w:r>
        <w:rPr>
          <w:rFonts w:hint="default" w:ascii="Times New Roman" w:hAnsi="Times New Roman" w:cs="Times New Roman"/>
          <w:lang w:val="en-US" w:eastAsia="zh-CN"/>
        </w:rPr>
        <w:t xml:space="preserve">/T </w:t>
      </w:r>
      <w:r>
        <w:rPr>
          <w:rFonts w:hint="default" w:ascii="Times New Roman" w:hAnsi="Times New Roman" w:cs="Times New Roman"/>
        </w:rPr>
        <w:t>7597</w:t>
      </w:r>
      <w:r>
        <w:rPr>
          <w:rFonts w:hint="default" w:ascii="Times New Roman" w:hAnsi="Times New Roman" w:cs="Times New Roman"/>
          <w:lang w:val="en-US" w:eastAsia="zh-CN"/>
        </w:rPr>
        <w:t xml:space="preserve"> </w:t>
      </w:r>
      <w:r>
        <w:rPr>
          <w:rFonts w:hint="default" w:ascii="Times New Roman" w:hAnsi="Times New Roman" w:cs="Times New Roman"/>
        </w:rPr>
        <w:t>电力用油</w:t>
      </w:r>
      <w:r>
        <w:rPr>
          <w:rFonts w:hint="default" w:ascii="Times New Roman" w:hAnsi="Times New Roman" w:cs="Times New Roman"/>
          <w:lang w:eastAsia="zh-CN"/>
        </w:rPr>
        <w:t>（</w:t>
      </w:r>
      <w:r>
        <w:rPr>
          <w:rFonts w:hint="default" w:ascii="Times New Roman" w:hAnsi="Times New Roman" w:cs="Times New Roman"/>
        </w:rPr>
        <w:t>变压器油、汽轮机油</w:t>
      </w:r>
      <w:r>
        <w:rPr>
          <w:rFonts w:hint="default" w:ascii="Times New Roman" w:hAnsi="Times New Roman" w:cs="Times New Roman"/>
          <w:lang w:eastAsia="zh-CN"/>
        </w:rPr>
        <w:t>）</w:t>
      </w:r>
      <w:r>
        <w:rPr>
          <w:rFonts w:hint="default" w:ascii="Times New Roman" w:hAnsi="Times New Roman" w:cs="Times New Roman"/>
        </w:rPr>
        <w:t>取样方法</w:t>
      </w:r>
    </w:p>
    <w:p w14:paraId="370A33FC">
      <w:pPr>
        <w:pStyle w:val="245"/>
        <w:rPr>
          <w:rFonts w:hint="default" w:ascii="Times New Roman" w:hAnsi="Times New Roman" w:cs="Times New Roman"/>
          <w:lang w:val="en-US" w:eastAsia="zh-CN"/>
        </w:rPr>
      </w:pPr>
      <w:r>
        <w:rPr>
          <w:rFonts w:hint="default" w:ascii="Times New Roman" w:hAnsi="Times New Roman" w:cs="Times New Roman"/>
          <w:lang w:val="en-US" w:eastAsia="zh-CN"/>
        </w:rPr>
        <w:t>GB/T 7674 额定电压72.5kV及以上气体绝缘金属封闭开关设备</w:t>
      </w:r>
    </w:p>
    <w:p w14:paraId="34A31AC6">
      <w:pPr>
        <w:pStyle w:val="245"/>
        <w:rPr>
          <w:rFonts w:hint="default" w:ascii="Times New Roman" w:hAnsi="Times New Roman" w:cs="Times New Roman"/>
          <w:lang w:val="en-US" w:eastAsia="zh-CN"/>
        </w:rPr>
      </w:pPr>
      <w:r>
        <w:rPr>
          <w:rFonts w:hint="default" w:ascii="Times New Roman" w:hAnsi="Times New Roman" w:cs="Times New Roman"/>
          <w:lang w:val="en-US" w:eastAsia="zh-CN"/>
        </w:rPr>
        <w:t>GB/T 8905 六氟化硫电气设备中气体管理和检测导则</w:t>
      </w:r>
    </w:p>
    <w:p w14:paraId="581A44D9">
      <w:pPr>
        <w:pStyle w:val="245"/>
        <w:rPr>
          <w:rFonts w:hint="default" w:ascii="Times New Roman" w:hAnsi="Times New Roman" w:cs="Times New Roman"/>
          <w:lang w:val="en-US" w:eastAsia="zh-CN"/>
        </w:rPr>
      </w:pPr>
      <w:r>
        <w:rPr>
          <w:rFonts w:hint="default" w:ascii="Times New Roman" w:hAnsi="Times New Roman" w:cs="Times New Roman"/>
          <w:lang w:eastAsia="zh-CN"/>
        </w:rPr>
        <w:t>GB/T 8979</w:t>
      </w:r>
      <w:r>
        <w:rPr>
          <w:rFonts w:hint="default" w:ascii="Times New Roman" w:hAnsi="Times New Roman" w:cs="Times New Roman"/>
          <w:lang w:val="en-US" w:eastAsia="zh-CN"/>
        </w:rPr>
        <w:t xml:space="preserve"> </w:t>
      </w:r>
      <w:r>
        <w:rPr>
          <w:rFonts w:hint="default" w:ascii="Times New Roman" w:hAnsi="Times New Roman" w:cs="Times New Roman"/>
          <w:lang w:eastAsia="zh-CN"/>
        </w:rPr>
        <w:t>纯氮、高纯</w:t>
      </w:r>
      <w:r>
        <w:rPr>
          <w:rFonts w:hint="default" w:ascii="Times New Roman" w:hAnsi="Times New Roman" w:cs="Times New Roman"/>
          <w:lang w:val="en-US" w:eastAsia="zh-CN"/>
        </w:rPr>
        <w:t>氮</w:t>
      </w:r>
      <w:r>
        <w:rPr>
          <w:rFonts w:hint="default" w:ascii="Times New Roman" w:hAnsi="Times New Roman" w:cs="Times New Roman"/>
          <w:lang w:eastAsia="zh-CN"/>
        </w:rPr>
        <w:t>和超纯氮</w:t>
      </w:r>
    </w:p>
    <w:p w14:paraId="7D8E310E">
      <w:pPr>
        <w:pStyle w:val="245"/>
        <w:rPr>
          <w:rFonts w:hint="default" w:ascii="Times New Roman" w:hAnsi="Times New Roman" w:cs="Times New Roman"/>
          <w:lang w:eastAsia="zh-CN"/>
        </w:rPr>
      </w:pPr>
      <w:r>
        <w:rPr>
          <w:rFonts w:hint="default" w:ascii="Times New Roman" w:hAnsi="Times New Roman" w:cs="Times New Roman"/>
          <w:lang w:eastAsia="zh-CN"/>
        </w:rPr>
        <w:t>GB/T 12022</w:t>
      </w:r>
      <w:r>
        <w:rPr>
          <w:rFonts w:hint="default" w:ascii="Times New Roman" w:hAnsi="Times New Roman" w:cs="Times New Roman"/>
          <w:lang w:val="en-US" w:eastAsia="zh-CN"/>
        </w:rPr>
        <w:t xml:space="preserve"> </w:t>
      </w:r>
      <w:r>
        <w:rPr>
          <w:rFonts w:hint="default" w:ascii="Times New Roman" w:hAnsi="Times New Roman" w:cs="Times New Roman"/>
          <w:lang w:eastAsia="zh-CN"/>
        </w:rPr>
        <w:t>工业六氟化硫</w:t>
      </w:r>
    </w:p>
    <w:p w14:paraId="042821FC">
      <w:pPr>
        <w:pStyle w:val="245"/>
        <w:rPr>
          <w:rFonts w:hint="default" w:ascii="Times New Roman" w:hAnsi="Times New Roman" w:cs="Times New Roman"/>
          <w:lang w:val="en-US" w:eastAsia="zh-CN"/>
        </w:rPr>
      </w:pPr>
      <w:r>
        <w:rPr>
          <w:rFonts w:hint="default" w:ascii="Times New Roman" w:hAnsi="Times New Roman" w:cs="Times New Roman"/>
          <w:lang w:val="en-US" w:eastAsia="zh-CN"/>
        </w:rPr>
        <w:t>GB/T 50300 建筑工程施工质量验收统一标准</w:t>
      </w:r>
    </w:p>
    <w:p w14:paraId="0FDE0752">
      <w:pPr>
        <w:pStyle w:val="245"/>
        <w:rPr>
          <w:rFonts w:hint="default" w:ascii="Times New Roman" w:hAnsi="Times New Roman" w:cs="Times New Roman"/>
        </w:rPr>
      </w:pPr>
      <w:r>
        <w:rPr>
          <w:rFonts w:hint="default" w:ascii="Times New Roman" w:hAnsi="Times New Roman" w:cs="Times New Roman"/>
          <w:lang w:val="en-US" w:eastAsia="zh-CN"/>
        </w:rPr>
        <w:t>DL/T 555 气体绝缘金属封闭开关设备现场耐压及绝缘试验导则</w:t>
      </w:r>
    </w:p>
    <w:p w14:paraId="59902434">
      <w:pPr>
        <w:pStyle w:val="245"/>
        <w:rPr>
          <w:rFonts w:hint="default" w:ascii="Times New Roman" w:hAnsi="Times New Roman" w:cs="Times New Roman"/>
          <w:lang w:val="en-US" w:eastAsia="zh-CN"/>
        </w:rPr>
      </w:pPr>
      <w:r>
        <w:rPr>
          <w:rFonts w:hint="default" w:ascii="Times New Roman" w:hAnsi="Times New Roman" w:cs="Times New Roman"/>
          <w:lang w:val="en-US" w:eastAsia="zh-CN"/>
        </w:rPr>
        <w:t>DL/T 618 气体绝缘金属封闭开关设备现场交接试验规程</w:t>
      </w:r>
    </w:p>
    <w:p w14:paraId="40FDC14A">
      <w:pPr>
        <w:pStyle w:val="245"/>
        <w:rPr>
          <w:rFonts w:hint="default" w:ascii="Times New Roman" w:hAnsi="Times New Roman" w:cs="Times New Roman"/>
          <w:lang w:val="en-US" w:eastAsia="zh-CN"/>
        </w:rPr>
      </w:pPr>
      <w:r>
        <w:rPr>
          <w:rFonts w:hint="default" w:ascii="Times New Roman" w:hAnsi="Times New Roman" w:cs="Times New Roman"/>
          <w:shd w:val="clear" w:color="auto" w:fill="auto"/>
          <w:lang w:val="en-US" w:eastAsia="zh-CN"/>
        </w:rPr>
        <w:t>DL/T 995 继电保护和电网安全自动装置检验规程</w:t>
      </w:r>
    </w:p>
    <w:p w14:paraId="5EEAC8BD">
      <w:pPr>
        <w:pStyle w:val="245"/>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DL/T 1475 电力安全工器具配置与存放技术要求</w:t>
      </w:r>
    </w:p>
    <w:p w14:paraId="4B7C3AFF">
      <w:pPr>
        <w:pStyle w:val="245"/>
        <w:rPr>
          <w:rFonts w:hint="default" w:ascii="Times New Roman" w:hAnsi="Times New Roman" w:cs="Times New Roman"/>
          <w:color w:val="auto"/>
          <w:shd w:val="clear" w:color="auto" w:fill="auto"/>
          <w:lang w:val="en-US" w:eastAsia="zh-CN"/>
        </w:rPr>
      </w:pPr>
      <w:r>
        <w:rPr>
          <w:rFonts w:hint="default" w:ascii="Times New Roman" w:hAnsi="Times New Roman" w:cs="Times New Roman"/>
          <w:color w:val="auto"/>
          <w:shd w:val="clear" w:color="auto" w:fill="auto"/>
          <w:lang w:val="en-US" w:eastAsia="zh-CN"/>
        </w:rPr>
        <w:t>DL/T 1986 六氟化硫混合气体绝缘设备气体检测技术规范</w:t>
      </w:r>
    </w:p>
    <w:p w14:paraId="756DF395">
      <w:pPr>
        <w:pStyle w:val="245"/>
        <w:rPr>
          <w:rFonts w:hint="default" w:ascii="Times New Roman" w:hAnsi="Times New Roman" w:cs="Times New Roman"/>
          <w:color w:val="auto"/>
          <w:shd w:val="clear" w:color="auto" w:fill="auto"/>
        </w:rPr>
      </w:pPr>
      <w:r>
        <w:rPr>
          <w:rFonts w:hint="default" w:ascii="Times New Roman" w:hAnsi="Times New Roman" w:cs="Times New Roman"/>
          <w:color w:val="auto"/>
          <w:shd w:val="clear" w:color="auto" w:fill="auto"/>
        </w:rPr>
        <w:t>DL/T 5161.1</w:t>
      </w:r>
      <w:r>
        <w:rPr>
          <w:rFonts w:hint="default" w:ascii="Times New Roman" w:hAnsi="Times New Roman" w:cs="Times New Roman"/>
          <w:color w:val="auto"/>
          <w:shd w:val="clear" w:color="auto" w:fill="auto"/>
          <w:lang w:val="en-US" w:eastAsia="zh-CN"/>
        </w:rPr>
        <w:t xml:space="preserve"> </w:t>
      </w:r>
      <w:r>
        <w:rPr>
          <w:rFonts w:hint="default" w:ascii="Times New Roman" w:hAnsi="Times New Roman" w:cs="Times New Roman"/>
          <w:color w:val="auto"/>
          <w:shd w:val="clear" w:color="auto" w:fill="auto"/>
        </w:rPr>
        <w:t>电气装置安装工程质量检验及评定规程</w:t>
      </w:r>
    </w:p>
    <w:p w14:paraId="1F8F6A4D">
      <w:pPr>
        <w:pStyle w:val="245"/>
        <w:rPr>
          <w:rFonts w:hint="default" w:ascii="Times New Roman" w:hAnsi="Times New Roman" w:cs="Times New Roman"/>
          <w:color w:val="auto"/>
        </w:rPr>
      </w:pPr>
      <w:r>
        <w:rPr>
          <w:rFonts w:hint="default" w:ascii="Times New Roman" w:hAnsi="Times New Roman" w:cs="Times New Roman"/>
          <w:color w:val="auto"/>
          <w:lang w:val="en-US" w:eastAsia="zh-CN"/>
        </w:rPr>
        <w:t>DL/T 5840 电气装置安装工程、电力变压器、油浸电抗器、互感器施工及验收规范</w:t>
      </w:r>
    </w:p>
    <w:p w14:paraId="75548E25">
      <w:pPr>
        <w:pStyle w:val="245"/>
        <w:rPr>
          <w:rFonts w:hint="default" w:ascii="Times New Roman" w:hAnsi="Times New Roman" w:cs="Times New Roman"/>
          <w:color w:val="auto"/>
          <w:shd w:val="clear" w:color="auto" w:fill="auto"/>
          <w:lang w:val="en-US" w:eastAsia="zh-CN"/>
        </w:rPr>
      </w:pPr>
      <w:r>
        <w:rPr>
          <w:rFonts w:hint="default" w:ascii="Times New Roman" w:hAnsi="Times New Roman" w:cs="Times New Roman"/>
          <w:color w:val="auto"/>
          <w:shd w:val="clear" w:color="auto" w:fill="auto"/>
          <w:lang w:val="en-US" w:eastAsia="zh-CN"/>
        </w:rPr>
        <w:t>DL/T 5850 电气装置安装工程高压电器施工及验收规范</w:t>
      </w:r>
    </w:p>
    <w:p w14:paraId="7F3D2578">
      <w:pPr>
        <w:pStyle w:val="110"/>
        <w:spacing w:before="240" w:after="240" w:line="360" w:lineRule="auto"/>
        <w:rPr>
          <w:rFonts w:hint="default" w:ascii="Times New Roman" w:hAnsi="Times New Roman" w:cs="Times New Roman"/>
          <w:color w:val="000000"/>
        </w:rPr>
      </w:pPr>
      <w:bookmarkStart w:id="39" w:name="_Toc7545"/>
      <w:r>
        <w:rPr>
          <w:rFonts w:hint="default" w:ascii="Times New Roman" w:hAnsi="Times New Roman" w:cs="Times New Roman"/>
          <w:color w:val="000000"/>
        </w:rPr>
        <w:t>术语和定义</w:t>
      </w:r>
      <w:bookmarkEnd w:id="39"/>
    </w:p>
    <w:p w14:paraId="3284ED6A">
      <w:pPr>
        <w:pStyle w:val="62"/>
        <w:spacing w:line="360" w:lineRule="auto"/>
        <w:ind w:firstLine="420"/>
        <w:rPr>
          <w:rFonts w:hint="default" w:ascii="Times New Roman" w:hAnsi="Times New Roman" w:cs="Times New Roman"/>
          <w:color w:val="000000"/>
        </w:rPr>
      </w:pPr>
      <w:r>
        <w:rPr>
          <w:rFonts w:hint="default" w:ascii="Times New Roman" w:hAnsi="Times New Roman" w:cs="Times New Roman"/>
          <w:color w:val="000000"/>
        </w:rPr>
        <w:t>下列术语和定义适用于本文件。</w:t>
      </w:r>
    </w:p>
    <w:p w14:paraId="20101A6B">
      <w:pPr>
        <w:pStyle w:val="229"/>
        <w:spacing w:line="360" w:lineRule="auto"/>
        <w:ind w:left="420" w:hanging="420" w:hangingChars="200"/>
        <w:rPr>
          <w:rFonts w:hint="default" w:ascii="Times New Roman" w:hAnsi="Times New Roman" w:eastAsia="黑体" w:cs="Times New Roman"/>
          <w:color w:val="000000"/>
        </w:rPr>
      </w:pPr>
      <w:r>
        <w:rPr>
          <w:rFonts w:hint="default" w:ascii="Times New Roman" w:hAnsi="Times New Roman" w:eastAsia="黑体" w:cs="Times New Roman"/>
          <w:color w:val="000000"/>
        </w:rPr>
        <w:br w:type="textWrapping"/>
      </w:r>
      <w:r>
        <w:rPr>
          <w:rFonts w:hint="default" w:ascii="Times New Roman" w:hAnsi="Times New Roman" w:eastAsia="黑体" w:cs="Times New Roman"/>
          <w:color w:val="000000"/>
          <w:lang w:val="en-US" w:eastAsia="zh-CN"/>
        </w:rPr>
        <w:t xml:space="preserve">电力变压器 </w:t>
      </w:r>
      <w:r>
        <w:rPr>
          <w:rFonts w:hint="default" w:ascii="Times New Roman" w:hAnsi="Times New Roman" w:eastAsia="黑体" w:cs="Times New Roman"/>
          <w:snapToGrid w:val="0"/>
          <w:highlight w:val="none"/>
        </w:rPr>
        <w:t>power transformer</w:t>
      </w:r>
      <w:r>
        <w:rPr>
          <w:rFonts w:hint="default" w:ascii="Times New Roman" w:hAnsi="Times New Roman" w:eastAsia="黑体" w:cs="Times New Roman"/>
          <w:snapToGrid w:val="0"/>
          <w:highlight w:val="none"/>
          <w:lang w:val="en-US" w:eastAsia="zh-CN"/>
        </w:rPr>
        <w:t xml:space="preserve"> </w:t>
      </w:r>
    </w:p>
    <w:p w14:paraId="0356D012">
      <w:pPr>
        <w:pStyle w:val="245"/>
        <w:rPr>
          <w:rFonts w:hint="default" w:ascii="Times New Roman" w:hAnsi="Times New Roman" w:cs="Times New Roman"/>
          <w:snapToGrid w:val="0"/>
          <w:lang w:val="en-US" w:eastAsia="zh-CN"/>
        </w:rPr>
      </w:pPr>
      <w:r>
        <w:rPr>
          <w:rFonts w:hint="default" w:ascii="Times New Roman" w:hAnsi="Times New Roman" w:cs="Times New Roman"/>
          <w:snapToGrid w:val="0"/>
        </w:rPr>
        <w:t>具有两个或多个绕组的静止设备，为了传输电能，在同一频率下，通过电磁感应将一个系统的交流电压和电流转换为另一系统的电压和电流</w:t>
      </w:r>
      <w:r>
        <w:rPr>
          <w:rFonts w:hint="default" w:ascii="Times New Roman" w:hAnsi="Times New Roman" w:cs="Times New Roman"/>
          <w:snapToGrid w:val="0"/>
          <w:lang w:eastAsia="zh-CN"/>
        </w:rPr>
        <w:t>，</w:t>
      </w:r>
      <w:r>
        <w:rPr>
          <w:rFonts w:hint="default" w:ascii="Times New Roman" w:hAnsi="Times New Roman" w:cs="Times New Roman"/>
          <w:snapToGrid w:val="0"/>
          <w:lang w:val="en-US" w:eastAsia="zh-CN"/>
        </w:rPr>
        <w:t>简称变压器。</w:t>
      </w:r>
    </w:p>
    <w:p w14:paraId="75146988">
      <w:pPr>
        <w:pStyle w:val="229"/>
        <w:spacing w:line="360" w:lineRule="auto"/>
        <w:ind w:left="420" w:hanging="420" w:hangingChars="200"/>
        <w:rPr>
          <w:rFonts w:hint="default" w:ascii="Times New Roman" w:hAnsi="Times New Roman" w:eastAsia="黑体" w:cs="Times New Roman"/>
          <w:color w:val="000000"/>
          <w:lang w:val="en-US" w:eastAsia="zh-CN"/>
        </w:rPr>
      </w:pPr>
    </w:p>
    <w:p w14:paraId="1BDBC9A9">
      <w:pPr>
        <w:pStyle w:val="229"/>
        <w:numPr>
          <w:ilvl w:val="2"/>
          <w:numId w:val="0"/>
        </w:numPr>
        <w:spacing w:line="360" w:lineRule="auto"/>
        <w:ind w:leftChars="-200" w:firstLine="840" w:firstLineChars="400"/>
        <w:rPr>
          <w:rFonts w:hint="default" w:ascii="Times New Roman" w:hAnsi="Times New Roman" w:eastAsia="黑体" w:cs="Times New Roman"/>
          <w:color w:val="000000"/>
          <w:lang w:val="en-US" w:eastAsia="zh-CN"/>
        </w:rPr>
      </w:pPr>
      <w:r>
        <w:rPr>
          <w:rFonts w:hint="default" w:ascii="Times New Roman" w:hAnsi="Times New Roman" w:eastAsia="黑体" w:cs="Times New Roman"/>
          <w:color w:val="000000"/>
          <w:lang w:val="en-US" w:eastAsia="zh-CN"/>
        </w:rPr>
        <w:t xml:space="preserve">天然酯绝缘油 natural ester insulating oil </w:t>
      </w:r>
    </w:p>
    <w:p w14:paraId="58A2BCB4">
      <w:pPr>
        <w:pStyle w:val="245"/>
        <w:rPr>
          <w:rFonts w:hint="default" w:ascii="Times New Roman" w:hAnsi="Times New Roman" w:cs="Times New Roman"/>
        </w:rPr>
      </w:pPr>
      <w:r>
        <w:rPr>
          <w:rFonts w:hint="default" w:ascii="Times New Roman" w:hAnsi="Times New Roman" w:cs="Times New Roman"/>
          <w:snapToGrid w:val="0"/>
          <w:lang w:val="en-US" w:eastAsia="zh-CN"/>
        </w:rPr>
        <w:t>从种子或其它生物材料中提取、用于变压器或类似电气设备的绝缘液体。</w:t>
      </w:r>
    </w:p>
    <w:p w14:paraId="4A2EB1B3">
      <w:pPr>
        <w:pStyle w:val="229"/>
        <w:spacing w:line="360" w:lineRule="auto"/>
        <w:ind w:left="420" w:hanging="420" w:hangingChars="200"/>
        <w:rPr>
          <w:rFonts w:hint="default" w:ascii="Times New Roman" w:hAnsi="Times New Roman" w:cs="Times New Roman"/>
          <w:snapToGrid w:val="0"/>
          <w:lang w:val="en-US" w:eastAsia="zh-CN"/>
        </w:rPr>
      </w:pPr>
    </w:p>
    <w:p w14:paraId="232363C0">
      <w:pPr>
        <w:pStyle w:val="229"/>
        <w:numPr>
          <w:ilvl w:val="2"/>
          <w:numId w:val="0"/>
        </w:numPr>
        <w:spacing w:line="360" w:lineRule="auto"/>
        <w:ind w:leftChars="-200" w:firstLine="840" w:firstLineChars="400"/>
        <w:rPr>
          <w:rFonts w:hint="default" w:ascii="Times New Roman" w:hAnsi="Times New Roman" w:eastAsia="黑体" w:cs="Times New Roman"/>
          <w:color w:val="000000"/>
          <w:lang w:val="en-US" w:eastAsia="zh-CN"/>
        </w:rPr>
      </w:pPr>
      <w:r>
        <w:rPr>
          <w:rFonts w:hint="default" w:ascii="Times New Roman" w:hAnsi="Times New Roman" w:eastAsia="黑体" w:cs="Times New Roman"/>
          <w:color w:val="000000"/>
          <w:lang w:val="en-US" w:eastAsia="zh-CN"/>
        </w:rPr>
        <w:t>天然酯绝缘油电力变压器naturalester insulatingoil-immersed power transformer</w:t>
      </w:r>
    </w:p>
    <w:p w14:paraId="000B8751">
      <w:pPr>
        <w:pStyle w:val="245"/>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铁心和绕组浸在天然酯绝缘油</w:t>
      </w:r>
      <w:r>
        <w:rPr>
          <w:rFonts w:hint="eastAsia" w:ascii="Times New Roman" w:cs="Times New Roman"/>
          <w:snapToGrid w:val="0"/>
          <w:lang w:val="en-US" w:eastAsia="zh-CN"/>
        </w:rPr>
        <w:t>（</w:t>
      </w:r>
      <w:r>
        <w:rPr>
          <w:rFonts w:hint="default" w:ascii="Times New Roman" w:hAnsi="Times New Roman" w:cs="Times New Roman"/>
          <w:snapToGrid w:val="0"/>
          <w:lang w:val="en-US" w:eastAsia="zh-CN"/>
        </w:rPr>
        <w:t>3.2</w:t>
      </w:r>
      <w:r>
        <w:rPr>
          <w:rFonts w:hint="eastAsia" w:ascii="Times New Roman" w:cs="Times New Roman"/>
          <w:snapToGrid w:val="0"/>
          <w:lang w:val="en-US" w:eastAsia="zh-CN"/>
        </w:rPr>
        <w:t>）</w:t>
      </w:r>
      <w:r>
        <w:rPr>
          <w:rFonts w:hint="default" w:ascii="Times New Roman" w:hAnsi="Times New Roman" w:cs="Times New Roman"/>
          <w:snapToGrid w:val="0"/>
          <w:lang w:val="en-US" w:eastAsia="zh-CN"/>
        </w:rPr>
        <w:t>中的电力变压器。</w:t>
      </w:r>
    </w:p>
    <w:p w14:paraId="6C7103FF">
      <w:pPr>
        <w:pStyle w:val="229"/>
        <w:spacing w:line="360" w:lineRule="auto"/>
        <w:ind w:left="420" w:hanging="420" w:hangingChars="200"/>
        <w:rPr>
          <w:rFonts w:hint="default" w:ascii="Times New Roman" w:hAnsi="Times New Roman" w:eastAsia="黑体" w:cs="Times New Roman"/>
          <w:color w:val="000000"/>
        </w:rPr>
      </w:pPr>
      <w:r>
        <w:rPr>
          <w:rFonts w:hint="default" w:ascii="Times New Roman" w:hAnsi="Times New Roman" w:eastAsia="黑体" w:cs="Times New Roman"/>
          <w:color w:val="000000"/>
        </w:rPr>
        <w:br w:type="textWrapping"/>
      </w:r>
      <w:r>
        <w:rPr>
          <w:rFonts w:hint="default" w:ascii="Times New Roman" w:hAnsi="Times New Roman" w:eastAsia="黑体" w:cs="Times New Roman"/>
          <w:color w:val="000000"/>
          <w:lang w:val="en-US" w:eastAsia="zh-CN"/>
        </w:rPr>
        <w:t xml:space="preserve">气体绝缘金属封闭开关 </w:t>
      </w:r>
      <w:r>
        <w:rPr>
          <w:rFonts w:hint="default" w:ascii="Times New Roman" w:hAnsi="Times New Roman" w:eastAsia="黑体" w:cs="Times New Roman"/>
          <w:color w:val="000000"/>
          <w:highlight w:val="none"/>
          <w:lang w:val="en-US" w:eastAsia="zh-CN"/>
        </w:rPr>
        <w:t>简称GIS(gas-insulated metal-enclosed switchgear)</w:t>
      </w:r>
    </w:p>
    <w:p w14:paraId="55633D86">
      <w:pPr>
        <w:pStyle w:val="245"/>
        <w:rPr>
          <w:rFonts w:hint="default" w:ascii="Times New Roman" w:hAnsi="Times New Roman" w:eastAsia="宋体" w:cs="Times New Roman"/>
          <w:snapToGrid w:val="0"/>
          <w:lang w:val="en-US" w:eastAsia="zh-CN"/>
        </w:rPr>
      </w:pPr>
      <w:r>
        <w:rPr>
          <w:rFonts w:hint="default" w:ascii="Times New Roman" w:hAnsi="Times New Roman" w:cs="Times New Roman"/>
          <w:snapToGrid w:val="0"/>
          <w:lang w:val="en-US" w:eastAsia="zh-CN"/>
        </w:rPr>
        <w:t>全部或部分采用气体而不采用处于大气压下的空气做绝缘介质的金属封闭开关设备</w:t>
      </w:r>
      <w:r>
        <w:rPr>
          <w:rFonts w:hint="default" w:ascii="Times New Roman" w:hAnsi="Times New Roman" w:cs="Times New Roman"/>
          <w:snapToGrid w:val="0"/>
        </w:rPr>
        <w:t>。三相空气绝缘且不带母线的单相GIS</w:t>
      </w:r>
      <w:r>
        <w:rPr>
          <w:rFonts w:hint="default" w:ascii="Times New Roman" w:hAnsi="Times New Roman" w:cs="Times New Roman"/>
          <w:snapToGrid w:val="0"/>
          <w:lang w:eastAsia="zh-CN"/>
        </w:rPr>
        <w:t>，</w:t>
      </w:r>
      <w:r>
        <w:rPr>
          <w:rFonts w:hint="default" w:ascii="Times New Roman" w:hAnsi="Times New Roman" w:cs="Times New Roman"/>
          <w:snapToGrid w:val="0"/>
          <w:lang w:val="en-US" w:eastAsia="zh-CN"/>
        </w:rPr>
        <w:t>简称为HGIS。</w:t>
      </w:r>
    </w:p>
    <w:p w14:paraId="58D734A1">
      <w:pPr>
        <w:pStyle w:val="229"/>
        <w:spacing w:line="360" w:lineRule="auto"/>
        <w:ind w:left="420" w:hanging="420" w:hangingChars="200"/>
        <w:rPr>
          <w:rFonts w:hint="default" w:ascii="Times New Roman" w:hAnsi="Times New Roman" w:eastAsia="黑体" w:cs="Times New Roman"/>
          <w:color w:val="000000"/>
        </w:rPr>
      </w:pPr>
      <w:r>
        <w:rPr>
          <w:rFonts w:hint="default" w:ascii="Times New Roman" w:hAnsi="Times New Roman" w:eastAsia="黑体" w:cs="Times New Roman"/>
          <w:color w:val="000000"/>
        </w:rPr>
        <w:br w:type="textWrapping"/>
      </w:r>
      <w:r>
        <w:rPr>
          <w:rFonts w:hint="default" w:ascii="Times New Roman" w:hAnsi="Times New Roman" w:eastAsia="黑体" w:cs="Times New Roman"/>
          <w:color w:val="000000"/>
          <w:lang w:val="en-US" w:eastAsia="zh-CN"/>
        </w:rPr>
        <w:t>SF₆混合气体 SF₆gas mixture</w:t>
      </w:r>
    </w:p>
    <w:p w14:paraId="3CA09E66">
      <w:pPr>
        <w:pStyle w:val="245"/>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SF₆气体与另一种气体按一定比例混合的绝缘气体。</w:t>
      </w:r>
    </w:p>
    <w:p w14:paraId="4852A652">
      <w:pPr>
        <w:pStyle w:val="229"/>
        <w:spacing w:line="360" w:lineRule="auto"/>
        <w:ind w:left="420" w:hanging="420" w:hangingChars="200"/>
        <w:rPr>
          <w:rFonts w:hint="default" w:ascii="Times New Roman" w:hAnsi="Times New Roman" w:eastAsia="黑体" w:cs="Times New Roman"/>
          <w:color w:val="000000"/>
        </w:rPr>
      </w:pPr>
      <w:r>
        <w:rPr>
          <w:rFonts w:hint="default" w:ascii="Times New Roman" w:hAnsi="Times New Roman" w:eastAsia="黑体" w:cs="Times New Roman"/>
          <w:color w:val="000000"/>
        </w:rPr>
        <w:br w:type="textWrapping"/>
      </w:r>
      <w:r>
        <w:rPr>
          <w:rFonts w:hint="default" w:ascii="Times New Roman" w:hAnsi="Times New Roman" w:eastAsia="黑体" w:cs="Times New Roman"/>
          <w:color w:val="000000"/>
          <w:lang w:val="en-US" w:eastAsia="zh-CN"/>
        </w:rPr>
        <w:t>混气比 mixing ratio</w:t>
      </w:r>
    </w:p>
    <w:p w14:paraId="2B0B29A9">
      <w:pPr>
        <w:pStyle w:val="245"/>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SF₆混合气体中SF₆占混合气体的体积分数。</w:t>
      </w:r>
    </w:p>
    <w:p w14:paraId="3AF8540E">
      <w:pPr>
        <w:pStyle w:val="229"/>
        <w:spacing w:line="360" w:lineRule="auto"/>
        <w:ind w:left="420" w:hanging="420" w:hangingChars="200"/>
        <w:rPr>
          <w:rFonts w:hint="default" w:ascii="Times New Roman" w:hAnsi="Times New Roman" w:eastAsia="黑体" w:cs="Times New Roman"/>
          <w:color w:val="000000"/>
        </w:rPr>
      </w:pPr>
      <w:r>
        <w:rPr>
          <w:rFonts w:hint="default" w:ascii="Times New Roman" w:hAnsi="Times New Roman" w:eastAsia="黑体" w:cs="Times New Roman"/>
          <w:color w:val="000000"/>
        </w:rPr>
        <w:br w:type="textWrapping"/>
      </w:r>
      <w:r>
        <w:rPr>
          <w:rFonts w:hint="default" w:ascii="Times New Roman" w:hAnsi="Times New Roman" w:eastAsia="黑体" w:cs="Times New Roman"/>
          <w:color w:val="000000"/>
          <w:lang w:val="en-US" w:eastAsia="zh-CN"/>
        </w:rPr>
        <w:t>继电保护系统</w:t>
      </w:r>
      <w:r>
        <w:rPr>
          <w:rFonts w:hint="default" w:ascii="Times New Roman" w:hAnsi="Times New Roman" w:eastAsia="黑体" w:cs="Times New Roman"/>
          <w:color w:val="000000"/>
        </w:rPr>
        <w:t xml:space="preserve"> </w:t>
      </w:r>
      <w:r>
        <w:rPr>
          <w:rFonts w:hint="default" w:ascii="Times New Roman" w:hAnsi="Times New Roman" w:eastAsia="黑体" w:cs="Times New Roman"/>
          <w:snapToGrid w:val="0"/>
          <w:szCs w:val="22"/>
          <w:lang w:val="en-US" w:eastAsia="zh-CN"/>
        </w:rPr>
        <w:t xml:space="preserve">relay protection </w:t>
      </w:r>
      <w:r>
        <w:rPr>
          <w:rFonts w:hint="default" w:ascii="Times New Roman" w:hAnsi="Times New Roman" w:eastAsia="黑体" w:cs="Times New Roman"/>
          <w:snapToGrid w:val="0"/>
          <w:szCs w:val="22"/>
          <w:highlight w:val="none"/>
          <w:lang w:val="en-US" w:eastAsia="zh-CN"/>
        </w:rPr>
        <w:t>system</w:t>
      </w:r>
    </w:p>
    <w:p w14:paraId="56CF02ED">
      <w:pPr>
        <w:pStyle w:val="245"/>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由继电保护装置、合并单元、智能终端、交换机、通道、二次回路等构成，实现继电保护功能的系统。</w:t>
      </w:r>
    </w:p>
    <w:p w14:paraId="7B90AD32">
      <w:pPr>
        <w:pStyle w:val="110"/>
        <w:spacing w:before="240" w:after="240" w:line="360" w:lineRule="auto"/>
        <w:rPr>
          <w:rFonts w:hint="default" w:ascii="Times New Roman" w:hAnsi="Times New Roman" w:cs="Times New Roman"/>
          <w:color w:val="000000"/>
        </w:rPr>
      </w:pPr>
      <w:bookmarkStart w:id="40" w:name="_Toc22589"/>
      <w:r>
        <w:rPr>
          <w:rFonts w:hint="default" w:ascii="Times New Roman" w:hAnsi="Times New Roman" w:cs="Times New Roman"/>
          <w:color w:val="000000"/>
        </w:rPr>
        <w:t>总</w:t>
      </w:r>
      <w:r>
        <w:rPr>
          <w:rFonts w:hint="default" w:ascii="Times New Roman" w:hAnsi="Times New Roman" w:cs="Times New Roman"/>
          <w:color w:val="000000"/>
          <w:lang w:val="en-US" w:eastAsia="zh-CN"/>
        </w:rPr>
        <w:t>则</w:t>
      </w:r>
      <w:bookmarkEnd w:id="40"/>
    </w:p>
    <w:p w14:paraId="4C803FF0">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4.1 为进一步加强电力建设工程变压器、 GIS建设阶段质量管控，提升电网长期安全运行水平，根据规程规范、制度及招投标标准，针对到货验收、设备安装、交接试验、保护调试、工程验收及问题处理等环节，进一步明确施工及验收技术要求。</w:t>
      </w:r>
    </w:p>
    <w:p w14:paraId="14906B31">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4.2 变压器、GIS的施工及验收，除应符合本文件外，尚应符合国家现行有关标准的规定。</w:t>
      </w:r>
    </w:p>
    <w:p w14:paraId="0E037C70">
      <w:pPr>
        <w:pStyle w:val="110"/>
        <w:spacing w:before="240" w:after="240" w:line="360" w:lineRule="auto"/>
        <w:rPr>
          <w:rFonts w:hint="default" w:ascii="Times New Roman" w:hAnsi="Times New Roman" w:cs="Times New Roman"/>
          <w:color w:val="000000"/>
          <w:lang w:eastAsia="zh-CN"/>
        </w:rPr>
      </w:pPr>
      <w:bookmarkStart w:id="41" w:name="_Toc23240"/>
      <w:r>
        <w:rPr>
          <w:rFonts w:hint="default" w:ascii="Times New Roman" w:hAnsi="Times New Roman" w:cs="Times New Roman"/>
          <w:color w:val="000000"/>
          <w:lang w:val="en-US" w:eastAsia="zh-CN"/>
        </w:rPr>
        <w:t>基本要求</w:t>
      </w:r>
      <w:bookmarkEnd w:id="41"/>
      <w:r>
        <w:rPr>
          <w:rFonts w:hint="default" w:ascii="Times New Roman" w:hAnsi="Times New Roman" w:cs="Times New Roman"/>
          <w:color w:val="000000"/>
        </w:rPr>
        <w:t xml:space="preserve">  </w:t>
      </w:r>
    </w:p>
    <w:p w14:paraId="0B9BC762">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 xml:space="preserve">5.1 </w:t>
      </w:r>
      <w:r>
        <w:rPr>
          <w:rFonts w:hint="default" w:ascii="Times New Roman" w:hAnsi="Times New Roman" w:eastAsia="宋体" w:cs="Times New Roman"/>
          <w:color w:val="auto"/>
          <w:highlight w:val="none"/>
          <w:lang w:val="en-US" w:eastAsia="zh-CN"/>
        </w:rPr>
        <w:t>变压器</w:t>
      </w:r>
      <w:r>
        <w:rPr>
          <w:rFonts w:hint="default" w:ascii="Times New Roman" w:hAnsi="Times New Roman" w:cs="Times New Roman"/>
          <w:snapToGrid w:val="0"/>
          <w:lang w:val="en-US" w:eastAsia="zh-CN"/>
        </w:rPr>
        <w:t>、GIS的施工应按已批准的设计文件、施工方案及厂家作业指导书进行，各类文件的编审批手续、会检及交底应已完成。设备和器材的铭牌、安装使用说明书、出厂试验报告及质量合格证明文件等资料应齐全，并应符合合同及技术协议的规定。</w:t>
      </w:r>
    </w:p>
    <w:p w14:paraId="5616C8EC">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 xml:space="preserve">5.2 </w:t>
      </w:r>
      <w:r>
        <w:rPr>
          <w:rFonts w:hint="default" w:ascii="Times New Roman" w:hAnsi="Times New Roman" w:eastAsia="宋体" w:cs="Times New Roman"/>
          <w:color w:val="auto"/>
          <w:highlight w:val="none"/>
          <w:lang w:val="en-US" w:eastAsia="zh-CN"/>
        </w:rPr>
        <w:t>变压器</w:t>
      </w:r>
      <w:r>
        <w:rPr>
          <w:rFonts w:hint="default" w:ascii="Times New Roman" w:hAnsi="Times New Roman" w:cs="Times New Roman"/>
          <w:snapToGrid w:val="0"/>
          <w:lang w:val="en-US" w:eastAsia="zh-CN"/>
        </w:rPr>
        <w:t>、GIS的施工应满足必要的安全作业条件，参与施工的人员、机具、设施及作业全过程应符合GB 26860的</w:t>
      </w:r>
      <w:r>
        <w:rPr>
          <w:rFonts w:hint="default" w:ascii="Times New Roman" w:hAnsi="Times New Roman" w:cs="Times New Roman"/>
          <w:lang w:val="en-US" w:eastAsia="zh-CN"/>
        </w:rPr>
        <w:t>相关规定</w:t>
      </w:r>
      <w:r>
        <w:rPr>
          <w:rFonts w:hint="default" w:ascii="Times New Roman" w:hAnsi="Times New Roman" w:cs="Times New Roman"/>
          <w:snapToGrid w:val="0"/>
          <w:lang w:val="en-US" w:eastAsia="zh-CN"/>
        </w:rPr>
        <w:t>。</w:t>
      </w:r>
    </w:p>
    <w:p w14:paraId="5E4DD08F">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5.3 设备和器材在安装前的运输和保管应符合产品技术文件要求，保管期限在产品技术文件没有规定时应不超过1年。</w:t>
      </w:r>
    </w:p>
    <w:p w14:paraId="2177F986">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5.4 设备安装前，与其相关的建筑工程应符合下列规定：</w:t>
      </w:r>
    </w:p>
    <w:p w14:paraId="328E2B17">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 xml:space="preserve">5.4.1 </w:t>
      </w:r>
      <w:r>
        <w:rPr>
          <w:rFonts w:hint="default" w:ascii="Times New Roman" w:hAnsi="Times New Roman" w:eastAsia="宋体" w:cs="Times New Roman"/>
          <w:color w:val="auto"/>
          <w:highlight w:val="none"/>
          <w:lang w:val="en-US" w:eastAsia="zh-CN"/>
        </w:rPr>
        <w:t>建筑物</w:t>
      </w:r>
      <w:r>
        <w:rPr>
          <w:rFonts w:hint="default" w:ascii="Times New Roman" w:hAnsi="Times New Roman" w:cs="Times New Roman"/>
          <w:snapToGrid w:val="0"/>
          <w:lang w:val="en-US" w:eastAsia="zh-CN"/>
        </w:rPr>
        <w:t>应无渗漏，门窗宜安装完毕。有可能损坏已安装设备或设备安装后不能再装饰的工作应全部结束。</w:t>
      </w:r>
    </w:p>
    <w:p w14:paraId="1E593FA6">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5.4.2 预埋件及预留孔应符合设计文件要求，预埋件应固定牢固。</w:t>
      </w:r>
    </w:p>
    <w:p w14:paraId="334880C9">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snapToGrid w:val="0"/>
          <w:lang w:val="en-US" w:eastAsia="zh-CN"/>
        </w:rPr>
        <w:t xml:space="preserve">5.4.3 </w:t>
      </w:r>
      <w:r>
        <w:rPr>
          <w:rFonts w:hint="default" w:ascii="Times New Roman" w:hAnsi="Times New Roman" w:eastAsia="宋体" w:cs="Times New Roman"/>
          <w:color w:val="auto"/>
          <w:highlight w:val="none"/>
          <w:lang w:val="en-US" w:eastAsia="zh-CN"/>
        </w:rPr>
        <w:t>构架</w:t>
      </w:r>
      <w:r>
        <w:rPr>
          <w:rFonts w:hint="default" w:ascii="Times New Roman" w:hAnsi="Times New Roman" w:cs="Times New Roman"/>
          <w:snapToGrid w:val="0"/>
          <w:lang w:val="en-US" w:eastAsia="zh-CN"/>
        </w:rPr>
        <w:t>、竖井的走道板、栏杆、平台及梯子应齐全、安装牢固。</w:t>
      </w:r>
    </w:p>
    <w:p w14:paraId="2B5ACB6C">
      <w:pPr>
        <w:numPr>
          <w:ilvl w:val="0"/>
          <w:numId w:val="0"/>
        </w:numPr>
        <w:tabs>
          <w:tab w:val="left" w:pos="0"/>
          <w:tab w:val="left" w:pos="397"/>
        </w:tabs>
        <w:snapToGrid w:val="0"/>
        <w:jc w:val="both"/>
        <w:rPr>
          <w:rFonts w:hint="default" w:ascii="Times New Roman" w:hAnsi="Times New Roman" w:cs="Times New Roman"/>
          <w:snapToGrid w:val="0"/>
          <w:color w:val="auto"/>
          <w:highlight w:val="none"/>
          <w:lang w:val="en-US" w:eastAsia="zh-CN"/>
        </w:rPr>
      </w:pPr>
      <w:r>
        <w:rPr>
          <w:rFonts w:hint="default" w:ascii="Times New Roman" w:hAnsi="Times New Roman" w:cs="Times New Roman"/>
          <w:snapToGrid w:val="0"/>
          <w:lang w:val="en-US" w:eastAsia="zh-CN"/>
        </w:rPr>
        <w:t>5.4.4 基础及构支</w:t>
      </w:r>
      <w:r>
        <w:rPr>
          <w:rFonts w:hint="default" w:ascii="Times New Roman" w:hAnsi="Times New Roman" w:cs="Times New Roman"/>
          <w:snapToGrid w:val="0"/>
          <w:color w:val="auto"/>
          <w:highlight w:val="none"/>
          <w:lang w:val="en-US" w:eastAsia="zh-CN"/>
        </w:rPr>
        <w:t>架应符合下列规定：</w:t>
      </w:r>
    </w:p>
    <w:p w14:paraId="4C49DB8A">
      <w:pPr>
        <w:numPr>
          <w:ilvl w:val="0"/>
          <w:numId w:val="34"/>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cs="Times New Roman"/>
          <w:snapToGrid w:val="0"/>
          <w:color w:val="auto"/>
          <w:highlight w:val="none"/>
          <w:lang w:val="en-US" w:eastAsia="zh-CN"/>
        </w:rPr>
        <w:t>混凝土强</w:t>
      </w:r>
      <w:r>
        <w:rPr>
          <w:rFonts w:hint="default" w:ascii="Times New Roman" w:hAnsi="Times New Roman" w:eastAsia="宋体" w:cs="Times New Roman"/>
          <w:color w:val="auto"/>
          <w:highlight w:val="none"/>
          <w:lang w:val="en-US" w:eastAsia="zh-CN"/>
        </w:rPr>
        <w:t>度应达到设备安装要求，基坑应回填夯实</w:t>
      </w:r>
      <w:r>
        <w:rPr>
          <w:rFonts w:hint="eastAsia" w:ascii="Times New Roman" w:hAnsi="Times New Roman" w:cs="Times New Roman"/>
          <w:color w:val="auto"/>
          <w:highlight w:val="none"/>
          <w:lang w:val="en-US" w:eastAsia="zh-CN"/>
        </w:rPr>
        <w:t>；</w:t>
      </w:r>
    </w:p>
    <w:p w14:paraId="19EF0967">
      <w:pPr>
        <w:numPr>
          <w:ilvl w:val="0"/>
          <w:numId w:val="34"/>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顶面标高、轴线应符合设计要求</w:t>
      </w:r>
      <w:r>
        <w:rPr>
          <w:rFonts w:hint="eastAsia" w:ascii="Times New Roman" w:hAnsi="Times New Roman" w:cs="Times New Roman"/>
          <w:color w:val="auto"/>
          <w:highlight w:val="none"/>
          <w:lang w:val="en-US" w:eastAsia="zh-CN"/>
        </w:rPr>
        <w:t>；</w:t>
      </w:r>
    </w:p>
    <w:p w14:paraId="5F34393D">
      <w:pPr>
        <w:numPr>
          <w:ilvl w:val="0"/>
          <w:numId w:val="34"/>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预埋件中心线偏差应符合设计及产品技术文件要求</w:t>
      </w:r>
      <w:r>
        <w:rPr>
          <w:rFonts w:hint="eastAsia" w:ascii="Times New Roman" w:hAnsi="Times New Roman" w:cs="Times New Roman"/>
          <w:color w:val="auto"/>
          <w:highlight w:val="none"/>
          <w:lang w:val="en-US" w:eastAsia="zh-CN"/>
        </w:rPr>
        <w:t>；</w:t>
      </w:r>
    </w:p>
    <w:p w14:paraId="1862398D">
      <w:pPr>
        <w:numPr>
          <w:ilvl w:val="0"/>
          <w:numId w:val="34"/>
        </w:numPr>
        <w:tabs>
          <w:tab w:val="left" w:pos="0"/>
        </w:tabs>
        <w:snapToGrid w:val="0"/>
        <w:ind w:left="14" w:leftChars="0" w:firstLine="406" w:firstLineChars="0"/>
        <w:jc w:val="both"/>
        <w:rPr>
          <w:rFonts w:hint="default" w:ascii="Times New Roman" w:hAnsi="Times New Roman" w:cs="Times New Roman"/>
          <w:snapToGrid w:val="0"/>
          <w:color w:val="auto"/>
          <w:highlight w:val="none"/>
          <w:lang w:val="en-US" w:eastAsia="zh-CN"/>
        </w:rPr>
      </w:pPr>
      <w:r>
        <w:rPr>
          <w:rFonts w:hint="default" w:ascii="Times New Roman" w:hAnsi="Times New Roman" w:eastAsia="宋体" w:cs="Times New Roman"/>
          <w:color w:val="auto"/>
          <w:highlight w:val="none"/>
          <w:lang w:val="en-US" w:eastAsia="zh-CN"/>
        </w:rPr>
        <w:t>二次灌浆应符</w:t>
      </w:r>
      <w:r>
        <w:rPr>
          <w:rFonts w:hint="default" w:ascii="Times New Roman" w:hAnsi="Times New Roman" w:cs="Times New Roman"/>
          <w:snapToGrid w:val="0"/>
          <w:color w:val="auto"/>
          <w:highlight w:val="none"/>
          <w:lang w:val="en-US" w:eastAsia="zh-CN"/>
        </w:rPr>
        <w:t>合设计文件及设备安装要求</w:t>
      </w:r>
      <w:r>
        <w:rPr>
          <w:rFonts w:hint="eastAsia" w:ascii="Times New Roman" w:hAnsi="Times New Roman" w:cs="Times New Roman"/>
          <w:color w:val="auto"/>
          <w:highlight w:val="none"/>
          <w:lang w:val="en-US" w:eastAsia="zh-CN"/>
        </w:rPr>
        <w:t>。</w:t>
      </w:r>
    </w:p>
    <w:p w14:paraId="1E99B6E0">
      <w:pPr>
        <w:numPr>
          <w:ilvl w:val="0"/>
          <w:numId w:val="0"/>
        </w:numPr>
        <w:tabs>
          <w:tab w:val="left" w:pos="0"/>
          <w:tab w:val="left" w:pos="397"/>
        </w:tabs>
        <w:snapToGrid w:val="0"/>
        <w:jc w:val="both"/>
        <w:rPr>
          <w:rFonts w:hint="default" w:ascii="Times New Roman" w:hAnsi="Times New Roman" w:cs="Times New Roman"/>
          <w:color w:val="auto"/>
          <w:kern w:val="0"/>
          <w:sz w:val="21"/>
          <w:szCs w:val="21"/>
          <w:highlight w:val="none"/>
          <w:lang w:val="en-US" w:eastAsia="zh-CN" w:bidi="ar"/>
        </w:rPr>
      </w:pPr>
      <w:r>
        <w:rPr>
          <w:rFonts w:hint="default" w:ascii="Times New Roman" w:hAnsi="Times New Roman" w:cs="Times New Roman"/>
          <w:snapToGrid w:val="0"/>
          <w:color w:val="auto"/>
          <w:highlight w:val="none"/>
          <w:lang w:val="en-US" w:eastAsia="zh-CN"/>
        </w:rPr>
        <w:t xml:space="preserve">5.4.5 </w:t>
      </w:r>
      <w:r>
        <w:rPr>
          <w:rFonts w:hint="default" w:ascii="Times New Roman" w:hAnsi="Times New Roman" w:eastAsia="宋体" w:cs="Times New Roman"/>
          <w:color w:val="auto"/>
          <w:kern w:val="0"/>
          <w:sz w:val="21"/>
          <w:szCs w:val="21"/>
          <w:highlight w:val="none"/>
          <w:lang w:val="en-US" w:eastAsia="zh-CN" w:bidi="ar"/>
        </w:rPr>
        <w:t>相关土建工程已完成，</w:t>
      </w:r>
      <w:r>
        <w:rPr>
          <w:rFonts w:hint="default" w:ascii="Times New Roman" w:hAnsi="Times New Roman" w:cs="Times New Roman"/>
          <w:color w:val="auto"/>
          <w:kern w:val="0"/>
          <w:sz w:val="21"/>
          <w:szCs w:val="21"/>
          <w:highlight w:val="none"/>
          <w:lang w:val="en-US" w:eastAsia="zh-CN" w:bidi="ar"/>
        </w:rPr>
        <w:t>GIS</w:t>
      </w:r>
      <w:r>
        <w:rPr>
          <w:rFonts w:hint="default" w:ascii="Times New Roman" w:hAnsi="Times New Roman" w:eastAsia="宋体" w:cs="Times New Roman"/>
          <w:color w:val="auto"/>
          <w:kern w:val="0"/>
          <w:sz w:val="21"/>
          <w:szCs w:val="21"/>
          <w:highlight w:val="none"/>
          <w:lang w:val="en-US" w:eastAsia="zh-CN" w:bidi="ar"/>
        </w:rPr>
        <w:t>安装前具备无尘化安装条件</w:t>
      </w:r>
      <w:r>
        <w:rPr>
          <w:rFonts w:hint="default" w:ascii="Times New Roman" w:hAnsi="Times New Roman" w:cs="Times New Roman"/>
          <w:color w:val="auto"/>
          <w:kern w:val="0"/>
          <w:sz w:val="21"/>
          <w:szCs w:val="21"/>
          <w:highlight w:val="none"/>
          <w:lang w:val="en-US" w:eastAsia="zh-CN" w:bidi="ar"/>
        </w:rPr>
        <w:t>。</w:t>
      </w:r>
    </w:p>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BDCCB57">
      <w:pPr>
        <w:pStyle w:val="110"/>
        <w:spacing w:before="240" w:after="240" w:line="360" w:lineRule="auto"/>
        <w:rPr>
          <w:rFonts w:hint="default" w:ascii="Times New Roman" w:hAnsi="Times New Roman" w:cs="Times New Roman"/>
          <w:color w:val="000000"/>
          <w:lang w:val="en-US" w:eastAsia="zh-CN"/>
        </w:rPr>
      </w:pPr>
      <w:bookmarkStart w:id="42" w:name="_Toc2828"/>
      <w:bookmarkStart w:id="43" w:name="_Toc27281"/>
      <w:r>
        <w:rPr>
          <w:rFonts w:hint="default" w:ascii="Times New Roman" w:hAnsi="Times New Roman" w:cs="Times New Roman"/>
          <w:color w:val="000000"/>
          <w:lang w:val="en-US" w:eastAsia="zh-CN"/>
        </w:rPr>
        <w:t>到货验收</w:t>
      </w:r>
      <w:bookmarkEnd w:id="42"/>
    </w:p>
    <w:p w14:paraId="3E9EA765">
      <w:pPr>
        <w:pStyle w:val="246"/>
        <w:numPr>
          <w:ilvl w:val="1"/>
          <w:numId w:val="0"/>
        </w:numPr>
        <w:tabs>
          <w:tab w:val="left" w:pos="0"/>
        </w:tabs>
        <w:rPr>
          <w:rFonts w:hint="eastAsia" w:ascii="黑体" w:hAnsi="黑体" w:eastAsia="黑体" w:cs="黑体"/>
          <w:b w:val="0"/>
          <w:bCs w:val="0"/>
        </w:rPr>
      </w:pPr>
      <w:r>
        <w:rPr>
          <w:rFonts w:hint="eastAsia" w:ascii="黑体" w:hAnsi="黑体" w:eastAsia="黑体" w:cs="黑体"/>
          <w:b w:val="0"/>
          <w:bCs w:val="0"/>
        </w:rPr>
        <w:t>6.1  现场交接</w:t>
      </w:r>
    </w:p>
    <w:p w14:paraId="098ADABF">
      <w:pPr>
        <w:numPr>
          <w:ilvl w:val="0"/>
          <w:numId w:val="0"/>
        </w:numPr>
        <w:tabs>
          <w:tab w:val="left" w:pos="0"/>
          <w:tab w:val="left" w:pos="397"/>
        </w:tabs>
        <w:snapToGrid w:val="0"/>
        <w:jc w:val="both"/>
        <w:rPr>
          <w:rFonts w:hint="default" w:ascii="Times New Roman" w:hAnsi="Times New Roman" w:cs="Times New Roman"/>
          <w:snapToGrid w:val="0"/>
          <w:lang w:val="en-US" w:eastAsia="zh-CN"/>
        </w:rPr>
      </w:pPr>
      <w:r>
        <w:rPr>
          <w:rFonts w:hint="default" w:ascii="Times New Roman" w:hAnsi="Times New Roman" w:cs="Times New Roman"/>
        </w:rPr>
        <w:t>6.1.1设备</w:t>
      </w:r>
      <w:r>
        <w:rPr>
          <w:rFonts w:hint="default" w:ascii="Times New Roman" w:hAnsi="Times New Roman" w:cs="Times New Roman"/>
          <w:snapToGrid w:val="0"/>
          <w:lang w:val="en-US" w:eastAsia="zh-CN"/>
        </w:rPr>
        <w:t>发货前，监造材料及产品质量合格证明资料应齐全，并经审核合格。</w:t>
      </w:r>
    </w:p>
    <w:p w14:paraId="1C7344EE">
      <w:pPr>
        <w:numPr>
          <w:ilvl w:val="0"/>
          <w:numId w:val="0"/>
        </w:numPr>
        <w:tabs>
          <w:tab w:val="left" w:pos="0"/>
          <w:tab w:val="left" w:pos="397"/>
        </w:tabs>
        <w:snapToGrid w:val="0"/>
        <w:jc w:val="both"/>
        <w:rPr>
          <w:rFonts w:hint="default" w:ascii="Times New Roman" w:hAnsi="Times New Roman" w:cs="Times New Roman"/>
          <w:color w:val="0000FF"/>
          <w:szCs w:val="22"/>
        </w:rPr>
      </w:pPr>
      <w:r>
        <w:rPr>
          <w:rFonts w:hint="default" w:ascii="Times New Roman" w:hAnsi="Times New Roman" w:cs="Times New Roman"/>
          <w:snapToGrid w:val="0"/>
          <w:lang w:val="en-US" w:eastAsia="zh-CN"/>
        </w:rPr>
        <w:t xml:space="preserve">6.1.2 </w:t>
      </w:r>
      <w:r>
        <w:rPr>
          <w:rFonts w:hint="default" w:ascii="Times New Roman" w:hAnsi="Times New Roman" w:eastAsia="宋体" w:cs="Times New Roman"/>
          <w:color w:val="auto"/>
          <w:highlight w:val="none"/>
          <w:lang w:val="en-US" w:eastAsia="zh-CN"/>
        </w:rPr>
        <w:t>设备</w:t>
      </w:r>
      <w:r>
        <w:rPr>
          <w:rFonts w:hint="default" w:ascii="Times New Roman" w:hAnsi="Times New Roman" w:cs="Times New Roman"/>
          <w:snapToGrid w:val="0"/>
          <w:lang w:val="en-US" w:eastAsia="zh-CN"/>
        </w:rPr>
        <w:t>及器材</w:t>
      </w:r>
      <w:r>
        <w:rPr>
          <w:rFonts w:hint="default" w:ascii="Times New Roman" w:hAnsi="Times New Roman" w:cs="Times New Roman"/>
          <w:szCs w:val="22"/>
        </w:rPr>
        <w:t>到达现场后</w:t>
      </w:r>
      <w:r>
        <w:rPr>
          <w:rFonts w:hint="default" w:ascii="Times New Roman" w:hAnsi="Times New Roman" w:cs="Times New Roman"/>
          <w:szCs w:val="22"/>
          <w:lang w:val="en-US" w:eastAsia="zh-CN"/>
        </w:rPr>
        <w:t>检查，应符合以下要求：</w:t>
      </w:r>
    </w:p>
    <w:p w14:paraId="51BA55DA">
      <w:pPr>
        <w:numPr>
          <w:ilvl w:val="0"/>
          <w:numId w:val="3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cs="Times New Roman"/>
        </w:rPr>
        <w:t>包</w:t>
      </w:r>
      <w:r>
        <w:rPr>
          <w:rFonts w:hint="default" w:ascii="Times New Roman" w:hAnsi="Times New Roman" w:eastAsia="宋体" w:cs="Times New Roman"/>
          <w:color w:val="auto"/>
          <w:highlight w:val="none"/>
          <w:lang w:val="en-US" w:eastAsia="zh-CN"/>
        </w:rPr>
        <w:t>装无破损，密封良好；</w:t>
      </w:r>
    </w:p>
    <w:p w14:paraId="11BE35DF">
      <w:pPr>
        <w:numPr>
          <w:ilvl w:val="0"/>
          <w:numId w:val="3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到货设备数量、规格与合同、装箱清单和设计要求相符；</w:t>
      </w:r>
    </w:p>
    <w:p w14:paraId="2FD518DE">
      <w:pPr>
        <w:numPr>
          <w:ilvl w:val="0"/>
          <w:numId w:val="3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设备外观应无损伤、变形及锈蚀；</w:t>
      </w:r>
    </w:p>
    <w:p w14:paraId="280C1810">
      <w:pPr>
        <w:numPr>
          <w:ilvl w:val="0"/>
          <w:numId w:val="3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产品的技术文件齐全，符合合同规定；</w:t>
      </w:r>
    </w:p>
    <w:p w14:paraId="19C3C8EF">
      <w:pPr>
        <w:numPr>
          <w:ilvl w:val="0"/>
          <w:numId w:val="3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充有干燥气体的运输单元或部件的压力值符合产品技术文件的要求；</w:t>
      </w:r>
    </w:p>
    <w:p w14:paraId="6F250DB1">
      <w:pPr>
        <w:numPr>
          <w:ilvl w:val="0"/>
          <w:numId w:val="3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安装冲击记录仪的元件，冲击加速度应不大于3g或满足产品技术文件要求，并将记录移交存档；</w:t>
      </w:r>
    </w:p>
    <w:p w14:paraId="7623EF51">
      <w:pPr>
        <w:numPr>
          <w:ilvl w:val="0"/>
          <w:numId w:val="3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到货设备瓷件及绝缘件无裂纹及破损；</w:t>
      </w:r>
    </w:p>
    <w:p w14:paraId="6A2B1AA8">
      <w:pPr>
        <w:numPr>
          <w:ilvl w:val="0"/>
          <w:numId w:val="35"/>
        </w:numPr>
        <w:tabs>
          <w:tab w:val="left" w:pos="0"/>
        </w:tabs>
        <w:snapToGrid w:val="0"/>
        <w:ind w:left="14" w:leftChars="0" w:firstLine="406" w:firstLineChars="0"/>
        <w:jc w:val="both"/>
        <w:rPr>
          <w:rFonts w:hint="default" w:ascii="Times New Roman" w:hAnsi="Times New Roman" w:cs="Times New Roman"/>
        </w:rPr>
      </w:pPr>
      <w:r>
        <w:rPr>
          <w:rFonts w:hint="default" w:ascii="Times New Roman" w:hAnsi="Times New Roman" w:eastAsia="宋体" w:cs="Times New Roman"/>
          <w:color w:val="auto"/>
          <w:highlight w:val="none"/>
          <w:lang w:val="en-US" w:eastAsia="zh-CN"/>
        </w:rPr>
        <w:t>支架无变形、</w:t>
      </w:r>
      <w:r>
        <w:rPr>
          <w:rFonts w:hint="default" w:ascii="Times New Roman" w:hAnsi="Times New Roman" w:cs="Times New Roman"/>
        </w:rPr>
        <w:t>损伤、锈蚀和锌层脱落；地脚螺栓满足设计及产品技术文件要求。</w:t>
      </w:r>
    </w:p>
    <w:p w14:paraId="2D8006E6">
      <w:pPr>
        <w:numPr>
          <w:ilvl w:val="0"/>
          <w:numId w:val="0"/>
        </w:numPr>
        <w:tabs>
          <w:tab w:val="left" w:pos="0"/>
          <w:tab w:val="left" w:pos="397"/>
        </w:tabs>
        <w:snapToGrid w:val="0"/>
        <w:jc w:val="both"/>
        <w:rPr>
          <w:rFonts w:hint="default" w:ascii="Times New Roman" w:hAnsi="Times New Roman" w:cs="Times New Roman"/>
          <w:color w:val="0000FF"/>
        </w:rPr>
      </w:pPr>
      <w:r>
        <w:rPr>
          <w:rFonts w:hint="default" w:ascii="Times New Roman" w:hAnsi="Times New Roman" w:cs="Times New Roman"/>
          <w:szCs w:val="22"/>
        </w:rPr>
        <w:t>6.1.</w:t>
      </w:r>
      <w:r>
        <w:rPr>
          <w:rFonts w:hint="default" w:ascii="Times New Roman" w:hAnsi="Times New Roman" w:cs="Times New Roman"/>
          <w:szCs w:val="22"/>
          <w:lang w:val="en-US" w:eastAsia="zh-CN"/>
        </w:rPr>
        <w:t>3</w:t>
      </w:r>
      <w:r>
        <w:rPr>
          <w:rFonts w:hint="default" w:ascii="Times New Roman" w:hAnsi="Times New Roman" w:cs="Times New Roman"/>
          <w:szCs w:val="22"/>
        </w:rPr>
        <w:t xml:space="preserve"> </w:t>
      </w:r>
      <w:r>
        <w:rPr>
          <w:rFonts w:hint="default" w:ascii="Times New Roman" w:hAnsi="Times New Roman" w:cs="Times New Roman"/>
          <w:lang w:val="en-US" w:eastAsia="zh-CN"/>
        </w:rPr>
        <w:t>设备开箱前应存放在防火、防潮、防尘的环境下，并符合厂家技术文件要求</w:t>
      </w:r>
      <w:r>
        <w:rPr>
          <w:rFonts w:hint="default" w:ascii="Times New Roman" w:hAnsi="Times New Roman" w:cs="Times New Roman"/>
          <w:lang w:eastAsia="zh-CN"/>
        </w:rPr>
        <w:t>。</w:t>
      </w:r>
    </w:p>
    <w:p w14:paraId="362FBE8E">
      <w:pPr>
        <w:pStyle w:val="246"/>
        <w:numPr>
          <w:ilvl w:val="1"/>
          <w:numId w:val="0"/>
        </w:numPr>
        <w:tabs>
          <w:tab w:val="left" w:pos="0"/>
        </w:tabs>
        <w:rPr>
          <w:rFonts w:hint="default" w:ascii="黑体" w:hAnsi="黑体" w:eastAsia="黑体" w:cs="黑体"/>
          <w:b w:val="0"/>
          <w:bCs w:val="0"/>
        </w:rPr>
      </w:pPr>
      <w:r>
        <w:rPr>
          <w:rFonts w:hint="default" w:ascii="黑体" w:hAnsi="黑体" w:eastAsia="黑体" w:cs="黑体"/>
          <w:b w:val="0"/>
          <w:bCs w:val="0"/>
        </w:rPr>
        <w:t xml:space="preserve">6.2  </w:t>
      </w:r>
      <w:r>
        <w:rPr>
          <w:rFonts w:hint="default" w:ascii="黑体" w:hAnsi="黑体" w:eastAsia="黑体" w:cs="黑体"/>
          <w:b w:val="0"/>
          <w:bCs w:val="0"/>
          <w:lang w:val="en-US" w:eastAsia="zh-CN"/>
        </w:rPr>
        <w:t>开箱</w:t>
      </w:r>
      <w:r>
        <w:rPr>
          <w:rFonts w:hint="default" w:ascii="黑体" w:hAnsi="黑体" w:eastAsia="黑体" w:cs="黑体"/>
          <w:b w:val="0"/>
          <w:bCs w:val="0"/>
        </w:rPr>
        <w:t>验收</w:t>
      </w:r>
    </w:p>
    <w:p w14:paraId="2D4213DB">
      <w:pPr>
        <w:numPr>
          <w:ilvl w:val="0"/>
          <w:numId w:val="0"/>
        </w:numPr>
        <w:tabs>
          <w:tab w:val="left" w:pos="0"/>
          <w:tab w:val="left" w:pos="397"/>
        </w:tabs>
        <w:snapToGrid w:val="0"/>
        <w:jc w:val="both"/>
        <w:rPr>
          <w:rFonts w:hint="default" w:ascii="Times New Roman" w:hAnsi="Times New Roman" w:eastAsia="宋体" w:cs="Times New Roman"/>
          <w:color w:val="auto"/>
          <w:highlight w:val="none"/>
          <w:lang w:val="en-US" w:eastAsia="zh-CN"/>
        </w:rPr>
      </w:pPr>
      <w:r>
        <w:rPr>
          <w:rFonts w:hint="default" w:ascii="Times New Roman" w:hAnsi="Times New Roman" w:cs="Times New Roman"/>
        </w:rPr>
        <w:t xml:space="preserve">6.2.1 </w:t>
      </w:r>
      <w:r>
        <w:rPr>
          <w:rFonts w:hint="default" w:ascii="Times New Roman" w:hAnsi="Times New Roman" w:cs="Times New Roman"/>
          <w:lang w:val="en-US" w:eastAsia="zh-CN"/>
        </w:rPr>
        <w:t>开箱验</w:t>
      </w:r>
      <w:r>
        <w:rPr>
          <w:rFonts w:hint="default" w:ascii="Times New Roman" w:hAnsi="Times New Roman" w:eastAsia="宋体" w:cs="Times New Roman"/>
          <w:color w:val="auto"/>
          <w:highlight w:val="none"/>
          <w:lang w:val="en-US" w:eastAsia="zh-CN"/>
        </w:rPr>
        <w:t>收前现场条件应满足厂家技术要求。</w:t>
      </w:r>
    </w:p>
    <w:p w14:paraId="6D4481BD">
      <w:pPr>
        <w:numPr>
          <w:ilvl w:val="0"/>
          <w:numId w:val="0"/>
        </w:numPr>
        <w:tabs>
          <w:tab w:val="left" w:pos="0"/>
          <w:tab w:val="left" w:pos="397"/>
        </w:tabs>
        <w:snapToGrid w:val="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6.2.2 设备的产品合格证、出厂试验报告、监造报告、质量证明文件等资料应齐全。</w:t>
      </w:r>
    </w:p>
    <w:p w14:paraId="0217717F">
      <w:pPr>
        <w:numPr>
          <w:ilvl w:val="0"/>
          <w:numId w:val="0"/>
        </w:numPr>
        <w:tabs>
          <w:tab w:val="left" w:pos="0"/>
          <w:tab w:val="left" w:pos="397"/>
        </w:tabs>
        <w:snapToGrid w:val="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6.2.3 厂家外购部件材料证明文件以及焊缝、铸造等关键工序证明材料齐全。</w:t>
      </w:r>
    </w:p>
    <w:p w14:paraId="300AECB8">
      <w:pPr>
        <w:numPr>
          <w:ilvl w:val="0"/>
          <w:numId w:val="0"/>
        </w:numPr>
        <w:tabs>
          <w:tab w:val="left" w:pos="0"/>
          <w:tab w:val="left" w:pos="397"/>
        </w:tabs>
        <w:snapToGrid w:val="0"/>
        <w:jc w:val="both"/>
        <w:rPr>
          <w:rFonts w:hint="default" w:ascii="Times New Roman" w:hAnsi="Times New Roman" w:cs="Times New Roman"/>
          <w:color w:val="0000FF"/>
          <w:szCs w:val="22"/>
        </w:rPr>
      </w:pPr>
      <w:r>
        <w:rPr>
          <w:rFonts w:hint="default" w:ascii="Times New Roman" w:hAnsi="Times New Roman" w:eastAsia="宋体" w:cs="Times New Roman"/>
          <w:color w:val="auto"/>
          <w:highlight w:val="none"/>
          <w:lang w:val="en-US" w:eastAsia="zh-CN"/>
        </w:rPr>
        <w:t>6.2.4 设备外观、</w:t>
      </w:r>
      <w:r>
        <w:rPr>
          <w:rFonts w:hint="default" w:ascii="Times New Roman" w:hAnsi="Times New Roman" w:cs="Times New Roman"/>
        </w:rPr>
        <w:t>数量</w:t>
      </w:r>
      <w:r>
        <w:rPr>
          <w:rFonts w:hint="default" w:ascii="Times New Roman" w:hAnsi="Times New Roman" w:cs="Times New Roman"/>
          <w:lang w:eastAsia="zh-CN"/>
        </w:rPr>
        <w:t>、</w:t>
      </w:r>
      <w:r>
        <w:rPr>
          <w:rFonts w:hint="default" w:ascii="Times New Roman" w:hAnsi="Times New Roman" w:cs="Times New Roman"/>
        </w:rPr>
        <w:t>型号、规格、</w:t>
      </w:r>
      <w:r>
        <w:rPr>
          <w:rFonts w:hint="default" w:ascii="Times New Roman" w:hAnsi="Times New Roman" w:cs="Times New Roman"/>
          <w:lang w:val="en-US" w:eastAsia="zh-CN"/>
        </w:rPr>
        <w:t>参数应</w:t>
      </w:r>
      <w:r>
        <w:rPr>
          <w:rFonts w:hint="default" w:ascii="Times New Roman" w:hAnsi="Times New Roman" w:cs="Times New Roman"/>
        </w:rPr>
        <w:t>符合合同、招投标文件及设计联络会要求。</w:t>
      </w:r>
    </w:p>
    <w:p w14:paraId="0A10069E">
      <w:pPr>
        <w:jc w:val="left"/>
        <w:rPr>
          <w:rFonts w:hint="default" w:ascii="Times New Roman" w:hAnsi="Times New Roman" w:eastAsia="黑体" w:cs="Times New Roman"/>
        </w:rPr>
      </w:pPr>
      <w:r>
        <w:rPr>
          <w:rFonts w:hint="default" w:ascii="Times New Roman" w:hAnsi="Times New Roman" w:cs="Times New Roman"/>
          <w:szCs w:val="21"/>
        </w:rPr>
        <w:t>6.2.5</w:t>
      </w:r>
      <w:r>
        <w:rPr>
          <w:rFonts w:hint="default" w:ascii="Times New Roman" w:hAnsi="Times New Roman" w:cs="Times New Roman"/>
          <w:szCs w:val="21"/>
          <w:lang w:val="en-US" w:eastAsia="zh-CN"/>
        </w:rPr>
        <w:t xml:space="preserve">  GIS</w:t>
      </w:r>
      <w:r>
        <w:rPr>
          <w:rFonts w:hint="default" w:ascii="Times New Roman" w:hAnsi="Times New Roman" w:cs="Times New Roman"/>
          <w:lang w:val="en-US" w:eastAsia="zh-CN"/>
        </w:rPr>
        <w:t>质量证</w:t>
      </w:r>
      <w:r>
        <w:rPr>
          <w:rFonts w:hint="default" w:ascii="Times New Roman" w:hAnsi="Times New Roman" w:eastAsia="宋体" w:cs="Times New Roman"/>
          <w:color w:val="auto"/>
          <w:highlight w:val="none"/>
          <w:lang w:val="en-US" w:eastAsia="zh-CN"/>
        </w:rPr>
        <w:t>明文件宜包含避雷器芯组垂直度装配记录，避雷器阻性电流试验报告中包含持续运行电压下的</w:t>
      </w:r>
      <w:r>
        <w:rPr>
          <w:rFonts w:hint="default" w:ascii="Times New Roman" w:hAnsi="Times New Roman" w:cs="Times New Roman"/>
          <w:szCs w:val="22"/>
        </w:rPr>
        <w:t>测试记录</w:t>
      </w:r>
      <w:r>
        <w:rPr>
          <w:rFonts w:hint="default" w:ascii="Times New Roman" w:hAnsi="Times New Roman" w:cs="Times New Roman"/>
          <w:szCs w:val="22"/>
          <w:lang w:eastAsia="zh-CN"/>
        </w:rPr>
        <w:t>、</w:t>
      </w:r>
      <w:r>
        <w:rPr>
          <w:rFonts w:hint="default" w:ascii="Times New Roman" w:hAnsi="Times New Roman" w:cs="Times New Roman"/>
          <w:szCs w:val="22"/>
        </w:rPr>
        <w:t>运行电压</w:t>
      </w:r>
      <w:r>
        <w:rPr>
          <w:rFonts w:hint="default" w:ascii="Times New Roman" w:hAnsi="Times New Roman" w:cs="Times New Roman"/>
          <w:szCs w:val="22"/>
          <w:lang w:val="en-US" w:eastAsia="zh-CN"/>
        </w:rPr>
        <w:t>及</w:t>
      </w:r>
      <w:r>
        <w:rPr>
          <w:rFonts w:hint="default" w:ascii="Times New Roman" w:hAnsi="Times New Roman" w:cs="Times New Roman"/>
          <w:szCs w:val="22"/>
        </w:rPr>
        <w:t>老练试验电压下的阻性电流</w:t>
      </w:r>
      <w:r>
        <w:rPr>
          <w:rFonts w:hint="default" w:ascii="Times New Roman" w:hAnsi="Times New Roman" w:cs="Times New Roman"/>
          <w:szCs w:val="22"/>
          <w:lang w:val="en-US" w:eastAsia="zh-CN"/>
        </w:rPr>
        <w:t>记录。</w:t>
      </w:r>
    </w:p>
    <w:p w14:paraId="1A0CC196">
      <w:pPr>
        <w:pStyle w:val="246"/>
        <w:numPr>
          <w:ilvl w:val="1"/>
          <w:numId w:val="0"/>
        </w:numPr>
        <w:tabs>
          <w:tab w:val="left" w:pos="0"/>
        </w:tabs>
        <w:rPr>
          <w:rFonts w:hint="default" w:ascii="黑体" w:hAnsi="黑体" w:eastAsia="黑体" w:cs="黑体"/>
          <w:b w:val="0"/>
          <w:bCs w:val="0"/>
        </w:rPr>
      </w:pPr>
      <w:r>
        <w:rPr>
          <w:rFonts w:hint="default" w:ascii="黑体" w:hAnsi="黑体" w:eastAsia="黑体" w:cs="黑体"/>
          <w:b w:val="0"/>
          <w:bCs w:val="0"/>
        </w:rPr>
        <w:t>6.3  现场保管</w:t>
      </w:r>
    </w:p>
    <w:p w14:paraId="59367C02">
      <w:pPr>
        <w:jc w:val="left"/>
        <w:rPr>
          <w:rFonts w:hint="default" w:ascii="Times New Roman" w:hAnsi="Times New Roman" w:cs="Times New Roman"/>
          <w:szCs w:val="22"/>
        </w:rPr>
      </w:pPr>
      <w:r>
        <w:rPr>
          <w:rFonts w:hint="default" w:ascii="Times New Roman" w:hAnsi="Times New Roman" w:cs="Times New Roman"/>
          <w:szCs w:val="22"/>
        </w:rPr>
        <w:t>6.3.1 变压器到达现场后的保管应符合下列规定</w:t>
      </w:r>
      <w:r>
        <w:rPr>
          <w:rFonts w:hint="default" w:ascii="Times New Roman" w:hAnsi="Times New Roman" w:cs="Times New Roman"/>
          <w:szCs w:val="22"/>
          <w:lang w:eastAsia="zh-CN"/>
        </w:rPr>
        <w:t>：</w:t>
      </w:r>
    </w:p>
    <w:p w14:paraId="06FF0EA7">
      <w:pPr>
        <w:numPr>
          <w:ilvl w:val="0"/>
          <w:numId w:val="36"/>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cs="Times New Roman"/>
          <w:szCs w:val="22"/>
        </w:rPr>
        <w:t>充</w:t>
      </w:r>
      <w:r>
        <w:rPr>
          <w:rFonts w:hint="default" w:ascii="Times New Roman" w:hAnsi="Times New Roman" w:eastAsia="宋体" w:cs="Times New Roman"/>
          <w:color w:val="auto"/>
          <w:highlight w:val="none"/>
          <w:lang w:val="en-US" w:eastAsia="zh-CN"/>
        </w:rPr>
        <w:t>干燥气体的变压器，油箱内压力应为0.01MPa~0.03MPa，现场应每天记录压力值；</w:t>
      </w:r>
    </w:p>
    <w:p w14:paraId="02B0627D">
      <w:pPr>
        <w:numPr>
          <w:ilvl w:val="0"/>
          <w:numId w:val="36"/>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散热器（冷却器）、连通管、安全气道等应密封；</w:t>
      </w:r>
    </w:p>
    <w:p w14:paraId="292F1811">
      <w:pPr>
        <w:numPr>
          <w:ilvl w:val="0"/>
          <w:numId w:val="36"/>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表计、风扇、潜油泵、气体继电器、气道隔板、测温装置以及绝缘材料等，应放置于干燥的室内；</w:t>
      </w:r>
    </w:p>
    <w:p w14:paraId="7EB85F7B">
      <w:pPr>
        <w:numPr>
          <w:ilvl w:val="0"/>
          <w:numId w:val="36"/>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存放充油或充干燥气体的套管式电流互感器应采取防护措施，防止内部绝缘件受潮。套管式电流互感器不应倾斜或倒置存放；</w:t>
      </w:r>
    </w:p>
    <w:p w14:paraId="695E13F9">
      <w:pPr>
        <w:numPr>
          <w:ilvl w:val="0"/>
          <w:numId w:val="36"/>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本体、冷却装置等，其底部应垫高、垫平，不应水浸；</w:t>
      </w:r>
    </w:p>
    <w:p w14:paraId="3A72284A">
      <w:pPr>
        <w:numPr>
          <w:ilvl w:val="0"/>
          <w:numId w:val="36"/>
        </w:numPr>
        <w:tabs>
          <w:tab w:val="left" w:pos="0"/>
        </w:tabs>
        <w:snapToGrid w:val="0"/>
        <w:ind w:left="14" w:leftChars="0" w:firstLine="406" w:firstLineChars="0"/>
        <w:jc w:val="both"/>
        <w:rPr>
          <w:rFonts w:hint="default" w:ascii="Times New Roman" w:hAnsi="Times New Roman" w:cs="Times New Roman"/>
          <w:szCs w:val="22"/>
        </w:rPr>
      </w:pPr>
      <w:r>
        <w:rPr>
          <w:rFonts w:hint="default" w:ascii="Times New Roman" w:hAnsi="Times New Roman" w:eastAsia="宋体" w:cs="Times New Roman"/>
          <w:color w:val="auto"/>
          <w:highlight w:val="none"/>
          <w:lang w:val="en-US" w:eastAsia="zh-CN"/>
        </w:rPr>
        <w:t>干式变压器应</w:t>
      </w:r>
      <w:r>
        <w:rPr>
          <w:rFonts w:hint="default" w:ascii="Times New Roman" w:hAnsi="Times New Roman" w:cs="Times New Roman"/>
          <w:szCs w:val="22"/>
        </w:rPr>
        <w:t>置于干燥的室内；室外放置时底部应垫高，并采取可靠的防雨、防潮</w:t>
      </w:r>
      <w:r>
        <w:rPr>
          <w:rFonts w:hint="default" w:ascii="Times New Roman" w:hAnsi="Times New Roman" w:cs="Times New Roman"/>
          <w:szCs w:val="22"/>
          <w:lang w:val="en-US" w:eastAsia="zh-CN"/>
        </w:rPr>
        <w:t>等</w:t>
      </w:r>
      <w:r>
        <w:rPr>
          <w:rFonts w:hint="default" w:ascii="Times New Roman" w:hAnsi="Times New Roman" w:cs="Times New Roman"/>
          <w:szCs w:val="22"/>
        </w:rPr>
        <w:t>措施</w:t>
      </w:r>
      <w:r>
        <w:rPr>
          <w:rFonts w:hint="default" w:ascii="Times New Roman" w:hAnsi="Times New Roman" w:cs="Times New Roman"/>
          <w:szCs w:val="22"/>
          <w:lang w:eastAsia="zh-CN"/>
        </w:rPr>
        <w:t>。</w:t>
      </w:r>
    </w:p>
    <w:p w14:paraId="4D9B4AE7">
      <w:pPr>
        <w:jc w:val="left"/>
        <w:rPr>
          <w:rFonts w:hint="default" w:ascii="Times New Roman" w:hAnsi="Times New Roman" w:cs="Times New Roman"/>
          <w:szCs w:val="22"/>
        </w:rPr>
      </w:pPr>
      <w:r>
        <w:rPr>
          <w:rFonts w:hint="default" w:ascii="Times New Roman" w:hAnsi="Times New Roman" w:cs="Times New Roman"/>
          <w:szCs w:val="22"/>
        </w:rPr>
        <w:t>6.3.</w:t>
      </w:r>
      <w:r>
        <w:rPr>
          <w:rFonts w:hint="default" w:ascii="Times New Roman" w:hAnsi="Times New Roman" w:cs="Times New Roman"/>
          <w:szCs w:val="22"/>
          <w:lang w:val="en-US" w:eastAsia="zh-CN"/>
        </w:rPr>
        <w:t>2</w:t>
      </w:r>
      <w:r>
        <w:rPr>
          <w:rFonts w:hint="default" w:ascii="Times New Roman" w:hAnsi="Times New Roman" w:cs="Times New Roman"/>
          <w:szCs w:val="22"/>
        </w:rPr>
        <w:t xml:space="preserve"> 变压器到达现场后，当3个月内不能安装时，</w:t>
      </w:r>
      <w:r>
        <w:rPr>
          <w:rFonts w:hint="default" w:ascii="Times New Roman" w:hAnsi="Times New Roman" w:cs="Times New Roman"/>
          <w:szCs w:val="22"/>
          <w:lang w:val="en-US" w:eastAsia="zh-CN"/>
        </w:rPr>
        <w:t>应按照厂家技术文件采取长期保管措施，并</w:t>
      </w:r>
      <w:r>
        <w:rPr>
          <w:rFonts w:hint="default" w:ascii="Times New Roman" w:hAnsi="Times New Roman" w:cs="Times New Roman"/>
          <w:szCs w:val="22"/>
        </w:rPr>
        <w:t>应</w:t>
      </w:r>
      <w:r>
        <w:rPr>
          <w:rFonts w:hint="default" w:ascii="Times New Roman" w:hAnsi="Times New Roman" w:cs="Times New Roman"/>
          <w:szCs w:val="22"/>
          <w:lang w:val="en-US" w:eastAsia="zh-CN"/>
        </w:rPr>
        <w:t>符合</w:t>
      </w:r>
      <w:r>
        <w:rPr>
          <w:rFonts w:hint="default" w:ascii="Times New Roman" w:hAnsi="Times New Roman" w:cs="Times New Roman"/>
          <w:szCs w:val="22"/>
        </w:rPr>
        <w:t>下列</w:t>
      </w:r>
      <w:r>
        <w:rPr>
          <w:rFonts w:hint="default" w:ascii="Times New Roman" w:hAnsi="Times New Roman" w:cs="Times New Roman"/>
          <w:szCs w:val="22"/>
          <w:lang w:val="en-US" w:eastAsia="zh-CN"/>
        </w:rPr>
        <w:t>规定</w:t>
      </w:r>
      <w:r>
        <w:rPr>
          <w:rFonts w:hint="default" w:ascii="Times New Roman" w:hAnsi="Times New Roman" w:cs="Times New Roman"/>
          <w:szCs w:val="22"/>
        </w:rPr>
        <w:t>：</w:t>
      </w:r>
    </w:p>
    <w:p w14:paraId="3F049BDA">
      <w:pPr>
        <w:numPr>
          <w:ilvl w:val="0"/>
          <w:numId w:val="37"/>
        </w:numPr>
        <w:ind w:left="14" w:firstLine="406"/>
        <w:jc w:val="left"/>
        <w:rPr>
          <w:rFonts w:hint="default" w:ascii="Times New Roman" w:hAnsi="Times New Roman" w:cs="Times New Roman"/>
          <w:szCs w:val="22"/>
        </w:rPr>
      </w:pPr>
      <w:r>
        <w:rPr>
          <w:rFonts w:hint="default" w:ascii="Times New Roman" w:hAnsi="Times New Roman" w:cs="Times New Roman"/>
          <w:szCs w:val="22"/>
        </w:rPr>
        <w:t>带油运输的变压器</w:t>
      </w:r>
      <w:r>
        <w:rPr>
          <w:rFonts w:hint="default" w:ascii="Times New Roman" w:hAnsi="Times New Roman" w:cs="Times New Roman"/>
          <w:szCs w:val="22"/>
          <w:lang w:val="en-US" w:eastAsia="zh-CN"/>
        </w:rPr>
        <w:t>应符合以下规定：</w:t>
      </w:r>
    </w:p>
    <w:p w14:paraId="6F538ECC">
      <w:pPr>
        <w:numPr>
          <w:ilvl w:val="-1"/>
          <w:numId w:val="0"/>
        </w:numPr>
        <w:tabs>
          <w:tab w:val="left" w:pos="0"/>
        </w:tabs>
        <w:ind w:left="420" w:firstLine="210" w:firstLineChars="100"/>
        <w:jc w:val="left"/>
        <w:rPr>
          <w:rFonts w:hint="default" w:ascii="Times New Roman" w:hAnsi="Times New Roman" w:cs="Times New Roman"/>
          <w:szCs w:val="22"/>
        </w:rPr>
      </w:pPr>
      <w:r>
        <w:rPr>
          <w:rFonts w:hint="default" w:ascii="Times New Roman" w:hAnsi="Times New Roman" w:cs="Times New Roman"/>
          <w:szCs w:val="22"/>
          <w:lang w:val="en-US" w:eastAsia="zh-CN"/>
        </w:rPr>
        <w:t>1）</w:t>
      </w:r>
      <w:r>
        <w:rPr>
          <w:rFonts w:hint="default" w:ascii="Times New Roman" w:hAnsi="Times New Roman" w:cs="Times New Roman"/>
          <w:spacing w:val="0"/>
          <w:sz w:val="21"/>
          <w:szCs w:val="22"/>
        </w:rPr>
        <w:t>油箱密封应良好</w:t>
      </w:r>
      <w:r>
        <w:rPr>
          <w:rFonts w:hint="default" w:ascii="Times New Roman" w:hAnsi="Times New Roman" w:cs="Times New Roman"/>
          <w:spacing w:val="0"/>
          <w:sz w:val="21"/>
          <w:szCs w:val="22"/>
          <w:lang w:eastAsia="zh-CN"/>
        </w:rPr>
        <w:t>；</w:t>
      </w:r>
    </w:p>
    <w:p w14:paraId="5A079EB5">
      <w:pPr>
        <w:numPr>
          <w:ilvl w:val="-1"/>
          <w:numId w:val="0"/>
        </w:numPr>
        <w:tabs>
          <w:tab w:val="left" w:pos="0"/>
        </w:tabs>
        <w:ind w:left="420" w:firstLine="210" w:firstLineChars="100"/>
        <w:jc w:val="left"/>
        <w:rPr>
          <w:rFonts w:hint="default" w:ascii="Times New Roman" w:hAnsi="Times New Roman" w:cs="Times New Roman"/>
          <w:szCs w:val="22"/>
        </w:rPr>
      </w:pPr>
      <w:r>
        <w:rPr>
          <w:rFonts w:hint="default" w:ascii="Times New Roman" w:hAnsi="Times New Roman" w:cs="Times New Roman"/>
          <w:szCs w:val="22"/>
          <w:lang w:val="en-US" w:eastAsia="zh-CN"/>
        </w:rPr>
        <w:t>2）</w:t>
      </w:r>
      <w:r>
        <w:rPr>
          <w:rFonts w:hint="default" w:ascii="Times New Roman" w:hAnsi="Times New Roman" w:cs="Times New Roman"/>
          <w:spacing w:val="0"/>
          <w:sz w:val="21"/>
          <w:szCs w:val="22"/>
        </w:rPr>
        <w:t>已安装套管的变压器，绕组绝缘</w:t>
      </w:r>
      <w:r>
        <w:rPr>
          <w:rFonts w:hint="default" w:ascii="Times New Roman" w:hAnsi="Times New Roman" w:cs="Times New Roman"/>
          <w:sz w:val="21"/>
          <w:szCs w:val="22"/>
        </w:rPr>
        <w:t xml:space="preserve"> </w:t>
      </w:r>
      <w:r>
        <w:rPr>
          <w:rFonts w:hint="default" w:ascii="Times New Roman" w:hAnsi="Times New Roman" w:cs="Times New Roman"/>
          <w:spacing w:val="0"/>
          <w:sz w:val="21"/>
          <w:szCs w:val="22"/>
        </w:rPr>
        <w:t>电阻应符合产品技术文件要求</w:t>
      </w:r>
      <w:r>
        <w:rPr>
          <w:rFonts w:hint="default" w:ascii="Times New Roman" w:hAnsi="Times New Roman" w:cs="Times New Roman"/>
          <w:spacing w:val="0"/>
          <w:sz w:val="21"/>
          <w:szCs w:val="22"/>
          <w:lang w:eastAsia="zh-CN"/>
        </w:rPr>
        <w:t>；</w:t>
      </w:r>
    </w:p>
    <w:p w14:paraId="768C6BDE">
      <w:pPr>
        <w:numPr>
          <w:ilvl w:val="-1"/>
          <w:numId w:val="0"/>
        </w:numPr>
        <w:tabs>
          <w:tab w:val="left" w:pos="0"/>
        </w:tabs>
        <w:ind w:left="420" w:firstLine="210" w:firstLineChars="100"/>
        <w:jc w:val="left"/>
        <w:rPr>
          <w:rFonts w:hint="default" w:ascii="Times New Roman" w:hAnsi="Times New Roman" w:cs="Times New Roman"/>
          <w:szCs w:val="22"/>
        </w:rPr>
      </w:pPr>
      <w:r>
        <w:rPr>
          <w:rFonts w:hint="default" w:ascii="Times New Roman" w:hAnsi="Times New Roman" w:cs="Times New Roman"/>
          <w:szCs w:val="22"/>
          <w:lang w:val="en-US" w:eastAsia="zh-CN"/>
        </w:rPr>
        <w:t>3）</w:t>
      </w:r>
      <w:r>
        <w:rPr>
          <w:rFonts w:hint="default" w:ascii="Times New Roman" w:hAnsi="Times New Roman" w:cs="Times New Roman"/>
          <w:szCs w:val="22"/>
        </w:rPr>
        <w:t>安装储油柜及吸湿器</w:t>
      </w:r>
      <w:r>
        <w:rPr>
          <w:rFonts w:hint="default" w:ascii="Times New Roman" w:hAnsi="Times New Roman" w:cs="Times New Roman"/>
          <w:szCs w:val="22"/>
          <w:lang w:eastAsia="zh-CN"/>
        </w:rPr>
        <w:t>，</w:t>
      </w:r>
      <w:r>
        <w:rPr>
          <w:rFonts w:hint="default" w:ascii="Times New Roman" w:hAnsi="Times New Roman" w:cs="Times New Roman"/>
          <w:szCs w:val="22"/>
        </w:rPr>
        <w:t>注以合格油至储油柜规定油位，或在未装储油柜的情况下</w:t>
      </w:r>
      <w:r>
        <w:rPr>
          <w:rFonts w:hint="default" w:ascii="Times New Roman" w:hAnsi="Times New Roman" w:cs="Times New Roman"/>
          <w:szCs w:val="22"/>
          <w:lang w:eastAsia="zh-CN"/>
        </w:rPr>
        <w:t>，</w:t>
      </w:r>
      <w:r>
        <w:rPr>
          <w:rFonts w:hint="default" w:ascii="Times New Roman" w:hAnsi="Times New Roman" w:cs="Times New Roman"/>
          <w:szCs w:val="22"/>
        </w:rPr>
        <w:t>上部抽真空后，充以0.01MPa</w:t>
      </w:r>
      <w:r>
        <w:rPr>
          <w:rFonts w:hint="default" w:ascii="Times New Roman" w:hAnsi="Times New Roman" w:cs="Times New Roman"/>
          <w:spacing w:val="0"/>
          <w:sz w:val="21"/>
          <w:szCs w:val="22"/>
        </w:rPr>
        <w:t>～</w:t>
      </w:r>
      <w:r>
        <w:rPr>
          <w:rFonts w:hint="default" w:ascii="Times New Roman" w:hAnsi="Times New Roman" w:cs="Times New Roman"/>
          <w:szCs w:val="22"/>
        </w:rPr>
        <w:t>0.03MPa、露点低于-40℃的干燥气体</w:t>
      </w:r>
      <w:r>
        <w:rPr>
          <w:rFonts w:hint="default" w:ascii="Times New Roman" w:hAnsi="Times New Roman" w:cs="Times New Roman"/>
          <w:szCs w:val="22"/>
          <w:lang w:eastAsia="zh-CN"/>
        </w:rPr>
        <w:t>，</w:t>
      </w:r>
      <w:r>
        <w:rPr>
          <w:rFonts w:hint="default" w:ascii="Times New Roman" w:hAnsi="Times New Roman" w:cs="Times New Roman"/>
          <w:szCs w:val="22"/>
        </w:rPr>
        <w:t>或按厂家要求执行</w:t>
      </w:r>
      <w:r>
        <w:rPr>
          <w:rFonts w:hint="default" w:ascii="Times New Roman" w:hAnsi="Times New Roman" w:cs="Times New Roman"/>
          <w:szCs w:val="22"/>
          <w:lang w:eastAsia="zh-CN"/>
        </w:rPr>
        <w:t>。</w:t>
      </w:r>
    </w:p>
    <w:p w14:paraId="177005C6">
      <w:pPr>
        <w:numPr>
          <w:ilvl w:val="0"/>
          <w:numId w:val="37"/>
        </w:numPr>
        <w:ind w:left="14" w:firstLine="406"/>
        <w:jc w:val="left"/>
        <w:rPr>
          <w:rFonts w:hint="default" w:ascii="Times New Roman" w:hAnsi="Times New Roman" w:cs="Times New Roman"/>
          <w:szCs w:val="22"/>
        </w:rPr>
      </w:pPr>
      <w:r>
        <w:rPr>
          <w:rFonts w:hint="default" w:ascii="Times New Roman" w:hAnsi="Times New Roman" w:cs="Times New Roman"/>
          <w:szCs w:val="22"/>
        </w:rPr>
        <w:t>充气运输的变压器应</w:t>
      </w:r>
      <w:r>
        <w:rPr>
          <w:rFonts w:hint="default" w:ascii="Times New Roman" w:hAnsi="Times New Roman" w:cs="Times New Roman"/>
          <w:szCs w:val="22"/>
          <w:lang w:val="en-US" w:eastAsia="zh-CN"/>
        </w:rPr>
        <w:t>符合以下规定：</w:t>
      </w:r>
    </w:p>
    <w:p w14:paraId="136AA1F6">
      <w:pPr>
        <w:numPr>
          <w:ilvl w:val="-1"/>
          <w:numId w:val="0"/>
        </w:numPr>
        <w:tabs>
          <w:tab w:val="left" w:pos="0"/>
        </w:tabs>
        <w:ind w:left="420" w:firstLine="210" w:firstLineChars="100"/>
        <w:jc w:val="left"/>
        <w:rPr>
          <w:rFonts w:hint="default" w:ascii="Times New Roman" w:hAnsi="Times New Roman" w:cs="Times New Roman"/>
          <w:szCs w:val="22"/>
        </w:rPr>
      </w:pPr>
      <w:r>
        <w:rPr>
          <w:rFonts w:hint="default" w:ascii="Times New Roman" w:hAnsi="Times New Roman" w:cs="Times New Roman"/>
          <w:szCs w:val="22"/>
          <w:lang w:val="en-US" w:eastAsia="zh-CN"/>
        </w:rPr>
        <w:t>1）</w:t>
      </w:r>
      <w:r>
        <w:rPr>
          <w:rFonts w:hint="default" w:ascii="Times New Roman" w:hAnsi="Times New Roman" w:cs="Times New Roman"/>
          <w:szCs w:val="22"/>
        </w:rPr>
        <w:t>应安装</w:t>
      </w:r>
      <w:r>
        <w:rPr>
          <w:rFonts w:hint="default" w:ascii="Times New Roman" w:hAnsi="Times New Roman" w:cs="Times New Roman"/>
          <w:spacing w:val="0"/>
          <w:sz w:val="21"/>
          <w:szCs w:val="22"/>
        </w:rPr>
        <w:t>储油</w:t>
      </w:r>
      <w:r>
        <w:rPr>
          <w:rFonts w:hint="default" w:ascii="Times New Roman" w:hAnsi="Times New Roman" w:cs="Times New Roman"/>
          <w:szCs w:val="22"/>
        </w:rPr>
        <w:t>柜及吸湿器</w:t>
      </w:r>
      <w:r>
        <w:rPr>
          <w:rFonts w:hint="default" w:ascii="Times New Roman" w:hAnsi="Times New Roman" w:cs="Times New Roman"/>
          <w:szCs w:val="22"/>
          <w:lang w:eastAsia="zh-CN"/>
        </w:rPr>
        <w:t>，</w:t>
      </w:r>
      <w:r>
        <w:rPr>
          <w:rFonts w:hint="default" w:ascii="Times New Roman" w:hAnsi="Times New Roman" w:cs="Times New Roman"/>
          <w:szCs w:val="22"/>
          <w:lang w:val="en-US" w:eastAsia="zh-CN"/>
        </w:rPr>
        <w:t>并抽真空后</w:t>
      </w:r>
      <w:r>
        <w:rPr>
          <w:rFonts w:hint="default" w:ascii="Times New Roman" w:hAnsi="Times New Roman" w:cs="Times New Roman"/>
          <w:szCs w:val="22"/>
        </w:rPr>
        <w:t>注</w:t>
      </w:r>
      <w:r>
        <w:rPr>
          <w:rFonts w:hint="default" w:ascii="Times New Roman" w:hAnsi="Times New Roman" w:cs="Times New Roman"/>
          <w:szCs w:val="22"/>
          <w:lang w:val="en-US" w:eastAsia="zh-CN"/>
        </w:rPr>
        <w:t>入</w:t>
      </w:r>
      <w:r>
        <w:rPr>
          <w:rFonts w:hint="default" w:ascii="Times New Roman" w:hAnsi="Times New Roman" w:cs="Times New Roman"/>
          <w:szCs w:val="22"/>
        </w:rPr>
        <w:t>合格油至储油柜规定油位</w:t>
      </w:r>
      <w:r>
        <w:rPr>
          <w:rFonts w:hint="default" w:ascii="Times New Roman" w:hAnsi="Times New Roman" w:cs="Times New Roman"/>
          <w:szCs w:val="22"/>
          <w:lang w:eastAsia="zh-CN"/>
        </w:rPr>
        <w:t>；</w:t>
      </w:r>
    </w:p>
    <w:p w14:paraId="0A977B72">
      <w:pPr>
        <w:numPr>
          <w:ilvl w:val="-1"/>
          <w:numId w:val="0"/>
        </w:numPr>
        <w:tabs>
          <w:tab w:val="left" w:pos="0"/>
        </w:tabs>
        <w:ind w:left="420" w:firstLine="210" w:firstLineChars="100"/>
        <w:jc w:val="left"/>
        <w:rPr>
          <w:rFonts w:hint="default" w:ascii="Times New Roman" w:hAnsi="Times New Roman" w:cs="Times New Roman"/>
          <w:szCs w:val="22"/>
        </w:rPr>
      </w:pPr>
      <w:r>
        <w:rPr>
          <w:rFonts w:hint="default" w:ascii="Times New Roman" w:hAnsi="Times New Roman" w:cs="Times New Roman"/>
          <w:szCs w:val="22"/>
          <w:lang w:val="en-US" w:eastAsia="zh-CN"/>
        </w:rPr>
        <w:t>2）</w:t>
      </w:r>
      <w:r>
        <w:rPr>
          <w:rFonts w:hint="default" w:ascii="Times New Roman" w:hAnsi="Times New Roman" w:cs="Times New Roman"/>
          <w:szCs w:val="22"/>
        </w:rPr>
        <w:t>当不能</w:t>
      </w:r>
      <w:r>
        <w:rPr>
          <w:rFonts w:hint="default" w:ascii="Times New Roman" w:hAnsi="Times New Roman" w:cs="Times New Roman"/>
          <w:spacing w:val="0"/>
          <w:sz w:val="21"/>
          <w:szCs w:val="22"/>
        </w:rPr>
        <w:t>及时</w:t>
      </w:r>
      <w:r>
        <w:rPr>
          <w:rFonts w:hint="default" w:ascii="Times New Roman" w:hAnsi="Times New Roman" w:cs="Times New Roman"/>
          <w:szCs w:val="22"/>
        </w:rPr>
        <w:t>注油时</w:t>
      </w:r>
      <w:r>
        <w:rPr>
          <w:rFonts w:hint="default" w:ascii="Times New Roman" w:hAnsi="Times New Roman" w:cs="Times New Roman"/>
          <w:szCs w:val="22"/>
          <w:lang w:eastAsia="zh-CN"/>
        </w:rPr>
        <w:t>，</w:t>
      </w:r>
      <w:r>
        <w:rPr>
          <w:rFonts w:hint="default" w:ascii="Times New Roman" w:hAnsi="Times New Roman" w:cs="Times New Roman"/>
          <w:szCs w:val="22"/>
        </w:rPr>
        <w:t>应继续充与原充气体相同的气体保管</w:t>
      </w:r>
      <w:r>
        <w:rPr>
          <w:rFonts w:hint="default" w:ascii="Times New Roman" w:hAnsi="Times New Roman" w:cs="Times New Roman"/>
          <w:szCs w:val="22"/>
          <w:lang w:eastAsia="zh-CN"/>
        </w:rPr>
        <w:t>，</w:t>
      </w:r>
      <w:r>
        <w:rPr>
          <w:rFonts w:hint="default" w:ascii="Times New Roman" w:hAnsi="Times New Roman" w:cs="Times New Roman"/>
          <w:szCs w:val="22"/>
        </w:rPr>
        <w:t>应有压力监视装置</w:t>
      </w:r>
      <w:r>
        <w:rPr>
          <w:rFonts w:hint="default" w:ascii="Times New Roman" w:hAnsi="Times New Roman" w:cs="Times New Roman"/>
          <w:szCs w:val="22"/>
          <w:lang w:eastAsia="zh-CN"/>
        </w:rPr>
        <w:t>，</w:t>
      </w:r>
      <w:r>
        <w:rPr>
          <w:rFonts w:hint="default" w:ascii="Times New Roman" w:hAnsi="Times New Roman" w:cs="Times New Roman"/>
          <w:szCs w:val="22"/>
        </w:rPr>
        <w:t>压力应保持为0.01MPa</w:t>
      </w:r>
      <w:r>
        <w:rPr>
          <w:rFonts w:hint="default" w:ascii="Times New Roman" w:hAnsi="Times New Roman" w:cs="Times New Roman"/>
          <w:spacing w:val="0"/>
          <w:sz w:val="21"/>
          <w:szCs w:val="22"/>
        </w:rPr>
        <w:t>～</w:t>
      </w:r>
      <w:r>
        <w:rPr>
          <w:rFonts w:hint="default" w:ascii="Times New Roman" w:hAnsi="Times New Roman" w:cs="Times New Roman"/>
          <w:szCs w:val="22"/>
        </w:rPr>
        <w:t>0.03MPa</w:t>
      </w:r>
      <w:r>
        <w:rPr>
          <w:rFonts w:hint="default" w:ascii="Times New Roman" w:hAnsi="Times New Roman" w:cs="Times New Roman"/>
          <w:szCs w:val="22"/>
          <w:lang w:eastAsia="zh-CN"/>
        </w:rPr>
        <w:t>，</w:t>
      </w:r>
      <w:r>
        <w:rPr>
          <w:rFonts w:hint="default" w:ascii="Times New Roman" w:hAnsi="Times New Roman" w:cs="Times New Roman"/>
          <w:szCs w:val="22"/>
        </w:rPr>
        <w:t>气体的露点应低于</w:t>
      </w:r>
      <w:r>
        <w:rPr>
          <w:rFonts w:hint="default" w:ascii="Times New Roman" w:hAnsi="Times New Roman" w:cs="Times New Roman"/>
          <w:szCs w:val="22"/>
          <w:lang w:val="en-US" w:eastAsia="zh-CN"/>
        </w:rPr>
        <w:t>-</w:t>
      </w:r>
      <w:r>
        <w:rPr>
          <w:rFonts w:hint="default" w:ascii="Times New Roman" w:hAnsi="Times New Roman" w:cs="Times New Roman"/>
          <w:szCs w:val="22"/>
        </w:rPr>
        <w:t>40℃</w:t>
      </w:r>
      <w:r>
        <w:rPr>
          <w:rFonts w:hint="default" w:ascii="Times New Roman" w:hAnsi="Times New Roman" w:cs="Times New Roman"/>
          <w:szCs w:val="22"/>
          <w:lang w:eastAsia="zh-CN"/>
        </w:rPr>
        <w:t>，</w:t>
      </w:r>
      <w:r>
        <w:rPr>
          <w:rFonts w:hint="default" w:ascii="Times New Roman" w:hAnsi="Times New Roman" w:cs="Times New Roman"/>
          <w:szCs w:val="22"/>
        </w:rPr>
        <w:t>或按厂家要求执行</w:t>
      </w:r>
      <w:r>
        <w:rPr>
          <w:rFonts w:hint="default" w:ascii="Times New Roman" w:hAnsi="Times New Roman" w:cs="Times New Roman"/>
          <w:szCs w:val="22"/>
          <w:lang w:eastAsia="zh-CN"/>
        </w:rPr>
        <w:t>；</w:t>
      </w:r>
    </w:p>
    <w:p w14:paraId="37473C1A">
      <w:pPr>
        <w:numPr>
          <w:ilvl w:val="-1"/>
          <w:numId w:val="0"/>
        </w:numPr>
        <w:tabs>
          <w:tab w:val="left" w:pos="0"/>
        </w:tabs>
        <w:ind w:left="420" w:firstLine="210" w:firstLineChars="100"/>
        <w:jc w:val="left"/>
        <w:rPr>
          <w:rFonts w:hint="default" w:ascii="Times New Roman" w:hAnsi="Times New Roman" w:cs="Times New Roman"/>
          <w:szCs w:val="22"/>
        </w:rPr>
      </w:pPr>
      <w:r>
        <w:rPr>
          <w:rFonts w:hint="default" w:ascii="Times New Roman" w:hAnsi="Times New Roman" w:cs="Times New Roman"/>
          <w:szCs w:val="22"/>
          <w:lang w:val="en-US" w:eastAsia="zh-CN"/>
        </w:rPr>
        <w:t>3）残油</w:t>
      </w:r>
      <w:r>
        <w:rPr>
          <w:rFonts w:hint="default" w:ascii="Times New Roman" w:hAnsi="Times New Roman" w:cs="Times New Roman"/>
          <w:spacing w:val="0"/>
          <w:sz w:val="21"/>
          <w:szCs w:val="22"/>
          <w:lang w:val="en-US" w:eastAsia="zh-CN"/>
        </w:rPr>
        <w:t>可取</w:t>
      </w:r>
      <w:r>
        <w:rPr>
          <w:rFonts w:hint="default" w:ascii="Times New Roman" w:hAnsi="Times New Roman" w:cs="Times New Roman"/>
          <w:szCs w:val="22"/>
          <w:lang w:val="en-US" w:eastAsia="zh-CN"/>
        </w:rPr>
        <w:t>出时，</w:t>
      </w:r>
      <w:r>
        <w:rPr>
          <w:rFonts w:hint="default" w:ascii="Times New Roman" w:hAnsi="Times New Roman" w:cs="Times New Roman"/>
          <w:szCs w:val="22"/>
        </w:rPr>
        <w:t>应取残油作电气强度、含水量试验</w:t>
      </w:r>
      <w:r>
        <w:rPr>
          <w:rFonts w:hint="default" w:ascii="Times New Roman" w:hAnsi="Times New Roman" w:cs="Times New Roman"/>
          <w:szCs w:val="22"/>
          <w:lang w:eastAsia="zh-CN"/>
        </w:rPr>
        <w:t>。</w:t>
      </w:r>
    </w:p>
    <w:p w14:paraId="430C8930">
      <w:pPr>
        <w:jc w:val="left"/>
        <w:rPr>
          <w:rFonts w:hint="eastAsia" w:ascii="Times New Roman" w:hAnsi="Times New Roman" w:eastAsia="宋体" w:cs="Times New Roman"/>
          <w:szCs w:val="22"/>
          <w:lang w:eastAsia="zh-CN"/>
        </w:rPr>
      </w:pPr>
      <w:r>
        <w:rPr>
          <w:rFonts w:hint="default" w:ascii="Times New Roman" w:hAnsi="Times New Roman" w:cs="Times New Roman"/>
          <w:szCs w:val="22"/>
        </w:rPr>
        <w:t>6.3.</w:t>
      </w:r>
      <w:r>
        <w:rPr>
          <w:rFonts w:hint="default" w:ascii="Times New Roman" w:hAnsi="Times New Roman" w:cs="Times New Roman"/>
          <w:szCs w:val="22"/>
          <w:lang w:val="en-US" w:eastAsia="zh-CN"/>
        </w:rPr>
        <w:t>3</w:t>
      </w:r>
      <w:r>
        <w:rPr>
          <w:rFonts w:hint="default" w:ascii="Times New Roman" w:hAnsi="Times New Roman" w:cs="Times New Roman"/>
          <w:szCs w:val="22"/>
        </w:rPr>
        <w:t xml:space="preserve"> 变压器充油保管时应每隔10天对变压器外观进行一次检查</w:t>
      </w:r>
      <w:r>
        <w:rPr>
          <w:rFonts w:hint="default" w:ascii="Times New Roman" w:hAnsi="Times New Roman" w:cs="Times New Roman"/>
          <w:szCs w:val="22"/>
          <w:lang w:eastAsia="zh-CN"/>
        </w:rPr>
        <w:t>，</w:t>
      </w:r>
      <w:r>
        <w:rPr>
          <w:rFonts w:hint="default" w:ascii="Times New Roman" w:hAnsi="Times New Roman" w:cs="Times New Roman"/>
          <w:szCs w:val="22"/>
          <w:lang w:val="en-US" w:eastAsia="zh-CN"/>
        </w:rPr>
        <w:t>应</w:t>
      </w:r>
      <w:r>
        <w:rPr>
          <w:rFonts w:hint="default" w:ascii="Times New Roman" w:hAnsi="Times New Roman" w:cs="Times New Roman"/>
          <w:szCs w:val="22"/>
        </w:rPr>
        <w:t>无渗油、油位</w:t>
      </w:r>
      <w:r>
        <w:rPr>
          <w:rFonts w:hint="default" w:ascii="Times New Roman" w:hAnsi="Times New Roman" w:cs="Times New Roman"/>
          <w:szCs w:val="22"/>
          <w:lang w:val="en-US" w:eastAsia="zh-CN"/>
        </w:rPr>
        <w:t>无异</w:t>
      </w:r>
      <w:r>
        <w:rPr>
          <w:rFonts w:hint="default" w:ascii="Times New Roman" w:hAnsi="Times New Roman" w:cs="Times New Roman"/>
          <w:szCs w:val="22"/>
        </w:rPr>
        <w:t>常、外表无锈蚀。每隔30天应从变压器内抽取油样进行试验</w:t>
      </w:r>
      <w:r>
        <w:rPr>
          <w:rFonts w:hint="default" w:ascii="Times New Roman" w:hAnsi="Times New Roman" w:cs="Times New Roman"/>
          <w:szCs w:val="22"/>
          <w:lang w:eastAsia="zh-CN"/>
        </w:rPr>
        <w:t>，</w:t>
      </w:r>
      <w:r>
        <w:rPr>
          <w:rFonts w:hint="default" w:ascii="Times New Roman" w:hAnsi="Times New Roman" w:cs="Times New Roman"/>
          <w:szCs w:val="22"/>
          <w:highlight w:val="none"/>
        </w:rPr>
        <w:t>油样</w:t>
      </w:r>
      <w:r>
        <w:rPr>
          <w:rFonts w:hint="default" w:ascii="Times New Roman" w:hAnsi="Times New Roman" w:cs="Times New Roman"/>
          <w:szCs w:val="22"/>
          <w:highlight w:val="none"/>
          <w:lang w:val="en-US" w:eastAsia="zh-CN"/>
        </w:rPr>
        <w:t>质量标准</w:t>
      </w:r>
      <w:r>
        <w:rPr>
          <w:rFonts w:hint="default" w:ascii="Times New Roman" w:hAnsi="Times New Roman" w:cs="Times New Roman"/>
          <w:szCs w:val="22"/>
          <w:highlight w:val="none"/>
        </w:rPr>
        <w:t>符合表</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rPr>
        <w:t>的</w:t>
      </w:r>
      <w:r>
        <w:rPr>
          <w:rFonts w:hint="default" w:ascii="Times New Roman" w:hAnsi="Times New Roman" w:cs="Times New Roman"/>
          <w:szCs w:val="22"/>
        </w:rPr>
        <w:t>规定</w:t>
      </w:r>
      <w:r>
        <w:rPr>
          <w:rFonts w:hint="eastAsia" w:ascii="Times New Roman" w:hAnsi="Times New Roman" w:cs="Times New Roman"/>
          <w:szCs w:val="22"/>
          <w:lang w:eastAsia="zh-CN"/>
        </w:rPr>
        <w:t>。</w:t>
      </w:r>
    </w:p>
    <w:p w14:paraId="33264BF8">
      <w:pPr>
        <w:widowControl/>
        <w:jc w:val="center"/>
        <w:rPr>
          <w:rFonts w:hint="eastAsia" w:ascii="黑体" w:hAnsi="黑体" w:eastAsia="黑体" w:cs="黑体"/>
          <w:b w:val="0"/>
          <w:bCs w:val="0"/>
          <w:color w:val="000000"/>
          <w:kern w:val="0"/>
          <w:szCs w:val="21"/>
          <w:highlight w:val="none"/>
          <w:lang w:val="en-US" w:eastAsia="zh-CN" w:bidi="ar"/>
        </w:rPr>
      </w:pPr>
      <w:r>
        <w:rPr>
          <w:rFonts w:hint="eastAsia" w:ascii="黑体" w:hAnsi="黑体" w:eastAsia="黑体" w:cs="黑体"/>
          <w:b w:val="0"/>
          <w:bCs w:val="0"/>
          <w:color w:val="000000"/>
          <w:kern w:val="0"/>
          <w:szCs w:val="21"/>
          <w:highlight w:val="none"/>
          <w:lang w:bidi="ar"/>
        </w:rPr>
        <w:t>表</w:t>
      </w:r>
      <w:r>
        <w:rPr>
          <w:rFonts w:hint="eastAsia" w:ascii="黑体" w:hAnsi="黑体" w:eastAsia="黑体" w:cs="黑体"/>
          <w:b w:val="0"/>
          <w:bCs w:val="0"/>
          <w:color w:val="000000"/>
          <w:kern w:val="0"/>
          <w:szCs w:val="21"/>
          <w:highlight w:val="none"/>
          <w:lang w:val="en-US" w:eastAsia="zh-CN" w:bidi="ar"/>
        </w:rPr>
        <w:t xml:space="preserve">1 </w:t>
      </w:r>
      <w:r>
        <w:rPr>
          <w:rFonts w:hint="eastAsia" w:ascii="黑体" w:hAnsi="黑体" w:eastAsia="黑体" w:cs="黑体"/>
          <w:b w:val="0"/>
          <w:bCs w:val="0"/>
          <w:color w:val="000000"/>
          <w:kern w:val="0"/>
          <w:szCs w:val="21"/>
          <w:highlight w:val="none"/>
          <w:lang w:bidi="ar"/>
        </w:rPr>
        <w:t>油样</w:t>
      </w:r>
      <w:r>
        <w:rPr>
          <w:rFonts w:hint="eastAsia" w:ascii="黑体" w:hAnsi="黑体" w:eastAsia="黑体" w:cs="黑体"/>
          <w:b w:val="0"/>
          <w:bCs w:val="0"/>
          <w:color w:val="000000"/>
          <w:kern w:val="0"/>
          <w:szCs w:val="21"/>
          <w:highlight w:val="none"/>
          <w:lang w:val="en-US" w:eastAsia="zh-CN" w:bidi="ar"/>
        </w:rPr>
        <w:t>质量标准</w:t>
      </w:r>
    </w:p>
    <w:tbl>
      <w:tblPr>
        <w:tblStyle w:val="256"/>
        <w:tblpPr w:leftFromText="180" w:rightFromText="180" w:vertAnchor="text" w:horzAnchor="page" w:tblpX="1795" w:tblpY="108"/>
        <w:tblOverlap w:val="never"/>
        <w:tblW w:w="83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92"/>
        <w:gridCol w:w="2986"/>
        <w:gridCol w:w="2692"/>
      </w:tblGrid>
      <w:tr w14:paraId="5F8A1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692" w:type="dxa"/>
            <w:tcBorders>
              <w:tl2br w:val="nil"/>
              <w:tr2bl w:val="nil"/>
            </w:tcBorders>
            <w:vAlign w:val="top"/>
          </w:tcPr>
          <w:p w14:paraId="38FE3593">
            <w:pPr>
              <w:pStyle w:val="255"/>
              <w:spacing w:before="135" w:line="220" w:lineRule="auto"/>
              <w:ind w:left="875"/>
              <w:rPr>
                <w:rFonts w:hint="default" w:ascii="Times New Roman" w:hAnsi="Times New Roman" w:cs="Times New Roman"/>
                <w:sz w:val="18"/>
                <w:szCs w:val="18"/>
              </w:rPr>
            </w:pPr>
            <w:r>
              <w:rPr>
                <w:rFonts w:hint="default" w:ascii="Times New Roman" w:hAnsi="Times New Roman" w:cs="Times New Roman"/>
                <w:spacing w:val="10"/>
                <w:sz w:val="18"/>
                <w:szCs w:val="18"/>
              </w:rPr>
              <w:t>试验项目</w:t>
            </w:r>
          </w:p>
        </w:tc>
        <w:tc>
          <w:tcPr>
            <w:tcW w:w="2986" w:type="dxa"/>
            <w:tcBorders>
              <w:tl2br w:val="nil"/>
              <w:tr2bl w:val="nil"/>
            </w:tcBorders>
            <w:vAlign w:val="top"/>
          </w:tcPr>
          <w:p w14:paraId="73FA8B90">
            <w:pPr>
              <w:pStyle w:val="255"/>
              <w:spacing w:before="134" w:line="219" w:lineRule="auto"/>
              <w:ind w:left="793"/>
              <w:rPr>
                <w:rFonts w:hint="default" w:ascii="Times New Roman" w:hAnsi="Times New Roman" w:cs="Times New Roman"/>
                <w:sz w:val="18"/>
                <w:szCs w:val="18"/>
              </w:rPr>
            </w:pPr>
            <w:r>
              <w:rPr>
                <w:rFonts w:hint="default" w:ascii="Times New Roman" w:hAnsi="Times New Roman" w:cs="Times New Roman"/>
                <w:spacing w:val="8"/>
                <w:sz w:val="18"/>
                <w:szCs w:val="18"/>
              </w:rPr>
              <w:t>电压等级</w:t>
            </w:r>
            <w:r>
              <w:rPr>
                <w:rFonts w:hint="default" w:ascii="Times New Roman" w:hAnsi="Times New Roman" w:cs="Times New Roman"/>
                <w:spacing w:val="8"/>
                <w:sz w:val="18"/>
                <w:szCs w:val="18"/>
                <w:lang w:eastAsia="zh-CN"/>
              </w:rPr>
              <w:t>（</w:t>
            </w:r>
            <w:r>
              <w:rPr>
                <w:rFonts w:hint="default" w:ascii="Times New Roman" w:hAnsi="Times New Roman" w:cs="Times New Roman"/>
                <w:sz w:val="18"/>
                <w:szCs w:val="18"/>
              </w:rPr>
              <w:t>kV</w:t>
            </w:r>
            <w:r>
              <w:rPr>
                <w:rFonts w:hint="default" w:ascii="Times New Roman" w:hAnsi="Times New Roman" w:cs="Times New Roman"/>
                <w:sz w:val="18"/>
                <w:szCs w:val="18"/>
                <w:lang w:eastAsia="zh-CN"/>
              </w:rPr>
              <w:t>）</w:t>
            </w:r>
          </w:p>
        </w:tc>
        <w:tc>
          <w:tcPr>
            <w:tcW w:w="2692" w:type="dxa"/>
            <w:tcBorders>
              <w:tl2br w:val="nil"/>
              <w:tr2bl w:val="nil"/>
            </w:tcBorders>
            <w:vAlign w:val="top"/>
          </w:tcPr>
          <w:p w14:paraId="7811551F">
            <w:pPr>
              <w:pStyle w:val="255"/>
              <w:spacing w:before="125" w:line="219" w:lineRule="auto"/>
              <w:ind w:left="967"/>
              <w:rPr>
                <w:rFonts w:hint="default" w:ascii="Times New Roman" w:hAnsi="Times New Roman" w:cs="Times New Roman"/>
                <w:sz w:val="18"/>
                <w:szCs w:val="18"/>
              </w:rPr>
            </w:pPr>
            <w:r>
              <w:rPr>
                <w:rFonts w:hint="default" w:ascii="Times New Roman" w:hAnsi="Times New Roman" w:cs="Times New Roman"/>
                <w:spacing w:val="3"/>
                <w:sz w:val="18"/>
                <w:szCs w:val="18"/>
              </w:rPr>
              <w:t>标准值</w:t>
            </w:r>
          </w:p>
        </w:tc>
      </w:tr>
      <w:tr w14:paraId="5607F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692" w:type="dxa"/>
            <w:vMerge w:val="restart"/>
            <w:tcBorders>
              <w:tl2br w:val="nil"/>
              <w:tr2bl w:val="nil"/>
            </w:tcBorders>
            <w:vAlign w:val="top"/>
          </w:tcPr>
          <w:p w14:paraId="5DABD40A">
            <w:pPr>
              <w:spacing w:line="251" w:lineRule="auto"/>
              <w:rPr>
                <w:rFonts w:hint="default" w:ascii="Times New Roman" w:hAnsi="Times New Roman" w:cs="Times New Roman"/>
                <w:sz w:val="18"/>
                <w:szCs w:val="18"/>
              </w:rPr>
            </w:pPr>
          </w:p>
          <w:p w14:paraId="04BF4B8B">
            <w:pPr>
              <w:spacing w:line="251" w:lineRule="auto"/>
              <w:rPr>
                <w:rFonts w:hint="default" w:ascii="Times New Roman" w:hAnsi="Times New Roman" w:cs="Times New Roman"/>
                <w:sz w:val="18"/>
                <w:szCs w:val="18"/>
              </w:rPr>
            </w:pPr>
          </w:p>
          <w:p w14:paraId="10205592">
            <w:pPr>
              <w:spacing w:line="251" w:lineRule="auto"/>
              <w:rPr>
                <w:rFonts w:hint="default" w:ascii="Times New Roman" w:hAnsi="Times New Roman" w:cs="Times New Roman"/>
                <w:sz w:val="18"/>
                <w:szCs w:val="18"/>
              </w:rPr>
            </w:pPr>
          </w:p>
          <w:p w14:paraId="35AB3853">
            <w:pPr>
              <w:pStyle w:val="255"/>
              <w:spacing w:before="74" w:line="214" w:lineRule="auto"/>
              <w:ind w:left="645"/>
              <w:rPr>
                <w:rFonts w:hint="default" w:ascii="Times New Roman" w:hAnsi="Times New Roman" w:cs="Times New Roman"/>
                <w:sz w:val="18"/>
                <w:szCs w:val="18"/>
              </w:rPr>
            </w:pPr>
            <w:r>
              <w:rPr>
                <w:rFonts w:hint="default" w:ascii="Times New Roman" w:hAnsi="Times New Roman" w:cs="Times New Roman"/>
                <w:spacing w:val="7"/>
                <w:sz w:val="18"/>
                <w:szCs w:val="18"/>
              </w:rPr>
              <w:t>含水量</w:t>
            </w:r>
            <w:r>
              <w:rPr>
                <w:rFonts w:hint="default" w:ascii="Times New Roman" w:hAnsi="Times New Roman" w:cs="Times New Roman"/>
                <w:spacing w:val="7"/>
                <w:sz w:val="18"/>
                <w:szCs w:val="18"/>
                <w:lang w:eastAsia="zh-CN"/>
              </w:rPr>
              <w:t>（</w:t>
            </w:r>
            <w:r>
              <w:rPr>
                <w:rFonts w:hint="default" w:ascii="Times New Roman" w:hAnsi="Times New Roman" w:cs="Times New Roman"/>
                <w:sz w:val="18"/>
                <w:szCs w:val="18"/>
              </w:rPr>
              <w:t>mg</w:t>
            </w:r>
            <w:r>
              <w:rPr>
                <w:rFonts w:hint="default" w:ascii="Times New Roman" w:hAnsi="Times New Roman" w:cs="Times New Roman"/>
                <w:spacing w:val="7"/>
                <w:sz w:val="18"/>
                <w:szCs w:val="18"/>
              </w:rPr>
              <w:t>/L</w:t>
            </w:r>
            <w:r>
              <w:rPr>
                <w:rFonts w:hint="default" w:ascii="Times New Roman" w:hAnsi="Times New Roman" w:cs="Times New Roman"/>
                <w:spacing w:val="7"/>
                <w:sz w:val="18"/>
                <w:szCs w:val="18"/>
                <w:lang w:eastAsia="zh-CN"/>
              </w:rPr>
              <w:t>）</w:t>
            </w:r>
          </w:p>
        </w:tc>
        <w:tc>
          <w:tcPr>
            <w:tcW w:w="2986" w:type="dxa"/>
            <w:tcBorders>
              <w:tl2br w:val="nil"/>
              <w:tr2bl w:val="nil"/>
            </w:tcBorders>
            <w:vAlign w:val="top"/>
          </w:tcPr>
          <w:p w14:paraId="1F867D2C">
            <w:pPr>
              <w:pStyle w:val="255"/>
              <w:spacing w:before="120" w:line="219" w:lineRule="auto"/>
              <w:ind w:left="503"/>
              <w:rPr>
                <w:rFonts w:hint="default" w:ascii="Times New Roman" w:hAnsi="Times New Roman" w:cs="Times New Roman"/>
                <w:sz w:val="18"/>
                <w:szCs w:val="18"/>
              </w:rPr>
            </w:pPr>
            <w:r>
              <w:rPr>
                <w:rFonts w:hint="default" w:ascii="Times New Roman" w:hAnsi="Times New Roman" w:cs="Times New Roman"/>
                <w:spacing w:val="1"/>
                <w:sz w:val="18"/>
                <w:szCs w:val="18"/>
              </w:rPr>
              <w:t>110及以下电压等级</w:t>
            </w:r>
          </w:p>
        </w:tc>
        <w:tc>
          <w:tcPr>
            <w:tcW w:w="2692" w:type="dxa"/>
            <w:tcBorders>
              <w:tl2br w:val="nil"/>
              <w:tr2bl w:val="nil"/>
            </w:tcBorders>
            <w:vAlign w:val="top"/>
          </w:tcPr>
          <w:p w14:paraId="1CCE7D3E">
            <w:pPr>
              <w:pStyle w:val="255"/>
              <w:spacing w:before="164" w:line="236" w:lineRule="auto"/>
              <w:ind w:left="1157"/>
              <w:rPr>
                <w:rFonts w:hint="default" w:ascii="Times New Roman" w:hAnsi="Times New Roman" w:cs="Times New Roman"/>
                <w:sz w:val="18"/>
                <w:szCs w:val="18"/>
              </w:rPr>
            </w:pPr>
            <w:r>
              <w:rPr>
                <w:rFonts w:hint="default" w:ascii="Times New Roman" w:hAnsi="Times New Roman" w:cs="Times New Roman"/>
                <w:spacing w:val="-5"/>
                <w:sz w:val="18"/>
                <w:szCs w:val="18"/>
              </w:rPr>
              <w:t>≤20</w:t>
            </w:r>
          </w:p>
        </w:tc>
      </w:tr>
      <w:tr w14:paraId="090F0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692" w:type="dxa"/>
            <w:vMerge w:val="continue"/>
            <w:tcBorders>
              <w:tl2br w:val="nil"/>
              <w:tr2bl w:val="nil"/>
            </w:tcBorders>
            <w:vAlign w:val="top"/>
          </w:tcPr>
          <w:p w14:paraId="5C22135C">
            <w:pPr>
              <w:rPr>
                <w:rFonts w:hint="default" w:ascii="Times New Roman" w:hAnsi="Times New Roman" w:cs="Times New Roman"/>
                <w:sz w:val="18"/>
                <w:szCs w:val="18"/>
              </w:rPr>
            </w:pPr>
          </w:p>
        </w:tc>
        <w:tc>
          <w:tcPr>
            <w:tcW w:w="2986" w:type="dxa"/>
            <w:tcBorders>
              <w:tl2br w:val="nil"/>
              <w:tr2bl w:val="nil"/>
            </w:tcBorders>
            <w:vAlign w:val="top"/>
          </w:tcPr>
          <w:p w14:paraId="0F38B21A">
            <w:pPr>
              <w:pStyle w:val="255"/>
              <w:spacing w:before="153"/>
              <w:ind w:left="1313"/>
              <w:rPr>
                <w:rFonts w:hint="default" w:ascii="Times New Roman" w:hAnsi="Times New Roman" w:cs="Times New Roman"/>
                <w:sz w:val="18"/>
                <w:szCs w:val="18"/>
              </w:rPr>
            </w:pPr>
            <w:r>
              <w:rPr>
                <w:rFonts w:hint="default" w:ascii="Times New Roman" w:hAnsi="Times New Roman" w:cs="Times New Roman"/>
                <w:spacing w:val="-3"/>
                <w:sz w:val="18"/>
                <w:szCs w:val="18"/>
              </w:rPr>
              <w:t>220</w:t>
            </w:r>
          </w:p>
        </w:tc>
        <w:tc>
          <w:tcPr>
            <w:tcW w:w="2692" w:type="dxa"/>
            <w:tcBorders>
              <w:tl2br w:val="nil"/>
              <w:tr2bl w:val="nil"/>
            </w:tcBorders>
            <w:vAlign w:val="top"/>
          </w:tcPr>
          <w:p w14:paraId="6B1F1D5E">
            <w:pPr>
              <w:pStyle w:val="255"/>
              <w:spacing w:before="165" w:line="236" w:lineRule="auto"/>
              <w:ind w:left="1157"/>
              <w:rPr>
                <w:rFonts w:hint="default" w:ascii="Times New Roman" w:hAnsi="Times New Roman" w:cs="Times New Roman"/>
                <w:sz w:val="18"/>
                <w:szCs w:val="18"/>
              </w:rPr>
            </w:pPr>
            <w:r>
              <w:rPr>
                <w:rFonts w:hint="default" w:ascii="Times New Roman" w:hAnsi="Times New Roman" w:cs="Times New Roman"/>
                <w:spacing w:val="-5"/>
                <w:sz w:val="18"/>
                <w:szCs w:val="18"/>
              </w:rPr>
              <w:t>≤15</w:t>
            </w:r>
          </w:p>
        </w:tc>
      </w:tr>
      <w:tr w14:paraId="18D03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692" w:type="dxa"/>
            <w:vMerge w:val="continue"/>
            <w:tcBorders>
              <w:tl2br w:val="nil"/>
              <w:tr2bl w:val="nil"/>
            </w:tcBorders>
            <w:vAlign w:val="top"/>
          </w:tcPr>
          <w:p w14:paraId="5BD67828">
            <w:pPr>
              <w:rPr>
                <w:rFonts w:hint="default" w:ascii="Times New Roman" w:hAnsi="Times New Roman" w:cs="Times New Roman"/>
                <w:sz w:val="18"/>
                <w:szCs w:val="18"/>
              </w:rPr>
            </w:pPr>
          </w:p>
        </w:tc>
        <w:tc>
          <w:tcPr>
            <w:tcW w:w="2986" w:type="dxa"/>
            <w:tcBorders>
              <w:tl2br w:val="nil"/>
              <w:tr2bl w:val="nil"/>
            </w:tcBorders>
            <w:vAlign w:val="top"/>
          </w:tcPr>
          <w:p w14:paraId="43FFBA93">
            <w:pPr>
              <w:pStyle w:val="255"/>
              <w:spacing w:before="165"/>
              <w:ind w:left="1163"/>
              <w:rPr>
                <w:rFonts w:hint="default" w:ascii="Times New Roman" w:hAnsi="Times New Roman" w:cs="Times New Roman"/>
                <w:sz w:val="18"/>
                <w:szCs w:val="18"/>
              </w:rPr>
            </w:pPr>
            <w:r>
              <w:rPr>
                <w:rFonts w:hint="default" w:ascii="Times New Roman" w:hAnsi="Times New Roman" w:cs="Times New Roman"/>
                <w:spacing w:val="-2"/>
                <w:sz w:val="18"/>
                <w:szCs w:val="18"/>
              </w:rPr>
              <w:t>330</w:t>
            </w:r>
            <w:r>
              <w:rPr>
                <w:rFonts w:hint="default" w:ascii="Times New Roman" w:hAnsi="Times New Roman" w:cs="Times New Roman"/>
                <w:spacing w:val="-2"/>
                <w:sz w:val="18"/>
                <w:szCs w:val="18"/>
                <w:lang w:eastAsia="zh-CN"/>
              </w:rPr>
              <w:t>~</w:t>
            </w:r>
            <w:r>
              <w:rPr>
                <w:rFonts w:hint="default" w:ascii="Times New Roman" w:hAnsi="Times New Roman" w:cs="Times New Roman"/>
                <w:spacing w:val="-2"/>
                <w:sz w:val="18"/>
                <w:szCs w:val="18"/>
              </w:rPr>
              <w:t>750</w:t>
            </w:r>
          </w:p>
        </w:tc>
        <w:tc>
          <w:tcPr>
            <w:tcW w:w="2692" w:type="dxa"/>
            <w:tcBorders>
              <w:tl2br w:val="nil"/>
              <w:tr2bl w:val="nil"/>
            </w:tcBorders>
            <w:vAlign w:val="top"/>
          </w:tcPr>
          <w:p w14:paraId="2EFB4E43">
            <w:pPr>
              <w:pStyle w:val="255"/>
              <w:spacing w:before="156" w:line="236" w:lineRule="auto"/>
              <w:ind w:left="1157"/>
              <w:rPr>
                <w:rFonts w:hint="default" w:ascii="Times New Roman" w:hAnsi="Times New Roman" w:cs="Times New Roman"/>
                <w:sz w:val="18"/>
                <w:szCs w:val="18"/>
              </w:rPr>
            </w:pPr>
            <w:r>
              <w:rPr>
                <w:rFonts w:hint="default" w:ascii="Times New Roman" w:hAnsi="Times New Roman" w:cs="Times New Roman"/>
                <w:spacing w:val="-5"/>
                <w:sz w:val="18"/>
                <w:szCs w:val="18"/>
              </w:rPr>
              <w:t>≤10</w:t>
            </w:r>
          </w:p>
        </w:tc>
      </w:tr>
      <w:tr w14:paraId="74A53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692" w:type="dxa"/>
            <w:vMerge w:val="restart"/>
            <w:tcBorders>
              <w:tl2br w:val="nil"/>
              <w:tr2bl w:val="nil"/>
            </w:tcBorders>
            <w:vAlign w:val="top"/>
          </w:tcPr>
          <w:p w14:paraId="7D96D4C1">
            <w:pPr>
              <w:spacing w:line="248" w:lineRule="auto"/>
              <w:rPr>
                <w:rFonts w:hint="default" w:ascii="Times New Roman" w:hAnsi="Times New Roman" w:cs="Times New Roman"/>
                <w:sz w:val="18"/>
                <w:szCs w:val="18"/>
              </w:rPr>
            </w:pPr>
          </w:p>
          <w:p w14:paraId="6EF2A4BC">
            <w:pPr>
              <w:spacing w:line="248" w:lineRule="auto"/>
              <w:rPr>
                <w:rFonts w:hint="default" w:ascii="Times New Roman" w:hAnsi="Times New Roman" w:cs="Times New Roman"/>
                <w:sz w:val="18"/>
                <w:szCs w:val="18"/>
              </w:rPr>
            </w:pPr>
          </w:p>
          <w:p w14:paraId="726A1205">
            <w:pPr>
              <w:spacing w:line="249" w:lineRule="auto"/>
              <w:rPr>
                <w:rFonts w:hint="default" w:ascii="Times New Roman" w:hAnsi="Times New Roman" w:cs="Times New Roman"/>
                <w:sz w:val="18"/>
                <w:szCs w:val="18"/>
              </w:rPr>
            </w:pPr>
          </w:p>
          <w:p w14:paraId="33D4D57A">
            <w:pPr>
              <w:spacing w:line="249" w:lineRule="auto"/>
              <w:rPr>
                <w:rFonts w:hint="default" w:ascii="Times New Roman" w:hAnsi="Times New Roman" w:cs="Times New Roman"/>
                <w:sz w:val="18"/>
                <w:szCs w:val="18"/>
              </w:rPr>
            </w:pPr>
          </w:p>
          <w:p w14:paraId="1F01F696">
            <w:pPr>
              <w:spacing w:line="249" w:lineRule="auto"/>
              <w:rPr>
                <w:rFonts w:hint="default" w:ascii="Times New Roman" w:hAnsi="Times New Roman" w:cs="Times New Roman"/>
                <w:sz w:val="18"/>
                <w:szCs w:val="18"/>
              </w:rPr>
            </w:pPr>
          </w:p>
          <w:p w14:paraId="5A68BA64">
            <w:pPr>
              <w:pStyle w:val="255"/>
              <w:spacing w:before="75" w:line="221" w:lineRule="auto"/>
              <w:ind w:left="645"/>
              <w:rPr>
                <w:rFonts w:hint="default" w:ascii="Times New Roman" w:hAnsi="Times New Roman" w:cs="Times New Roman"/>
                <w:sz w:val="18"/>
                <w:szCs w:val="18"/>
              </w:rPr>
            </w:pPr>
            <w:r>
              <w:rPr>
                <w:rFonts w:hint="default" w:ascii="Times New Roman" w:hAnsi="Times New Roman" w:cs="Times New Roman"/>
                <w:spacing w:val="8"/>
                <w:sz w:val="18"/>
                <w:szCs w:val="18"/>
              </w:rPr>
              <w:t>击穿电压</w:t>
            </w:r>
            <w:r>
              <w:rPr>
                <w:rFonts w:hint="default" w:ascii="Times New Roman" w:hAnsi="Times New Roman" w:cs="Times New Roman"/>
                <w:spacing w:val="8"/>
                <w:sz w:val="18"/>
                <w:szCs w:val="18"/>
                <w:lang w:eastAsia="zh-CN"/>
              </w:rPr>
              <w:t>（</w:t>
            </w:r>
            <w:r>
              <w:rPr>
                <w:rFonts w:hint="default" w:ascii="Times New Roman" w:hAnsi="Times New Roman" w:cs="Times New Roman"/>
                <w:sz w:val="18"/>
                <w:szCs w:val="18"/>
              </w:rPr>
              <w:t>kV</w:t>
            </w:r>
            <w:r>
              <w:rPr>
                <w:rFonts w:hint="default" w:ascii="Times New Roman" w:hAnsi="Times New Roman" w:cs="Times New Roman"/>
                <w:sz w:val="18"/>
                <w:szCs w:val="18"/>
                <w:lang w:eastAsia="zh-CN"/>
              </w:rPr>
              <w:t>）</w:t>
            </w:r>
          </w:p>
        </w:tc>
        <w:tc>
          <w:tcPr>
            <w:tcW w:w="2986" w:type="dxa"/>
            <w:tcBorders>
              <w:tl2br w:val="nil"/>
              <w:tr2bl w:val="nil"/>
            </w:tcBorders>
            <w:vAlign w:val="top"/>
          </w:tcPr>
          <w:p w14:paraId="08DECCBE">
            <w:pPr>
              <w:pStyle w:val="255"/>
              <w:spacing w:before="124" w:line="219" w:lineRule="auto"/>
              <w:ind w:left="563"/>
              <w:rPr>
                <w:rFonts w:hint="default" w:ascii="Times New Roman" w:hAnsi="Times New Roman" w:cs="Times New Roman"/>
                <w:sz w:val="18"/>
                <w:szCs w:val="18"/>
              </w:rPr>
            </w:pPr>
            <w:r>
              <w:rPr>
                <w:rFonts w:hint="default" w:ascii="Times New Roman" w:hAnsi="Times New Roman" w:cs="Times New Roman"/>
                <w:spacing w:val="1"/>
                <w:sz w:val="18"/>
                <w:szCs w:val="18"/>
              </w:rPr>
              <w:t>35及以下电压等级</w:t>
            </w:r>
          </w:p>
        </w:tc>
        <w:tc>
          <w:tcPr>
            <w:tcW w:w="2692" w:type="dxa"/>
            <w:tcBorders>
              <w:tl2br w:val="nil"/>
              <w:tr2bl w:val="nil"/>
            </w:tcBorders>
            <w:vAlign w:val="top"/>
          </w:tcPr>
          <w:p w14:paraId="1D1A70FB">
            <w:pPr>
              <w:pStyle w:val="255"/>
              <w:spacing w:before="160" w:line="237" w:lineRule="auto"/>
              <w:ind w:left="1157"/>
              <w:rPr>
                <w:rFonts w:hint="default" w:ascii="Times New Roman" w:hAnsi="Times New Roman" w:cs="Times New Roman"/>
                <w:sz w:val="18"/>
                <w:szCs w:val="18"/>
              </w:rPr>
            </w:pPr>
            <w:r>
              <w:rPr>
                <w:rFonts w:hint="default" w:ascii="Times New Roman" w:hAnsi="Times New Roman" w:cs="Times New Roman"/>
                <w:spacing w:val="-7"/>
                <w:sz w:val="18"/>
                <w:szCs w:val="18"/>
              </w:rPr>
              <w:t>≥35</w:t>
            </w:r>
          </w:p>
        </w:tc>
      </w:tr>
      <w:tr w14:paraId="1EEE7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692" w:type="dxa"/>
            <w:vMerge w:val="continue"/>
            <w:tcBorders>
              <w:tl2br w:val="nil"/>
              <w:tr2bl w:val="nil"/>
            </w:tcBorders>
            <w:vAlign w:val="top"/>
          </w:tcPr>
          <w:p w14:paraId="38870EF8">
            <w:pPr>
              <w:rPr>
                <w:rFonts w:hint="default" w:ascii="Times New Roman" w:hAnsi="Times New Roman" w:cs="Times New Roman"/>
                <w:sz w:val="18"/>
                <w:szCs w:val="18"/>
              </w:rPr>
            </w:pPr>
          </w:p>
        </w:tc>
        <w:tc>
          <w:tcPr>
            <w:tcW w:w="2986" w:type="dxa"/>
            <w:tcBorders>
              <w:tl2br w:val="nil"/>
              <w:tr2bl w:val="nil"/>
            </w:tcBorders>
            <w:vAlign w:val="top"/>
          </w:tcPr>
          <w:p w14:paraId="6CE2868B">
            <w:pPr>
              <w:pStyle w:val="255"/>
              <w:spacing w:before="170"/>
              <w:ind w:left="1173"/>
              <w:rPr>
                <w:rFonts w:hint="default" w:ascii="Times New Roman" w:hAnsi="Times New Roman" w:cs="Times New Roman"/>
                <w:sz w:val="18"/>
                <w:szCs w:val="18"/>
              </w:rPr>
            </w:pPr>
            <w:r>
              <w:rPr>
                <w:rFonts w:hint="default" w:ascii="Times New Roman" w:hAnsi="Times New Roman" w:cs="Times New Roman"/>
                <w:spacing w:val="-2"/>
                <w:sz w:val="18"/>
                <w:szCs w:val="18"/>
              </w:rPr>
              <w:t>66</w:t>
            </w:r>
            <w:r>
              <w:rPr>
                <w:rFonts w:hint="default" w:ascii="Times New Roman" w:hAnsi="Times New Roman" w:cs="Times New Roman"/>
                <w:spacing w:val="-2"/>
                <w:sz w:val="18"/>
                <w:szCs w:val="18"/>
                <w:lang w:eastAsia="zh-CN"/>
              </w:rPr>
              <w:t>~</w:t>
            </w:r>
            <w:r>
              <w:rPr>
                <w:rFonts w:hint="default" w:ascii="Times New Roman" w:hAnsi="Times New Roman" w:cs="Times New Roman"/>
                <w:spacing w:val="-2"/>
                <w:sz w:val="18"/>
                <w:szCs w:val="18"/>
              </w:rPr>
              <w:t>220</w:t>
            </w:r>
          </w:p>
        </w:tc>
        <w:tc>
          <w:tcPr>
            <w:tcW w:w="2692" w:type="dxa"/>
            <w:tcBorders>
              <w:tl2br w:val="nil"/>
              <w:tr2bl w:val="nil"/>
            </w:tcBorders>
            <w:vAlign w:val="top"/>
          </w:tcPr>
          <w:p w14:paraId="66766C04">
            <w:pPr>
              <w:pStyle w:val="255"/>
              <w:spacing w:before="171" w:line="237" w:lineRule="auto"/>
              <w:ind w:left="1157"/>
              <w:rPr>
                <w:rFonts w:hint="default" w:ascii="Times New Roman" w:hAnsi="Times New Roman" w:cs="Times New Roman"/>
                <w:sz w:val="18"/>
                <w:szCs w:val="18"/>
              </w:rPr>
            </w:pPr>
            <w:r>
              <w:rPr>
                <w:rFonts w:hint="default" w:ascii="Times New Roman" w:hAnsi="Times New Roman" w:cs="Times New Roman"/>
                <w:spacing w:val="-7"/>
                <w:sz w:val="18"/>
                <w:szCs w:val="18"/>
              </w:rPr>
              <w:t>≥40</w:t>
            </w:r>
          </w:p>
        </w:tc>
      </w:tr>
      <w:tr w14:paraId="660D3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692" w:type="dxa"/>
            <w:vMerge w:val="continue"/>
            <w:tcBorders>
              <w:tl2br w:val="nil"/>
              <w:tr2bl w:val="nil"/>
            </w:tcBorders>
            <w:vAlign w:val="top"/>
          </w:tcPr>
          <w:p w14:paraId="2F9907C2">
            <w:pPr>
              <w:rPr>
                <w:rFonts w:hint="default" w:ascii="Times New Roman" w:hAnsi="Times New Roman" w:cs="Times New Roman"/>
                <w:sz w:val="18"/>
                <w:szCs w:val="18"/>
              </w:rPr>
            </w:pPr>
          </w:p>
        </w:tc>
        <w:tc>
          <w:tcPr>
            <w:tcW w:w="2986" w:type="dxa"/>
            <w:tcBorders>
              <w:tl2br w:val="nil"/>
              <w:tr2bl w:val="nil"/>
            </w:tcBorders>
            <w:vAlign w:val="top"/>
          </w:tcPr>
          <w:p w14:paraId="09EF7B83">
            <w:pPr>
              <w:pStyle w:val="255"/>
              <w:spacing w:before="148"/>
              <w:ind w:left="1313"/>
              <w:rPr>
                <w:rFonts w:hint="default" w:ascii="Times New Roman" w:hAnsi="Times New Roman" w:cs="Times New Roman"/>
                <w:sz w:val="18"/>
                <w:szCs w:val="18"/>
              </w:rPr>
            </w:pPr>
            <w:r>
              <w:rPr>
                <w:rFonts w:hint="default" w:ascii="Times New Roman" w:hAnsi="Times New Roman" w:cs="Times New Roman"/>
                <w:spacing w:val="-4"/>
                <w:sz w:val="18"/>
                <w:szCs w:val="18"/>
              </w:rPr>
              <w:t>330</w:t>
            </w:r>
          </w:p>
        </w:tc>
        <w:tc>
          <w:tcPr>
            <w:tcW w:w="2692" w:type="dxa"/>
            <w:tcBorders>
              <w:tl2br w:val="nil"/>
              <w:tr2bl w:val="nil"/>
            </w:tcBorders>
            <w:vAlign w:val="top"/>
          </w:tcPr>
          <w:p w14:paraId="5AC419F1">
            <w:pPr>
              <w:pStyle w:val="255"/>
              <w:spacing w:before="172" w:line="237" w:lineRule="auto"/>
              <w:ind w:left="1157"/>
              <w:rPr>
                <w:rFonts w:hint="default" w:ascii="Times New Roman" w:hAnsi="Times New Roman" w:cs="Times New Roman"/>
                <w:sz w:val="18"/>
                <w:szCs w:val="18"/>
              </w:rPr>
            </w:pPr>
            <w:r>
              <w:rPr>
                <w:rFonts w:hint="default" w:ascii="Times New Roman" w:hAnsi="Times New Roman" w:cs="Times New Roman"/>
                <w:spacing w:val="-7"/>
                <w:sz w:val="18"/>
                <w:szCs w:val="18"/>
              </w:rPr>
              <w:t>≥50</w:t>
            </w:r>
          </w:p>
        </w:tc>
      </w:tr>
      <w:tr w14:paraId="7DC2F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692" w:type="dxa"/>
            <w:vMerge w:val="continue"/>
            <w:tcBorders>
              <w:tl2br w:val="nil"/>
              <w:tr2bl w:val="nil"/>
            </w:tcBorders>
            <w:vAlign w:val="top"/>
          </w:tcPr>
          <w:p w14:paraId="2BCA95EF">
            <w:pPr>
              <w:rPr>
                <w:rFonts w:hint="default" w:ascii="Times New Roman" w:hAnsi="Times New Roman" w:cs="Times New Roman"/>
                <w:sz w:val="18"/>
                <w:szCs w:val="18"/>
              </w:rPr>
            </w:pPr>
          </w:p>
        </w:tc>
        <w:tc>
          <w:tcPr>
            <w:tcW w:w="2986" w:type="dxa"/>
            <w:tcBorders>
              <w:tl2br w:val="nil"/>
              <w:tr2bl w:val="nil"/>
            </w:tcBorders>
            <w:vAlign w:val="top"/>
          </w:tcPr>
          <w:p w14:paraId="5D3F0EBD">
            <w:pPr>
              <w:pStyle w:val="255"/>
              <w:spacing w:before="149"/>
              <w:ind w:left="1313"/>
              <w:rPr>
                <w:rFonts w:hint="default" w:ascii="Times New Roman" w:hAnsi="Times New Roman" w:cs="Times New Roman"/>
                <w:sz w:val="18"/>
                <w:szCs w:val="18"/>
              </w:rPr>
            </w:pPr>
            <w:r>
              <w:rPr>
                <w:rFonts w:hint="default" w:ascii="Times New Roman" w:hAnsi="Times New Roman" w:cs="Times New Roman"/>
                <w:spacing w:val="-4"/>
                <w:sz w:val="18"/>
                <w:szCs w:val="18"/>
              </w:rPr>
              <w:t>500</w:t>
            </w:r>
          </w:p>
        </w:tc>
        <w:tc>
          <w:tcPr>
            <w:tcW w:w="2692" w:type="dxa"/>
            <w:tcBorders>
              <w:tl2br w:val="nil"/>
              <w:tr2bl w:val="nil"/>
            </w:tcBorders>
            <w:vAlign w:val="top"/>
          </w:tcPr>
          <w:p w14:paraId="7DFAFDF6">
            <w:pPr>
              <w:pStyle w:val="255"/>
              <w:spacing w:before="173" w:line="237" w:lineRule="auto"/>
              <w:ind w:left="1157"/>
              <w:rPr>
                <w:rFonts w:hint="default" w:ascii="Times New Roman" w:hAnsi="Times New Roman" w:cs="Times New Roman"/>
                <w:sz w:val="18"/>
                <w:szCs w:val="18"/>
              </w:rPr>
            </w:pPr>
            <w:r>
              <w:rPr>
                <w:rFonts w:hint="default" w:ascii="Times New Roman" w:hAnsi="Times New Roman" w:cs="Times New Roman"/>
                <w:spacing w:val="-7"/>
                <w:sz w:val="18"/>
                <w:szCs w:val="18"/>
              </w:rPr>
              <w:t>≥60</w:t>
            </w:r>
          </w:p>
        </w:tc>
      </w:tr>
      <w:tr w14:paraId="389BE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2692" w:type="dxa"/>
            <w:vMerge w:val="continue"/>
            <w:tcBorders>
              <w:tl2br w:val="nil"/>
              <w:tr2bl w:val="nil"/>
            </w:tcBorders>
            <w:vAlign w:val="top"/>
          </w:tcPr>
          <w:p w14:paraId="5EA49131">
            <w:pPr>
              <w:rPr>
                <w:rFonts w:hint="default" w:ascii="Times New Roman" w:hAnsi="Times New Roman" w:cs="Times New Roman"/>
                <w:sz w:val="18"/>
                <w:szCs w:val="18"/>
              </w:rPr>
            </w:pPr>
          </w:p>
        </w:tc>
        <w:tc>
          <w:tcPr>
            <w:tcW w:w="2986" w:type="dxa"/>
            <w:tcBorders>
              <w:tl2br w:val="nil"/>
              <w:tr2bl w:val="nil"/>
            </w:tcBorders>
            <w:vAlign w:val="top"/>
          </w:tcPr>
          <w:p w14:paraId="245CD372">
            <w:pPr>
              <w:pStyle w:val="255"/>
              <w:spacing w:before="141" w:line="239" w:lineRule="auto"/>
              <w:ind w:left="1313"/>
              <w:rPr>
                <w:rFonts w:hint="default" w:ascii="Times New Roman" w:hAnsi="Times New Roman" w:cs="Times New Roman"/>
                <w:sz w:val="18"/>
                <w:szCs w:val="18"/>
              </w:rPr>
            </w:pPr>
            <w:r>
              <w:rPr>
                <w:rFonts w:hint="default" w:ascii="Times New Roman" w:hAnsi="Times New Roman" w:cs="Times New Roman"/>
                <w:spacing w:val="-4"/>
                <w:sz w:val="18"/>
                <w:szCs w:val="18"/>
              </w:rPr>
              <w:t>750</w:t>
            </w:r>
          </w:p>
        </w:tc>
        <w:tc>
          <w:tcPr>
            <w:tcW w:w="2692" w:type="dxa"/>
            <w:tcBorders>
              <w:tl2br w:val="nil"/>
              <w:tr2bl w:val="nil"/>
            </w:tcBorders>
            <w:vAlign w:val="top"/>
          </w:tcPr>
          <w:p w14:paraId="7755E373">
            <w:pPr>
              <w:pStyle w:val="255"/>
              <w:spacing w:before="164" w:line="237" w:lineRule="auto"/>
              <w:ind w:left="1157"/>
              <w:rPr>
                <w:rFonts w:hint="default" w:ascii="Times New Roman" w:hAnsi="Times New Roman" w:cs="Times New Roman"/>
                <w:sz w:val="18"/>
                <w:szCs w:val="18"/>
              </w:rPr>
            </w:pPr>
            <w:r>
              <w:rPr>
                <w:rFonts w:hint="default" w:ascii="Times New Roman" w:hAnsi="Times New Roman" w:cs="Times New Roman"/>
                <w:spacing w:val="-7"/>
                <w:sz w:val="18"/>
                <w:szCs w:val="18"/>
              </w:rPr>
              <w:t>≥70</w:t>
            </w:r>
          </w:p>
        </w:tc>
      </w:tr>
    </w:tbl>
    <w:p w14:paraId="3D616BB3">
      <w:pPr>
        <w:spacing w:line="108" w:lineRule="exact"/>
        <w:rPr>
          <w:rFonts w:hint="default" w:ascii="Times New Roman" w:hAnsi="Times New Roman" w:cs="Times New Roman"/>
          <w:sz w:val="18"/>
          <w:szCs w:val="18"/>
        </w:rPr>
      </w:pPr>
    </w:p>
    <w:p w14:paraId="74189CB6">
      <w:pPr>
        <w:widowControl/>
        <w:jc w:val="center"/>
        <w:rPr>
          <w:rFonts w:hint="default" w:ascii="Times New Roman" w:hAnsi="Times New Roman" w:cs="Times New Roman"/>
          <w:b/>
          <w:bCs/>
          <w:color w:val="000000"/>
          <w:kern w:val="0"/>
          <w:szCs w:val="21"/>
          <w:lang w:bidi="ar"/>
        </w:rPr>
      </w:pPr>
    </w:p>
    <w:p w14:paraId="7A511E56">
      <w:pPr>
        <w:jc w:val="left"/>
        <w:rPr>
          <w:rFonts w:hint="default" w:ascii="Times New Roman" w:hAnsi="Times New Roman" w:cs="Times New Roman"/>
          <w:szCs w:val="22"/>
        </w:rPr>
      </w:pPr>
      <w:r>
        <w:rPr>
          <w:rFonts w:hint="default" w:ascii="Times New Roman" w:hAnsi="Times New Roman" w:cs="Times New Roman"/>
          <w:szCs w:val="22"/>
        </w:rPr>
        <w:t>6.3.</w:t>
      </w:r>
      <w:r>
        <w:rPr>
          <w:rFonts w:hint="default" w:ascii="Times New Roman" w:hAnsi="Times New Roman" w:cs="Times New Roman"/>
          <w:szCs w:val="22"/>
          <w:lang w:val="en-US" w:eastAsia="zh-CN"/>
        </w:rPr>
        <w:t>4</w:t>
      </w:r>
      <w:r>
        <w:rPr>
          <w:rFonts w:hint="default" w:ascii="Times New Roman" w:hAnsi="Times New Roman" w:cs="Times New Roman"/>
          <w:szCs w:val="22"/>
        </w:rPr>
        <w:t xml:space="preserve"> </w:t>
      </w:r>
      <w:r>
        <w:rPr>
          <w:rFonts w:hint="default" w:ascii="Times New Roman" w:hAnsi="Times New Roman" w:cs="Times New Roman"/>
          <w:szCs w:val="22"/>
          <w:lang w:val="en-US" w:eastAsia="zh-CN"/>
        </w:rPr>
        <w:t xml:space="preserve"> GIS</w:t>
      </w:r>
      <w:r>
        <w:rPr>
          <w:rFonts w:hint="default" w:ascii="Times New Roman" w:hAnsi="Times New Roman" w:cs="Times New Roman"/>
          <w:szCs w:val="22"/>
        </w:rPr>
        <w:t>运到现场后的保管应符合产品技术文件要求</w:t>
      </w:r>
      <w:r>
        <w:rPr>
          <w:rFonts w:hint="default" w:ascii="Times New Roman" w:hAnsi="Times New Roman" w:cs="Times New Roman"/>
          <w:szCs w:val="22"/>
          <w:lang w:eastAsia="zh-CN"/>
        </w:rPr>
        <w:t>，</w:t>
      </w:r>
      <w:r>
        <w:rPr>
          <w:rFonts w:hint="default" w:ascii="Times New Roman" w:hAnsi="Times New Roman" w:cs="Times New Roman"/>
          <w:szCs w:val="22"/>
        </w:rPr>
        <w:t>且应符合下列规定</w:t>
      </w:r>
      <w:r>
        <w:rPr>
          <w:rFonts w:hint="default" w:ascii="Times New Roman" w:hAnsi="Times New Roman" w:cs="Times New Roman"/>
          <w:szCs w:val="22"/>
          <w:lang w:eastAsia="zh-CN"/>
        </w:rPr>
        <w:t>：</w:t>
      </w:r>
    </w:p>
    <w:p w14:paraId="2D3B9FB6">
      <w:pPr>
        <w:numPr>
          <w:ilvl w:val="0"/>
          <w:numId w:val="38"/>
        </w:numPr>
        <w:ind w:left="14" w:firstLine="406"/>
        <w:jc w:val="left"/>
        <w:rPr>
          <w:rFonts w:hint="default" w:ascii="Times New Roman" w:hAnsi="Times New Roman" w:cs="Times New Roman"/>
          <w:szCs w:val="22"/>
        </w:rPr>
      </w:pPr>
      <w:r>
        <w:rPr>
          <w:rFonts w:hint="default" w:ascii="Times New Roman" w:hAnsi="Times New Roman" w:cs="Times New Roman"/>
          <w:szCs w:val="22"/>
        </w:rPr>
        <w:t>断路器、隔离开关、电压互感器、避雷器和363kV及以上套管的运输单元的三维冲击记录齐全，冲击值</w:t>
      </w:r>
      <w:r>
        <w:rPr>
          <w:rFonts w:hint="default" w:ascii="Times New Roman" w:hAnsi="Times New Roman" w:cs="Times New Roman"/>
          <w:szCs w:val="22"/>
          <w:lang w:val="en-US" w:eastAsia="zh-CN"/>
        </w:rPr>
        <w:t>不大于</w:t>
      </w:r>
      <w:r>
        <w:rPr>
          <w:rFonts w:hint="default" w:ascii="Times New Roman" w:hAnsi="Times New Roman" w:cs="Times New Roman"/>
          <w:szCs w:val="22"/>
        </w:rPr>
        <w:t>3g ，震动指示器无异常或满足产品技术文件要求</w:t>
      </w:r>
      <w:r>
        <w:rPr>
          <w:rFonts w:hint="default" w:ascii="Times New Roman" w:hAnsi="Times New Roman" w:cs="Times New Roman"/>
          <w:szCs w:val="22"/>
          <w:lang w:eastAsia="zh-CN"/>
        </w:rPr>
        <w:t>；</w:t>
      </w:r>
      <w:r>
        <w:rPr>
          <w:rFonts w:hint="default" w:ascii="Times New Roman" w:hAnsi="Times New Roman" w:cs="Times New Roman"/>
          <w:szCs w:val="22"/>
        </w:rPr>
        <w:t xml:space="preserve"> </w:t>
      </w:r>
    </w:p>
    <w:p w14:paraId="469D9528">
      <w:pPr>
        <w:numPr>
          <w:ilvl w:val="0"/>
          <w:numId w:val="38"/>
        </w:numPr>
        <w:ind w:left="14" w:firstLine="406"/>
        <w:jc w:val="left"/>
        <w:rPr>
          <w:rFonts w:hint="default" w:ascii="Times New Roman" w:hAnsi="Times New Roman" w:cs="Times New Roman"/>
          <w:szCs w:val="22"/>
        </w:rPr>
      </w:pPr>
      <w:r>
        <w:rPr>
          <w:rFonts w:hint="default" w:ascii="Times New Roman" w:hAnsi="Times New Roman" w:cs="Times New Roman"/>
          <w:szCs w:val="22"/>
          <w:lang w:val="en-US" w:eastAsia="zh-CN"/>
        </w:rPr>
        <w:t>GIS</w:t>
      </w:r>
      <w:r>
        <w:rPr>
          <w:rFonts w:hint="default" w:ascii="Times New Roman" w:hAnsi="Times New Roman" w:cs="Times New Roman"/>
          <w:szCs w:val="22"/>
        </w:rPr>
        <w:t>应按原包装置于平整、无积水、无腐蚀性气体的场所</w:t>
      </w:r>
      <w:r>
        <w:rPr>
          <w:rFonts w:hint="default" w:ascii="Times New Roman" w:hAnsi="Times New Roman" w:cs="Times New Roman"/>
          <w:szCs w:val="22"/>
          <w:lang w:eastAsia="zh-CN"/>
        </w:rPr>
        <w:t>，</w:t>
      </w:r>
      <w:r>
        <w:rPr>
          <w:rFonts w:hint="default" w:ascii="Times New Roman" w:hAnsi="Times New Roman" w:cs="Times New Roman"/>
          <w:szCs w:val="22"/>
        </w:rPr>
        <w:t>对有防雨要求的设备应采取相应的防雨措施</w:t>
      </w:r>
      <w:r>
        <w:rPr>
          <w:rFonts w:hint="default" w:ascii="Times New Roman" w:hAnsi="Times New Roman" w:cs="Times New Roman"/>
          <w:szCs w:val="22"/>
          <w:lang w:eastAsia="zh-CN"/>
        </w:rPr>
        <w:t>；</w:t>
      </w:r>
    </w:p>
    <w:p w14:paraId="122181D5">
      <w:pPr>
        <w:numPr>
          <w:ilvl w:val="0"/>
          <w:numId w:val="38"/>
        </w:numPr>
        <w:ind w:left="14" w:firstLine="406"/>
        <w:jc w:val="left"/>
        <w:rPr>
          <w:rFonts w:hint="default" w:ascii="Times New Roman" w:hAnsi="Times New Roman" w:cs="Times New Roman"/>
          <w:szCs w:val="22"/>
        </w:rPr>
      </w:pPr>
      <w:r>
        <w:rPr>
          <w:rFonts w:hint="default" w:ascii="Times New Roman" w:hAnsi="Times New Roman" w:cs="Times New Roman"/>
          <w:szCs w:val="22"/>
        </w:rPr>
        <w:t>对于有防潮要求的附件、备件、专用工器具及设备专用材料应置于干燥的室内</w:t>
      </w:r>
      <w:r>
        <w:rPr>
          <w:rFonts w:hint="default" w:ascii="Times New Roman" w:hAnsi="Times New Roman" w:cs="Times New Roman"/>
          <w:szCs w:val="22"/>
          <w:lang w:eastAsia="zh-CN"/>
        </w:rPr>
        <w:t>，</w:t>
      </w:r>
      <w:r>
        <w:rPr>
          <w:rFonts w:hint="default" w:ascii="Times New Roman" w:hAnsi="Times New Roman" w:cs="Times New Roman"/>
          <w:szCs w:val="22"/>
        </w:rPr>
        <w:t>特别是组装用“〇”形圈、吸附剂等</w:t>
      </w:r>
      <w:r>
        <w:rPr>
          <w:rFonts w:hint="default" w:ascii="Times New Roman" w:hAnsi="Times New Roman" w:cs="Times New Roman"/>
          <w:szCs w:val="22"/>
          <w:lang w:eastAsia="zh-CN"/>
        </w:rPr>
        <w:t>；</w:t>
      </w:r>
    </w:p>
    <w:p w14:paraId="5367577D">
      <w:pPr>
        <w:numPr>
          <w:ilvl w:val="0"/>
          <w:numId w:val="38"/>
        </w:numPr>
        <w:ind w:left="14" w:firstLine="406"/>
        <w:jc w:val="left"/>
        <w:rPr>
          <w:rFonts w:hint="default" w:ascii="Times New Roman" w:hAnsi="Times New Roman" w:cs="Times New Roman"/>
          <w:szCs w:val="22"/>
        </w:rPr>
      </w:pPr>
      <w:r>
        <w:rPr>
          <w:rFonts w:hint="default" w:ascii="Times New Roman" w:hAnsi="Times New Roman" w:cs="Times New Roman"/>
          <w:szCs w:val="22"/>
        </w:rPr>
        <w:t>套管应水平放置</w:t>
      </w:r>
      <w:r>
        <w:rPr>
          <w:rFonts w:hint="default" w:ascii="Times New Roman" w:hAnsi="Times New Roman" w:cs="Times New Roman"/>
          <w:szCs w:val="22"/>
          <w:lang w:eastAsia="zh-CN"/>
        </w:rPr>
        <w:t>；</w:t>
      </w:r>
    </w:p>
    <w:p w14:paraId="4DEA70CF">
      <w:pPr>
        <w:numPr>
          <w:ilvl w:val="0"/>
          <w:numId w:val="38"/>
        </w:numPr>
        <w:ind w:left="14" w:firstLine="406"/>
        <w:jc w:val="left"/>
        <w:rPr>
          <w:rFonts w:hint="default" w:ascii="Times New Roman" w:hAnsi="Times New Roman" w:cs="Times New Roman"/>
          <w:color w:val="7030A0"/>
          <w:szCs w:val="22"/>
        </w:rPr>
      </w:pPr>
      <w:r>
        <w:rPr>
          <w:rFonts w:hint="default" w:ascii="Times New Roman" w:hAnsi="Times New Roman" w:cs="Times New Roman"/>
          <w:szCs w:val="22"/>
          <w:lang w:val="en-US" w:eastAsia="zh-CN"/>
        </w:rPr>
        <w:t>设备</w:t>
      </w:r>
      <w:r>
        <w:rPr>
          <w:rFonts w:hint="default" w:ascii="Times New Roman" w:hAnsi="Times New Roman" w:cs="Times New Roman"/>
          <w:szCs w:val="22"/>
        </w:rPr>
        <w:t>储存在户外时</w:t>
      </w:r>
      <w:r>
        <w:rPr>
          <w:rFonts w:hint="default" w:ascii="Times New Roman" w:hAnsi="Times New Roman" w:cs="Times New Roman"/>
          <w:szCs w:val="22"/>
          <w:lang w:eastAsia="zh-CN"/>
        </w:rPr>
        <w:t>，</w:t>
      </w:r>
      <w:r>
        <w:rPr>
          <w:rFonts w:hint="default" w:ascii="Times New Roman" w:hAnsi="Times New Roman" w:cs="Times New Roman"/>
          <w:szCs w:val="22"/>
        </w:rPr>
        <w:t>应在底架下均匀铺垫块</w:t>
      </w:r>
      <w:r>
        <w:rPr>
          <w:rFonts w:hint="default" w:ascii="Times New Roman" w:hAnsi="Times New Roman" w:cs="Times New Roman"/>
          <w:szCs w:val="22"/>
          <w:lang w:eastAsia="zh-CN"/>
        </w:rPr>
        <w:t>，</w:t>
      </w:r>
      <w:r>
        <w:rPr>
          <w:rFonts w:hint="default" w:ascii="Times New Roman" w:hAnsi="Times New Roman" w:cs="Times New Roman"/>
          <w:szCs w:val="22"/>
          <w:lang w:val="en-US" w:eastAsia="zh-CN"/>
        </w:rPr>
        <w:t>设备</w:t>
      </w:r>
      <w:r>
        <w:rPr>
          <w:rFonts w:hint="default" w:ascii="Times New Roman" w:hAnsi="Times New Roman" w:cs="Times New Roman"/>
          <w:szCs w:val="22"/>
        </w:rPr>
        <w:t>离地不低于150～200mm</w:t>
      </w:r>
      <w:r>
        <w:rPr>
          <w:rFonts w:hint="default" w:ascii="Times New Roman" w:hAnsi="Times New Roman" w:cs="Times New Roman"/>
          <w:szCs w:val="22"/>
          <w:lang w:eastAsia="zh-CN"/>
        </w:rPr>
        <w:t>；</w:t>
      </w:r>
      <w:r>
        <w:rPr>
          <w:rFonts w:hint="default" w:ascii="Times New Roman" w:hAnsi="Times New Roman" w:cs="Times New Roman"/>
          <w:szCs w:val="22"/>
        </w:rPr>
        <w:t>使用防雨布时，不</w:t>
      </w:r>
      <w:r>
        <w:rPr>
          <w:rFonts w:hint="default" w:ascii="Times New Roman" w:hAnsi="Times New Roman" w:cs="Times New Roman"/>
          <w:szCs w:val="22"/>
          <w:lang w:val="en-US" w:eastAsia="zh-CN"/>
        </w:rPr>
        <w:t>应</w:t>
      </w:r>
      <w:r>
        <w:rPr>
          <w:rFonts w:hint="default" w:ascii="Times New Roman" w:hAnsi="Times New Roman" w:cs="Times New Roman"/>
          <w:szCs w:val="22"/>
        </w:rPr>
        <w:t>直接接触设备，以防止凝露</w:t>
      </w:r>
      <w:r>
        <w:rPr>
          <w:rFonts w:hint="default" w:ascii="Times New Roman" w:hAnsi="Times New Roman" w:cs="Times New Roman"/>
          <w:szCs w:val="22"/>
          <w:lang w:eastAsia="zh-CN"/>
        </w:rPr>
        <w:t>；</w:t>
      </w:r>
    </w:p>
    <w:p w14:paraId="6E99EF4E">
      <w:pPr>
        <w:numPr>
          <w:ilvl w:val="0"/>
          <w:numId w:val="38"/>
        </w:numPr>
        <w:ind w:left="14" w:firstLine="406"/>
        <w:jc w:val="left"/>
        <w:rPr>
          <w:rFonts w:hint="default" w:ascii="Times New Roman" w:hAnsi="Times New Roman" w:cs="Times New Roman"/>
          <w:color w:val="000000"/>
        </w:rPr>
      </w:pPr>
      <w:r>
        <w:rPr>
          <w:rFonts w:hint="default" w:ascii="Times New Roman" w:hAnsi="Times New Roman" w:cs="Times New Roman"/>
          <w:szCs w:val="22"/>
        </w:rPr>
        <w:t>充有干燥气体的运输单元</w:t>
      </w:r>
      <w:r>
        <w:rPr>
          <w:rFonts w:hint="default" w:ascii="Times New Roman" w:hAnsi="Times New Roman" w:cs="Times New Roman"/>
          <w:szCs w:val="22"/>
          <w:lang w:eastAsia="zh-CN"/>
        </w:rPr>
        <w:t>，</w:t>
      </w:r>
      <w:r>
        <w:rPr>
          <w:rFonts w:hint="default" w:ascii="Times New Roman" w:hAnsi="Times New Roman" w:cs="Times New Roman"/>
          <w:szCs w:val="22"/>
        </w:rPr>
        <w:t>应按产品技术文件要求定期检查压力值</w:t>
      </w:r>
      <w:r>
        <w:rPr>
          <w:rFonts w:hint="default" w:ascii="Times New Roman" w:hAnsi="Times New Roman" w:cs="Times New Roman"/>
          <w:szCs w:val="22"/>
          <w:lang w:eastAsia="zh-CN"/>
        </w:rPr>
        <w:t>，</w:t>
      </w:r>
      <w:r>
        <w:rPr>
          <w:rFonts w:hint="default" w:ascii="Times New Roman" w:hAnsi="Times New Roman" w:cs="Times New Roman"/>
          <w:szCs w:val="22"/>
        </w:rPr>
        <w:t>并做好记录</w:t>
      </w:r>
      <w:r>
        <w:rPr>
          <w:rFonts w:hint="default" w:ascii="Times New Roman" w:hAnsi="Times New Roman" w:cs="Times New Roman"/>
          <w:szCs w:val="22"/>
          <w:lang w:eastAsia="zh-CN"/>
        </w:rPr>
        <w:t>，</w:t>
      </w:r>
      <w:r>
        <w:rPr>
          <w:rFonts w:hint="default" w:ascii="Times New Roman" w:hAnsi="Times New Roman" w:cs="Times New Roman"/>
          <w:szCs w:val="22"/>
        </w:rPr>
        <w:t>有异常情况时</w:t>
      </w:r>
      <w:r>
        <w:rPr>
          <w:rFonts w:hint="default" w:ascii="Times New Roman" w:hAnsi="Times New Roman" w:cs="Times New Roman"/>
          <w:szCs w:val="22"/>
          <w:lang w:eastAsia="zh-CN"/>
        </w:rPr>
        <w:t>，</w:t>
      </w:r>
      <w:r>
        <w:rPr>
          <w:rFonts w:hint="default" w:ascii="Times New Roman" w:hAnsi="Times New Roman" w:cs="Times New Roman"/>
          <w:szCs w:val="22"/>
        </w:rPr>
        <w:t>应按产品技术文件要求及时采取措施。</w:t>
      </w:r>
    </w:p>
    <w:bookmarkEnd w:id="43"/>
    <w:p w14:paraId="79DF0473">
      <w:pPr>
        <w:numPr>
          <w:ilvl w:val="-1"/>
          <w:numId w:val="0"/>
        </w:numPr>
        <w:tabs>
          <w:tab w:val="left" w:pos="0"/>
        </w:tabs>
        <w:spacing w:line="240" w:lineRule="auto"/>
        <w:ind w:left="0" w:leftChars="0" w:firstLine="0"/>
        <w:jc w:val="left"/>
        <w:rPr>
          <w:rFonts w:hint="default" w:ascii="Times New Roman" w:hAnsi="Times New Roman" w:cs="Times New Roman"/>
          <w:kern w:val="0"/>
          <w:szCs w:val="20"/>
          <w:lang w:val="en-US" w:eastAsia="zh-CN"/>
        </w:rPr>
      </w:pPr>
      <w:r>
        <w:rPr>
          <w:rFonts w:hint="default" w:ascii="Times New Roman" w:hAnsi="Times New Roman" w:cs="Times New Roman"/>
          <w:kern w:val="0"/>
          <w:szCs w:val="20"/>
          <w:lang w:val="en-US" w:eastAsia="zh-CN"/>
        </w:rPr>
        <w:t xml:space="preserve"> </w:t>
      </w:r>
    </w:p>
    <w:p w14:paraId="7D0DEBEF">
      <w:pPr>
        <w:pStyle w:val="110"/>
        <w:spacing w:before="240" w:after="240" w:line="360" w:lineRule="auto"/>
        <w:rPr>
          <w:rFonts w:hint="default" w:ascii="Times New Roman" w:hAnsi="Times New Roman" w:cs="Times New Roman"/>
          <w:highlight w:val="none"/>
          <w:lang w:val="en-US" w:eastAsia="zh-CN"/>
        </w:rPr>
      </w:pPr>
      <w:bookmarkStart w:id="44" w:name="_Toc8518"/>
      <w:bookmarkStart w:id="45" w:name="_Toc23061"/>
      <w:r>
        <w:rPr>
          <w:rFonts w:hint="default" w:ascii="Times New Roman" w:hAnsi="Times New Roman" w:cs="Times New Roman"/>
          <w:color w:val="000000"/>
          <w:highlight w:val="none"/>
          <w:lang w:val="en-US" w:eastAsia="zh-CN"/>
        </w:rPr>
        <w:t>设备安装</w:t>
      </w:r>
      <w:bookmarkEnd w:id="44"/>
    </w:p>
    <w:p w14:paraId="0D230C27">
      <w:pPr>
        <w:pStyle w:val="246"/>
        <w:numPr>
          <w:ilvl w:val="1"/>
          <w:numId w:val="0"/>
        </w:numPr>
        <w:tabs>
          <w:tab w:val="left" w:pos="0"/>
        </w:tabs>
        <w:rPr>
          <w:rFonts w:hint="default" w:ascii="黑体" w:hAnsi="黑体" w:eastAsia="黑体" w:cs="黑体"/>
          <w:b w:val="0"/>
          <w:bCs w:val="0"/>
          <w:lang w:val="en-US" w:eastAsia="zh-CN"/>
        </w:rPr>
      </w:pPr>
      <w:r>
        <w:rPr>
          <w:rFonts w:hint="default" w:ascii="黑体" w:hAnsi="黑体" w:eastAsia="黑体" w:cs="黑体"/>
          <w:b w:val="0"/>
          <w:bCs w:val="0"/>
          <w:lang w:val="en-US" w:eastAsia="zh-CN"/>
        </w:rPr>
        <w:t>7.1 安装前基本条件</w:t>
      </w:r>
    </w:p>
    <w:p w14:paraId="4ECCDB6C">
      <w:pPr>
        <w:jc w:val="left"/>
        <w:rPr>
          <w:rFonts w:hint="default" w:ascii="Times New Roman" w:hAnsi="Times New Roman" w:cs="Times New Roman"/>
          <w:szCs w:val="22"/>
          <w:highlight w:val="none"/>
          <w:lang w:val="en-US" w:eastAsia="zh-CN"/>
        </w:rPr>
      </w:pPr>
      <w:r>
        <w:rPr>
          <w:rFonts w:hint="default" w:ascii="Times New Roman" w:hAnsi="Times New Roman" w:cs="Times New Roman"/>
          <w:szCs w:val="22"/>
          <w:highlight w:val="none"/>
          <w:lang w:val="en-US" w:eastAsia="zh-CN"/>
        </w:rPr>
        <w:t>7.1.1 变压器、GIS</w:t>
      </w:r>
      <w:r>
        <w:rPr>
          <w:rFonts w:hint="default" w:ascii="Times New Roman" w:hAnsi="Times New Roman" w:cs="Times New Roman"/>
          <w:szCs w:val="22"/>
          <w:lang w:val="en-US" w:eastAsia="zh-CN"/>
        </w:rPr>
        <w:t>安装</w:t>
      </w:r>
      <w:r>
        <w:rPr>
          <w:rFonts w:hint="default" w:ascii="Times New Roman" w:hAnsi="Times New Roman" w:cs="Times New Roman"/>
          <w:szCs w:val="22"/>
          <w:highlight w:val="none"/>
          <w:lang w:val="en-US" w:eastAsia="zh-CN"/>
        </w:rPr>
        <w:t>相关的建筑工程质量，应符合GB/T 50300的有关规定，并应具备下列条件：</w:t>
      </w:r>
    </w:p>
    <w:p w14:paraId="6C062E4D">
      <w:pPr>
        <w:numPr>
          <w:ilvl w:val="0"/>
          <w:numId w:val="39"/>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屋顶、楼板应已施工完毕，不应渗漏</w:t>
      </w:r>
      <w:r>
        <w:rPr>
          <w:rFonts w:hint="eastAsia" w:ascii="Times New Roman" w:hAnsi="Times New Roman" w:cs="Times New Roman"/>
          <w:szCs w:val="22"/>
          <w:lang w:val="en-US" w:eastAsia="zh-CN"/>
        </w:rPr>
        <w:t>；</w:t>
      </w:r>
    </w:p>
    <w:p w14:paraId="212C0CA9">
      <w:pPr>
        <w:numPr>
          <w:ilvl w:val="0"/>
          <w:numId w:val="39"/>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配电室的门、窗应安装完毕，室内地面基层应施工完毕，并应在墙上标出地面标高；设备底座及母线构架安装后其周围地面应抹光，室内接地应按照设计施工完毕；</w:t>
      </w:r>
    </w:p>
    <w:p w14:paraId="5FBAFEF7">
      <w:pPr>
        <w:numPr>
          <w:ilvl w:val="0"/>
          <w:numId w:val="39"/>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预埋件及预留孔应符合设计要求，预埋件应牢固</w:t>
      </w:r>
      <w:r>
        <w:rPr>
          <w:rFonts w:hint="eastAsia" w:ascii="Times New Roman" w:hAnsi="Times New Roman" w:cs="Times New Roman"/>
          <w:szCs w:val="22"/>
          <w:lang w:val="en-US" w:eastAsia="zh-CN"/>
        </w:rPr>
        <w:t>；</w:t>
      </w:r>
    </w:p>
    <w:p w14:paraId="754EEC2D">
      <w:pPr>
        <w:numPr>
          <w:ilvl w:val="0"/>
          <w:numId w:val="39"/>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进行室内装饰时有可能损坏已安装设备或设备安装后不能再进行装饰的工作应全部结束</w:t>
      </w:r>
      <w:r>
        <w:rPr>
          <w:rFonts w:hint="eastAsia" w:ascii="Times New Roman" w:hAnsi="Times New Roman" w:cs="Times New Roman"/>
          <w:szCs w:val="22"/>
          <w:lang w:val="en-US" w:eastAsia="zh-CN"/>
        </w:rPr>
        <w:t>；</w:t>
      </w:r>
    </w:p>
    <w:p w14:paraId="7AF28C31">
      <w:pPr>
        <w:numPr>
          <w:ilvl w:val="0"/>
          <w:numId w:val="39"/>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混凝土基础及构支架应达到允许安装的强度和刚度，设备支架焊接质量应符合GB  50236的有关规定</w:t>
      </w:r>
      <w:r>
        <w:rPr>
          <w:rFonts w:hint="eastAsia" w:ascii="Times New Roman" w:hAnsi="Times New Roman" w:cs="Times New Roman"/>
          <w:szCs w:val="22"/>
          <w:lang w:val="en-US" w:eastAsia="zh-CN"/>
        </w:rPr>
        <w:t>；</w:t>
      </w:r>
    </w:p>
    <w:p w14:paraId="61588A76">
      <w:pPr>
        <w:numPr>
          <w:ilvl w:val="0"/>
          <w:numId w:val="39"/>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施工设施及杂物应清除干净，并应有足够的安装场地，施工道路应通畅</w:t>
      </w:r>
      <w:r>
        <w:rPr>
          <w:rFonts w:hint="eastAsia" w:ascii="Times New Roman" w:hAnsi="Times New Roman" w:cs="Times New Roman"/>
          <w:szCs w:val="22"/>
          <w:lang w:val="en-US" w:eastAsia="zh-CN"/>
        </w:rPr>
        <w:t>；</w:t>
      </w:r>
    </w:p>
    <w:p w14:paraId="098DCE49">
      <w:pPr>
        <w:numPr>
          <w:ilvl w:val="0"/>
          <w:numId w:val="39"/>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保护性围栏、网门、栏杆等安全设施应齐全，接地应符合GB 50169的规定</w:t>
      </w:r>
      <w:r>
        <w:rPr>
          <w:rFonts w:hint="eastAsia" w:ascii="Times New Roman" w:hAnsi="Times New Roman" w:cs="Times New Roman"/>
          <w:szCs w:val="22"/>
          <w:lang w:val="en-US" w:eastAsia="zh-CN"/>
        </w:rPr>
        <w:t>；</w:t>
      </w:r>
    </w:p>
    <w:p w14:paraId="4945AA8C">
      <w:pPr>
        <w:numPr>
          <w:ilvl w:val="0"/>
          <w:numId w:val="39"/>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highlight w:val="none"/>
          <w:lang w:val="en-US" w:eastAsia="zh-CN"/>
        </w:rPr>
        <w:t>变压器的</w:t>
      </w:r>
      <w:r>
        <w:rPr>
          <w:rFonts w:hint="default" w:ascii="Times New Roman" w:hAnsi="Times New Roman" w:eastAsia="宋体" w:cs="Times New Roman"/>
          <w:szCs w:val="22"/>
          <w:highlight w:val="none"/>
          <w:lang w:val="en-US" w:eastAsia="zh-CN"/>
        </w:rPr>
        <w:t>蓄油</w:t>
      </w:r>
      <w:r>
        <w:rPr>
          <w:rFonts w:hint="default" w:ascii="Times New Roman" w:hAnsi="Times New Roman" w:cs="Times New Roman"/>
          <w:szCs w:val="22"/>
          <w:lang w:val="en-US" w:eastAsia="zh-CN"/>
        </w:rPr>
        <w:t>池应清理干净，排油管路应通畅，卵石填充应完毕</w:t>
      </w:r>
      <w:r>
        <w:rPr>
          <w:rFonts w:hint="eastAsia" w:ascii="Times New Roman" w:hAnsi="Times New Roman" w:cs="Times New Roman"/>
          <w:szCs w:val="22"/>
          <w:lang w:val="en-US" w:eastAsia="zh-CN"/>
        </w:rPr>
        <w:t>；</w:t>
      </w:r>
    </w:p>
    <w:p w14:paraId="3FC85570">
      <w:pPr>
        <w:numPr>
          <w:ilvl w:val="0"/>
          <w:numId w:val="39"/>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高层构架的走道板、栏杆、平台及梯子等应齐全、牢固</w:t>
      </w:r>
      <w:r>
        <w:rPr>
          <w:rFonts w:hint="eastAsia" w:ascii="Times New Roman" w:hAnsi="Times New Roman" w:cs="Times New Roman"/>
          <w:szCs w:val="22"/>
          <w:lang w:val="en-US" w:eastAsia="zh-CN"/>
        </w:rPr>
        <w:t>；</w:t>
      </w:r>
    </w:p>
    <w:p w14:paraId="594A08FF">
      <w:pPr>
        <w:numPr>
          <w:ilvl w:val="0"/>
          <w:numId w:val="39"/>
        </w:numPr>
        <w:ind w:left="14" w:firstLine="406"/>
        <w:jc w:val="left"/>
        <w:rPr>
          <w:rFonts w:hint="default" w:ascii="Times New Roman" w:hAnsi="Times New Roman" w:cs="Times New Roman"/>
          <w:szCs w:val="22"/>
          <w:highlight w:val="none"/>
          <w:lang w:val="en-US" w:eastAsia="zh-CN"/>
        </w:rPr>
      </w:pPr>
      <w:r>
        <w:rPr>
          <w:rFonts w:hint="default" w:ascii="Times New Roman" w:hAnsi="Times New Roman" w:cs="Times New Roman"/>
          <w:szCs w:val="22"/>
          <w:lang w:val="en-US" w:eastAsia="zh-CN"/>
        </w:rPr>
        <w:t>混凝土基础及构</w:t>
      </w:r>
      <w:r>
        <w:rPr>
          <w:rFonts w:hint="default" w:ascii="Times New Roman" w:hAnsi="Times New Roman" w:cs="Times New Roman"/>
          <w:szCs w:val="22"/>
          <w:highlight w:val="none"/>
          <w:lang w:val="en-US" w:eastAsia="zh-CN"/>
        </w:rPr>
        <w:t>支架等建筑工程应经转序验收合格。</w:t>
      </w:r>
    </w:p>
    <w:p w14:paraId="434BE90C">
      <w:pPr>
        <w:jc w:val="left"/>
        <w:rPr>
          <w:rFonts w:hint="default" w:ascii="Times New Roman" w:hAnsi="Times New Roman" w:cs="Times New Roman"/>
          <w:szCs w:val="22"/>
          <w:highlight w:val="none"/>
          <w:lang w:val="en-US" w:eastAsia="zh-CN"/>
        </w:rPr>
      </w:pPr>
      <w:r>
        <w:rPr>
          <w:rFonts w:hint="default" w:ascii="Times New Roman" w:hAnsi="Times New Roman" w:cs="Times New Roman"/>
          <w:szCs w:val="22"/>
          <w:highlight w:val="none"/>
          <w:lang w:val="en-US" w:eastAsia="zh-CN"/>
        </w:rPr>
        <w:t>7.1.2 设备安装前，应具备以下条件；</w:t>
      </w:r>
    </w:p>
    <w:p w14:paraId="6C9F0A29">
      <w:pPr>
        <w:numPr>
          <w:ilvl w:val="0"/>
          <w:numId w:val="40"/>
        </w:numPr>
        <w:ind w:left="14" w:firstLine="406"/>
        <w:jc w:val="left"/>
        <w:rPr>
          <w:rFonts w:hint="default" w:ascii="Times New Roman" w:hAnsi="Times New Roman" w:cs="Times New Roman"/>
          <w:szCs w:val="22"/>
          <w:lang w:val="en-US" w:eastAsia="zh-CN"/>
        </w:rPr>
      </w:pPr>
      <w:r>
        <w:rPr>
          <w:rFonts w:hint="default" w:ascii="Times New Roman" w:hAnsi="Times New Roman" w:eastAsia="宋体" w:cs="Times New Roman"/>
          <w:color w:val="000000"/>
          <w:kern w:val="0"/>
          <w:sz w:val="21"/>
          <w:szCs w:val="21"/>
          <w:highlight w:val="none"/>
          <w:lang w:val="en-US" w:eastAsia="zh-CN" w:bidi="ar"/>
        </w:rPr>
        <w:t>施工方</w:t>
      </w:r>
      <w:r>
        <w:rPr>
          <w:rFonts w:hint="default" w:ascii="Times New Roman" w:hAnsi="Times New Roman" w:cs="Times New Roman"/>
          <w:szCs w:val="22"/>
          <w:lang w:val="en-US" w:eastAsia="zh-CN"/>
        </w:rPr>
        <w:t>案应经审批，并向施工人员进行安全技术交底</w:t>
      </w:r>
      <w:r>
        <w:rPr>
          <w:rFonts w:hint="eastAsia" w:ascii="Times New Roman" w:hAnsi="Times New Roman" w:cs="Times New Roman"/>
          <w:szCs w:val="22"/>
          <w:lang w:val="en-US" w:eastAsia="zh-CN"/>
        </w:rPr>
        <w:t>；</w:t>
      </w:r>
    </w:p>
    <w:p w14:paraId="086E47AE">
      <w:pPr>
        <w:numPr>
          <w:ilvl w:val="0"/>
          <w:numId w:val="40"/>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真空机组、滤油装置、起重机械等施工机械应已进场就位，状态良好、证件齐全。安全工器具、测量仪器等检验合格、标识齐全、在有效期内</w:t>
      </w:r>
      <w:r>
        <w:rPr>
          <w:rFonts w:hint="eastAsia" w:ascii="Times New Roman" w:hAnsi="Times New Roman" w:cs="Times New Roman"/>
          <w:szCs w:val="22"/>
          <w:lang w:val="en-US" w:eastAsia="zh-CN"/>
        </w:rPr>
        <w:t>；</w:t>
      </w:r>
    </w:p>
    <w:p w14:paraId="18C11E9D">
      <w:pPr>
        <w:numPr>
          <w:ilvl w:val="0"/>
          <w:numId w:val="40"/>
        </w:numPr>
        <w:ind w:left="14" w:firstLine="406"/>
        <w:jc w:val="left"/>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施工人员、厂家现场技术人员应经安全技术培训合格，满足施工作业和厂家技术指导需求，特种作业人员应持证上岗</w:t>
      </w:r>
      <w:r>
        <w:rPr>
          <w:rFonts w:hint="eastAsia" w:ascii="Times New Roman" w:hAnsi="Times New Roman" w:cs="Times New Roman"/>
          <w:szCs w:val="22"/>
          <w:lang w:val="en-US" w:eastAsia="zh-CN"/>
        </w:rPr>
        <w:t>；</w:t>
      </w:r>
      <w:r>
        <w:rPr>
          <w:rFonts w:hint="default" w:ascii="Times New Roman" w:hAnsi="Times New Roman" w:cs="Times New Roman"/>
          <w:szCs w:val="22"/>
          <w:lang w:val="en-US" w:eastAsia="zh-CN"/>
        </w:rPr>
        <w:tab/>
      </w:r>
      <w:r>
        <w:rPr>
          <w:rFonts w:hint="default" w:ascii="Times New Roman" w:hAnsi="Times New Roman" w:cs="Times New Roman"/>
          <w:szCs w:val="22"/>
          <w:lang w:val="en-US" w:eastAsia="zh-CN"/>
        </w:rPr>
        <w:tab/>
      </w:r>
      <w:r>
        <w:rPr>
          <w:rFonts w:hint="default" w:ascii="Times New Roman" w:hAnsi="Times New Roman" w:cs="Times New Roman"/>
          <w:szCs w:val="22"/>
          <w:lang w:val="en-US" w:eastAsia="zh-CN"/>
        </w:rPr>
        <w:tab/>
      </w:r>
    </w:p>
    <w:p w14:paraId="1C70E18A">
      <w:pPr>
        <w:numPr>
          <w:ilvl w:val="0"/>
          <w:numId w:val="40"/>
        </w:numPr>
        <w:ind w:left="14" w:firstLine="406"/>
        <w:jc w:val="left"/>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cs="Times New Roman"/>
          <w:szCs w:val="22"/>
          <w:lang w:val="en-US" w:eastAsia="zh-CN"/>
        </w:rPr>
        <w:t>现场安装环境应满足</w:t>
      </w:r>
      <w:r>
        <w:rPr>
          <w:rFonts w:hint="default" w:ascii="Times New Roman" w:hAnsi="Times New Roman" w:eastAsia="宋体" w:cs="Times New Roman"/>
          <w:color w:val="000000"/>
          <w:kern w:val="0"/>
          <w:sz w:val="21"/>
          <w:szCs w:val="21"/>
          <w:highlight w:val="none"/>
          <w:lang w:val="en-US" w:eastAsia="zh-CN" w:bidi="ar"/>
        </w:rPr>
        <w:t>作业指导书</w:t>
      </w:r>
      <w:r>
        <w:rPr>
          <w:rFonts w:hint="default" w:ascii="Times New Roman" w:hAnsi="Times New Roman" w:cs="Times New Roman"/>
          <w:color w:val="000000"/>
          <w:kern w:val="0"/>
          <w:sz w:val="21"/>
          <w:szCs w:val="21"/>
          <w:highlight w:val="none"/>
          <w:lang w:val="en-US" w:eastAsia="zh-CN" w:bidi="ar"/>
        </w:rPr>
        <w:t>安装工艺要求。</w:t>
      </w:r>
    </w:p>
    <w:p w14:paraId="46B67471">
      <w:pPr>
        <w:pStyle w:val="246"/>
        <w:numPr>
          <w:ilvl w:val="1"/>
          <w:numId w:val="0"/>
        </w:numPr>
        <w:tabs>
          <w:tab w:val="left" w:pos="0"/>
        </w:tabs>
        <w:rPr>
          <w:rFonts w:hint="default" w:ascii="黑体" w:hAnsi="黑体" w:eastAsia="黑体" w:cs="黑体"/>
          <w:b w:val="0"/>
          <w:bCs w:val="0"/>
        </w:rPr>
      </w:pPr>
      <w:r>
        <w:rPr>
          <w:rFonts w:hint="default" w:ascii="黑体" w:hAnsi="黑体" w:eastAsia="黑体" w:cs="黑体"/>
          <w:b w:val="0"/>
          <w:bCs w:val="0"/>
          <w:lang w:val="en-US" w:eastAsia="zh-CN"/>
        </w:rPr>
        <w:t>7.2  电力</w:t>
      </w:r>
      <w:r>
        <w:rPr>
          <w:rFonts w:hint="default" w:ascii="黑体" w:hAnsi="黑体" w:eastAsia="黑体" w:cs="黑体"/>
          <w:b w:val="0"/>
          <w:bCs w:val="0"/>
        </w:rPr>
        <w:t>变压器</w:t>
      </w:r>
    </w:p>
    <w:p w14:paraId="52292DE3">
      <w:pPr>
        <w:jc w:val="left"/>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7.</w:t>
      </w:r>
      <w:r>
        <w:rPr>
          <w:rFonts w:hint="default" w:ascii="Times New Roman" w:hAnsi="Times New Roman"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val="en-US" w:eastAsia="zh-CN" w:bidi="ar"/>
        </w:rPr>
        <w:t>.1 就位</w:t>
      </w:r>
    </w:p>
    <w:p w14:paraId="6FEBF82B">
      <w:pPr>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7.</w:t>
      </w:r>
      <w:r>
        <w:rPr>
          <w:rFonts w:hint="default" w:ascii="Times New Roman" w:hAnsi="Times New Roman"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val="en-US" w:eastAsia="zh-CN" w:bidi="ar"/>
        </w:rPr>
        <w:t>.1.1</w:t>
      </w:r>
      <w:r>
        <w:rPr>
          <w:rFonts w:hint="default" w:ascii="Times New Roman" w:hAnsi="Times New Roman" w:cs="Times New Roman"/>
          <w:color w:val="000000"/>
          <w:kern w:val="0"/>
          <w:sz w:val="21"/>
          <w:szCs w:val="21"/>
          <w:lang w:val="en-US" w:eastAsia="zh-CN" w:bidi="ar"/>
        </w:rPr>
        <w:t xml:space="preserve"> </w:t>
      </w:r>
      <w:r>
        <w:rPr>
          <w:rFonts w:hint="default" w:ascii="Times New Roman" w:hAnsi="Times New Roman" w:cs="Times New Roman"/>
          <w:szCs w:val="22"/>
          <w:lang w:val="en-US" w:eastAsia="zh-CN"/>
        </w:rPr>
        <w:t>本体</w:t>
      </w:r>
      <w:r>
        <w:rPr>
          <w:rFonts w:hint="default" w:ascii="Times New Roman" w:hAnsi="Times New Roman" w:eastAsia="宋体" w:cs="Times New Roman"/>
          <w:color w:val="000000"/>
          <w:kern w:val="0"/>
          <w:sz w:val="21"/>
          <w:szCs w:val="21"/>
          <w:lang w:val="en-US" w:eastAsia="zh-CN" w:bidi="ar"/>
        </w:rPr>
        <w:t>就位应符合下列规定：</w:t>
      </w:r>
    </w:p>
    <w:p w14:paraId="7A60D909">
      <w:pPr>
        <w:keepNext w:val="0"/>
        <w:keepLines w:val="0"/>
        <w:pageBreakBefore w:val="0"/>
        <w:widowControl/>
        <w:numPr>
          <w:ilvl w:val="0"/>
          <w:numId w:val="41"/>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装有气体继电器的变压器，除制造厂规定不需要设置安装坡度者外，应使其顶盖沿气体继电器气流方向有1% ～1.5%的升高坡度。当与封闭母线连接时，其套管中心线应与封闭母线中心线的尺寸相符</w:t>
      </w:r>
      <w:r>
        <w:rPr>
          <w:rFonts w:hint="eastAsia" w:ascii="Times New Roman" w:hAnsi="Times New Roman" w:cs="Times New Roman"/>
          <w:color w:val="000000"/>
          <w:kern w:val="0"/>
          <w:sz w:val="21"/>
          <w:szCs w:val="21"/>
          <w:lang w:val="en-US" w:eastAsia="zh-CN" w:bidi="ar"/>
        </w:rPr>
        <w:t>；</w:t>
      </w:r>
    </w:p>
    <w:p w14:paraId="4EFDA8CE">
      <w:pPr>
        <w:keepNext w:val="0"/>
        <w:keepLines w:val="0"/>
        <w:pageBreakBefore w:val="0"/>
        <w:widowControl/>
        <w:numPr>
          <w:ilvl w:val="0"/>
          <w:numId w:val="41"/>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变压器基础的轨道应水平，轨距与轮距应相符；装有滚轮的变压器，其滚轮应能灵活转动，设备就位后，应将滚轮用可拆卸的制动装置加以固定</w:t>
      </w:r>
      <w:r>
        <w:rPr>
          <w:rFonts w:hint="eastAsia" w:ascii="Times New Roman" w:hAnsi="Times New Roman" w:cs="Times New Roman"/>
          <w:color w:val="000000"/>
          <w:kern w:val="0"/>
          <w:sz w:val="21"/>
          <w:szCs w:val="21"/>
          <w:lang w:val="en-US" w:eastAsia="zh-CN" w:bidi="ar"/>
        </w:rPr>
        <w:t>；</w:t>
      </w:r>
    </w:p>
    <w:p w14:paraId="6CEC6271">
      <w:pPr>
        <w:keepNext w:val="0"/>
        <w:keepLines w:val="0"/>
        <w:pageBreakBefore w:val="0"/>
        <w:widowControl/>
        <w:numPr>
          <w:ilvl w:val="0"/>
          <w:numId w:val="41"/>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变压器本体直接就位于基础上时，应符合设计、制造厂的要求。</w:t>
      </w:r>
    </w:p>
    <w:p w14:paraId="4ABA6929">
      <w:pPr>
        <w:jc w:val="left"/>
        <w:rPr>
          <w:rFonts w:hint="default" w:ascii="Times New Roman" w:hAnsi="Times New Roman" w:cs="Times New Roman"/>
          <w:color w:val="2110C1"/>
          <w:lang w:val="en-US" w:eastAsia="zh-CN"/>
        </w:rPr>
      </w:pPr>
      <w:r>
        <w:rPr>
          <w:rFonts w:hint="default" w:ascii="Times New Roman" w:hAnsi="Times New Roman" w:eastAsia="宋体" w:cs="Times New Roman"/>
          <w:color w:val="000000"/>
          <w:kern w:val="0"/>
          <w:sz w:val="21"/>
          <w:szCs w:val="21"/>
          <w:lang w:val="en-US" w:eastAsia="zh-CN" w:bidi="ar"/>
        </w:rPr>
        <w:t>7.</w:t>
      </w:r>
      <w:r>
        <w:rPr>
          <w:rFonts w:hint="default" w:ascii="Times New Roman" w:hAnsi="Times New Roman"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val="en-US" w:eastAsia="zh-CN" w:bidi="ar"/>
        </w:rPr>
        <w:t>.1.2</w:t>
      </w:r>
      <w:r>
        <w:rPr>
          <w:rFonts w:hint="default" w:ascii="Times New Roman" w:hAnsi="Times New Roman" w:cs="Times New Roman"/>
          <w:color w:val="000000"/>
          <w:kern w:val="0"/>
          <w:sz w:val="21"/>
          <w:szCs w:val="21"/>
          <w:lang w:val="en-US" w:eastAsia="zh-CN" w:bidi="ar"/>
        </w:rPr>
        <w:t xml:space="preserve"> </w:t>
      </w:r>
      <w:r>
        <w:rPr>
          <w:rFonts w:hint="default" w:ascii="Times New Roman" w:hAnsi="Times New Roman" w:eastAsia="宋体" w:cs="Times New Roman"/>
          <w:color w:val="000000"/>
          <w:kern w:val="0"/>
          <w:sz w:val="21"/>
          <w:szCs w:val="21"/>
          <w:lang w:val="en-US" w:eastAsia="zh-CN" w:bidi="ar"/>
        </w:rPr>
        <w:t>变压器</w:t>
      </w:r>
      <w:r>
        <w:rPr>
          <w:rFonts w:hint="default" w:ascii="Times New Roman" w:hAnsi="Times New Roman" w:cs="Times New Roman"/>
          <w:szCs w:val="22"/>
          <w:lang w:val="en-US" w:eastAsia="zh-CN"/>
        </w:rPr>
        <w:t>本体</w:t>
      </w:r>
      <w:r>
        <w:rPr>
          <w:rFonts w:hint="default" w:ascii="Times New Roman" w:hAnsi="Times New Roman" w:eastAsia="宋体" w:cs="Times New Roman"/>
          <w:color w:val="000000"/>
          <w:kern w:val="0"/>
          <w:sz w:val="21"/>
          <w:szCs w:val="21"/>
          <w:lang w:val="en-US" w:eastAsia="zh-CN" w:bidi="ar"/>
        </w:rPr>
        <w:t>运输到场并就位后，</w:t>
      </w:r>
      <w:r>
        <w:rPr>
          <w:rFonts w:hint="default" w:ascii="Times New Roman" w:hAnsi="Times New Roman" w:cs="Times New Roman"/>
          <w:color w:val="000000"/>
          <w:kern w:val="0"/>
          <w:sz w:val="21"/>
          <w:szCs w:val="21"/>
          <w:lang w:val="en-US" w:eastAsia="zh-CN" w:bidi="ar"/>
        </w:rPr>
        <w:t>建设、</w:t>
      </w:r>
      <w:r>
        <w:rPr>
          <w:rFonts w:hint="default" w:ascii="Times New Roman" w:hAnsi="Times New Roman" w:eastAsia="宋体" w:cs="Times New Roman"/>
          <w:color w:val="000000"/>
          <w:kern w:val="0"/>
          <w:sz w:val="21"/>
          <w:szCs w:val="21"/>
          <w:lang w:val="en-US" w:eastAsia="zh-CN" w:bidi="ar"/>
        </w:rPr>
        <w:t>监理、施工、设备厂家和承运单位共同见证运输和装卸过程冲击记录</w:t>
      </w:r>
      <w:r>
        <w:rPr>
          <w:rFonts w:hint="default" w:ascii="Times New Roman" w:hAnsi="Times New Roman" w:cs="Times New Roman"/>
          <w:color w:val="000000"/>
          <w:kern w:val="0"/>
          <w:sz w:val="21"/>
          <w:szCs w:val="21"/>
          <w:lang w:val="en-US" w:eastAsia="zh-CN" w:bidi="ar"/>
        </w:rPr>
        <w:t>并签字。</w:t>
      </w:r>
      <w:r>
        <w:rPr>
          <w:rFonts w:hint="default" w:ascii="Times New Roman" w:hAnsi="Times New Roman" w:cs="Times New Roman"/>
          <w:szCs w:val="22"/>
          <w:lang w:val="en-US" w:eastAsia="zh-CN"/>
        </w:rPr>
        <w:t>冲击值应不大于</w:t>
      </w:r>
      <w:r>
        <w:rPr>
          <w:rFonts w:hint="default" w:ascii="Times New Roman" w:hAnsi="Times New Roman" w:eastAsia="宋体" w:cs="Times New Roman"/>
          <w:szCs w:val="22"/>
          <w:lang w:val="en-US" w:eastAsia="zh-CN"/>
        </w:rPr>
        <w:t>3g</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2110C1"/>
          <w:kern w:val="0"/>
          <w:sz w:val="21"/>
          <w:szCs w:val="21"/>
          <w:lang w:val="en-US" w:eastAsia="zh-CN" w:bidi="ar"/>
        </w:rPr>
        <w:t xml:space="preserve"> </w:t>
      </w:r>
    </w:p>
    <w:p w14:paraId="57B34E9B">
      <w:pPr>
        <w:jc w:val="left"/>
        <w:rPr>
          <w:rFonts w:hint="default" w:ascii="Times New Roman" w:hAnsi="Times New Roman" w:eastAsia="宋体" w:cs="Times New Roman"/>
          <w:sz w:val="21"/>
          <w:szCs w:val="21"/>
        </w:rPr>
      </w:pPr>
      <w:r>
        <w:rPr>
          <w:rFonts w:hint="default" w:ascii="Times New Roman" w:hAnsi="Times New Roman"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 xml:space="preserve"> 绝缘油处理</w:t>
      </w:r>
    </w:p>
    <w:p w14:paraId="327B11D9">
      <w:pPr>
        <w:jc w:val="left"/>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.1 绝缘油的验收与保管应符合下列规定</w:t>
      </w:r>
      <w:r>
        <w:rPr>
          <w:rFonts w:hint="default" w:ascii="Times New Roman" w:hAnsi="Times New Roman" w:cs="Times New Roman"/>
          <w:sz w:val="21"/>
          <w:szCs w:val="21"/>
          <w:lang w:eastAsia="zh-CN"/>
        </w:rPr>
        <w:t>：</w:t>
      </w:r>
    </w:p>
    <w:p w14:paraId="6E3A01DA">
      <w:pPr>
        <w:keepNext w:val="0"/>
        <w:keepLines w:val="0"/>
        <w:pageBreakBefore w:val="0"/>
        <w:widowControl/>
        <w:numPr>
          <w:ilvl w:val="0"/>
          <w:numId w:val="42"/>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sz w:val="21"/>
          <w:szCs w:val="21"/>
        </w:rPr>
        <w:t>绝缘油应</w:t>
      </w:r>
      <w:r>
        <w:rPr>
          <w:rFonts w:hint="default" w:ascii="Times New Roman" w:hAnsi="Times New Roman" w:eastAsia="宋体" w:cs="Times New Roman"/>
          <w:color w:val="000000"/>
          <w:kern w:val="0"/>
          <w:sz w:val="21"/>
          <w:szCs w:val="21"/>
          <w:lang w:val="en-US" w:eastAsia="zh-CN" w:bidi="ar"/>
        </w:rPr>
        <w:t>储藏在密封清洁的专用容器内</w:t>
      </w:r>
      <w:r>
        <w:rPr>
          <w:rFonts w:hint="eastAsia" w:ascii="Times New Roman" w:hAnsi="Times New Roman" w:cs="Times New Roman"/>
          <w:color w:val="000000"/>
          <w:kern w:val="0"/>
          <w:sz w:val="21"/>
          <w:szCs w:val="21"/>
          <w:lang w:val="en-US" w:eastAsia="zh-CN" w:bidi="ar"/>
        </w:rPr>
        <w:t>；</w:t>
      </w:r>
    </w:p>
    <w:p w14:paraId="6E2BD836">
      <w:pPr>
        <w:keepNext w:val="0"/>
        <w:keepLines w:val="0"/>
        <w:pageBreakBefore w:val="0"/>
        <w:widowControl/>
        <w:numPr>
          <w:ilvl w:val="0"/>
          <w:numId w:val="42"/>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color w:val="000000"/>
          <w:kern w:val="0"/>
          <w:sz w:val="21"/>
          <w:szCs w:val="21"/>
          <w:lang w:val="en-US" w:eastAsia="zh-CN" w:bidi="ar"/>
        </w:rPr>
        <w:t>每批到达现</w:t>
      </w:r>
      <w:r>
        <w:rPr>
          <w:rFonts w:hint="default" w:ascii="Times New Roman" w:hAnsi="Times New Roman" w:eastAsia="宋体" w:cs="Times New Roman"/>
          <w:sz w:val="21"/>
          <w:szCs w:val="21"/>
          <w:highlight w:val="none"/>
        </w:rPr>
        <w:t>场的绝缘油均应有试验记录，并应按下列规定取样进行简化分析，必要时进行全分析</w:t>
      </w:r>
      <w:r>
        <w:rPr>
          <w:rFonts w:hint="default" w:ascii="Times New Roman" w:hAnsi="Times New Roman" w:cs="Times New Roman"/>
          <w:sz w:val="21"/>
          <w:szCs w:val="21"/>
          <w:highlight w:val="none"/>
          <w:lang w:eastAsia="zh-CN"/>
        </w:rPr>
        <w:t>：</w:t>
      </w:r>
    </w:p>
    <w:p w14:paraId="4CACD267">
      <w:pPr>
        <w:numPr>
          <w:ilvl w:val="-1"/>
          <w:numId w:val="0"/>
        </w:numPr>
        <w:tabs>
          <w:tab w:val="left" w:pos="0"/>
        </w:tabs>
        <w:ind w:left="420" w:firstLine="210" w:firstLineChars="100"/>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 xml:space="preserve">）大罐油应每罐取样，小桶油应按表 </w:t>
      </w:r>
      <w:r>
        <w:rPr>
          <w:rFonts w:hint="default" w:ascii="Times New Roman" w:hAnsi="Times New Roman" w:cs="Times New Roman"/>
          <w:sz w:val="21"/>
          <w:szCs w:val="21"/>
          <w:highlight w:val="none"/>
          <w:lang w:val="en-US" w:eastAsia="zh-CN"/>
        </w:rPr>
        <w:t>2</w:t>
      </w:r>
      <w:r>
        <w:rPr>
          <w:rFonts w:hint="default" w:ascii="Times New Roman" w:hAnsi="Times New Roman" w:eastAsia="宋体" w:cs="Times New Roman"/>
          <w:sz w:val="21"/>
          <w:szCs w:val="21"/>
          <w:highlight w:val="none"/>
        </w:rPr>
        <w:t>的规定进行取样∶</w:t>
      </w:r>
    </w:p>
    <w:p w14:paraId="19EDB2FD">
      <w:pPr>
        <w:widowControl/>
        <w:jc w:val="center"/>
        <w:rPr>
          <w:rFonts w:hint="default" w:ascii="黑体" w:hAnsi="黑体" w:eastAsia="黑体" w:cs="黑体"/>
          <w:b w:val="0"/>
          <w:bCs w:val="0"/>
          <w:color w:val="000000"/>
          <w:kern w:val="0"/>
          <w:szCs w:val="21"/>
          <w:highlight w:val="none"/>
          <w:lang w:val="en-US" w:eastAsia="zh-CN" w:bidi="ar"/>
        </w:rPr>
      </w:pPr>
      <w:r>
        <w:rPr>
          <w:rFonts w:hint="default" w:ascii="黑体" w:hAnsi="黑体" w:eastAsia="黑体" w:cs="黑体"/>
          <w:b w:val="0"/>
          <w:bCs w:val="0"/>
          <w:color w:val="000000"/>
          <w:kern w:val="0"/>
          <w:szCs w:val="21"/>
          <w:highlight w:val="none"/>
          <w:lang w:val="en-US" w:eastAsia="zh-CN" w:bidi="ar"/>
        </w:rPr>
        <w:t>表2 绝缘油取样数量</w:t>
      </w:r>
    </w:p>
    <w:tbl>
      <w:tblPr>
        <w:tblStyle w:val="32"/>
        <w:tblW w:w="6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481"/>
        <w:gridCol w:w="1639"/>
        <w:gridCol w:w="1481"/>
      </w:tblGrid>
      <w:tr w14:paraId="3C26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76" w:type="dxa"/>
            <w:vAlign w:val="center"/>
          </w:tcPr>
          <w:p w14:paraId="60865020">
            <w:pPr>
              <w:adjustRightInd w:val="0"/>
              <w:snapToGrid w:val="0"/>
              <w:jc w:val="center"/>
              <w:rPr>
                <w:rFonts w:hint="default" w:ascii="Times New Roman" w:hAnsi="Times New Roman" w:eastAsia="宋体" w:cs="Times New Roman"/>
                <w:bCs/>
                <w:color w:val="000000"/>
                <w:sz w:val="18"/>
                <w:szCs w:val="18"/>
                <w:lang w:eastAsia="zh-CN"/>
              </w:rPr>
            </w:pPr>
            <w:r>
              <w:rPr>
                <w:rFonts w:hint="default" w:ascii="Times New Roman" w:hAnsi="Times New Roman" w:eastAsia="宋体" w:cs="Times New Roman"/>
                <w:bCs/>
                <w:color w:val="000000"/>
                <w:sz w:val="18"/>
                <w:szCs w:val="18"/>
                <w:lang w:eastAsia="zh-CN"/>
              </w:rPr>
              <w:t>每批油的桶数</w:t>
            </w:r>
          </w:p>
        </w:tc>
        <w:tc>
          <w:tcPr>
            <w:tcW w:w="1481" w:type="dxa"/>
            <w:vAlign w:val="center"/>
          </w:tcPr>
          <w:p w14:paraId="18715228">
            <w:pPr>
              <w:adjustRightInd w:val="0"/>
              <w:snapToGrid w:val="0"/>
              <w:jc w:val="center"/>
              <w:rPr>
                <w:rFonts w:hint="default" w:ascii="Times New Roman" w:hAnsi="Times New Roman" w:eastAsia="宋体" w:cs="Times New Roman"/>
                <w:bCs/>
                <w:color w:val="000000"/>
                <w:sz w:val="18"/>
                <w:szCs w:val="18"/>
                <w:lang w:eastAsia="zh-CN"/>
              </w:rPr>
            </w:pPr>
            <w:r>
              <w:rPr>
                <w:rFonts w:hint="default" w:ascii="Times New Roman" w:hAnsi="Times New Roman" w:eastAsia="宋体" w:cs="Times New Roman"/>
                <w:bCs/>
                <w:color w:val="000000"/>
                <w:sz w:val="18"/>
                <w:szCs w:val="18"/>
                <w:lang w:eastAsia="zh-CN"/>
              </w:rPr>
              <w:t>取样桶数</w:t>
            </w:r>
          </w:p>
        </w:tc>
        <w:tc>
          <w:tcPr>
            <w:tcW w:w="1639" w:type="dxa"/>
            <w:vAlign w:val="center"/>
          </w:tcPr>
          <w:p w14:paraId="3BE1957A">
            <w:pPr>
              <w:adjustRightInd w:val="0"/>
              <w:snapToGrid w:val="0"/>
              <w:jc w:val="center"/>
              <w:rPr>
                <w:rFonts w:hint="default" w:ascii="Times New Roman" w:hAnsi="Times New Roman" w:eastAsia="宋体" w:cs="Times New Roman"/>
                <w:bCs/>
                <w:color w:val="000000"/>
                <w:sz w:val="18"/>
                <w:szCs w:val="18"/>
                <w:lang w:eastAsia="zh-CN"/>
              </w:rPr>
            </w:pPr>
            <w:r>
              <w:rPr>
                <w:rFonts w:hint="default" w:ascii="Times New Roman" w:hAnsi="Times New Roman" w:eastAsia="宋体" w:cs="Times New Roman"/>
                <w:bCs/>
                <w:color w:val="000000"/>
                <w:sz w:val="18"/>
                <w:szCs w:val="18"/>
                <w:lang w:eastAsia="zh-CN"/>
              </w:rPr>
              <w:t>每批油的桶数</w:t>
            </w:r>
          </w:p>
        </w:tc>
        <w:tc>
          <w:tcPr>
            <w:tcW w:w="1481" w:type="dxa"/>
            <w:vAlign w:val="center"/>
          </w:tcPr>
          <w:p w14:paraId="5972860E">
            <w:pPr>
              <w:adjustRightInd w:val="0"/>
              <w:snapToGrid w:val="0"/>
              <w:jc w:val="center"/>
              <w:rPr>
                <w:rFonts w:hint="default" w:ascii="Times New Roman" w:hAnsi="Times New Roman" w:eastAsia="宋体" w:cs="Times New Roman"/>
                <w:bCs/>
                <w:color w:val="000000"/>
                <w:sz w:val="18"/>
                <w:szCs w:val="18"/>
                <w:lang w:eastAsia="zh-CN"/>
              </w:rPr>
            </w:pPr>
            <w:r>
              <w:rPr>
                <w:rFonts w:hint="default" w:ascii="Times New Roman" w:hAnsi="Times New Roman" w:eastAsia="宋体" w:cs="Times New Roman"/>
                <w:bCs/>
                <w:color w:val="000000"/>
                <w:sz w:val="18"/>
                <w:szCs w:val="18"/>
                <w:lang w:eastAsia="zh-CN"/>
              </w:rPr>
              <w:t>取样桶数</w:t>
            </w:r>
          </w:p>
        </w:tc>
      </w:tr>
      <w:tr w14:paraId="4782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476" w:type="dxa"/>
            <w:vAlign w:val="center"/>
          </w:tcPr>
          <w:p w14:paraId="3616C501">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1</w:t>
            </w:r>
          </w:p>
        </w:tc>
        <w:tc>
          <w:tcPr>
            <w:tcW w:w="1481" w:type="dxa"/>
            <w:vAlign w:val="center"/>
          </w:tcPr>
          <w:p w14:paraId="0214F9DD">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1</w:t>
            </w:r>
          </w:p>
        </w:tc>
        <w:tc>
          <w:tcPr>
            <w:tcW w:w="1639" w:type="dxa"/>
            <w:vAlign w:val="center"/>
          </w:tcPr>
          <w:p w14:paraId="1B44BAC0">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51~100</w:t>
            </w:r>
          </w:p>
        </w:tc>
        <w:tc>
          <w:tcPr>
            <w:tcW w:w="1481" w:type="dxa"/>
            <w:vAlign w:val="center"/>
          </w:tcPr>
          <w:p w14:paraId="6CDCDF42">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7</w:t>
            </w:r>
          </w:p>
        </w:tc>
      </w:tr>
      <w:tr w14:paraId="4937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76" w:type="dxa"/>
            <w:vAlign w:val="center"/>
          </w:tcPr>
          <w:p w14:paraId="4F81D2A4">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2~5</w:t>
            </w:r>
          </w:p>
        </w:tc>
        <w:tc>
          <w:tcPr>
            <w:tcW w:w="1481" w:type="dxa"/>
            <w:vAlign w:val="center"/>
          </w:tcPr>
          <w:p w14:paraId="6916D048">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2</w:t>
            </w:r>
          </w:p>
        </w:tc>
        <w:tc>
          <w:tcPr>
            <w:tcW w:w="1639" w:type="dxa"/>
            <w:vAlign w:val="center"/>
          </w:tcPr>
          <w:p w14:paraId="109A6BC0">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101~200</w:t>
            </w:r>
          </w:p>
        </w:tc>
        <w:tc>
          <w:tcPr>
            <w:tcW w:w="1481" w:type="dxa"/>
            <w:vAlign w:val="center"/>
          </w:tcPr>
          <w:p w14:paraId="587CA0B9">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10</w:t>
            </w:r>
          </w:p>
        </w:tc>
      </w:tr>
      <w:tr w14:paraId="406F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476" w:type="dxa"/>
            <w:vAlign w:val="center"/>
          </w:tcPr>
          <w:p w14:paraId="7C78CFE3">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6~20</w:t>
            </w:r>
          </w:p>
        </w:tc>
        <w:tc>
          <w:tcPr>
            <w:tcW w:w="1481" w:type="dxa"/>
            <w:vAlign w:val="center"/>
          </w:tcPr>
          <w:p w14:paraId="30E6F347">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3</w:t>
            </w:r>
          </w:p>
        </w:tc>
        <w:tc>
          <w:tcPr>
            <w:tcW w:w="1639" w:type="dxa"/>
            <w:vAlign w:val="center"/>
          </w:tcPr>
          <w:p w14:paraId="42FECA13">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201~400</w:t>
            </w:r>
          </w:p>
        </w:tc>
        <w:tc>
          <w:tcPr>
            <w:tcW w:w="1481" w:type="dxa"/>
            <w:vAlign w:val="center"/>
          </w:tcPr>
          <w:p w14:paraId="41A401A7">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15</w:t>
            </w:r>
          </w:p>
        </w:tc>
      </w:tr>
      <w:tr w14:paraId="75874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476" w:type="dxa"/>
            <w:vAlign w:val="center"/>
          </w:tcPr>
          <w:p w14:paraId="27CF16C6">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21~50</w:t>
            </w:r>
          </w:p>
        </w:tc>
        <w:tc>
          <w:tcPr>
            <w:tcW w:w="1481" w:type="dxa"/>
            <w:vAlign w:val="center"/>
          </w:tcPr>
          <w:p w14:paraId="0ADA1153">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4</w:t>
            </w:r>
          </w:p>
        </w:tc>
        <w:tc>
          <w:tcPr>
            <w:tcW w:w="1639" w:type="dxa"/>
            <w:vAlign w:val="center"/>
          </w:tcPr>
          <w:p w14:paraId="03E25BE4">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401及以上</w:t>
            </w:r>
          </w:p>
        </w:tc>
        <w:tc>
          <w:tcPr>
            <w:tcW w:w="1481" w:type="dxa"/>
            <w:vAlign w:val="center"/>
          </w:tcPr>
          <w:p w14:paraId="0C3212D3">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20</w:t>
            </w:r>
          </w:p>
        </w:tc>
      </w:tr>
    </w:tbl>
    <w:p w14:paraId="1285A329">
      <w:pPr>
        <w:numPr>
          <w:ilvl w:val="-1"/>
          <w:numId w:val="0"/>
        </w:numPr>
        <w:tabs>
          <w:tab w:val="left" w:pos="0"/>
        </w:tabs>
        <w:ind w:left="420" w:firstLine="210" w:firstLineChars="100"/>
        <w:jc w:val="left"/>
        <w:rPr>
          <w:rFonts w:hint="default" w:ascii="Times New Roman" w:hAnsi="Times New Roman" w:cs="Times New Roman"/>
          <w:sz w:val="21"/>
          <w:szCs w:val="21"/>
        </w:rPr>
      </w:pPr>
      <w:r>
        <w:rPr>
          <w:rFonts w:hint="default" w:ascii="Times New Roman" w:hAnsi="Times New Roman" w:eastAsia="宋体" w:cs="Times New Roman"/>
          <w:sz w:val="21"/>
          <w:szCs w:val="21"/>
          <w:lang w:val="en-US" w:eastAsia="zh-CN"/>
        </w:rPr>
        <w:t>2</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取样</w:t>
      </w:r>
      <w:r>
        <w:rPr>
          <w:rFonts w:hint="default" w:ascii="Times New Roman" w:hAnsi="Times New Roman" w:cs="Times New Roman"/>
          <w:spacing w:val="0"/>
          <w:sz w:val="21"/>
          <w:szCs w:val="22"/>
        </w:rPr>
        <w:t>试验</w:t>
      </w:r>
      <w:r>
        <w:rPr>
          <w:rFonts w:hint="default" w:ascii="Times New Roman" w:hAnsi="Times New Roman" w:cs="Times New Roman"/>
          <w:sz w:val="21"/>
          <w:szCs w:val="21"/>
        </w:rPr>
        <w:t xml:space="preserve">应按GB </w:t>
      </w:r>
      <w:r>
        <w:rPr>
          <w:rFonts w:hint="default" w:ascii="Times New Roman" w:hAnsi="Times New Roman" w:cs="Times New Roman"/>
          <w:sz w:val="21"/>
          <w:szCs w:val="21"/>
          <w:lang w:val="en-US" w:eastAsia="zh-CN"/>
        </w:rPr>
        <w:t xml:space="preserve">/T </w:t>
      </w:r>
      <w:r>
        <w:rPr>
          <w:rFonts w:hint="default" w:ascii="Times New Roman" w:hAnsi="Times New Roman" w:cs="Times New Roman"/>
          <w:sz w:val="21"/>
          <w:szCs w:val="21"/>
        </w:rPr>
        <w:t>7597的规定执行。试验标准应符合GB 50150的规定。</w:t>
      </w:r>
    </w:p>
    <w:p w14:paraId="70762287">
      <w:pPr>
        <w:keepNext w:val="0"/>
        <w:keepLines w:val="0"/>
        <w:pageBreakBefore w:val="0"/>
        <w:widowControl/>
        <w:numPr>
          <w:ilvl w:val="0"/>
          <w:numId w:val="42"/>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不同牌号的绝缘油应分别储存，并应有明显牌号标志</w:t>
      </w:r>
      <w:r>
        <w:rPr>
          <w:rFonts w:hint="eastAsia" w:ascii="Times New Roman" w:hAnsi="Times New Roman" w:cs="Times New Roman"/>
          <w:lang w:eastAsia="zh-CN"/>
        </w:rPr>
        <w:t>；</w:t>
      </w:r>
    </w:p>
    <w:p w14:paraId="436EE6EE">
      <w:pPr>
        <w:keepNext w:val="0"/>
        <w:keepLines w:val="0"/>
        <w:pageBreakBefore w:val="0"/>
        <w:widowControl/>
        <w:numPr>
          <w:ilvl w:val="0"/>
          <w:numId w:val="42"/>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放油时应目测，用油罐车运输的绝缘油，油的上部和底部不应有异样</w:t>
      </w:r>
      <w:r>
        <w:rPr>
          <w:rFonts w:hint="default" w:ascii="Times New Roman" w:hAnsi="Times New Roman" w:eastAsia="宋体" w:cs="Times New Roman"/>
          <w:lang w:eastAsia="zh-CN"/>
        </w:rPr>
        <w:t>；</w:t>
      </w:r>
      <w:r>
        <w:rPr>
          <w:rFonts w:hint="default" w:ascii="Times New Roman" w:hAnsi="Times New Roman" w:eastAsia="宋体" w:cs="Times New Roman"/>
        </w:rPr>
        <w:t>用小桶运输的绝缘油，应对每桶进行目测，辨别其气味，各桶的商标应一致</w:t>
      </w:r>
      <w:r>
        <w:rPr>
          <w:rFonts w:hint="eastAsia" w:ascii="Times New Roman" w:hAnsi="Times New Roman" w:cs="Times New Roman"/>
          <w:lang w:eastAsia="zh-CN"/>
        </w:rPr>
        <w:t>；</w:t>
      </w:r>
    </w:p>
    <w:p w14:paraId="24E4D58C">
      <w:pPr>
        <w:keepNext w:val="0"/>
        <w:keepLines w:val="0"/>
        <w:pageBreakBefore w:val="0"/>
        <w:widowControl/>
        <w:numPr>
          <w:ilvl w:val="0"/>
          <w:numId w:val="42"/>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到达现场的绝缘油首次抽取，宜使用压力式滤油机进行粗过滤。</w:t>
      </w:r>
    </w:p>
    <w:p w14:paraId="0A50A48F">
      <w:pPr>
        <w:jc w:val="left"/>
        <w:rPr>
          <w:rFonts w:hint="default" w:ascii="Times New Roman" w:hAnsi="Times New Roman" w:eastAsia="宋体" w:cs="Times New Roman"/>
          <w:lang w:eastAsia="zh-CN"/>
        </w:rPr>
      </w:pPr>
      <w:r>
        <w:rPr>
          <w:rFonts w:hint="default" w:ascii="Times New Roman" w:hAnsi="Times New Roman" w:eastAsia="宋体" w:cs="Times New Roman"/>
          <w:lang w:val="en-US" w:eastAsia="zh-CN"/>
        </w:rPr>
        <w:t>7.</w:t>
      </w:r>
      <w:r>
        <w:rPr>
          <w:rFonts w:hint="default" w:ascii="Times New Roman" w:hAnsi="Times New Roman" w:cs="Times New Roman"/>
          <w:lang w:val="en-US" w:eastAsia="zh-CN"/>
        </w:rPr>
        <w:t>2</w:t>
      </w:r>
      <w:r>
        <w:rPr>
          <w:rFonts w:hint="default" w:ascii="Times New Roman" w:hAnsi="Times New Roman" w:eastAsia="宋体" w:cs="Times New Roman"/>
          <w:lang w:val="en-US" w:eastAsia="zh-CN"/>
        </w:rPr>
        <w:t>.2</w:t>
      </w:r>
      <w:r>
        <w:rPr>
          <w:rFonts w:hint="default" w:ascii="Times New Roman" w:hAnsi="Times New Roman" w:eastAsia="宋体" w:cs="Times New Roman"/>
        </w:rPr>
        <w:t>.2 绝缘油现场过滤应符合下列规定</w:t>
      </w:r>
      <w:r>
        <w:rPr>
          <w:rFonts w:hint="default" w:ascii="Times New Roman" w:hAnsi="Times New Roman" w:cs="Times New Roman"/>
          <w:lang w:eastAsia="zh-CN"/>
        </w:rPr>
        <w:t>：</w:t>
      </w:r>
    </w:p>
    <w:p w14:paraId="4CD9E281">
      <w:pPr>
        <w:keepNext w:val="0"/>
        <w:keepLines w:val="0"/>
        <w:pageBreakBefore w:val="0"/>
        <w:widowControl/>
        <w:numPr>
          <w:ilvl w:val="0"/>
          <w:numId w:val="4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lang w:eastAsia="zh-CN"/>
        </w:rPr>
      </w:pPr>
      <w:r>
        <w:rPr>
          <w:rFonts w:hint="default" w:ascii="Times New Roman" w:hAnsi="Times New Roman" w:eastAsia="宋体" w:cs="Times New Roman"/>
        </w:rPr>
        <w:t>储油罐应符合下列规定</w:t>
      </w:r>
      <w:r>
        <w:rPr>
          <w:rFonts w:hint="eastAsia" w:ascii="Times New Roman" w:hAnsi="Times New Roman" w:cs="Times New Roman"/>
          <w:lang w:eastAsia="zh-CN"/>
        </w:rPr>
        <w:t>：</w:t>
      </w:r>
    </w:p>
    <w:p w14:paraId="310A9ADE">
      <w:pPr>
        <w:numPr>
          <w:ilvl w:val="0"/>
          <w:numId w:val="44"/>
        </w:numPr>
        <w:tabs>
          <w:tab w:val="left" w:pos="0"/>
          <w:tab w:val="left" w:pos="154"/>
          <w:tab w:val="clear" w:pos="153"/>
        </w:tabs>
        <w:ind w:left="0" w:leftChars="0" w:firstLine="630" w:firstLineChars="30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储油罐总容积应大于单台最大设备容积的120</w:t>
      </w:r>
      <w:r>
        <w:rPr>
          <w:rFonts w:hint="default" w:ascii="Times New Roman" w:hAnsi="Times New Roman" w:eastAsia="宋体" w:cs="Times New Roman"/>
          <w:sz w:val="21"/>
          <w:szCs w:val="21"/>
          <w:lang w:val="en-US" w:eastAsia="zh-CN"/>
        </w:rPr>
        <w:t>%。</w:t>
      </w:r>
    </w:p>
    <w:p w14:paraId="0570DD61">
      <w:pPr>
        <w:numPr>
          <w:ilvl w:val="0"/>
          <w:numId w:val="44"/>
        </w:numPr>
        <w:tabs>
          <w:tab w:val="left" w:pos="0"/>
          <w:tab w:val="left" w:pos="154"/>
          <w:tab w:val="clear" w:pos="153"/>
        </w:tabs>
        <w:ind w:left="0" w:leftChars="0"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储油罐顶部应设置进出气阀，用于呼吸的进气口应安装干燥过滤装置。</w:t>
      </w:r>
    </w:p>
    <w:p w14:paraId="20FE99DF">
      <w:pPr>
        <w:keepNext w:val="0"/>
        <w:keepLines w:val="0"/>
        <w:widowControl/>
        <w:numPr>
          <w:ilvl w:val="0"/>
          <w:numId w:val="44"/>
        </w:numPr>
        <w:suppressLineNumbers w:val="0"/>
        <w:tabs>
          <w:tab w:val="left" w:pos="0"/>
          <w:tab w:val="left" w:pos="154"/>
          <w:tab w:val="clear" w:pos="153"/>
        </w:tabs>
        <w:ind w:left="0" w:leftChars="0" w:firstLine="630" w:firstLineChars="3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储油罐应设置进油阀、出油阀、油样阀和残油阀，出油阀位于罐的下部、距罐底约 100mm，进油阀位于罐上部，油样阀位于罐的中下部，残油阀位于罐底部。 </w:t>
      </w:r>
    </w:p>
    <w:p w14:paraId="1CD66850">
      <w:pPr>
        <w:keepNext w:val="0"/>
        <w:keepLines w:val="0"/>
        <w:widowControl/>
        <w:numPr>
          <w:ilvl w:val="0"/>
          <w:numId w:val="44"/>
        </w:numPr>
        <w:suppressLineNumbers w:val="0"/>
        <w:tabs>
          <w:tab w:val="left" w:pos="0"/>
          <w:tab w:val="left" w:pos="154"/>
          <w:tab w:val="clear" w:pos="153"/>
        </w:tabs>
        <w:ind w:left="0" w:leftChars="0" w:firstLine="630" w:firstLineChars="3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储油罐顶部应设置人孔盖并能可靠密封。 </w:t>
      </w:r>
    </w:p>
    <w:p w14:paraId="6F687BED">
      <w:pPr>
        <w:keepNext w:val="0"/>
        <w:keepLines w:val="0"/>
        <w:widowControl/>
        <w:numPr>
          <w:ilvl w:val="0"/>
          <w:numId w:val="44"/>
        </w:numPr>
        <w:suppressLineNumbers w:val="0"/>
        <w:tabs>
          <w:tab w:val="left" w:pos="0"/>
          <w:tab w:val="left" w:pos="154"/>
          <w:tab w:val="clear" w:pos="153"/>
        </w:tabs>
        <w:ind w:left="0" w:leftChars="0" w:firstLine="630" w:firstLineChars="3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储油罐应设置油位指示装置。 </w:t>
      </w:r>
    </w:p>
    <w:p w14:paraId="2F343D18">
      <w:pPr>
        <w:keepNext w:val="0"/>
        <w:keepLines w:val="0"/>
        <w:widowControl/>
        <w:numPr>
          <w:ilvl w:val="0"/>
          <w:numId w:val="44"/>
        </w:numPr>
        <w:suppressLineNumbers w:val="0"/>
        <w:tabs>
          <w:tab w:val="left" w:pos="0"/>
          <w:tab w:val="left" w:pos="154"/>
          <w:tab w:val="clear" w:pos="153"/>
        </w:tabs>
        <w:ind w:left="0" w:leftChars="0" w:firstLine="630" w:firstLineChars="300"/>
        <w:jc w:val="left"/>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val="en-US" w:eastAsia="zh-CN" w:bidi="ar"/>
        </w:rPr>
        <w:t>储油罐应设置专用起吊挂环和专用接地连接点并在存放点与接地网可靠连接。</w:t>
      </w:r>
    </w:p>
    <w:p w14:paraId="68D15E34">
      <w:pPr>
        <w:keepNext w:val="0"/>
        <w:keepLines w:val="0"/>
        <w:pageBreakBefore w:val="0"/>
        <w:widowControl/>
        <w:numPr>
          <w:ilvl w:val="0"/>
          <w:numId w:val="4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经过粗过滤的绝缘油应采用真空滤油机进行处理。对500kV及以上的变压器油过滤，其真空滤油机主要指标应符合下列规定</w:t>
      </w:r>
      <w:r>
        <w:rPr>
          <w:rFonts w:hint="eastAsia" w:ascii="Times New Roman" w:hAnsi="Times New Roman" w:cs="Times New Roman"/>
          <w:lang w:eastAsia="zh-CN"/>
        </w:rPr>
        <w:t>：</w:t>
      </w:r>
    </w:p>
    <w:p w14:paraId="2D5B7F60">
      <w:pPr>
        <w:widowControl/>
        <w:numPr>
          <w:ilvl w:val="0"/>
          <w:numId w:val="45"/>
        </w:numPr>
        <w:tabs>
          <w:tab w:val="left" w:pos="0"/>
          <w:tab w:val="left" w:pos="154"/>
          <w:tab w:val="clear" w:pos="153"/>
        </w:tabs>
        <w:ind w:left="0" w:leftChars="0" w:firstLine="630" w:firstLineChars="300"/>
        <w:jc w:val="left"/>
        <w:rPr>
          <w:rFonts w:hint="default" w:ascii="Times New Roman" w:hAnsi="Times New Roman" w:eastAsia="宋体" w:cs="Times New Roman"/>
          <w:color w:val="000000"/>
          <w:kern w:val="0"/>
          <w:lang w:bidi="ar"/>
        </w:rPr>
      </w:pPr>
      <w:r>
        <w:rPr>
          <w:rFonts w:hint="default" w:ascii="Times New Roman" w:hAnsi="Times New Roman" w:eastAsia="宋体" w:cs="Times New Roman"/>
          <w:color w:val="000000"/>
          <w:kern w:val="0"/>
          <w:lang w:bidi="ar"/>
        </w:rPr>
        <w:t>真空滤油机标称流量应达到 6000L/h～1200OL/h。</w:t>
      </w:r>
    </w:p>
    <w:p w14:paraId="14B4D139">
      <w:pPr>
        <w:widowControl/>
        <w:numPr>
          <w:ilvl w:val="0"/>
          <w:numId w:val="45"/>
        </w:numPr>
        <w:tabs>
          <w:tab w:val="left" w:pos="0"/>
          <w:tab w:val="left" w:pos="154"/>
          <w:tab w:val="clear" w:pos="153"/>
        </w:tabs>
        <w:ind w:left="0" w:leftChars="0" w:firstLine="630" w:firstLineChars="300"/>
        <w:jc w:val="left"/>
        <w:rPr>
          <w:rFonts w:hint="default" w:ascii="Times New Roman" w:hAnsi="Times New Roman" w:eastAsia="宋体" w:cs="Times New Roman"/>
          <w:color w:val="000000"/>
          <w:kern w:val="0"/>
          <w:lang w:bidi="ar"/>
        </w:rPr>
      </w:pPr>
      <w:r>
        <w:rPr>
          <w:rFonts w:hint="default" w:ascii="Times New Roman" w:hAnsi="Times New Roman" w:eastAsia="宋体" w:cs="Times New Roman"/>
          <w:color w:val="000000"/>
          <w:kern w:val="0"/>
          <w:lang w:bidi="ar"/>
        </w:rPr>
        <w:t>真空滤油机具有两级真空功能，真空泵能力宜大于1500L/</w:t>
      </w:r>
      <w:r>
        <w:rPr>
          <w:rFonts w:hint="default" w:ascii="Times New Roman" w:hAnsi="Times New Roman" w:eastAsia="宋体" w:cs="Times New Roman"/>
          <w:color w:val="000000"/>
          <w:kern w:val="0"/>
          <w:lang w:val="en-US" w:eastAsia="zh-CN" w:bidi="ar"/>
        </w:rPr>
        <w:t>m</w:t>
      </w:r>
      <w:r>
        <w:rPr>
          <w:rFonts w:hint="default" w:ascii="Times New Roman" w:hAnsi="Times New Roman" w:eastAsia="宋体" w:cs="Times New Roman"/>
          <w:color w:val="000000"/>
          <w:kern w:val="0"/>
          <w:lang w:bidi="ar"/>
        </w:rPr>
        <w:t>in，机械增压泵能力宜大于 280m</w:t>
      </w:r>
      <w:r>
        <w:rPr>
          <w:rFonts w:hint="default" w:ascii="Times New Roman" w:hAnsi="Times New Roman" w:eastAsia="宋体" w:cs="Times New Roman"/>
          <w:color w:val="000000"/>
          <w:kern w:val="0"/>
          <w:vertAlign w:val="baseline"/>
          <w:lang w:val="en-US" w:eastAsia="zh-CN" w:bidi="ar"/>
        </w:rPr>
        <w:t>3</w:t>
      </w:r>
      <w:r>
        <w:rPr>
          <w:rFonts w:hint="default" w:ascii="Times New Roman" w:hAnsi="Times New Roman" w:eastAsia="宋体" w:cs="Times New Roman"/>
          <w:color w:val="000000"/>
          <w:kern w:val="0"/>
          <w:lang w:bidi="ar"/>
        </w:rPr>
        <w:t>/h，运行真空不宜大于67Pa，加热器应分2组～3 组。</w:t>
      </w:r>
    </w:p>
    <w:p w14:paraId="6EFD67FB">
      <w:pPr>
        <w:widowControl/>
        <w:numPr>
          <w:ilvl w:val="0"/>
          <w:numId w:val="45"/>
        </w:numPr>
        <w:tabs>
          <w:tab w:val="left" w:pos="0"/>
          <w:tab w:val="left" w:pos="154"/>
          <w:tab w:val="clear" w:pos="153"/>
        </w:tabs>
        <w:ind w:left="0" w:leftChars="0" w:firstLine="630" w:firstLineChars="300"/>
        <w:jc w:val="left"/>
        <w:rPr>
          <w:rFonts w:hint="default" w:ascii="Times New Roman" w:hAnsi="Times New Roman" w:eastAsia="宋体" w:cs="Times New Roman"/>
          <w:color w:val="000000"/>
          <w:kern w:val="0"/>
          <w:lang w:bidi="ar"/>
        </w:rPr>
      </w:pPr>
      <w:r>
        <w:rPr>
          <w:rFonts w:hint="default" w:ascii="Times New Roman" w:hAnsi="Times New Roman" w:eastAsia="宋体" w:cs="Times New Roman"/>
          <w:color w:val="000000"/>
          <w:kern w:val="0"/>
          <w:lang w:bidi="ar"/>
        </w:rPr>
        <w:t>真空滤油机运行油温应为20℃～70℃。</w:t>
      </w:r>
    </w:p>
    <w:p w14:paraId="58706490">
      <w:pPr>
        <w:widowControl/>
        <w:numPr>
          <w:ilvl w:val="0"/>
          <w:numId w:val="45"/>
        </w:numPr>
        <w:tabs>
          <w:tab w:val="left" w:pos="0"/>
          <w:tab w:val="left" w:pos="154"/>
          <w:tab w:val="clear" w:pos="153"/>
        </w:tabs>
        <w:ind w:left="0" w:leftChars="0" w:firstLine="630" w:firstLineChars="300"/>
        <w:jc w:val="left"/>
        <w:rPr>
          <w:rFonts w:hint="default" w:ascii="Times New Roman" w:hAnsi="Times New Roman" w:eastAsia="宋体" w:cs="Times New Roman"/>
        </w:rPr>
      </w:pPr>
      <w:r>
        <w:rPr>
          <w:rFonts w:hint="default" w:ascii="Times New Roman" w:hAnsi="Times New Roman" w:eastAsia="宋体" w:cs="Times New Roman"/>
          <w:color w:val="000000"/>
          <w:kern w:val="0"/>
          <w:lang w:bidi="ar"/>
        </w:rPr>
        <w:t>真空滤油机的</w:t>
      </w:r>
      <w:r>
        <w:rPr>
          <w:rFonts w:hint="default" w:ascii="Times New Roman" w:hAnsi="Times New Roman" w:eastAsia="宋体" w:cs="Times New Roman"/>
        </w:rPr>
        <w:t>处理能力，应满足在滤油机出口油样阀取油样试验，击穿电压不低于 75kV/2.5mm，含水量不大于5μL/L，含气量不大于0</w:t>
      </w:r>
      <w:r>
        <w:rPr>
          <w:rFonts w:hint="default" w:ascii="Times New Roman" w:hAnsi="Times New Roman" w:eastAsia="宋体" w:cs="Times New Roman"/>
          <w:lang w:val="en-US" w:eastAsia="zh-CN"/>
        </w:rPr>
        <w:t>.</w:t>
      </w:r>
      <w:r>
        <w:rPr>
          <w:rFonts w:hint="default" w:ascii="Times New Roman" w:hAnsi="Times New Roman" w:eastAsia="宋体" w:cs="Times New Roman"/>
        </w:rPr>
        <w:t>1</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w:t>
      </w:r>
      <w:r>
        <w:rPr>
          <w:rFonts w:hint="default" w:ascii="Times New Roman" w:hAnsi="Times New Roman" w:eastAsia="宋体" w:cs="Times New Roman"/>
        </w:rPr>
        <w:t>杂质颗粒不大于0.5μm的标准。</w:t>
      </w:r>
    </w:p>
    <w:p w14:paraId="23CC1BDD">
      <w:pPr>
        <w:keepNext w:val="0"/>
        <w:keepLines w:val="0"/>
        <w:pageBreakBefore w:val="0"/>
        <w:widowControl/>
        <w:numPr>
          <w:ilvl w:val="0"/>
          <w:numId w:val="4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现场油务系统中所采用的储油罐及管道均应清洗干净，检查合格</w:t>
      </w:r>
      <w:r>
        <w:rPr>
          <w:rFonts w:hint="eastAsia" w:ascii="Times New Roman" w:hAnsi="Times New Roman" w:cs="Times New Roman"/>
          <w:lang w:eastAsia="zh-CN"/>
        </w:rPr>
        <w:t>；</w:t>
      </w:r>
    </w:p>
    <w:p w14:paraId="66B70188">
      <w:pPr>
        <w:keepNext w:val="0"/>
        <w:keepLines w:val="0"/>
        <w:pageBreakBefore w:val="0"/>
        <w:widowControl/>
        <w:numPr>
          <w:ilvl w:val="0"/>
          <w:numId w:val="4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现场应配备废油存放罐，避免对正式储油罐内的油产生污染</w:t>
      </w:r>
      <w:r>
        <w:rPr>
          <w:rFonts w:hint="eastAsia" w:ascii="Times New Roman" w:hAnsi="Times New Roman" w:cs="Times New Roman"/>
          <w:lang w:eastAsia="zh-CN"/>
        </w:rPr>
        <w:t>；</w:t>
      </w:r>
    </w:p>
    <w:p w14:paraId="325C8B2C">
      <w:pPr>
        <w:keepNext w:val="0"/>
        <w:keepLines w:val="0"/>
        <w:pageBreakBefore w:val="0"/>
        <w:widowControl/>
        <w:numPr>
          <w:ilvl w:val="0"/>
          <w:numId w:val="4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现场油处理过程中所有油处理设备、变压器本体、电源箱均应与接地网可靠连接</w:t>
      </w:r>
      <w:r>
        <w:rPr>
          <w:rFonts w:hint="eastAsia" w:ascii="Times New Roman" w:hAnsi="Times New Roman" w:cs="Times New Roman"/>
          <w:lang w:eastAsia="zh-CN"/>
        </w:rPr>
        <w:t>；</w:t>
      </w:r>
    </w:p>
    <w:p w14:paraId="50BC813C">
      <w:pPr>
        <w:keepNext w:val="0"/>
        <w:keepLines w:val="0"/>
        <w:pageBreakBefore w:val="0"/>
        <w:widowControl/>
        <w:numPr>
          <w:ilvl w:val="0"/>
          <w:numId w:val="4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highlight w:val="none"/>
        </w:rPr>
      </w:pPr>
      <w:r>
        <w:rPr>
          <w:rFonts w:hint="default" w:ascii="Times New Roman" w:hAnsi="Times New Roman" w:eastAsia="宋体" w:cs="Times New Roman"/>
        </w:rPr>
        <w:t>每批油处理结束后</w:t>
      </w:r>
      <w:r>
        <w:rPr>
          <w:rFonts w:hint="default" w:ascii="Times New Roman" w:hAnsi="Times New Roman" w:eastAsia="宋体" w:cs="Times New Roman"/>
          <w:lang w:eastAsia="zh-CN"/>
        </w:rPr>
        <w:t>，</w:t>
      </w:r>
      <w:r>
        <w:rPr>
          <w:rFonts w:hint="default" w:ascii="Times New Roman" w:hAnsi="Times New Roman" w:eastAsia="宋体" w:cs="Times New Roman"/>
        </w:rPr>
        <w:t>应对每个储油罐的绝缘油取样进行试验，其电气强度应达到本规范表</w:t>
      </w:r>
      <w:r>
        <w:rPr>
          <w:rFonts w:hint="default" w:ascii="Times New Roman" w:hAnsi="Times New Roman" w:eastAsia="宋体" w:cs="Times New Roman"/>
          <w:lang w:val="en-US" w:eastAsia="zh-CN"/>
        </w:rPr>
        <w:t>3</w:t>
      </w:r>
      <w:r>
        <w:rPr>
          <w:rFonts w:hint="default" w:ascii="Times New Roman" w:hAnsi="Times New Roman" w:eastAsia="宋体" w:cs="Times New Roman"/>
        </w:rPr>
        <w:t>的要求</w:t>
      </w:r>
      <w:r>
        <w:rPr>
          <w:rFonts w:hint="eastAsia" w:ascii="Times New Roman" w:hAnsi="Times New Roman" w:cs="Times New Roman"/>
          <w:lang w:eastAsia="zh-CN"/>
        </w:rPr>
        <w:t>。</w:t>
      </w:r>
    </w:p>
    <w:tbl>
      <w:tblPr>
        <w:tblStyle w:val="32"/>
        <w:tblpPr w:leftFromText="180" w:rightFromText="180" w:vertAnchor="text" w:tblpXSpec="center" w:tblpY="354"/>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4"/>
        <w:gridCol w:w="2162"/>
        <w:gridCol w:w="2286"/>
        <w:gridCol w:w="1727"/>
      </w:tblGrid>
      <w:tr w14:paraId="0905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000" w:type="pct"/>
            <w:gridSpan w:val="4"/>
            <w:tcBorders>
              <w:top w:val="nil"/>
              <w:left w:val="nil"/>
              <w:bottom w:val="single" w:color="000000" w:sz="8" w:space="0"/>
              <w:right w:val="nil"/>
            </w:tcBorders>
            <w:shd w:val="clear" w:color="auto" w:fill="FFFFFF"/>
            <w:vAlign w:val="top"/>
          </w:tcPr>
          <w:p w14:paraId="405C5429">
            <w:pPr>
              <w:widowControl/>
              <w:jc w:val="center"/>
              <w:rPr>
                <w:rFonts w:hint="default" w:ascii="Times New Roman" w:hAnsi="Times New Roman" w:eastAsia="宋体" w:cs="Times New Roman"/>
                <w:bCs/>
                <w:color w:val="000000"/>
                <w:sz w:val="18"/>
                <w:szCs w:val="18"/>
                <w:lang w:val="en-US" w:eastAsia="zh-CN"/>
              </w:rPr>
            </w:pPr>
            <w:r>
              <w:rPr>
                <w:rFonts w:hint="default" w:ascii="黑体" w:hAnsi="黑体" w:eastAsia="黑体" w:cs="黑体"/>
                <w:b w:val="0"/>
                <w:bCs w:val="0"/>
                <w:color w:val="000000"/>
                <w:kern w:val="0"/>
                <w:szCs w:val="21"/>
                <w:highlight w:val="none"/>
                <w:lang w:val="en-US" w:eastAsia="zh-CN" w:bidi="ar"/>
              </w:rPr>
              <w:t>表3 注入变压器的油质标准</w:t>
            </w:r>
          </w:p>
        </w:tc>
      </w:tr>
      <w:tr w14:paraId="4D81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76" w:type="pct"/>
            <w:tcBorders>
              <w:top w:val="single" w:color="000000" w:sz="8" w:space="0"/>
              <w:left w:val="single" w:color="000000" w:sz="8" w:space="0"/>
              <w:bottom w:val="single" w:color="000000" w:sz="8" w:space="0"/>
              <w:right w:val="single" w:color="000000" w:sz="8" w:space="0"/>
            </w:tcBorders>
            <w:shd w:val="clear" w:color="auto" w:fill="FFFFFF"/>
            <w:vAlign w:val="top"/>
          </w:tcPr>
          <w:p w14:paraId="70F584D3">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试验项目</w:t>
            </w: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top"/>
          </w:tcPr>
          <w:p w14:paraId="46006F70">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电压等级</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top"/>
          </w:tcPr>
          <w:p w14:paraId="0F461E81">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标准值</w:t>
            </w:r>
          </w:p>
        </w:tc>
        <w:tc>
          <w:tcPr>
            <w:tcW w:w="1011" w:type="pct"/>
            <w:tcBorders>
              <w:top w:val="single" w:color="000000" w:sz="8" w:space="0"/>
              <w:left w:val="single" w:color="000000" w:sz="8" w:space="0"/>
              <w:bottom w:val="single" w:color="000000" w:sz="8" w:space="0"/>
              <w:right w:val="single" w:color="000000" w:sz="8" w:space="0"/>
            </w:tcBorders>
            <w:shd w:val="clear" w:color="auto" w:fill="FFFFFF"/>
            <w:vAlign w:val="top"/>
          </w:tcPr>
          <w:p w14:paraId="4442224D">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备注</w:t>
            </w:r>
          </w:p>
        </w:tc>
      </w:tr>
      <w:tr w14:paraId="5277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 w:type="pct"/>
            <w:vMerge w:val="restart"/>
            <w:tcBorders>
              <w:top w:val="single" w:color="000000" w:sz="8" w:space="0"/>
              <w:left w:val="single" w:color="000000" w:sz="8" w:space="0"/>
              <w:right w:val="single" w:color="000000" w:sz="8" w:space="0"/>
            </w:tcBorders>
            <w:shd w:val="clear" w:color="auto" w:fill="FFFFFF"/>
            <w:vAlign w:val="center"/>
          </w:tcPr>
          <w:p w14:paraId="11FCCCB7">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电气强度</w:t>
            </w: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B585DE0">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750kV</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EA3145D">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≥70kV</w:t>
            </w:r>
          </w:p>
        </w:tc>
        <w:tc>
          <w:tcPr>
            <w:tcW w:w="1011" w:type="pct"/>
            <w:vMerge w:val="restart"/>
            <w:tcBorders>
              <w:top w:val="single" w:color="000000" w:sz="8" w:space="0"/>
              <w:left w:val="single" w:color="000000" w:sz="8" w:space="0"/>
              <w:right w:val="single" w:color="000000" w:sz="8" w:space="0"/>
            </w:tcBorders>
            <w:shd w:val="clear" w:color="auto" w:fill="FFFFFF"/>
            <w:vAlign w:val="center"/>
          </w:tcPr>
          <w:p w14:paraId="506B59C9">
            <w:pPr>
              <w:adjustRightInd w:val="0"/>
              <w:snapToGrid w:val="0"/>
              <w:jc w:val="center"/>
              <w:rPr>
                <w:rFonts w:hint="default" w:ascii="Times New Roman" w:hAnsi="Times New Roman" w:eastAsia="宋体" w:cs="Times New Roman"/>
                <w:bCs/>
                <w:color w:val="000000"/>
                <w:sz w:val="18"/>
                <w:szCs w:val="18"/>
                <w:lang w:val="en-US" w:eastAsia="zh-CN"/>
              </w:rPr>
            </w:pPr>
          </w:p>
        </w:tc>
      </w:tr>
      <w:tr w14:paraId="1E2C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 w:type="pct"/>
            <w:vMerge w:val="continue"/>
            <w:tcBorders>
              <w:left w:val="single" w:color="000000" w:sz="8" w:space="0"/>
              <w:right w:val="single" w:color="000000" w:sz="8" w:space="0"/>
            </w:tcBorders>
            <w:shd w:val="clear" w:color="auto" w:fill="FFFFFF"/>
            <w:vAlign w:val="center"/>
          </w:tcPr>
          <w:p w14:paraId="176C559F">
            <w:pPr>
              <w:adjustRightInd w:val="0"/>
              <w:snapToGrid w:val="0"/>
              <w:jc w:val="center"/>
              <w:rPr>
                <w:rFonts w:hint="default" w:ascii="Times New Roman" w:hAnsi="Times New Roman" w:eastAsia="宋体" w:cs="Times New Roman"/>
                <w:bCs/>
                <w:color w:val="000000"/>
                <w:sz w:val="18"/>
                <w:szCs w:val="18"/>
                <w:lang w:val="en-US" w:eastAsia="zh-CN"/>
              </w:rPr>
            </w:pP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3FE7B54">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500kV</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2AEA11E">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≥65kV</w:t>
            </w:r>
          </w:p>
        </w:tc>
        <w:tc>
          <w:tcPr>
            <w:tcW w:w="1011" w:type="pct"/>
            <w:vMerge w:val="continue"/>
            <w:tcBorders>
              <w:left w:val="single" w:color="000000" w:sz="8" w:space="0"/>
              <w:right w:val="single" w:color="000000" w:sz="8" w:space="0"/>
            </w:tcBorders>
            <w:shd w:val="clear" w:color="auto" w:fill="FFFFFF"/>
            <w:vAlign w:val="center"/>
          </w:tcPr>
          <w:p w14:paraId="60430D05">
            <w:pPr>
              <w:adjustRightInd w:val="0"/>
              <w:snapToGrid w:val="0"/>
              <w:jc w:val="center"/>
              <w:rPr>
                <w:rFonts w:hint="default" w:ascii="Times New Roman" w:hAnsi="Times New Roman" w:eastAsia="宋体" w:cs="Times New Roman"/>
                <w:bCs/>
                <w:color w:val="000000"/>
                <w:sz w:val="18"/>
                <w:szCs w:val="18"/>
                <w:lang w:val="en-US" w:eastAsia="zh-CN"/>
              </w:rPr>
            </w:pPr>
          </w:p>
        </w:tc>
      </w:tr>
      <w:tr w14:paraId="650D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 w:type="pct"/>
            <w:vMerge w:val="continue"/>
            <w:tcBorders>
              <w:left w:val="single" w:color="000000" w:sz="8" w:space="0"/>
              <w:right w:val="single" w:color="000000" w:sz="8" w:space="0"/>
            </w:tcBorders>
            <w:shd w:val="clear" w:color="auto" w:fill="FFFFFF"/>
            <w:vAlign w:val="center"/>
          </w:tcPr>
          <w:p w14:paraId="5435280D">
            <w:pPr>
              <w:adjustRightInd w:val="0"/>
              <w:snapToGrid w:val="0"/>
              <w:jc w:val="center"/>
              <w:rPr>
                <w:rFonts w:hint="default" w:ascii="Times New Roman" w:hAnsi="Times New Roman" w:eastAsia="宋体" w:cs="Times New Roman"/>
                <w:bCs/>
                <w:color w:val="000000"/>
                <w:sz w:val="18"/>
                <w:szCs w:val="18"/>
                <w:lang w:val="en-US" w:eastAsia="zh-CN"/>
              </w:rPr>
            </w:pP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224F1232">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330kV</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37896A84">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≥55kV</w:t>
            </w:r>
          </w:p>
        </w:tc>
        <w:tc>
          <w:tcPr>
            <w:tcW w:w="1011" w:type="pct"/>
            <w:vMerge w:val="continue"/>
            <w:tcBorders>
              <w:left w:val="single" w:color="000000" w:sz="8" w:space="0"/>
              <w:right w:val="single" w:color="000000" w:sz="8" w:space="0"/>
            </w:tcBorders>
            <w:shd w:val="clear" w:color="auto" w:fill="FFFFFF"/>
            <w:vAlign w:val="center"/>
          </w:tcPr>
          <w:p w14:paraId="1D91E869">
            <w:pPr>
              <w:adjustRightInd w:val="0"/>
              <w:snapToGrid w:val="0"/>
              <w:jc w:val="center"/>
              <w:rPr>
                <w:rFonts w:hint="default" w:ascii="Times New Roman" w:hAnsi="Times New Roman" w:eastAsia="宋体" w:cs="Times New Roman"/>
                <w:bCs/>
                <w:color w:val="000000"/>
                <w:sz w:val="18"/>
                <w:szCs w:val="18"/>
                <w:lang w:val="en-US" w:eastAsia="zh-CN"/>
              </w:rPr>
            </w:pPr>
          </w:p>
        </w:tc>
      </w:tr>
      <w:tr w14:paraId="4B649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 w:type="pct"/>
            <w:vMerge w:val="continue"/>
            <w:tcBorders>
              <w:left w:val="single" w:color="000000" w:sz="8" w:space="0"/>
              <w:right w:val="single" w:color="000000" w:sz="8" w:space="0"/>
            </w:tcBorders>
            <w:shd w:val="clear" w:color="auto" w:fill="FFFFFF"/>
            <w:vAlign w:val="center"/>
          </w:tcPr>
          <w:p w14:paraId="13E639A9">
            <w:pPr>
              <w:adjustRightInd w:val="0"/>
              <w:snapToGrid w:val="0"/>
              <w:jc w:val="center"/>
              <w:rPr>
                <w:rFonts w:hint="default" w:ascii="Times New Roman" w:hAnsi="Times New Roman" w:eastAsia="宋体" w:cs="Times New Roman"/>
                <w:bCs/>
                <w:color w:val="000000"/>
                <w:sz w:val="18"/>
                <w:szCs w:val="18"/>
                <w:lang w:val="en-US" w:eastAsia="zh-CN"/>
              </w:rPr>
            </w:pP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4B4FDC82">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66kV~220kV</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40EA220">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≥45kV</w:t>
            </w:r>
          </w:p>
        </w:tc>
        <w:tc>
          <w:tcPr>
            <w:tcW w:w="1011" w:type="pct"/>
            <w:vMerge w:val="continue"/>
            <w:tcBorders>
              <w:left w:val="single" w:color="000000" w:sz="8" w:space="0"/>
              <w:right w:val="single" w:color="000000" w:sz="8" w:space="0"/>
            </w:tcBorders>
            <w:shd w:val="clear" w:color="auto" w:fill="FFFFFF"/>
            <w:vAlign w:val="center"/>
          </w:tcPr>
          <w:p w14:paraId="2CD4DA97">
            <w:pPr>
              <w:adjustRightInd w:val="0"/>
              <w:snapToGrid w:val="0"/>
              <w:jc w:val="center"/>
              <w:rPr>
                <w:rFonts w:hint="default" w:ascii="Times New Roman" w:hAnsi="Times New Roman" w:eastAsia="宋体" w:cs="Times New Roman"/>
                <w:bCs/>
                <w:color w:val="000000"/>
                <w:sz w:val="18"/>
                <w:szCs w:val="18"/>
                <w:lang w:val="en-US" w:eastAsia="zh-CN"/>
              </w:rPr>
            </w:pPr>
          </w:p>
        </w:tc>
      </w:tr>
      <w:tr w14:paraId="6B49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 w:type="pct"/>
            <w:vMerge w:val="continue"/>
            <w:tcBorders>
              <w:left w:val="single" w:color="000000" w:sz="8" w:space="0"/>
              <w:right w:val="single" w:color="000000" w:sz="8" w:space="0"/>
            </w:tcBorders>
            <w:shd w:val="clear" w:color="auto" w:fill="FFFFFF"/>
            <w:vAlign w:val="center"/>
          </w:tcPr>
          <w:p w14:paraId="69C6A1B4">
            <w:pPr>
              <w:adjustRightInd w:val="0"/>
              <w:snapToGrid w:val="0"/>
              <w:jc w:val="center"/>
              <w:rPr>
                <w:rFonts w:hint="default" w:ascii="Times New Roman" w:hAnsi="Times New Roman" w:eastAsia="宋体" w:cs="Times New Roman"/>
                <w:bCs/>
                <w:color w:val="000000"/>
                <w:sz w:val="18"/>
                <w:szCs w:val="18"/>
                <w:lang w:val="en-US" w:eastAsia="zh-CN"/>
              </w:rPr>
            </w:pP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6E97925">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35kV及以下</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7D80EDCC">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≥40kV</w:t>
            </w:r>
          </w:p>
        </w:tc>
        <w:tc>
          <w:tcPr>
            <w:tcW w:w="1011" w:type="pct"/>
            <w:vMerge w:val="continue"/>
            <w:tcBorders>
              <w:left w:val="single" w:color="000000" w:sz="8" w:space="0"/>
              <w:bottom w:val="single" w:color="000000" w:sz="8" w:space="0"/>
              <w:right w:val="single" w:color="000000" w:sz="8" w:space="0"/>
            </w:tcBorders>
            <w:shd w:val="clear" w:color="auto" w:fill="FFFFFF"/>
            <w:vAlign w:val="center"/>
          </w:tcPr>
          <w:p w14:paraId="22DE34A9">
            <w:pPr>
              <w:adjustRightInd w:val="0"/>
              <w:snapToGrid w:val="0"/>
              <w:jc w:val="center"/>
              <w:rPr>
                <w:rFonts w:hint="default" w:ascii="Times New Roman" w:hAnsi="Times New Roman" w:eastAsia="宋体" w:cs="Times New Roman"/>
                <w:bCs/>
                <w:color w:val="000000"/>
                <w:sz w:val="18"/>
                <w:szCs w:val="18"/>
                <w:lang w:val="en-US" w:eastAsia="zh-CN"/>
              </w:rPr>
            </w:pPr>
          </w:p>
        </w:tc>
      </w:tr>
      <w:tr w14:paraId="498E3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 w:type="pct"/>
            <w:vMerge w:val="restart"/>
            <w:tcBorders>
              <w:top w:val="single" w:color="000000" w:sz="8" w:space="0"/>
              <w:left w:val="single" w:color="000000" w:sz="8" w:space="0"/>
              <w:right w:val="single" w:color="000000" w:sz="8" w:space="0"/>
            </w:tcBorders>
            <w:shd w:val="clear" w:color="auto" w:fill="FFFFFF"/>
            <w:vAlign w:val="center"/>
          </w:tcPr>
          <w:p w14:paraId="58FE4656">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含水量</w:t>
            </w: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top"/>
          </w:tcPr>
          <w:p w14:paraId="531EF7D7">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750kV</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top"/>
          </w:tcPr>
          <w:p w14:paraId="3EA49F0A">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≤10mg/L</w:t>
            </w:r>
          </w:p>
        </w:tc>
        <w:tc>
          <w:tcPr>
            <w:tcW w:w="1011" w:type="pct"/>
            <w:vMerge w:val="restart"/>
            <w:tcBorders>
              <w:top w:val="single" w:color="000000" w:sz="8" w:space="0"/>
              <w:left w:val="single" w:color="000000" w:sz="8" w:space="0"/>
              <w:right w:val="single" w:color="000000" w:sz="8" w:space="0"/>
            </w:tcBorders>
            <w:shd w:val="clear" w:color="auto" w:fill="FFFFFF"/>
            <w:vAlign w:val="center"/>
          </w:tcPr>
          <w:p w14:paraId="3DE1F53F">
            <w:pPr>
              <w:adjustRightInd w:val="0"/>
              <w:snapToGrid w:val="0"/>
              <w:jc w:val="center"/>
              <w:rPr>
                <w:rFonts w:hint="default" w:ascii="Times New Roman" w:hAnsi="Times New Roman" w:eastAsia="宋体" w:cs="Times New Roman"/>
                <w:bCs/>
                <w:color w:val="000000"/>
                <w:sz w:val="18"/>
                <w:szCs w:val="18"/>
                <w:lang w:val="en-US" w:eastAsia="zh-CN"/>
              </w:rPr>
            </w:pPr>
          </w:p>
        </w:tc>
      </w:tr>
      <w:tr w14:paraId="1246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376" w:type="pct"/>
            <w:vMerge w:val="continue"/>
            <w:tcBorders>
              <w:left w:val="single" w:color="000000" w:sz="8" w:space="0"/>
              <w:right w:val="single" w:color="000000" w:sz="8" w:space="0"/>
            </w:tcBorders>
            <w:shd w:val="clear" w:color="auto" w:fill="FFFFFF"/>
            <w:vAlign w:val="top"/>
          </w:tcPr>
          <w:p w14:paraId="033C71AB">
            <w:pPr>
              <w:adjustRightInd w:val="0"/>
              <w:snapToGrid w:val="0"/>
              <w:jc w:val="center"/>
              <w:rPr>
                <w:rFonts w:hint="default" w:ascii="Times New Roman" w:hAnsi="Times New Roman" w:eastAsia="宋体" w:cs="Times New Roman"/>
                <w:bCs/>
                <w:color w:val="000000"/>
                <w:sz w:val="18"/>
                <w:szCs w:val="18"/>
                <w:lang w:val="en-US" w:eastAsia="zh-CN"/>
              </w:rPr>
            </w:pP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top"/>
          </w:tcPr>
          <w:p w14:paraId="11FF9B1B">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330kV~500kV</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top"/>
          </w:tcPr>
          <w:p w14:paraId="01E929AF">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≤10mg/L</w:t>
            </w:r>
          </w:p>
        </w:tc>
        <w:tc>
          <w:tcPr>
            <w:tcW w:w="1011" w:type="pct"/>
            <w:vMerge w:val="continue"/>
            <w:tcBorders>
              <w:left w:val="single" w:color="000000" w:sz="8" w:space="0"/>
              <w:right w:val="single" w:color="000000" w:sz="8" w:space="0"/>
            </w:tcBorders>
            <w:shd w:val="clear" w:color="auto" w:fill="FFFFFF"/>
            <w:vAlign w:val="center"/>
          </w:tcPr>
          <w:p w14:paraId="51936C2D">
            <w:pPr>
              <w:adjustRightInd w:val="0"/>
              <w:snapToGrid w:val="0"/>
              <w:jc w:val="center"/>
              <w:rPr>
                <w:rFonts w:hint="default" w:ascii="Times New Roman" w:hAnsi="Times New Roman" w:eastAsia="宋体" w:cs="Times New Roman"/>
                <w:bCs/>
                <w:color w:val="000000"/>
                <w:sz w:val="18"/>
                <w:szCs w:val="18"/>
                <w:lang w:val="en-US" w:eastAsia="zh-CN"/>
              </w:rPr>
            </w:pPr>
          </w:p>
        </w:tc>
      </w:tr>
      <w:tr w14:paraId="6FB4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 w:type="pct"/>
            <w:vMerge w:val="continue"/>
            <w:tcBorders>
              <w:left w:val="single" w:color="000000" w:sz="8" w:space="0"/>
              <w:right w:val="single" w:color="000000" w:sz="8" w:space="0"/>
            </w:tcBorders>
            <w:shd w:val="clear" w:color="auto" w:fill="FFFFFF"/>
            <w:vAlign w:val="top"/>
          </w:tcPr>
          <w:p w14:paraId="518F2125">
            <w:pPr>
              <w:adjustRightInd w:val="0"/>
              <w:snapToGrid w:val="0"/>
              <w:jc w:val="center"/>
              <w:rPr>
                <w:rFonts w:hint="default" w:ascii="Times New Roman" w:hAnsi="Times New Roman" w:eastAsia="宋体" w:cs="Times New Roman"/>
                <w:bCs/>
                <w:color w:val="000000"/>
                <w:sz w:val="18"/>
                <w:szCs w:val="18"/>
                <w:lang w:val="en-US" w:eastAsia="zh-CN"/>
              </w:rPr>
            </w:pP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top"/>
          </w:tcPr>
          <w:p w14:paraId="44508671">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220kV</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top"/>
          </w:tcPr>
          <w:p w14:paraId="563E55B3">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≤15mg/L</w:t>
            </w:r>
          </w:p>
        </w:tc>
        <w:tc>
          <w:tcPr>
            <w:tcW w:w="1011" w:type="pct"/>
            <w:vMerge w:val="continue"/>
            <w:tcBorders>
              <w:left w:val="single" w:color="000000" w:sz="8" w:space="0"/>
              <w:right w:val="single" w:color="000000" w:sz="8" w:space="0"/>
            </w:tcBorders>
            <w:shd w:val="clear" w:color="auto" w:fill="FFFFFF"/>
            <w:vAlign w:val="center"/>
          </w:tcPr>
          <w:p w14:paraId="01B7118C">
            <w:pPr>
              <w:adjustRightInd w:val="0"/>
              <w:snapToGrid w:val="0"/>
              <w:jc w:val="center"/>
              <w:rPr>
                <w:rFonts w:hint="default" w:ascii="Times New Roman" w:hAnsi="Times New Roman" w:eastAsia="宋体" w:cs="Times New Roman"/>
                <w:bCs/>
                <w:color w:val="000000"/>
                <w:sz w:val="18"/>
                <w:szCs w:val="18"/>
                <w:lang w:val="en-US" w:eastAsia="zh-CN"/>
              </w:rPr>
            </w:pPr>
          </w:p>
        </w:tc>
      </w:tr>
      <w:tr w14:paraId="6BF6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76" w:type="pct"/>
            <w:vMerge w:val="continue"/>
            <w:tcBorders>
              <w:left w:val="single" w:color="000000" w:sz="8" w:space="0"/>
              <w:bottom w:val="single" w:color="000000" w:sz="8" w:space="0"/>
              <w:right w:val="single" w:color="000000" w:sz="8" w:space="0"/>
            </w:tcBorders>
            <w:shd w:val="clear" w:color="auto" w:fill="FFFFFF"/>
            <w:vAlign w:val="top"/>
          </w:tcPr>
          <w:p w14:paraId="2A2AF88E">
            <w:pPr>
              <w:adjustRightInd w:val="0"/>
              <w:snapToGrid w:val="0"/>
              <w:jc w:val="center"/>
              <w:rPr>
                <w:rFonts w:hint="default" w:ascii="Times New Roman" w:hAnsi="Times New Roman" w:eastAsia="宋体" w:cs="Times New Roman"/>
                <w:bCs/>
                <w:color w:val="000000"/>
                <w:sz w:val="18"/>
                <w:szCs w:val="18"/>
                <w:lang w:val="en-US" w:eastAsia="zh-CN"/>
              </w:rPr>
            </w:pPr>
          </w:p>
        </w:tc>
        <w:tc>
          <w:tcPr>
            <w:tcW w:w="1269" w:type="pct"/>
            <w:tcBorders>
              <w:top w:val="single" w:color="000000" w:sz="8" w:space="0"/>
              <w:left w:val="single" w:color="000000" w:sz="8" w:space="0"/>
              <w:bottom w:val="single" w:color="000000" w:sz="8" w:space="0"/>
              <w:right w:val="single" w:color="000000" w:sz="8" w:space="0"/>
            </w:tcBorders>
            <w:shd w:val="clear" w:color="auto" w:fill="FFFFFF"/>
            <w:vAlign w:val="top"/>
          </w:tcPr>
          <w:p w14:paraId="0D149B6B">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110kV及以下</w:t>
            </w:r>
          </w:p>
        </w:tc>
        <w:tc>
          <w:tcPr>
            <w:tcW w:w="1342" w:type="pct"/>
            <w:tcBorders>
              <w:top w:val="single" w:color="000000" w:sz="8" w:space="0"/>
              <w:left w:val="single" w:color="000000" w:sz="8" w:space="0"/>
              <w:bottom w:val="single" w:color="000000" w:sz="8" w:space="0"/>
              <w:right w:val="single" w:color="000000" w:sz="8" w:space="0"/>
            </w:tcBorders>
            <w:shd w:val="clear" w:color="auto" w:fill="FFFFFF"/>
            <w:vAlign w:val="top"/>
          </w:tcPr>
          <w:p w14:paraId="57B6D053">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≤20mg/L</w:t>
            </w:r>
          </w:p>
        </w:tc>
        <w:tc>
          <w:tcPr>
            <w:tcW w:w="1011" w:type="pct"/>
            <w:vMerge w:val="continue"/>
            <w:tcBorders>
              <w:left w:val="single" w:color="000000" w:sz="8" w:space="0"/>
              <w:bottom w:val="single" w:color="000000" w:sz="8" w:space="0"/>
              <w:right w:val="single" w:color="000000" w:sz="8" w:space="0"/>
            </w:tcBorders>
            <w:shd w:val="clear" w:color="auto" w:fill="FFFFFF"/>
            <w:vAlign w:val="center"/>
          </w:tcPr>
          <w:p w14:paraId="0F927860">
            <w:pPr>
              <w:adjustRightInd w:val="0"/>
              <w:snapToGrid w:val="0"/>
              <w:jc w:val="center"/>
              <w:rPr>
                <w:rFonts w:hint="default" w:ascii="Times New Roman" w:hAnsi="Times New Roman" w:eastAsia="宋体" w:cs="Times New Roman"/>
                <w:bCs/>
                <w:color w:val="000000"/>
                <w:sz w:val="18"/>
                <w:szCs w:val="18"/>
                <w:lang w:val="en-US" w:eastAsia="zh-CN"/>
              </w:rPr>
            </w:pPr>
          </w:p>
        </w:tc>
      </w:tr>
      <w:tr w14:paraId="3808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6" w:type="pct"/>
            <w:vMerge w:val="restart"/>
            <w:tcBorders>
              <w:top w:val="single" w:color="000000" w:sz="8" w:space="0"/>
              <w:left w:val="single" w:color="000000" w:sz="8" w:space="0"/>
              <w:right w:val="single" w:color="000000" w:sz="8" w:space="0"/>
            </w:tcBorders>
            <w:shd w:val="clear" w:color="auto" w:fill="FFFFFF"/>
            <w:vAlign w:val="center"/>
          </w:tcPr>
          <w:p w14:paraId="674E5939">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介质损耗因数 tanδ%（90℃）</w:t>
            </w:r>
          </w:p>
        </w:tc>
        <w:tc>
          <w:tcPr>
            <w:tcW w:w="1269" w:type="pct"/>
            <w:tcBorders>
              <w:top w:val="single" w:color="000000" w:sz="8" w:space="0"/>
              <w:left w:val="single" w:color="000000" w:sz="8" w:space="0"/>
              <w:bottom w:val="single" w:color="auto" w:sz="4" w:space="0"/>
              <w:right w:val="single" w:color="000000" w:sz="8" w:space="0"/>
            </w:tcBorders>
            <w:shd w:val="clear" w:color="auto" w:fill="FFFFFF"/>
            <w:vAlign w:val="center"/>
          </w:tcPr>
          <w:p w14:paraId="6FD51281">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注入电气设备前</w:t>
            </w:r>
          </w:p>
        </w:tc>
        <w:tc>
          <w:tcPr>
            <w:tcW w:w="1342" w:type="pct"/>
            <w:tcBorders>
              <w:top w:val="single" w:color="000000" w:sz="8" w:space="0"/>
              <w:left w:val="single" w:color="000000" w:sz="8" w:space="0"/>
              <w:bottom w:val="single" w:color="auto" w:sz="4" w:space="0"/>
              <w:right w:val="single" w:color="000000" w:sz="8" w:space="0"/>
            </w:tcBorders>
            <w:shd w:val="clear" w:color="auto" w:fill="FFFFFF"/>
            <w:vAlign w:val="center"/>
          </w:tcPr>
          <w:p w14:paraId="68351374">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≤0.5%</w:t>
            </w:r>
          </w:p>
        </w:tc>
        <w:tc>
          <w:tcPr>
            <w:tcW w:w="1011" w:type="pct"/>
            <w:vMerge w:val="restart"/>
            <w:tcBorders>
              <w:top w:val="single" w:color="000000" w:sz="8" w:space="0"/>
              <w:left w:val="single" w:color="000000" w:sz="8" w:space="0"/>
              <w:right w:val="single" w:color="000000" w:sz="8" w:space="0"/>
            </w:tcBorders>
            <w:shd w:val="clear" w:color="auto" w:fill="FFFFFF"/>
            <w:vAlign w:val="center"/>
          </w:tcPr>
          <w:p w14:paraId="1298F51C">
            <w:pPr>
              <w:adjustRightInd w:val="0"/>
              <w:snapToGrid w:val="0"/>
              <w:jc w:val="center"/>
              <w:rPr>
                <w:rFonts w:hint="default" w:ascii="Times New Roman" w:hAnsi="Times New Roman" w:eastAsia="宋体" w:cs="Times New Roman"/>
                <w:bCs/>
                <w:color w:val="000000"/>
                <w:sz w:val="18"/>
                <w:szCs w:val="18"/>
                <w:lang w:val="en-US" w:eastAsia="zh-CN"/>
              </w:rPr>
            </w:pPr>
          </w:p>
        </w:tc>
      </w:tr>
      <w:tr w14:paraId="5889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376" w:type="pct"/>
            <w:vMerge w:val="continue"/>
            <w:tcBorders>
              <w:left w:val="single" w:color="000000" w:sz="8" w:space="0"/>
              <w:bottom w:val="single" w:color="000000" w:sz="8" w:space="0"/>
              <w:right w:val="single" w:color="000000" w:sz="8" w:space="0"/>
            </w:tcBorders>
            <w:shd w:val="clear" w:color="auto" w:fill="FFFFFF"/>
            <w:vAlign w:val="center"/>
          </w:tcPr>
          <w:p w14:paraId="2F41C418">
            <w:pPr>
              <w:adjustRightInd w:val="0"/>
              <w:snapToGrid w:val="0"/>
              <w:jc w:val="center"/>
              <w:rPr>
                <w:rFonts w:hint="default" w:ascii="Times New Roman" w:hAnsi="Times New Roman" w:eastAsia="宋体" w:cs="Times New Roman"/>
                <w:bCs/>
                <w:color w:val="000000"/>
                <w:sz w:val="18"/>
                <w:szCs w:val="18"/>
                <w:lang w:val="en-US" w:eastAsia="zh-CN"/>
              </w:rPr>
            </w:pPr>
          </w:p>
        </w:tc>
        <w:tc>
          <w:tcPr>
            <w:tcW w:w="1269" w:type="pct"/>
            <w:tcBorders>
              <w:top w:val="single" w:color="auto" w:sz="4" w:space="0"/>
              <w:left w:val="single" w:color="000000" w:sz="8" w:space="0"/>
              <w:bottom w:val="single" w:color="000000" w:sz="8" w:space="0"/>
              <w:right w:val="single" w:color="000000" w:sz="8" w:space="0"/>
            </w:tcBorders>
            <w:shd w:val="clear" w:color="auto" w:fill="FFFFFF"/>
            <w:vAlign w:val="center"/>
          </w:tcPr>
          <w:p w14:paraId="1E2AF8B3">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注入电气设备后</w:t>
            </w:r>
          </w:p>
        </w:tc>
        <w:tc>
          <w:tcPr>
            <w:tcW w:w="1342" w:type="pct"/>
            <w:tcBorders>
              <w:top w:val="single" w:color="auto" w:sz="4" w:space="0"/>
              <w:left w:val="single" w:color="000000" w:sz="8" w:space="0"/>
              <w:bottom w:val="single" w:color="000000" w:sz="8" w:space="0"/>
              <w:right w:val="single" w:color="000000" w:sz="8" w:space="0"/>
            </w:tcBorders>
            <w:shd w:val="clear" w:color="auto" w:fill="FFFFFF"/>
            <w:vAlign w:val="center"/>
          </w:tcPr>
          <w:p w14:paraId="29772A4A">
            <w:pPr>
              <w:adjustRightInd w:val="0"/>
              <w:snapToGrid w:val="0"/>
              <w:jc w:val="center"/>
              <w:rPr>
                <w:rFonts w:hint="default" w:ascii="Times New Roman" w:hAnsi="Times New Roman" w:eastAsia="宋体" w:cs="Times New Roman"/>
                <w:bCs/>
                <w:color w:val="000000"/>
                <w:sz w:val="18"/>
                <w:szCs w:val="18"/>
                <w:lang w:val="en-US" w:eastAsia="zh-CN"/>
              </w:rPr>
            </w:pPr>
            <w:r>
              <w:rPr>
                <w:rFonts w:hint="default" w:ascii="Times New Roman" w:hAnsi="Times New Roman" w:eastAsia="宋体" w:cs="Times New Roman"/>
                <w:bCs/>
                <w:color w:val="000000"/>
                <w:sz w:val="18"/>
                <w:szCs w:val="18"/>
                <w:lang w:val="en-US" w:eastAsia="zh-CN"/>
              </w:rPr>
              <w:t>≤0.7%</w:t>
            </w:r>
          </w:p>
        </w:tc>
        <w:tc>
          <w:tcPr>
            <w:tcW w:w="1011" w:type="pct"/>
            <w:vMerge w:val="continue"/>
            <w:tcBorders>
              <w:left w:val="single" w:color="000000" w:sz="8" w:space="0"/>
              <w:bottom w:val="single" w:color="000000" w:sz="8" w:space="0"/>
              <w:right w:val="single" w:color="000000" w:sz="8" w:space="0"/>
            </w:tcBorders>
            <w:shd w:val="clear" w:color="auto" w:fill="FFFFFF"/>
            <w:vAlign w:val="center"/>
          </w:tcPr>
          <w:p w14:paraId="7A6CB318">
            <w:pPr>
              <w:adjustRightInd w:val="0"/>
              <w:snapToGrid w:val="0"/>
              <w:jc w:val="center"/>
              <w:rPr>
                <w:rFonts w:hint="default" w:ascii="Times New Roman" w:hAnsi="Times New Roman" w:eastAsia="宋体" w:cs="Times New Roman"/>
                <w:bCs/>
                <w:color w:val="000000"/>
                <w:sz w:val="18"/>
                <w:szCs w:val="18"/>
                <w:lang w:val="en-US" w:eastAsia="zh-CN"/>
              </w:rPr>
            </w:pPr>
          </w:p>
        </w:tc>
      </w:tr>
    </w:tbl>
    <w:p w14:paraId="6F4E6833">
      <w:pPr>
        <w:jc w:val="left"/>
        <w:rPr>
          <w:rFonts w:hint="default" w:ascii="Times New Roman" w:hAnsi="Times New Roman" w:eastAsia="宋体" w:cs="Times New Roman"/>
          <w:lang w:val="en-US" w:eastAsia="zh-CN"/>
        </w:rPr>
      </w:pPr>
    </w:p>
    <w:p w14:paraId="660294A8">
      <w:pPr>
        <w:jc w:val="left"/>
        <w:rPr>
          <w:rFonts w:hint="default" w:ascii="Times New Roman" w:hAnsi="Times New Roman" w:eastAsia="宋体" w:cs="Times New Roman"/>
        </w:rPr>
      </w:pPr>
      <w:r>
        <w:rPr>
          <w:rFonts w:hint="default" w:ascii="Times New Roman" w:hAnsi="Times New Roman" w:eastAsia="宋体" w:cs="Times New Roman"/>
          <w:lang w:val="en-US" w:eastAsia="zh-CN"/>
        </w:rPr>
        <w:t>7.</w:t>
      </w:r>
      <w:r>
        <w:rPr>
          <w:rFonts w:hint="default" w:ascii="Times New Roman" w:hAnsi="Times New Roman" w:cs="Times New Roman"/>
          <w:lang w:val="en-US" w:eastAsia="zh-CN"/>
        </w:rPr>
        <w:t>2</w:t>
      </w:r>
      <w:r>
        <w:rPr>
          <w:rFonts w:hint="default" w:ascii="Times New Roman" w:hAnsi="Times New Roman" w:eastAsia="宋体" w:cs="Times New Roman"/>
          <w:lang w:val="en-US" w:eastAsia="zh-CN"/>
        </w:rPr>
        <w:t>.3</w:t>
      </w:r>
      <w:r>
        <w:rPr>
          <w:rFonts w:hint="default" w:ascii="Times New Roman" w:hAnsi="Times New Roman" w:eastAsia="宋体" w:cs="Times New Roman"/>
        </w:rPr>
        <w:t xml:space="preserve"> 排氮</w:t>
      </w:r>
    </w:p>
    <w:p w14:paraId="663AC5A1">
      <w:pPr>
        <w:jc w:val="left"/>
        <w:rPr>
          <w:rFonts w:hint="default" w:ascii="Times New Roman" w:hAnsi="Times New Roman" w:eastAsia="宋体" w:cs="Times New Roman"/>
          <w:lang w:eastAsia="zh-CN"/>
        </w:rPr>
      </w:pPr>
      <w:r>
        <w:rPr>
          <w:rFonts w:hint="default" w:ascii="Times New Roman" w:hAnsi="Times New Roman" w:eastAsia="宋体" w:cs="Times New Roman"/>
          <w:lang w:val="en-US" w:eastAsia="zh-CN"/>
        </w:rPr>
        <w:t>7.</w:t>
      </w:r>
      <w:r>
        <w:rPr>
          <w:rFonts w:hint="default" w:ascii="Times New Roman" w:hAnsi="Times New Roman" w:cs="Times New Roman"/>
          <w:lang w:val="en-US" w:eastAsia="zh-CN"/>
        </w:rPr>
        <w:t>2</w:t>
      </w:r>
      <w:r>
        <w:rPr>
          <w:rFonts w:hint="default" w:ascii="Times New Roman" w:hAnsi="Times New Roman" w:eastAsia="宋体" w:cs="Times New Roman"/>
          <w:lang w:val="en-US" w:eastAsia="zh-CN"/>
        </w:rPr>
        <w:t>.3</w:t>
      </w:r>
      <w:r>
        <w:rPr>
          <w:rFonts w:hint="default" w:ascii="Times New Roman" w:hAnsi="Times New Roman" w:eastAsia="宋体" w:cs="Times New Roman"/>
        </w:rPr>
        <w:t>.1 采用注油排氮时，应符合下列规定</w:t>
      </w:r>
      <w:r>
        <w:rPr>
          <w:rFonts w:hint="default" w:ascii="Times New Roman" w:hAnsi="Times New Roman" w:eastAsia="宋体" w:cs="Times New Roman"/>
          <w:lang w:eastAsia="zh-CN"/>
        </w:rPr>
        <w:t>；</w:t>
      </w:r>
    </w:p>
    <w:p w14:paraId="7E8BEC43">
      <w:pPr>
        <w:keepNext w:val="0"/>
        <w:keepLines w:val="0"/>
        <w:pageBreakBefore w:val="0"/>
        <w:widowControl/>
        <w:numPr>
          <w:ilvl w:val="0"/>
          <w:numId w:val="46"/>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绝缘油应经净化处理，注</w:t>
      </w:r>
      <w:r>
        <w:rPr>
          <w:rFonts w:hint="default" w:ascii="Times New Roman" w:hAnsi="Times New Roman" w:eastAsia="宋体" w:cs="Times New Roman"/>
          <w:lang w:val="en-US" w:eastAsia="zh-CN"/>
        </w:rPr>
        <w:t>入</w:t>
      </w:r>
      <w:r>
        <w:rPr>
          <w:rFonts w:hint="default" w:ascii="Times New Roman" w:hAnsi="Times New Roman" w:eastAsia="宋体" w:cs="Times New Roman"/>
        </w:rPr>
        <w:t>变压器的油应</w:t>
      </w:r>
      <w:r>
        <w:rPr>
          <w:rFonts w:hint="default" w:ascii="Times New Roman" w:hAnsi="Times New Roman" w:eastAsia="宋体" w:cs="Times New Roman"/>
          <w:lang w:val="en-US" w:eastAsia="zh-CN"/>
        </w:rPr>
        <w:t>合格</w:t>
      </w:r>
      <w:r>
        <w:rPr>
          <w:rFonts w:hint="eastAsia" w:ascii="Times New Roman" w:hAnsi="Times New Roman" w:cs="Times New Roman"/>
          <w:lang w:val="en-US" w:eastAsia="zh-CN"/>
        </w:rPr>
        <w:t>；</w:t>
      </w:r>
    </w:p>
    <w:p w14:paraId="461BD47B">
      <w:pPr>
        <w:keepNext w:val="0"/>
        <w:keepLines w:val="0"/>
        <w:pageBreakBefore w:val="0"/>
        <w:widowControl/>
        <w:numPr>
          <w:ilvl w:val="0"/>
          <w:numId w:val="46"/>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油管宜采用钢管或其他耐油管</w:t>
      </w:r>
      <w:r>
        <w:rPr>
          <w:rFonts w:hint="default" w:ascii="Times New Roman" w:hAnsi="Times New Roman" w:eastAsia="宋体" w:cs="Times New Roman"/>
          <w:lang w:eastAsia="zh-CN"/>
        </w:rPr>
        <w:t>，</w:t>
      </w:r>
      <w:r>
        <w:rPr>
          <w:rFonts w:hint="default" w:ascii="Times New Roman" w:hAnsi="Times New Roman" w:eastAsia="宋体" w:cs="Times New Roman"/>
        </w:rPr>
        <w:t>油管内部应彻底清洗干净。当采用耐油胶管时</w:t>
      </w:r>
      <w:r>
        <w:rPr>
          <w:rFonts w:hint="default" w:ascii="Times New Roman" w:hAnsi="Times New Roman" w:eastAsia="宋体" w:cs="Times New Roman"/>
          <w:lang w:eastAsia="zh-CN"/>
        </w:rPr>
        <w:t>，</w:t>
      </w:r>
      <w:r>
        <w:rPr>
          <w:rFonts w:hint="default" w:ascii="Times New Roman" w:hAnsi="Times New Roman" w:eastAsia="宋体" w:cs="Times New Roman"/>
        </w:rPr>
        <w:t>应确保胶管不污染绝缘油</w:t>
      </w:r>
      <w:r>
        <w:rPr>
          <w:rFonts w:hint="eastAsia" w:ascii="Times New Roman" w:hAnsi="Times New Roman" w:cs="Times New Roman"/>
          <w:lang w:eastAsia="zh-CN"/>
        </w:rPr>
        <w:t>；</w:t>
      </w:r>
    </w:p>
    <w:p w14:paraId="5427A949">
      <w:pPr>
        <w:keepNext w:val="0"/>
        <w:keepLines w:val="0"/>
        <w:pageBreakBefore w:val="0"/>
        <w:widowControl/>
        <w:numPr>
          <w:ilvl w:val="0"/>
          <w:numId w:val="46"/>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应装</w:t>
      </w:r>
      <w:r>
        <w:rPr>
          <w:rFonts w:hint="default" w:ascii="Times New Roman" w:hAnsi="Times New Roman" w:eastAsia="宋体" w:cs="Times New Roman"/>
          <w:lang w:val="en-US" w:eastAsia="zh-CN"/>
        </w:rPr>
        <w:t>设</w:t>
      </w:r>
      <w:r>
        <w:rPr>
          <w:rFonts w:hint="default" w:ascii="Times New Roman" w:hAnsi="Times New Roman" w:eastAsia="宋体" w:cs="Times New Roman"/>
        </w:rPr>
        <w:t>临时油位表</w:t>
      </w:r>
      <w:r>
        <w:rPr>
          <w:rFonts w:hint="eastAsia" w:ascii="Times New Roman" w:hAnsi="Times New Roman" w:cs="Times New Roman"/>
          <w:lang w:eastAsia="zh-CN"/>
        </w:rPr>
        <w:t>；</w:t>
      </w:r>
    </w:p>
    <w:p w14:paraId="654AF0AD">
      <w:pPr>
        <w:keepNext w:val="0"/>
        <w:keepLines w:val="0"/>
        <w:pageBreakBefore w:val="0"/>
        <w:widowControl/>
        <w:numPr>
          <w:ilvl w:val="0"/>
          <w:numId w:val="46"/>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rPr>
        <w:t>绝缘油应经</w:t>
      </w:r>
      <w:r>
        <w:rPr>
          <w:rFonts w:hint="default" w:ascii="Times New Roman" w:hAnsi="Times New Roman" w:eastAsia="宋体" w:cs="Times New Roman"/>
          <w:lang w:val="en-US" w:eastAsia="zh-CN"/>
        </w:rPr>
        <w:t>真空滤油</w:t>
      </w:r>
      <w:r>
        <w:rPr>
          <w:rFonts w:hint="default" w:ascii="Times New Roman" w:hAnsi="Times New Roman" w:eastAsia="宋体" w:cs="Times New Roman"/>
        </w:rPr>
        <w:t>设备从变压器下部阀门注</w:t>
      </w:r>
      <w:r>
        <w:rPr>
          <w:rFonts w:hint="default" w:ascii="Times New Roman" w:hAnsi="Times New Roman" w:eastAsia="宋体" w:cs="Times New Roman"/>
          <w:lang w:val="en-US" w:eastAsia="zh-CN"/>
        </w:rPr>
        <w:t>入</w:t>
      </w:r>
      <w:r>
        <w:rPr>
          <w:rFonts w:hint="default" w:ascii="Times New Roman" w:hAnsi="Times New Roman" w:eastAsia="宋体" w:cs="Times New Roman"/>
        </w:rPr>
        <w:t>变压器内</w:t>
      </w:r>
      <w:r>
        <w:rPr>
          <w:rFonts w:hint="default" w:ascii="Times New Roman" w:hAnsi="Times New Roman" w:eastAsia="宋体" w:cs="Times New Roman"/>
          <w:lang w:eastAsia="zh-CN"/>
        </w:rPr>
        <w:t>，</w:t>
      </w:r>
      <w:r>
        <w:rPr>
          <w:rFonts w:hint="default" w:ascii="Times New Roman" w:hAnsi="Times New Roman" w:eastAsia="宋体" w:cs="Times New Roman"/>
        </w:rPr>
        <w:t>氮气应经顶部排出</w:t>
      </w:r>
      <w:r>
        <w:rPr>
          <w:rFonts w:hint="default" w:ascii="Times New Roman" w:hAnsi="Times New Roman" w:eastAsia="宋体" w:cs="Times New Roman"/>
          <w:lang w:eastAsia="zh-CN"/>
        </w:rPr>
        <w:t>；</w:t>
      </w:r>
      <w:r>
        <w:rPr>
          <w:rFonts w:hint="default" w:ascii="Times New Roman" w:hAnsi="Times New Roman" w:eastAsia="宋体" w:cs="Times New Roman"/>
        </w:rPr>
        <w:t>油应注至油箱顶部将氮气排尽。最终油位应高出铁芯上沿200mm以上。500kV及以下的绝缘油的静置时间不应小于12h</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750</w:t>
      </w:r>
      <w:r>
        <w:rPr>
          <w:rFonts w:hint="default" w:ascii="Times New Roman" w:hAnsi="Times New Roman" w:eastAsia="宋体" w:cs="Times New Roman"/>
        </w:rPr>
        <w:t>kV的绝缘油的静置时间不应小于</w:t>
      </w:r>
      <w:r>
        <w:rPr>
          <w:rFonts w:hint="default" w:ascii="Times New Roman" w:hAnsi="Times New Roman" w:eastAsia="宋体" w:cs="Times New Roman"/>
          <w:lang w:val="en-US" w:eastAsia="zh-CN"/>
        </w:rPr>
        <w:t>24</w:t>
      </w:r>
      <w:r>
        <w:rPr>
          <w:rFonts w:hint="default" w:ascii="Times New Roman" w:hAnsi="Times New Roman" w:eastAsia="宋体" w:cs="Times New Roman"/>
        </w:rPr>
        <w:t>h</w:t>
      </w:r>
      <w:r>
        <w:rPr>
          <w:rFonts w:hint="eastAsia" w:ascii="Times New Roman" w:hAnsi="Times New Roman" w:cs="Times New Roman"/>
          <w:lang w:eastAsia="zh-CN"/>
        </w:rPr>
        <w:t>；</w:t>
      </w:r>
    </w:p>
    <w:p w14:paraId="7DEA4A3D">
      <w:pPr>
        <w:keepNext w:val="0"/>
        <w:keepLines w:val="0"/>
        <w:pageBreakBefore w:val="0"/>
        <w:widowControl/>
        <w:numPr>
          <w:ilvl w:val="0"/>
          <w:numId w:val="46"/>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rPr>
        <w:t>注油排氮时</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任何人不得在排气孔处停留。</w:t>
      </w:r>
    </w:p>
    <w:p w14:paraId="34FA5C57">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.2</w:t>
      </w:r>
      <w:r>
        <w:rPr>
          <w:rFonts w:hint="default" w:ascii="Times New Roman" w:hAnsi="Times New Roman" w:cs="Times New Roman"/>
          <w:color w:val="000000"/>
          <w:kern w:val="0"/>
          <w:sz w:val="21"/>
          <w:szCs w:val="21"/>
          <w:lang w:val="en-US" w:eastAsia="zh-CN" w:bidi="ar"/>
        </w:rPr>
        <w:t>采用</w:t>
      </w:r>
      <w:r>
        <w:rPr>
          <w:rFonts w:hint="default" w:ascii="Times New Roman" w:hAnsi="Times New Roman" w:eastAsia="宋体" w:cs="Times New Roman"/>
          <w:sz w:val="21"/>
          <w:szCs w:val="21"/>
        </w:rPr>
        <w:t>抽真空排氮时</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排氮口应装设在空气流通处。破坏真空时应注入干燥空气。</w:t>
      </w:r>
    </w:p>
    <w:p w14:paraId="2298992D">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.3充氮的变压器需吊罩检查时</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必须让器身在空气</w:t>
      </w:r>
      <w:r>
        <w:rPr>
          <w:rFonts w:hint="default" w:ascii="Times New Roman" w:hAnsi="Times New Roman" w:eastAsia="宋体" w:cs="Times New Roman"/>
          <w:color w:val="000000"/>
          <w:kern w:val="0"/>
          <w:sz w:val="21"/>
          <w:szCs w:val="21"/>
          <w:lang w:val="en-US" w:eastAsia="zh-CN" w:bidi="ar"/>
        </w:rPr>
        <w:t xml:space="preserve">中暴露15min以上，待氮气充分扩散后进行。 </w:t>
      </w:r>
    </w:p>
    <w:p w14:paraId="2DC690D7">
      <w:pPr>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7.</w:t>
      </w:r>
      <w:r>
        <w:rPr>
          <w:rFonts w:hint="default" w:ascii="Times New Roman" w:hAnsi="Times New Roman"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val="en-US" w:eastAsia="zh-CN" w:bidi="ar"/>
        </w:rPr>
        <w:t>.4 器身检查</w:t>
      </w:r>
    </w:p>
    <w:p w14:paraId="2DDDB195">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 xml:space="preserve">.1 </w:t>
      </w:r>
      <w:r>
        <w:rPr>
          <w:rFonts w:hint="default" w:ascii="Times New Roman" w:hAnsi="Times New Roman" w:cs="Times New Roman"/>
          <w:color w:val="000000"/>
          <w:kern w:val="0"/>
          <w:sz w:val="21"/>
          <w:szCs w:val="21"/>
          <w:lang w:val="en-US" w:eastAsia="zh-CN" w:bidi="ar"/>
        </w:rPr>
        <w:t>变压器</w:t>
      </w:r>
      <w:r>
        <w:rPr>
          <w:rFonts w:hint="default" w:ascii="Times New Roman" w:hAnsi="Times New Roman" w:eastAsia="宋体" w:cs="Times New Roman"/>
          <w:sz w:val="21"/>
          <w:szCs w:val="21"/>
        </w:rPr>
        <w:t>到达现场后，当满足下列条件之一时，可不进行器身检查∶</w:t>
      </w:r>
    </w:p>
    <w:p w14:paraId="1311680D">
      <w:pPr>
        <w:keepNext w:val="0"/>
        <w:keepLines w:val="0"/>
        <w:pageBreakBefore w:val="0"/>
        <w:widowControl/>
        <w:numPr>
          <w:ilvl w:val="0"/>
          <w:numId w:val="47"/>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rPr>
      </w:pPr>
      <w:r>
        <w:rPr>
          <w:rFonts w:hint="default" w:ascii="Times New Roman" w:hAnsi="Times New Roman" w:eastAsia="宋体" w:cs="Times New Roman"/>
          <w:sz w:val="21"/>
          <w:szCs w:val="21"/>
        </w:rPr>
        <w:t>制造</w:t>
      </w:r>
      <w:r>
        <w:rPr>
          <w:rFonts w:hint="default" w:ascii="Times New Roman" w:hAnsi="Times New Roman" w:eastAsia="宋体" w:cs="Times New Roman"/>
        </w:rPr>
        <w:t>厂说明可不进行器身检查者</w:t>
      </w:r>
      <w:r>
        <w:rPr>
          <w:rFonts w:hint="eastAsia" w:ascii="Times New Roman" w:hAnsi="Times New Roman" w:cs="Times New Roman"/>
          <w:lang w:eastAsia="zh-CN"/>
        </w:rPr>
        <w:t>；</w:t>
      </w:r>
    </w:p>
    <w:p w14:paraId="20CF2C88">
      <w:pPr>
        <w:keepNext w:val="0"/>
        <w:keepLines w:val="0"/>
        <w:pageBreakBefore w:val="0"/>
        <w:widowControl/>
        <w:numPr>
          <w:ilvl w:val="0"/>
          <w:numId w:val="47"/>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rPr>
        <w:t>容量</w:t>
      </w:r>
      <w:r>
        <w:rPr>
          <w:rFonts w:hint="default" w:ascii="Times New Roman" w:hAnsi="Times New Roman" w:eastAsia="宋体" w:cs="Times New Roman"/>
          <w:sz w:val="21"/>
          <w:szCs w:val="21"/>
        </w:rPr>
        <w:t>为</w:t>
      </w:r>
      <w:r>
        <w:rPr>
          <w:rFonts w:hint="default" w:ascii="Times New Roman" w:hAnsi="Times New Roman" w:eastAsia="宋体" w:cs="Times New Roman"/>
          <w:sz w:val="21"/>
          <w:szCs w:val="21"/>
          <w:lang w:val="en-US" w:eastAsia="zh-CN"/>
        </w:rPr>
        <w:t>1</w:t>
      </w:r>
      <w:r>
        <w:rPr>
          <w:rFonts w:hint="default" w:ascii="Times New Roman" w:hAnsi="Times New Roman" w:cs="Times New Roman"/>
          <w:sz w:val="21"/>
          <w:szCs w:val="21"/>
          <w:lang w:val="en-US" w:eastAsia="zh-CN"/>
        </w:rPr>
        <w:t>6</w:t>
      </w:r>
      <w:r>
        <w:rPr>
          <w:rFonts w:hint="default" w:ascii="Times New Roman" w:hAnsi="Times New Roman" w:eastAsia="宋体" w:cs="Times New Roman"/>
          <w:sz w:val="21"/>
          <w:szCs w:val="21"/>
        </w:rPr>
        <w:t>00kVA及以下，运输过程中无异</w:t>
      </w:r>
      <w:r>
        <w:rPr>
          <w:rFonts w:hint="default" w:ascii="Times New Roman" w:hAnsi="Times New Roman" w:eastAsia="宋体" w:cs="Times New Roman"/>
          <w:sz w:val="21"/>
          <w:szCs w:val="21"/>
          <w:lang w:eastAsia="zh-CN"/>
        </w:rPr>
        <w:t>常</w:t>
      </w:r>
      <w:r>
        <w:rPr>
          <w:rFonts w:hint="default" w:ascii="Times New Roman" w:hAnsi="Times New Roman" w:eastAsia="宋体" w:cs="Times New Roman"/>
          <w:sz w:val="21"/>
          <w:szCs w:val="21"/>
        </w:rPr>
        <w:t>情况者</w:t>
      </w:r>
      <w:r>
        <w:rPr>
          <w:rFonts w:hint="eastAsia" w:ascii="Times New Roman" w:hAnsi="Times New Roman" w:cs="Times New Roman"/>
          <w:sz w:val="21"/>
          <w:szCs w:val="21"/>
          <w:lang w:eastAsia="zh-CN"/>
        </w:rPr>
        <w:t>；</w:t>
      </w:r>
    </w:p>
    <w:p w14:paraId="3B48E0EB">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.2 器身检查可吊罩或吊器身，</w:t>
      </w:r>
      <w:r>
        <w:rPr>
          <w:rFonts w:hint="default" w:ascii="Times New Roman" w:hAnsi="Times New Roman" w:eastAsia="宋体" w:cs="Times New Roman"/>
          <w:sz w:val="21"/>
          <w:szCs w:val="21"/>
          <w:lang w:eastAsia="zh-CN"/>
        </w:rPr>
        <w:t>或</w:t>
      </w:r>
      <w:r>
        <w:rPr>
          <w:rFonts w:hint="default" w:ascii="Times New Roman" w:hAnsi="Times New Roman" w:eastAsia="宋体" w:cs="Times New Roman"/>
          <w:sz w:val="21"/>
          <w:szCs w:val="21"/>
        </w:rPr>
        <w:t>直接进</w:t>
      </w:r>
      <w:r>
        <w:rPr>
          <w:rFonts w:hint="default" w:ascii="Times New Roman" w:hAnsi="Times New Roman" w:eastAsia="宋体" w:cs="Times New Roman"/>
          <w:sz w:val="21"/>
          <w:szCs w:val="21"/>
          <w:lang w:eastAsia="zh-CN"/>
        </w:rPr>
        <w:t>入</w:t>
      </w:r>
      <w:r>
        <w:rPr>
          <w:rFonts w:hint="default" w:ascii="Times New Roman" w:hAnsi="Times New Roman" w:eastAsia="宋体" w:cs="Times New Roman"/>
          <w:sz w:val="21"/>
          <w:szCs w:val="21"/>
        </w:rPr>
        <w:t>油箱内进行。</w:t>
      </w:r>
    </w:p>
    <w:p w14:paraId="3C3FC0B4">
      <w:pPr>
        <w:jc w:val="left"/>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.3 有</w:t>
      </w:r>
      <w:r>
        <w:rPr>
          <w:rFonts w:hint="default" w:ascii="Times New Roman" w:hAnsi="Times New Roman" w:cs="Times New Roman"/>
          <w:color w:val="000000"/>
          <w:kern w:val="0"/>
          <w:sz w:val="21"/>
          <w:szCs w:val="21"/>
          <w:lang w:val="en-US" w:eastAsia="zh-CN" w:bidi="ar"/>
        </w:rPr>
        <w:t>下列</w:t>
      </w:r>
      <w:r>
        <w:rPr>
          <w:rFonts w:hint="default" w:ascii="Times New Roman" w:hAnsi="Times New Roman" w:eastAsia="宋体" w:cs="Times New Roman"/>
          <w:sz w:val="21"/>
          <w:szCs w:val="21"/>
        </w:rPr>
        <w:t>情况之一时，应对变压器进行器身检查</w:t>
      </w:r>
      <w:r>
        <w:rPr>
          <w:rFonts w:hint="eastAsia" w:ascii="Times New Roman" w:hAnsi="Times New Roman" w:cs="Times New Roman"/>
          <w:sz w:val="21"/>
          <w:szCs w:val="21"/>
          <w:lang w:eastAsia="zh-CN"/>
        </w:rPr>
        <w:t>：</w:t>
      </w:r>
    </w:p>
    <w:p w14:paraId="52084BDE">
      <w:pPr>
        <w:keepNext w:val="0"/>
        <w:keepLines w:val="0"/>
        <w:pageBreakBefore w:val="0"/>
        <w:widowControl/>
        <w:numPr>
          <w:ilvl w:val="0"/>
          <w:numId w:val="48"/>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制造厂或建设单位认为应进行器身检查</w:t>
      </w:r>
      <w:r>
        <w:rPr>
          <w:rFonts w:hint="eastAsia" w:ascii="Times New Roman" w:hAnsi="Times New Roman" w:cs="Times New Roman"/>
          <w:sz w:val="21"/>
          <w:szCs w:val="21"/>
          <w:lang w:eastAsia="zh-CN"/>
        </w:rPr>
        <w:t>；</w:t>
      </w:r>
    </w:p>
    <w:p w14:paraId="283BE2F2">
      <w:pPr>
        <w:keepNext w:val="0"/>
        <w:keepLines w:val="0"/>
        <w:pageBreakBefore w:val="0"/>
        <w:widowControl/>
        <w:numPr>
          <w:ilvl w:val="0"/>
          <w:numId w:val="48"/>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变压器运输和装卸过程中冲撞加速度出现大于3g或冲撞加速度监视装量出现异常情况时，应由建设、监理、施工、运输和制造厂等单位代表共同分析原因并出具正式报告</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确定进行现场器身检查或返厂处理。</w:t>
      </w:r>
    </w:p>
    <w:p w14:paraId="4899260B">
      <w:pPr>
        <w:jc w:val="left"/>
        <w:rPr>
          <w:rFonts w:hint="default" w:ascii="Times New Roman" w:hAnsi="Times New Roman" w:eastAsia="宋体" w:cs="Times New Roman"/>
          <w:lang w:val="en-US" w:eastAsia="zh-CN"/>
        </w:rPr>
      </w:pPr>
      <w:r>
        <w:rPr>
          <w:rFonts w:hint="default" w:ascii="Times New Roman" w:hAnsi="Times New Roman" w:eastAsia="宋体" w:cs="Times New Roman"/>
          <w:sz w:val="21"/>
          <w:szCs w:val="21"/>
          <w:lang w:val="en-US"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val="en-US" w:eastAsia="zh-CN"/>
        </w:rPr>
        <w:t xml:space="preserve">.4.4 </w:t>
      </w:r>
      <w:r>
        <w:rPr>
          <w:rFonts w:hint="default" w:ascii="Times New Roman" w:hAnsi="Times New Roman" w:cs="Times New Roman"/>
          <w:color w:val="000000"/>
          <w:kern w:val="0"/>
          <w:sz w:val="21"/>
          <w:szCs w:val="21"/>
          <w:lang w:val="en-US" w:eastAsia="zh-CN" w:bidi="ar"/>
        </w:rPr>
        <w:t>变压器</w:t>
      </w:r>
      <w:r>
        <w:rPr>
          <w:rFonts w:hint="default" w:ascii="Times New Roman" w:hAnsi="Times New Roman" w:eastAsia="宋体" w:cs="Times New Roman"/>
          <w:sz w:val="21"/>
          <w:szCs w:val="21"/>
          <w:lang w:val="en-US" w:eastAsia="zh-CN"/>
        </w:rPr>
        <w:t>器身检查应由设备</w:t>
      </w:r>
      <w:r>
        <w:rPr>
          <w:rFonts w:hint="default" w:ascii="Times New Roman" w:hAnsi="Times New Roman" w:cs="Times New Roman"/>
          <w:sz w:val="21"/>
          <w:szCs w:val="21"/>
          <w:lang w:val="en-US" w:eastAsia="zh-CN"/>
        </w:rPr>
        <w:t>厂家技术人员完成，</w:t>
      </w:r>
      <w:r>
        <w:rPr>
          <w:rFonts w:hint="default" w:ascii="Times New Roman" w:hAnsi="Times New Roman" w:eastAsia="宋体" w:cs="Times New Roman"/>
          <w:sz w:val="21"/>
          <w:szCs w:val="21"/>
        </w:rPr>
        <w:t>进行内检的人员不宜超过3人</w:t>
      </w:r>
      <w:r>
        <w:rPr>
          <w:rFonts w:hint="default" w:ascii="Times New Roman" w:hAnsi="Times New Roman" w:cs="Times New Roman"/>
          <w:sz w:val="21"/>
          <w:szCs w:val="21"/>
          <w:lang w:eastAsia="zh-CN"/>
        </w:rPr>
        <w:t>。</w:t>
      </w:r>
    </w:p>
    <w:p w14:paraId="1394914B">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.5 进行器身检查时</w:t>
      </w:r>
      <w:r>
        <w:rPr>
          <w:rFonts w:hint="default" w:ascii="Times New Roman" w:hAnsi="Times New Roman" w:cs="Times New Roman"/>
          <w:sz w:val="21"/>
          <w:szCs w:val="21"/>
          <w:lang w:val="en-US" w:eastAsia="zh-CN"/>
        </w:rPr>
        <w:t>应</w:t>
      </w:r>
      <w:r>
        <w:rPr>
          <w:rFonts w:hint="default" w:ascii="Times New Roman" w:hAnsi="Times New Roman" w:eastAsia="宋体" w:cs="Times New Roman"/>
          <w:sz w:val="21"/>
          <w:szCs w:val="21"/>
        </w:rPr>
        <w:t>符合以下规定</w:t>
      </w:r>
      <w:r>
        <w:rPr>
          <w:rFonts w:hint="default" w:ascii="Times New Roman" w:hAnsi="Times New Roman" w:cs="Times New Roman"/>
          <w:sz w:val="21"/>
          <w:szCs w:val="21"/>
          <w:lang w:eastAsia="zh-CN"/>
        </w:rPr>
        <w:t>：</w:t>
      </w:r>
    </w:p>
    <w:p w14:paraId="44DFFC5D">
      <w:pPr>
        <w:keepNext w:val="0"/>
        <w:keepLines w:val="0"/>
        <w:pageBreakBefore w:val="0"/>
        <w:widowControl/>
        <w:numPr>
          <w:ilvl w:val="0"/>
          <w:numId w:val="4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雨、雪天</w:t>
      </w:r>
      <w:r>
        <w:rPr>
          <w:rFonts w:hint="default" w:ascii="Times New Roman" w:hAnsi="Times New Roman" w:eastAsia="宋体" w:cs="Times New Roman"/>
          <w:sz w:val="21"/>
          <w:szCs w:val="21"/>
          <w:lang w:val="en-US" w:eastAsia="zh-CN"/>
        </w:rPr>
        <w:t>气</w:t>
      </w:r>
      <w:r>
        <w:rPr>
          <w:rFonts w:hint="default" w:ascii="Times New Roman" w:hAnsi="Times New Roman" w:eastAsia="宋体" w:cs="Times New Roman"/>
          <w:sz w:val="21"/>
          <w:szCs w:val="21"/>
        </w:rPr>
        <w:t>，风力达4级以上</w:t>
      </w:r>
      <w:r>
        <w:rPr>
          <w:rFonts w:hint="default" w:ascii="Times New Roman" w:hAnsi="Times New Roman" w:eastAsia="宋体" w:cs="Times New Roman"/>
          <w:sz w:val="21"/>
          <w:szCs w:val="21"/>
          <w:lang w:val="en-US" w:eastAsia="zh-CN"/>
        </w:rPr>
        <w:t>或</w:t>
      </w:r>
      <w:r>
        <w:rPr>
          <w:rFonts w:hint="default" w:ascii="Times New Roman" w:hAnsi="Times New Roman" w:eastAsia="宋体" w:cs="Times New Roman"/>
          <w:sz w:val="21"/>
          <w:szCs w:val="21"/>
        </w:rPr>
        <w:t>相对湿度75</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上的天气，不</w:t>
      </w:r>
      <w:r>
        <w:rPr>
          <w:rFonts w:hint="default" w:ascii="Times New Roman" w:hAnsi="Times New Roman" w:eastAsia="宋体" w:cs="Times New Roman"/>
          <w:sz w:val="21"/>
          <w:szCs w:val="21"/>
          <w:lang w:val="en-US" w:eastAsia="zh-CN"/>
        </w:rPr>
        <w:t>应</w:t>
      </w:r>
      <w:r>
        <w:rPr>
          <w:rFonts w:hint="default" w:ascii="Times New Roman" w:hAnsi="Times New Roman" w:eastAsia="宋体" w:cs="Times New Roman"/>
          <w:sz w:val="21"/>
          <w:szCs w:val="21"/>
        </w:rPr>
        <w:t>进行器身检查</w:t>
      </w:r>
      <w:r>
        <w:rPr>
          <w:rFonts w:hint="eastAsia" w:ascii="Times New Roman" w:hAnsi="Times New Roman" w:cs="Times New Roman"/>
          <w:sz w:val="21"/>
          <w:szCs w:val="21"/>
          <w:lang w:eastAsia="zh-CN"/>
        </w:rPr>
        <w:t>；</w:t>
      </w:r>
    </w:p>
    <w:p w14:paraId="063FAA43">
      <w:pPr>
        <w:keepNext w:val="0"/>
        <w:keepLines w:val="0"/>
        <w:pageBreakBefore w:val="0"/>
        <w:widowControl/>
        <w:numPr>
          <w:ilvl w:val="0"/>
          <w:numId w:val="4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排氮前，任何人不</w:t>
      </w:r>
      <w:r>
        <w:rPr>
          <w:rFonts w:hint="default" w:ascii="Times New Roman" w:hAnsi="Times New Roman" w:eastAsia="宋体" w:cs="Times New Roman"/>
          <w:sz w:val="21"/>
          <w:szCs w:val="21"/>
          <w:lang w:val="en-US" w:eastAsia="zh-CN"/>
        </w:rPr>
        <w:t>应</w:t>
      </w:r>
      <w:r>
        <w:rPr>
          <w:rFonts w:hint="default" w:ascii="Times New Roman" w:hAnsi="Times New Roman" w:eastAsia="宋体" w:cs="Times New Roman"/>
          <w:sz w:val="21"/>
          <w:szCs w:val="21"/>
        </w:rPr>
        <w:t>进入油箱。当油箱内的含氧量未达到</w:t>
      </w:r>
      <w:r>
        <w:rPr>
          <w:rFonts w:hint="default" w:ascii="Times New Roman" w:hAnsi="Times New Roman" w:eastAsia="宋体" w:cs="Times New Roman"/>
          <w:sz w:val="21"/>
          <w:szCs w:val="21"/>
          <w:lang w:val="en-US" w:eastAsia="zh-CN"/>
        </w:rPr>
        <w:t>19.5%</w:t>
      </w:r>
      <w:r>
        <w:rPr>
          <w:rFonts w:hint="default" w:ascii="Times New Roman" w:hAnsi="Times New Roman" w:eastAsia="宋体" w:cs="Times New Roman"/>
          <w:sz w:val="21"/>
          <w:szCs w:val="21"/>
        </w:rPr>
        <w:t>以上时，人员不</w:t>
      </w:r>
      <w:r>
        <w:rPr>
          <w:rFonts w:hint="default" w:ascii="Times New Roman" w:hAnsi="Times New Roman" w:eastAsia="宋体" w:cs="Times New Roman"/>
          <w:sz w:val="21"/>
          <w:szCs w:val="21"/>
          <w:lang w:val="en-US" w:eastAsia="zh-CN"/>
        </w:rPr>
        <w:t>应</w:t>
      </w:r>
      <w:r>
        <w:rPr>
          <w:rFonts w:hint="default" w:ascii="Times New Roman" w:hAnsi="Times New Roman" w:eastAsia="宋体" w:cs="Times New Roman"/>
          <w:sz w:val="21"/>
          <w:szCs w:val="21"/>
        </w:rPr>
        <w:t>进入</w:t>
      </w:r>
      <w:r>
        <w:rPr>
          <w:rFonts w:hint="eastAsia" w:ascii="Times New Roman" w:hAnsi="Times New Roman" w:cs="Times New Roman"/>
          <w:sz w:val="21"/>
          <w:szCs w:val="21"/>
          <w:lang w:eastAsia="zh-CN"/>
        </w:rPr>
        <w:t>；</w:t>
      </w:r>
    </w:p>
    <w:p w14:paraId="3D50AF67">
      <w:pPr>
        <w:keepNext w:val="0"/>
        <w:keepLines w:val="0"/>
        <w:pageBreakBefore w:val="0"/>
        <w:widowControl/>
        <w:numPr>
          <w:ilvl w:val="0"/>
          <w:numId w:val="4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在内检过程中，必须向箱体内持续补充露点低于</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40℃的</w:t>
      </w:r>
      <w:r>
        <w:rPr>
          <w:rFonts w:hint="default" w:ascii="Times New Roman" w:hAnsi="Times New Roman" w:cs="Times New Roman"/>
          <w:sz w:val="21"/>
          <w:szCs w:val="21"/>
          <w:lang w:val="en-US" w:eastAsia="zh-CN"/>
        </w:rPr>
        <w:t>干</w:t>
      </w:r>
      <w:r>
        <w:rPr>
          <w:rFonts w:hint="default" w:ascii="Times New Roman" w:hAnsi="Times New Roman" w:eastAsia="宋体" w:cs="Times New Roman"/>
          <w:sz w:val="21"/>
          <w:szCs w:val="21"/>
        </w:rPr>
        <w:t>燥空气，以保持含氧量</w:t>
      </w:r>
      <w:r>
        <w:rPr>
          <w:rFonts w:hint="default" w:ascii="Times New Roman" w:hAnsi="Times New Roman" w:eastAsia="宋体" w:cs="Times New Roman"/>
          <w:sz w:val="21"/>
          <w:szCs w:val="21"/>
          <w:lang w:val="en-US" w:eastAsia="zh-CN"/>
        </w:rPr>
        <w:t>19.5%</w:t>
      </w:r>
      <w:r>
        <w:rPr>
          <w:rFonts w:hint="default" w:ascii="Times New Roman" w:hAnsi="Times New Roman" w:cs="Times New Roman"/>
          <w:sz w:val="21"/>
          <w:szCs w:val="21"/>
          <w:lang w:val="en-US" w:eastAsia="zh-CN"/>
        </w:rPr>
        <w:t>～</w:t>
      </w:r>
      <w:r>
        <w:rPr>
          <w:rFonts w:hint="default" w:ascii="Times New Roman" w:hAnsi="Times New Roman" w:eastAsia="宋体" w:cs="Times New Roman"/>
          <w:sz w:val="21"/>
          <w:szCs w:val="21"/>
          <w:lang w:val="en-US" w:eastAsia="zh-CN"/>
        </w:rPr>
        <w:t>23.5%，</w:t>
      </w:r>
      <w:r>
        <w:rPr>
          <w:rFonts w:hint="default" w:ascii="Times New Roman" w:hAnsi="Times New Roman" w:eastAsia="宋体" w:cs="Times New Roman"/>
          <w:sz w:val="21"/>
          <w:szCs w:val="21"/>
        </w:rPr>
        <w:t>相对湿度不大于20</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充</w:t>
      </w:r>
      <w:r>
        <w:rPr>
          <w:rFonts w:hint="default" w:ascii="Times New Roman" w:hAnsi="Times New Roman" w:eastAsia="宋体" w:cs="Times New Roman"/>
          <w:sz w:val="21"/>
          <w:szCs w:val="21"/>
          <w:lang w:val="en-US" w:eastAsia="zh-CN"/>
        </w:rPr>
        <w:t>干</w:t>
      </w:r>
      <w:r>
        <w:rPr>
          <w:rFonts w:hint="default" w:ascii="Times New Roman" w:hAnsi="Times New Roman" w:eastAsia="宋体" w:cs="Times New Roman"/>
          <w:sz w:val="21"/>
          <w:szCs w:val="21"/>
        </w:rPr>
        <w:t>燥空气的速率，应符合产品技术文件要求。</w:t>
      </w:r>
    </w:p>
    <w:p w14:paraId="60B1BF6A">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.6</w:t>
      </w:r>
      <w:r>
        <w:rPr>
          <w:rFonts w:hint="default"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rPr>
        <w:t>器身检查准备工作应符合下列规定</w:t>
      </w:r>
      <w:r>
        <w:rPr>
          <w:rFonts w:hint="default" w:ascii="Times New Roman" w:hAnsi="Times New Roman" w:eastAsia="宋体" w:cs="Times New Roman"/>
          <w:sz w:val="21"/>
          <w:szCs w:val="21"/>
          <w:lang w:eastAsia="zh-CN"/>
        </w:rPr>
        <w:t>：</w:t>
      </w:r>
    </w:p>
    <w:p w14:paraId="1EF4F969">
      <w:pPr>
        <w:keepNext w:val="0"/>
        <w:keepLines w:val="0"/>
        <w:pageBreakBefore w:val="0"/>
        <w:widowControl/>
        <w:numPr>
          <w:ilvl w:val="0"/>
          <w:numId w:val="50"/>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进</w:t>
      </w:r>
      <w:r>
        <w:rPr>
          <w:rFonts w:hint="default" w:ascii="Times New Roman" w:hAnsi="Times New Roman" w:eastAsia="宋体" w:cs="Times New Roman"/>
          <w:sz w:val="21"/>
          <w:szCs w:val="21"/>
          <w:lang w:val="en-US" w:eastAsia="zh-CN"/>
        </w:rPr>
        <w:t>入</w:t>
      </w:r>
      <w:r>
        <w:rPr>
          <w:rFonts w:hint="default" w:ascii="Times New Roman" w:hAnsi="Times New Roman" w:eastAsia="宋体" w:cs="Times New Roman"/>
          <w:sz w:val="21"/>
          <w:szCs w:val="21"/>
        </w:rPr>
        <w:t xml:space="preserve">变压器内部进行器身检查 </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应符合下列规定</w:t>
      </w:r>
      <w:r>
        <w:rPr>
          <w:rFonts w:hint="default" w:ascii="Times New Roman" w:hAnsi="Times New Roman" w:eastAsia="宋体" w:cs="Times New Roman"/>
          <w:sz w:val="21"/>
          <w:szCs w:val="21"/>
          <w:lang w:eastAsia="zh-CN"/>
        </w:rPr>
        <w:t>：</w:t>
      </w:r>
    </w:p>
    <w:p w14:paraId="3D748641">
      <w:pPr>
        <w:widowControl/>
        <w:numPr>
          <w:ilvl w:val="0"/>
          <w:numId w:val="51"/>
        </w:numPr>
        <w:tabs>
          <w:tab w:val="left" w:pos="0"/>
          <w:tab w:val="left" w:pos="154"/>
          <w:tab w:val="clear" w:pos="153"/>
        </w:tabs>
        <w:ind w:left="0" w:leftChars="0" w:firstLine="630" w:firstLineChars="300"/>
        <w:jc w:val="left"/>
        <w:rPr>
          <w:rFonts w:hint="default" w:ascii="Times New Roman" w:hAnsi="Times New Roman" w:eastAsia="宋体" w:cs="Times New Roman"/>
          <w:color w:val="000000"/>
          <w:kern w:val="0"/>
          <w:lang w:bidi="ar"/>
        </w:rPr>
      </w:pPr>
      <w:r>
        <w:rPr>
          <w:rFonts w:hint="default" w:ascii="Times New Roman" w:hAnsi="Times New Roman" w:eastAsia="宋体" w:cs="Times New Roman"/>
          <w:sz w:val="21"/>
          <w:szCs w:val="21"/>
        </w:rPr>
        <w:t>应将干燥、</w:t>
      </w:r>
      <w:r>
        <w:rPr>
          <w:rFonts w:hint="default" w:ascii="Times New Roman" w:hAnsi="Times New Roman" w:eastAsia="宋体" w:cs="Times New Roman"/>
          <w:color w:val="000000"/>
          <w:kern w:val="0"/>
          <w:lang w:bidi="ar"/>
        </w:rPr>
        <w:t>清洁、过筛后的硅胶装</w:t>
      </w:r>
      <w:r>
        <w:rPr>
          <w:rFonts w:hint="default" w:ascii="Times New Roman" w:hAnsi="Times New Roman" w:eastAsia="宋体" w:cs="Times New Roman"/>
          <w:color w:val="000000"/>
          <w:kern w:val="0"/>
          <w:lang w:eastAsia="zh-CN" w:bidi="ar"/>
        </w:rPr>
        <w:t>入</w:t>
      </w:r>
      <w:r>
        <w:rPr>
          <w:rFonts w:hint="default" w:ascii="Times New Roman" w:hAnsi="Times New Roman" w:eastAsia="宋体" w:cs="Times New Roman"/>
          <w:color w:val="000000"/>
          <w:kern w:val="0"/>
          <w:lang w:bidi="ar"/>
        </w:rPr>
        <w:t>变压器油罐硅胶罐中</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确保硅胶罐的完好。</w:t>
      </w:r>
    </w:p>
    <w:p w14:paraId="5614597B">
      <w:pPr>
        <w:widowControl/>
        <w:numPr>
          <w:ilvl w:val="0"/>
          <w:numId w:val="51"/>
        </w:numPr>
        <w:tabs>
          <w:tab w:val="left" w:pos="0"/>
          <w:tab w:val="left" w:pos="154"/>
          <w:tab w:val="clear" w:pos="153"/>
        </w:tabs>
        <w:ind w:left="0" w:leftChars="0" w:firstLine="630" w:firstLineChars="300"/>
        <w:jc w:val="left"/>
        <w:rPr>
          <w:rFonts w:hint="default" w:ascii="Times New Roman" w:hAnsi="Times New Roman" w:eastAsia="宋体" w:cs="Times New Roman"/>
          <w:color w:val="000000"/>
          <w:kern w:val="0"/>
          <w:lang w:bidi="ar"/>
        </w:rPr>
      </w:pPr>
      <w:r>
        <w:rPr>
          <w:rFonts w:hint="default" w:ascii="Times New Roman" w:hAnsi="Times New Roman" w:eastAsia="宋体" w:cs="Times New Roman"/>
          <w:color w:val="000000"/>
          <w:kern w:val="0"/>
          <w:lang w:bidi="ar"/>
        </w:rPr>
        <w:t>应将放油管路与油箱下部的阀门连接</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并打开阀门将油全部放</w:t>
      </w:r>
      <w:r>
        <w:rPr>
          <w:rFonts w:hint="default" w:ascii="Times New Roman" w:hAnsi="Times New Roman" w:eastAsia="宋体" w:cs="Times New Roman"/>
          <w:color w:val="000000"/>
          <w:kern w:val="0"/>
          <w:lang w:eastAsia="zh-CN" w:bidi="ar"/>
        </w:rPr>
        <w:t>入</w:t>
      </w:r>
      <w:r>
        <w:rPr>
          <w:rFonts w:hint="default" w:ascii="Times New Roman" w:hAnsi="Times New Roman" w:eastAsia="宋体" w:cs="Times New Roman"/>
          <w:color w:val="000000"/>
          <w:kern w:val="0"/>
          <w:lang w:bidi="ar"/>
        </w:rPr>
        <w:t>储油罐中。</w:t>
      </w:r>
    </w:p>
    <w:p w14:paraId="798B2833">
      <w:pPr>
        <w:widowControl/>
        <w:numPr>
          <w:ilvl w:val="0"/>
          <w:numId w:val="51"/>
        </w:numPr>
        <w:tabs>
          <w:tab w:val="left" w:pos="0"/>
          <w:tab w:val="left" w:pos="154"/>
          <w:tab w:val="clear" w:pos="153"/>
        </w:tabs>
        <w:ind w:left="0" w:leftChars="0" w:firstLine="630" w:firstLineChars="300"/>
        <w:jc w:val="left"/>
        <w:rPr>
          <w:rFonts w:hint="default" w:ascii="Times New Roman" w:hAnsi="Times New Roman" w:eastAsia="宋体" w:cs="Times New Roman"/>
          <w:color w:val="000000"/>
          <w:kern w:val="0"/>
          <w:lang w:bidi="ar"/>
        </w:rPr>
      </w:pPr>
      <w:r>
        <w:rPr>
          <w:rFonts w:hint="default" w:ascii="Times New Roman" w:hAnsi="Times New Roman" w:eastAsia="宋体" w:cs="Times New Roman"/>
          <w:color w:val="000000"/>
          <w:kern w:val="0"/>
          <w:lang w:bidi="ar"/>
        </w:rPr>
        <w:t>周围空气温度不宜低于0℃</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器身温度不宜低于周围空气温度</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当器身温度低于周围空气温度时，应将器身加热</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宜使其温度高于周围空气温度10</w:t>
      </w:r>
      <w:r>
        <w:rPr>
          <w:rFonts w:hint="default" w:ascii="Times New Roman" w:hAnsi="Times New Roman" w:eastAsia="宋体" w:cs="Times New Roman"/>
          <w:color w:val="000000"/>
          <w:kern w:val="0"/>
          <w:lang w:val="en-US" w:eastAsia="zh-CN" w:bidi="ar"/>
        </w:rPr>
        <w:t>℃</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或采取制造厂要求的其他措施。</w:t>
      </w:r>
    </w:p>
    <w:p w14:paraId="2D5E6293">
      <w:pPr>
        <w:widowControl/>
        <w:numPr>
          <w:ilvl w:val="0"/>
          <w:numId w:val="51"/>
        </w:numPr>
        <w:tabs>
          <w:tab w:val="left" w:pos="0"/>
          <w:tab w:val="left" w:pos="154"/>
          <w:tab w:val="clear" w:pos="153"/>
        </w:tabs>
        <w:ind w:left="0" w:leftChars="0" w:firstLine="630" w:firstLineChars="300"/>
        <w:jc w:val="left"/>
        <w:rPr>
          <w:rFonts w:hint="default" w:ascii="Times New Roman" w:hAnsi="Times New Roman" w:eastAsia="宋体" w:cs="Times New Roman"/>
          <w:color w:val="000000"/>
          <w:kern w:val="0"/>
          <w:lang w:bidi="ar"/>
        </w:rPr>
      </w:pPr>
      <w:r>
        <w:rPr>
          <w:rFonts w:hint="default" w:ascii="Times New Roman" w:hAnsi="Times New Roman" w:eastAsia="宋体" w:cs="Times New Roman"/>
          <w:color w:val="000000"/>
          <w:kern w:val="0"/>
          <w:lang w:bidi="ar"/>
        </w:rPr>
        <w:t>当空气相对湿度小于</w:t>
      </w:r>
      <w:r>
        <w:rPr>
          <w:rFonts w:hint="default" w:ascii="Times New Roman" w:hAnsi="Times New Roman" w:eastAsia="宋体" w:cs="Times New Roman"/>
          <w:color w:val="000000"/>
          <w:kern w:val="0"/>
          <w:lang w:val="en-US" w:eastAsia="zh-CN" w:bidi="ar"/>
        </w:rPr>
        <w:t>等于</w:t>
      </w:r>
      <w:r>
        <w:rPr>
          <w:rFonts w:hint="default" w:ascii="Times New Roman" w:hAnsi="Times New Roman" w:eastAsia="宋体" w:cs="Times New Roman"/>
          <w:color w:val="000000"/>
          <w:kern w:val="0"/>
          <w:lang w:bidi="ar"/>
        </w:rPr>
        <w:t>75%时</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器身暴露在空气中的时间不得超过16h。内检前带油的变压器应由开始放油时算起</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内检前不带油的变压器应由揭开顶盖或打开任一堵塞算起</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到开始抽真空或注油为止</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当空气相对湿度或露空时间超过规定时</w:t>
      </w:r>
      <w:r>
        <w:rPr>
          <w:rFonts w:hint="default" w:ascii="Times New Roman" w:hAnsi="Times New Roman" w:eastAsia="宋体" w:cs="Times New Roman"/>
          <w:color w:val="000000"/>
          <w:kern w:val="0"/>
          <w:lang w:eastAsia="zh-CN" w:bidi="ar"/>
        </w:rPr>
        <w:t>，</w:t>
      </w:r>
      <w:r>
        <w:rPr>
          <w:rFonts w:hint="default" w:ascii="Times New Roman" w:hAnsi="Times New Roman" w:eastAsia="宋体" w:cs="Times New Roman"/>
          <w:color w:val="000000"/>
          <w:kern w:val="0"/>
          <w:lang w:bidi="ar"/>
        </w:rPr>
        <w:t>应采取可靠的防止变压器受潮的措施。</w:t>
      </w:r>
    </w:p>
    <w:p w14:paraId="23DC7144">
      <w:pPr>
        <w:widowControl/>
        <w:numPr>
          <w:ilvl w:val="0"/>
          <w:numId w:val="51"/>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color w:val="000000"/>
          <w:kern w:val="0"/>
          <w:lang w:bidi="ar"/>
        </w:rPr>
        <w:t>调压切换装置</w:t>
      </w:r>
      <w:r>
        <w:rPr>
          <w:rFonts w:hint="default" w:ascii="Times New Roman" w:hAnsi="Times New Roman" w:eastAsia="宋体" w:cs="Times New Roman"/>
          <w:sz w:val="21"/>
          <w:szCs w:val="21"/>
          <w:highlight w:val="none"/>
        </w:rPr>
        <w:t>吊出检查、调整时，暴露在空气中的时间应符合表</w:t>
      </w:r>
      <w:r>
        <w:rPr>
          <w:rFonts w:hint="default" w:ascii="Times New Roman" w:hAnsi="Times New Roman" w:cs="Times New Roman"/>
          <w:sz w:val="21"/>
          <w:szCs w:val="21"/>
          <w:highlight w:val="none"/>
          <w:lang w:val="en-US" w:eastAsia="zh-CN"/>
        </w:rPr>
        <w:t>4</w:t>
      </w:r>
      <w:r>
        <w:rPr>
          <w:rFonts w:hint="default" w:ascii="Times New Roman" w:hAnsi="Times New Roman" w:eastAsia="宋体" w:cs="Times New Roman"/>
          <w:sz w:val="21"/>
          <w:szCs w:val="21"/>
          <w:highlight w:val="none"/>
        </w:rPr>
        <w:t>的规定</w:t>
      </w:r>
      <w:r>
        <w:rPr>
          <w:rFonts w:hint="default" w:ascii="Times New Roman" w:hAnsi="Times New Roman" w:eastAsia="宋体" w:cs="Times New Roman"/>
          <w:sz w:val="21"/>
          <w:szCs w:val="21"/>
          <w:highlight w:val="none"/>
          <w:lang w:eastAsia="zh-CN"/>
        </w:rPr>
        <w:t>：</w:t>
      </w:r>
    </w:p>
    <w:p w14:paraId="356E9655">
      <w:pPr>
        <w:widowControl/>
        <w:jc w:val="center"/>
        <w:rPr>
          <w:rFonts w:hint="default" w:ascii="Times New Roman" w:hAnsi="Times New Roman" w:eastAsia="宋体" w:cs="Times New Roman"/>
          <w:b/>
          <w:bCs/>
          <w:color w:val="000000"/>
          <w:kern w:val="0"/>
          <w:sz w:val="21"/>
          <w:szCs w:val="21"/>
          <w:highlight w:val="none"/>
          <w:lang w:val="en-US" w:eastAsia="zh-CN" w:bidi="ar"/>
        </w:rPr>
      </w:pPr>
      <w:r>
        <w:rPr>
          <w:rFonts w:hint="default" w:ascii="黑体" w:hAnsi="黑体" w:eastAsia="黑体" w:cs="黑体"/>
          <w:b w:val="0"/>
          <w:bCs w:val="0"/>
          <w:color w:val="000000"/>
          <w:kern w:val="0"/>
          <w:szCs w:val="21"/>
          <w:highlight w:val="none"/>
          <w:lang w:val="en-US" w:eastAsia="zh-CN" w:bidi="ar"/>
        </w:rPr>
        <w:t>表4 调压切换装置露空时间</w:t>
      </w:r>
    </w:p>
    <w:tbl>
      <w:tblPr>
        <w:tblStyle w:val="32"/>
        <w:tblW w:w="5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813"/>
        <w:gridCol w:w="792"/>
        <w:gridCol w:w="957"/>
        <w:gridCol w:w="1003"/>
      </w:tblGrid>
      <w:tr w14:paraId="3ACF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jc w:val="center"/>
        </w:trPr>
        <w:tc>
          <w:tcPr>
            <w:tcW w:w="1831" w:type="dxa"/>
            <w:vAlign w:val="center"/>
          </w:tcPr>
          <w:p w14:paraId="084D01B0">
            <w:pPr>
              <w:adjustRightInd w:val="0"/>
              <w:snapToGrid w:val="0"/>
              <w:jc w:val="center"/>
              <w:rPr>
                <w:rFonts w:hint="default" w:ascii="Times New Roman" w:hAnsi="Times New Roman" w:cs="Times New Roman"/>
                <w:bCs/>
                <w:color w:val="000000"/>
                <w:sz w:val="18"/>
                <w:szCs w:val="18"/>
                <w:highlight w:val="none"/>
                <w:lang w:eastAsia="zh-CN"/>
              </w:rPr>
            </w:pPr>
            <w:r>
              <w:rPr>
                <w:rFonts w:hint="default" w:ascii="Times New Roman" w:hAnsi="Times New Roman" w:cs="Times New Roman"/>
                <w:bCs/>
                <w:color w:val="000000"/>
                <w:sz w:val="18"/>
                <w:szCs w:val="18"/>
                <w:highlight w:val="none"/>
                <w:lang w:eastAsia="zh-CN"/>
              </w:rPr>
              <w:t>环境温度（℃）</w:t>
            </w:r>
          </w:p>
        </w:tc>
        <w:tc>
          <w:tcPr>
            <w:tcW w:w="813" w:type="dxa"/>
            <w:vAlign w:val="center"/>
          </w:tcPr>
          <w:p w14:paraId="449A0039">
            <w:pPr>
              <w:adjustRightInd w:val="0"/>
              <w:snapToGrid w:val="0"/>
              <w:jc w:val="center"/>
              <w:rPr>
                <w:rFonts w:hint="default" w:ascii="Times New Roman" w:hAnsi="Times New Roman" w:cs="Times New Roman"/>
                <w:bCs/>
                <w:color w:val="000000"/>
                <w:sz w:val="18"/>
                <w:szCs w:val="18"/>
                <w:highlight w:val="none"/>
                <w:lang w:val="en-US" w:eastAsia="zh-CN"/>
              </w:rPr>
            </w:pPr>
            <w:r>
              <w:rPr>
                <w:rFonts w:hint="default" w:ascii="Times New Roman" w:hAnsi="Times New Roman" w:cs="Times New Roman"/>
                <w:bCs/>
                <w:color w:val="000000"/>
                <w:sz w:val="18"/>
                <w:szCs w:val="18"/>
                <w:highlight w:val="none"/>
                <w:lang w:eastAsia="zh-CN"/>
              </w:rPr>
              <w:t>&gt;</w:t>
            </w:r>
            <w:r>
              <w:rPr>
                <w:rFonts w:hint="default" w:ascii="Times New Roman" w:hAnsi="Times New Roman" w:cs="Times New Roman"/>
                <w:bCs/>
                <w:color w:val="000000"/>
                <w:sz w:val="18"/>
                <w:szCs w:val="18"/>
                <w:highlight w:val="none"/>
                <w:lang w:val="en-US" w:eastAsia="zh-CN"/>
              </w:rPr>
              <w:t>0</w:t>
            </w:r>
          </w:p>
        </w:tc>
        <w:tc>
          <w:tcPr>
            <w:tcW w:w="792" w:type="dxa"/>
            <w:vAlign w:val="center"/>
          </w:tcPr>
          <w:p w14:paraId="23E77534">
            <w:pPr>
              <w:adjustRightInd w:val="0"/>
              <w:snapToGrid w:val="0"/>
              <w:jc w:val="center"/>
              <w:rPr>
                <w:rFonts w:hint="default" w:ascii="Times New Roman" w:hAnsi="Times New Roman" w:cs="Times New Roman"/>
                <w:bCs/>
                <w:color w:val="000000"/>
                <w:sz w:val="18"/>
                <w:szCs w:val="18"/>
                <w:highlight w:val="none"/>
                <w:lang w:eastAsia="zh-CN"/>
              </w:rPr>
            </w:pPr>
            <w:r>
              <w:rPr>
                <w:rFonts w:hint="default" w:ascii="Times New Roman" w:hAnsi="Times New Roman" w:cs="Times New Roman"/>
                <w:bCs/>
                <w:color w:val="000000"/>
                <w:sz w:val="18"/>
                <w:szCs w:val="18"/>
                <w:highlight w:val="none"/>
                <w:lang w:eastAsia="zh-CN"/>
              </w:rPr>
              <w:t>&gt;</w:t>
            </w:r>
            <w:r>
              <w:rPr>
                <w:rFonts w:hint="default" w:ascii="Times New Roman" w:hAnsi="Times New Roman" w:cs="Times New Roman"/>
                <w:bCs/>
                <w:color w:val="000000"/>
                <w:sz w:val="18"/>
                <w:szCs w:val="18"/>
                <w:highlight w:val="none"/>
                <w:lang w:val="en-US" w:eastAsia="zh-CN"/>
              </w:rPr>
              <w:t>0</w:t>
            </w:r>
          </w:p>
        </w:tc>
        <w:tc>
          <w:tcPr>
            <w:tcW w:w="957" w:type="dxa"/>
            <w:vAlign w:val="center"/>
          </w:tcPr>
          <w:p w14:paraId="77F4FF82">
            <w:pPr>
              <w:adjustRightInd w:val="0"/>
              <w:snapToGrid w:val="0"/>
              <w:jc w:val="center"/>
              <w:rPr>
                <w:rFonts w:hint="default" w:ascii="Times New Roman" w:hAnsi="Times New Roman" w:cs="Times New Roman"/>
                <w:bCs/>
                <w:color w:val="000000"/>
                <w:sz w:val="18"/>
                <w:szCs w:val="18"/>
                <w:highlight w:val="none"/>
                <w:lang w:eastAsia="zh-CN"/>
              </w:rPr>
            </w:pPr>
            <w:r>
              <w:rPr>
                <w:rFonts w:hint="default" w:ascii="Times New Roman" w:hAnsi="Times New Roman" w:cs="Times New Roman"/>
                <w:bCs/>
                <w:color w:val="000000"/>
                <w:sz w:val="18"/>
                <w:szCs w:val="18"/>
                <w:highlight w:val="none"/>
                <w:lang w:eastAsia="zh-CN"/>
              </w:rPr>
              <w:t>&gt;</w:t>
            </w:r>
            <w:r>
              <w:rPr>
                <w:rFonts w:hint="default" w:ascii="Times New Roman" w:hAnsi="Times New Roman" w:cs="Times New Roman"/>
                <w:bCs/>
                <w:color w:val="000000"/>
                <w:sz w:val="18"/>
                <w:szCs w:val="18"/>
                <w:highlight w:val="none"/>
                <w:lang w:val="en-US" w:eastAsia="zh-CN"/>
              </w:rPr>
              <w:t>0</w:t>
            </w:r>
          </w:p>
        </w:tc>
        <w:tc>
          <w:tcPr>
            <w:tcW w:w="1003" w:type="dxa"/>
            <w:vAlign w:val="center"/>
          </w:tcPr>
          <w:p w14:paraId="662E9163">
            <w:pPr>
              <w:adjustRightInd w:val="0"/>
              <w:snapToGrid w:val="0"/>
              <w:jc w:val="center"/>
              <w:rPr>
                <w:rFonts w:hint="default" w:ascii="Times New Roman" w:hAnsi="Times New Roman" w:cs="Times New Roman"/>
                <w:bCs/>
                <w:color w:val="000000"/>
                <w:sz w:val="18"/>
                <w:szCs w:val="18"/>
                <w:highlight w:val="none"/>
                <w:lang w:val="en-US" w:eastAsia="zh-CN"/>
              </w:rPr>
            </w:pPr>
            <w:r>
              <w:rPr>
                <w:rFonts w:hint="default" w:ascii="Times New Roman" w:hAnsi="Times New Roman" w:cs="Times New Roman"/>
                <w:bCs/>
                <w:color w:val="000000"/>
                <w:sz w:val="18"/>
                <w:szCs w:val="18"/>
                <w:highlight w:val="none"/>
                <w:lang w:eastAsia="zh-CN"/>
              </w:rPr>
              <w:t>&lt;</w:t>
            </w:r>
            <w:r>
              <w:rPr>
                <w:rFonts w:hint="default" w:ascii="Times New Roman" w:hAnsi="Times New Roman" w:cs="Times New Roman"/>
                <w:bCs/>
                <w:color w:val="000000"/>
                <w:sz w:val="18"/>
                <w:szCs w:val="18"/>
                <w:highlight w:val="none"/>
                <w:lang w:val="en-US" w:eastAsia="zh-CN"/>
              </w:rPr>
              <w:t>0</w:t>
            </w:r>
          </w:p>
        </w:tc>
      </w:tr>
      <w:tr w14:paraId="104A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exact"/>
          <w:jc w:val="center"/>
        </w:trPr>
        <w:tc>
          <w:tcPr>
            <w:tcW w:w="1831" w:type="dxa"/>
            <w:vAlign w:val="center"/>
          </w:tcPr>
          <w:p w14:paraId="2EF01699">
            <w:pPr>
              <w:adjustRightInd w:val="0"/>
              <w:snapToGrid w:val="0"/>
              <w:jc w:val="center"/>
              <w:rPr>
                <w:rFonts w:hint="default" w:ascii="Times New Roman" w:hAnsi="Times New Roman" w:cs="Times New Roman"/>
                <w:bCs/>
                <w:color w:val="000000"/>
                <w:sz w:val="18"/>
                <w:szCs w:val="18"/>
                <w:lang w:eastAsia="zh-CN"/>
              </w:rPr>
            </w:pPr>
            <w:r>
              <w:rPr>
                <w:rFonts w:hint="default" w:ascii="Times New Roman" w:hAnsi="Times New Roman" w:cs="Times New Roman"/>
                <w:bCs/>
                <w:color w:val="000000"/>
                <w:sz w:val="18"/>
                <w:szCs w:val="18"/>
                <w:lang w:eastAsia="zh-CN"/>
              </w:rPr>
              <w:t>空气相对湿度（</w:t>
            </w:r>
            <w:r>
              <w:rPr>
                <w:rFonts w:hint="default" w:ascii="Times New Roman" w:hAnsi="Times New Roman" w:cs="Times New Roman"/>
                <w:bCs/>
                <w:color w:val="000000"/>
                <w:sz w:val="18"/>
                <w:szCs w:val="18"/>
                <w:lang w:val="en-US" w:eastAsia="zh-CN"/>
              </w:rPr>
              <w:t>%</w:t>
            </w:r>
            <w:r>
              <w:rPr>
                <w:rFonts w:hint="default" w:ascii="Times New Roman" w:hAnsi="Times New Roman" w:cs="Times New Roman"/>
                <w:bCs/>
                <w:color w:val="000000"/>
                <w:sz w:val="18"/>
                <w:szCs w:val="18"/>
                <w:lang w:eastAsia="zh-CN"/>
              </w:rPr>
              <w:t>）</w:t>
            </w:r>
          </w:p>
        </w:tc>
        <w:tc>
          <w:tcPr>
            <w:tcW w:w="813" w:type="dxa"/>
            <w:vAlign w:val="center"/>
          </w:tcPr>
          <w:p w14:paraId="314F8FA1">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65以下</w:t>
            </w:r>
          </w:p>
        </w:tc>
        <w:tc>
          <w:tcPr>
            <w:tcW w:w="792" w:type="dxa"/>
            <w:vAlign w:val="center"/>
          </w:tcPr>
          <w:p w14:paraId="57E2D257">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65~75</w:t>
            </w:r>
          </w:p>
        </w:tc>
        <w:tc>
          <w:tcPr>
            <w:tcW w:w="957" w:type="dxa"/>
            <w:vAlign w:val="center"/>
          </w:tcPr>
          <w:p w14:paraId="54D7A7C0">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75~85</w:t>
            </w:r>
          </w:p>
        </w:tc>
        <w:tc>
          <w:tcPr>
            <w:tcW w:w="1003" w:type="dxa"/>
            <w:vAlign w:val="center"/>
          </w:tcPr>
          <w:p w14:paraId="73310867">
            <w:pPr>
              <w:adjustRightInd w:val="0"/>
              <w:snapToGrid w:val="0"/>
              <w:jc w:val="center"/>
              <w:rPr>
                <w:rFonts w:hint="default" w:ascii="Times New Roman" w:hAnsi="Times New Roman" w:cs="Times New Roman"/>
                <w:bCs/>
                <w:color w:val="000000"/>
                <w:sz w:val="18"/>
                <w:szCs w:val="18"/>
                <w:lang w:eastAsia="zh-CN"/>
              </w:rPr>
            </w:pPr>
            <w:r>
              <w:rPr>
                <w:rFonts w:hint="default" w:ascii="Times New Roman" w:hAnsi="Times New Roman" w:cs="Times New Roman"/>
                <w:bCs/>
                <w:color w:val="000000"/>
                <w:sz w:val="18"/>
                <w:szCs w:val="18"/>
                <w:lang w:eastAsia="zh-CN"/>
              </w:rPr>
              <w:t>不控制</w:t>
            </w:r>
          </w:p>
        </w:tc>
      </w:tr>
      <w:tr w14:paraId="738A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831" w:type="dxa"/>
            <w:vAlign w:val="center"/>
          </w:tcPr>
          <w:p w14:paraId="6846D18A">
            <w:pPr>
              <w:adjustRightInd w:val="0"/>
              <w:snapToGrid w:val="0"/>
              <w:jc w:val="center"/>
              <w:rPr>
                <w:rFonts w:hint="default" w:ascii="Times New Roman" w:hAnsi="Times New Roman" w:cs="Times New Roman"/>
                <w:bCs/>
                <w:color w:val="000000"/>
                <w:sz w:val="18"/>
                <w:szCs w:val="18"/>
                <w:lang w:eastAsia="zh-CN"/>
              </w:rPr>
            </w:pPr>
            <w:r>
              <w:rPr>
                <w:rFonts w:hint="default" w:ascii="Times New Roman" w:hAnsi="Times New Roman" w:cs="Times New Roman"/>
                <w:bCs/>
                <w:color w:val="000000"/>
                <w:sz w:val="18"/>
                <w:szCs w:val="18"/>
                <w:lang w:eastAsia="zh-CN"/>
              </w:rPr>
              <w:t>持续时间不大于（</w:t>
            </w:r>
            <w:r>
              <w:rPr>
                <w:rFonts w:hint="default" w:ascii="Times New Roman" w:hAnsi="Times New Roman" w:cs="Times New Roman"/>
                <w:bCs/>
                <w:color w:val="000000"/>
                <w:sz w:val="18"/>
                <w:szCs w:val="18"/>
                <w:lang w:val="en-US" w:eastAsia="zh-CN"/>
              </w:rPr>
              <w:t>h</w:t>
            </w:r>
            <w:r>
              <w:rPr>
                <w:rFonts w:hint="default" w:ascii="Times New Roman" w:hAnsi="Times New Roman" w:cs="Times New Roman"/>
                <w:bCs/>
                <w:color w:val="000000"/>
                <w:sz w:val="18"/>
                <w:szCs w:val="18"/>
                <w:lang w:eastAsia="zh-CN"/>
              </w:rPr>
              <w:t>）（</w:t>
            </w:r>
            <w:r>
              <w:rPr>
                <w:rFonts w:hint="default" w:ascii="Times New Roman" w:hAnsi="Times New Roman" w:cs="Times New Roman"/>
                <w:bCs/>
                <w:color w:val="000000"/>
                <w:sz w:val="18"/>
                <w:szCs w:val="18"/>
                <w:lang w:val="en-US" w:eastAsia="zh-CN"/>
              </w:rPr>
              <w:t>h</w:t>
            </w:r>
            <w:r>
              <w:rPr>
                <w:rFonts w:hint="default" w:ascii="Times New Roman" w:hAnsi="Times New Roman" w:cs="Times New Roman"/>
                <w:bCs/>
                <w:color w:val="000000"/>
                <w:sz w:val="18"/>
                <w:szCs w:val="18"/>
                <w:lang w:eastAsia="zh-CN"/>
              </w:rPr>
              <w:t>）</w:t>
            </w:r>
          </w:p>
        </w:tc>
        <w:tc>
          <w:tcPr>
            <w:tcW w:w="813" w:type="dxa"/>
            <w:vAlign w:val="center"/>
          </w:tcPr>
          <w:p w14:paraId="6F3BBA47">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24</w:t>
            </w:r>
          </w:p>
        </w:tc>
        <w:tc>
          <w:tcPr>
            <w:tcW w:w="792" w:type="dxa"/>
            <w:vAlign w:val="center"/>
          </w:tcPr>
          <w:p w14:paraId="54F73916">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16</w:t>
            </w:r>
          </w:p>
        </w:tc>
        <w:tc>
          <w:tcPr>
            <w:tcW w:w="957" w:type="dxa"/>
            <w:vAlign w:val="center"/>
          </w:tcPr>
          <w:p w14:paraId="35659C48">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10</w:t>
            </w:r>
          </w:p>
        </w:tc>
        <w:tc>
          <w:tcPr>
            <w:tcW w:w="1003" w:type="dxa"/>
            <w:vAlign w:val="center"/>
          </w:tcPr>
          <w:p w14:paraId="6A3DDE51">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8</w:t>
            </w:r>
          </w:p>
        </w:tc>
      </w:tr>
    </w:tbl>
    <w:p w14:paraId="3CAEBE8E">
      <w:pPr>
        <w:widowControl/>
        <w:numPr>
          <w:ilvl w:val="0"/>
          <w:numId w:val="51"/>
        </w:numPr>
        <w:tabs>
          <w:tab w:val="left" w:pos="0"/>
          <w:tab w:val="left" w:pos="154"/>
          <w:tab w:val="clear" w:pos="153"/>
        </w:tabs>
        <w:ind w:left="0" w:leftChars="0" w:firstLine="630" w:firstLineChars="300"/>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器身</w:t>
      </w:r>
      <w:r>
        <w:rPr>
          <w:rFonts w:hint="default" w:ascii="Times New Roman" w:hAnsi="Times New Roman" w:eastAsia="宋体" w:cs="Times New Roman"/>
          <w:sz w:val="21"/>
          <w:szCs w:val="21"/>
          <w:lang w:val="en-US" w:eastAsia="zh-CN"/>
        </w:rPr>
        <w:t>检查</w:t>
      </w:r>
      <w:r>
        <w:rPr>
          <w:rFonts w:hint="default" w:ascii="Times New Roman" w:hAnsi="Times New Roman" w:eastAsia="宋体" w:cs="Times New Roman"/>
          <w:color w:val="000000"/>
          <w:kern w:val="0"/>
          <w:sz w:val="21"/>
          <w:szCs w:val="21"/>
          <w:lang w:val="en-US" w:eastAsia="zh-CN" w:bidi="ar"/>
        </w:rPr>
        <w:t xml:space="preserve">时，场地四周应清洁并设有防尘措施。 </w:t>
      </w:r>
    </w:p>
    <w:p w14:paraId="7E71E3A2">
      <w:pPr>
        <w:keepNext w:val="0"/>
        <w:keepLines w:val="0"/>
        <w:pageBreakBefore w:val="0"/>
        <w:widowControl/>
        <w:numPr>
          <w:ilvl w:val="0"/>
          <w:numId w:val="50"/>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吊罩、吊芯进行器身检查时，应符合下列规定</w:t>
      </w:r>
      <w:r>
        <w:rPr>
          <w:rFonts w:hint="default" w:ascii="Times New Roman" w:hAnsi="Times New Roman"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 xml:space="preserve"> </w:t>
      </w:r>
    </w:p>
    <w:p w14:paraId="035C87EE">
      <w:pPr>
        <w:widowControl/>
        <w:numPr>
          <w:ilvl w:val="0"/>
          <w:numId w:val="52"/>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lang w:val="en-US" w:eastAsia="zh-CN" w:bidi="ar"/>
        </w:rPr>
        <w:t>钟罩起</w:t>
      </w:r>
      <w:r>
        <w:rPr>
          <w:rFonts w:hint="default" w:ascii="Times New Roman" w:hAnsi="Times New Roman" w:eastAsia="宋体" w:cs="Times New Roman"/>
          <w:sz w:val="21"/>
          <w:szCs w:val="21"/>
          <w:lang w:val="en-US" w:eastAsia="zh-CN"/>
        </w:rPr>
        <w:t xml:space="preserve">吊前，应拆除所有运输用固定件及与本体内部相连的部件。 </w:t>
      </w:r>
    </w:p>
    <w:p w14:paraId="38665B10">
      <w:pPr>
        <w:widowControl/>
        <w:numPr>
          <w:ilvl w:val="0"/>
          <w:numId w:val="52"/>
        </w:numPr>
        <w:tabs>
          <w:tab w:val="left" w:pos="0"/>
          <w:tab w:val="left" w:pos="154"/>
          <w:tab w:val="clear" w:pos="153"/>
        </w:tabs>
        <w:ind w:left="0" w:leftChars="0" w:firstLine="630" w:firstLineChars="300"/>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sz w:val="21"/>
          <w:szCs w:val="21"/>
          <w:lang w:val="en-US" w:eastAsia="zh-CN"/>
        </w:rPr>
        <w:t>器身或钟</w:t>
      </w:r>
      <w:r>
        <w:rPr>
          <w:rFonts w:hint="default" w:ascii="Times New Roman" w:hAnsi="Times New Roman" w:eastAsia="宋体" w:cs="Times New Roman"/>
          <w:color w:val="000000"/>
          <w:kern w:val="0"/>
          <w:sz w:val="21"/>
          <w:szCs w:val="21"/>
          <w:lang w:val="en-US" w:eastAsia="zh-CN" w:bidi="ar"/>
        </w:rPr>
        <w:t>罩起吊时，吊索与铅垂线的夹角不宜大于30°，必要时可采用控制吊梁。起吊过程中，器身不</w:t>
      </w:r>
      <w:r>
        <w:rPr>
          <w:rFonts w:hint="default" w:ascii="Times New Roman" w:hAnsi="Times New Roman" w:cs="Times New Roman"/>
          <w:color w:val="000000"/>
          <w:kern w:val="0"/>
          <w:sz w:val="21"/>
          <w:szCs w:val="21"/>
          <w:lang w:val="en-US" w:eastAsia="zh-CN" w:bidi="ar"/>
        </w:rPr>
        <w:t>应</w:t>
      </w:r>
      <w:r>
        <w:rPr>
          <w:rFonts w:hint="default" w:ascii="Times New Roman" w:hAnsi="Times New Roman" w:eastAsia="宋体" w:cs="Times New Roman"/>
          <w:color w:val="000000"/>
          <w:kern w:val="0"/>
          <w:sz w:val="21"/>
          <w:szCs w:val="21"/>
          <w:lang w:val="en-US" w:eastAsia="zh-CN" w:bidi="ar"/>
        </w:rPr>
        <w:t>与箱壁有接触。</w:t>
      </w:r>
    </w:p>
    <w:p w14:paraId="1C7AEA61">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.7 器身</w:t>
      </w:r>
      <w:r>
        <w:rPr>
          <w:rFonts w:hint="default" w:ascii="Times New Roman" w:hAnsi="Times New Roman" w:cs="Times New Roman"/>
          <w:sz w:val="21"/>
          <w:szCs w:val="21"/>
          <w:lang w:val="en-US" w:eastAsia="zh-CN"/>
        </w:rPr>
        <w:t>检查</w:t>
      </w:r>
      <w:r>
        <w:rPr>
          <w:rFonts w:hint="default" w:ascii="Times New Roman" w:hAnsi="Times New Roman" w:eastAsia="宋体" w:cs="Times New Roman"/>
          <w:sz w:val="21"/>
          <w:szCs w:val="21"/>
        </w:rPr>
        <w:t>的主要项目和要求应符合下列规定</w:t>
      </w:r>
      <w:r>
        <w:rPr>
          <w:rFonts w:hint="default" w:ascii="Times New Roman" w:hAnsi="Times New Roman" w:eastAsia="宋体" w:cs="Times New Roman"/>
          <w:sz w:val="21"/>
          <w:szCs w:val="21"/>
          <w:lang w:eastAsia="zh-CN"/>
        </w:rPr>
        <w:t>；</w:t>
      </w:r>
    </w:p>
    <w:p w14:paraId="2DCF2F5C">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运输支撑和器身各部位应无移动，运输用的临时防护装置及临时支撑应拆除，并应清点作好记录</w:t>
      </w:r>
      <w:r>
        <w:rPr>
          <w:rFonts w:hint="eastAsia" w:ascii="Times New Roman" w:hAnsi="Times New Roman" w:cs="Times New Roman"/>
          <w:sz w:val="21"/>
          <w:szCs w:val="21"/>
          <w:lang w:eastAsia="zh-CN"/>
        </w:rPr>
        <w:t>；</w:t>
      </w:r>
    </w:p>
    <w:p w14:paraId="3DE7E581">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所有螺栓应紧固，并有防松措施</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绝缘螺栓应无损坏，防松绑扎完好</w:t>
      </w:r>
      <w:r>
        <w:rPr>
          <w:rFonts w:hint="eastAsia" w:ascii="Times New Roman" w:hAnsi="Times New Roman" w:cs="Times New Roman"/>
          <w:sz w:val="21"/>
          <w:szCs w:val="21"/>
          <w:lang w:eastAsia="zh-CN"/>
        </w:rPr>
        <w:t>；</w:t>
      </w:r>
    </w:p>
    <w:p w14:paraId="3BEAA068">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铁芯检查应符合下列规定</w:t>
      </w:r>
      <w:r>
        <w:rPr>
          <w:rFonts w:hint="default" w:ascii="Times New Roman" w:hAnsi="Times New Roman" w:eastAsia="宋体" w:cs="Times New Roman"/>
          <w:sz w:val="21"/>
          <w:szCs w:val="21"/>
          <w:lang w:val="en-US" w:eastAsia="zh-CN"/>
        </w:rPr>
        <w:t>：</w:t>
      </w:r>
    </w:p>
    <w:p w14:paraId="55D51952">
      <w:pPr>
        <w:widowControl/>
        <w:numPr>
          <w:ilvl w:val="0"/>
          <w:numId w:val="54"/>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铁芯应无</w:t>
      </w:r>
      <w:r>
        <w:rPr>
          <w:rFonts w:hint="default" w:ascii="Times New Roman" w:hAnsi="Times New Roman" w:eastAsia="宋体" w:cs="Times New Roman"/>
          <w:sz w:val="21"/>
          <w:szCs w:val="21"/>
          <w:lang w:val="en-US" w:eastAsia="zh-CN"/>
        </w:rPr>
        <w:t>变形，铁轭与夹件间的绝缘垫应完好。</w:t>
      </w:r>
    </w:p>
    <w:p w14:paraId="4EC33F45">
      <w:pPr>
        <w:widowControl/>
        <w:numPr>
          <w:ilvl w:val="0"/>
          <w:numId w:val="54"/>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铁芯应无多点接地。</w:t>
      </w:r>
    </w:p>
    <w:p w14:paraId="7E548DE0">
      <w:pPr>
        <w:widowControl/>
        <w:numPr>
          <w:ilvl w:val="0"/>
          <w:numId w:val="54"/>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铁芯外引接地的变压器，拆开接地线后铁芯对地绝缘应符合产品技术文件的要求。</w:t>
      </w:r>
    </w:p>
    <w:p w14:paraId="54C426E8">
      <w:pPr>
        <w:widowControl/>
        <w:numPr>
          <w:ilvl w:val="0"/>
          <w:numId w:val="54"/>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打开夹件与铁轭接地片后，铁轭螺杆与铁芯、铁轭与夹件、螺杆与夹件间的绝缘应符合产品技术文件的要求。</w:t>
      </w:r>
    </w:p>
    <w:p w14:paraId="1556E62B">
      <w:pPr>
        <w:widowControl/>
        <w:numPr>
          <w:ilvl w:val="0"/>
          <w:numId w:val="54"/>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当铁轭采用钢带绑扎时，钢带对铁轭的绝缘应符合产品技术文件的要求。</w:t>
      </w:r>
    </w:p>
    <w:p w14:paraId="3819634D">
      <w:pPr>
        <w:widowControl/>
        <w:numPr>
          <w:ilvl w:val="0"/>
          <w:numId w:val="54"/>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打开铁芯屏蔽接地引线，检查屏蔽绝缘应符合产品技术文件的要求。</w:t>
      </w:r>
    </w:p>
    <w:p w14:paraId="3D0CF424">
      <w:pPr>
        <w:widowControl/>
        <w:numPr>
          <w:ilvl w:val="0"/>
          <w:numId w:val="54"/>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打开夹件与线圈压板的连线，检查压钉绝缘应符合产品技术文件的要求。</w:t>
      </w:r>
    </w:p>
    <w:p w14:paraId="3E652C01">
      <w:pPr>
        <w:widowControl/>
        <w:numPr>
          <w:ilvl w:val="0"/>
          <w:numId w:val="54"/>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铁芯拉板及铁轭拉带应</w:t>
      </w:r>
      <w:r>
        <w:rPr>
          <w:rFonts w:hint="default" w:ascii="Times New Roman" w:hAnsi="Times New Roman" w:eastAsia="宋体" w:cs="Times New Roman"/>
          <w:sz w:val="21"/>
          <w:szCs w:val="21"/>
        </w:rPr>
        <w:t>紧固，绝缘符合产品技术文件的要求。</w:t>
      </w:r>
    </w:p>
    <w:p w14:paraId="581CB820">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绕组检查应符合下列规定</w:t>
      </w:r>
      <w:r>
        <w:rPr>
          <w:rFonts w:hint="default" w:ascii="Times New Roman" w:hAnsi="Times New Roman" w:eastAsia="宋体" w:cs="Times New Roman"/>
          <w:sz w:val="21"/>
          <w:szCs w:val="21"/>
          <w:lang w:eastAsia="zh-CN"/>
        </w:rPr>
        <w:t>：</w:t>
      </w:r>
    </w:p>
    <w:p w14:paraId="7B60DE0D">
      <w:pPr>
        <w:widowControl/>
        <w:numPr>
          <w:ilvl w:val="0"/>
          <w:numId w:val="55"/>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绕组绝缘</w:t>
      </w:r>
      <w:r>
        <w:rPr>
          <w:rFonts w:hint="default" w:ascii="Times New Roman" w:hAnsi="Times New Roman" w:eastAsia="宋体" w:cs="Times New Roman"/>
          <w:sz w:val="21"/>
          <w:szCs w:val="21"/>
          <w:lang w:val="en-US" w:eastAsia="zh-CN"/>
        </w:rPr>
        <w:t>层应完整，无缺损、变位现象。</w:t>
      </w:r>
    </w:p>
    <w:p w14:paraId="598C2BBC">
      <w:pPr>
        <w:widowControl/>
        <w:numPr>
          <w:ilvl w:val="0"/>
          <w:numId w:val="55"/>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各绕组应排列整齐，间隙均匀，油路无堵塞。</w:t>
      </w:r>
    </w:p>
    <w:p w14:paraId="70207621">
      <w:pPr>
        <w:widowControl/>
        <w:numPr>
          <w:ilvl w:val="0"/>
          <w:numId w:val="55"/>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绕组的压钉</w:t>
      </w:r>
      <w:r>
        <w:rPr>
          <w:rFonts w:hint="default" w:ascii="Times New Roman" w:hAnsi="Times New Roman" w:eastAsia="宋体" w:cs="Times New Roman"/>
          <w:sz w:val="21"/>
          <w:szCs w:val="21"/>
        </w:rPr>
        <w:t>应紧固，防松螺母应锁紧。</w:t>
      </w:r>
    </w:p>
    <w:p w14:paraId="7A7D5897">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绝缘围屏绑扎应牢固，围屏上所有线圈引出处的封闭应符合产品技术文件的要求</w:t>
      </w:r>
      <w:r>
        <w:rPr>
          <w:rFonts w:hint="eastAsia" w:ascii="Times New Roman" w:hAnsi="Times New Roman" w:cs="Times New Roman"/>
          <w:sz w:val="21"/>
          <w:szCs w:val="21"/>
          <w:lang w:eastAsia="zh-CN"/>
        </w:rPr>
        <w:t>；</w:t>
      </w:r>
    </w:p>
    <w:p w14:paraId="432BA70D">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引出线绝缘包扎应牢固，无破损、拧弯现象</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引出线绝缘距离应合格，固定牢靠，其固定支架应紧固</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引出线的裸露部分应无毛刺或尖角，焊接质量应良好</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引出线与套管的连接应牢靠，接线正确</w:t>
      </w:r>
      <w:r>
        <w:rPr>
          <w:rFonts w:hint="eastAsia" w:ascii="Times New Roman" w:hAnsi="Times New Roman" w:eastAsia="宋体" w:cs="Times New Roman"/>
          <w:sz w:val="21"/>
          <w:szCs w:val="21"/>
          <w:lang w:eastAsia="zh-CN"/>
        </w:rPr>
        <w:t>；</w:t>
      </w:r>
    </w:p>
    <w:p w14:paraId="38B3485D">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无励磁调压切换装置各分接头与线</w:t>
      </w:r>
      <w:r>
        <w:rPr>
          <w:rFonts w:hint="default" w:ascii="Times New Roman" w:hAnsi="Times New Roman" w:eastAsia="宋体" w:cs="Times New Roman"/>
          <w:sz w:val="21"/>
          <w:szCs w:val="21"/>
          <w:lang w:val="en-US" w:eastAsia="zh-CN"/>
        </w:rPr>
        <w:t>圈</w:t>
      </w:r>
      <w:r>
        <w:rPr>
          <w:rFonts w:hint="default" w:ascii="Times New Roman" w:hAnsi="Times New Roman" w:eastAsia="宋体" w:cs="Times New Roman"/>
          <w:sz w:val="21"/>
          <w:szCs w:val="21"/>
        </w:rPr>
        <w:t>的连接应紧固正确</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各分接头应清洁，且接触紧密，弹性良好</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转动接点应正确地停留在各个位置上，且与指示器所指位置</w:t>
      </w:r>
      <w:r>
        <w:rPr>
          <w:rFonts w:hint="default" w:ascii="Times New Roman" w:hAnsi="Times New Roman" w:eastAsia="宋体" w:cs="Times New Roman"/>
          <w:sz w:val="21"/>
          <w:szCs w:val="21"/>
          <w:lang w:val="en-US" w:eastAsia="zh-CN"/>
        </w:rPr>
        <w:t>一</w:t>
      </w:r>
      <w:r>
        <w:rPr>
          <w:rFonts w:hint="default" w:ascii="Times New Roman" w:hAnsi="Times New Roman" w:eastAsia="宋体" w:cs="Times New Roman"/>
          <w:sz w:val="21"/>
          <w:szCs w:val="21"/>
        </w:rPr>
        <w:t>致</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切换装置的拉杆、分接头凸轮、小轴、销子等应完整无损</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转动盘应动作灵活，密封严密</w:t>
      </w:r>
      <w:r>
        <w:rPr>
          <w:rFonts w:hint="eastAsia" w:ascii="Times New Roman" w:hAnsi="Times New Roman" w:cs="Times New Roman"/>
          <w:sz w:val="21"/>
          <w:szCs w:val="21"/>
          <w:lang w:eastAsia="zh-CN"/>
        </w:rPr>
        <w:t>；</w:t>
      </w:r>
    </w:p>
    <w:p w14:paraId="6655A725">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有载调压切换装置的选择开关、切换开关接触应符合产品技术文件的要求，位置显示一致</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分接引线应连接正确、牢固，切换开关部分密封严密。必要时抽出切换开关芯子进行检查</w:t>
      </w:r>
      <w:r>
        <w:rPr>
          <w:rFonts w:hint="eastAsia" w:ascii="Times New Roman" w:hAnsi="Times New Roman" w:cs="Times New Roman"/>
          <w:sz w:val="21"/>
          <w:szCs w:val="21"/>
          <w:lang w:eastAsia="zh-CN"/>
        </w:rPr>
        <w:t>；</w:t>
      </w:r>
    </w:p>
    <w:p w14:paraId="5D1A8FF9">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绝缘屏障应完好，且固定牢固，无松动现象</w:t>
      </w:r>
      <w:r>
        <w:rPr>
          <w:rFonts w:hint="eastAsia" w:ascii="Times New Roman" w:hAnsi="Times New Roman" w:cs="Times New Roman"/>
          <w:sz w:val="21"/>
          <w:szCs w:val="21"/>
          <w:lang w:eastAsia="zh-CN"/>
        </w:rPr>
        <w:t>；</w:t>
      </w:r>
    </w:p>
    <w:p w14:paraId="7478F28D">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检查强油循环管路与下轭绝缘接口部位的密封应完好</w:t>
      </w:r>
      <w:r>
        <w:rPr>
          <w:rFonts w:hint="eastAsia" w:ascii="Times New Roman" w:hAnsi="Times New Roman" w:cs="Times New Roman"/>
          <w:sz w:val="21"/>
          <w:szCs w:val="21"/>
          <w:lang w:eastAsia="zh-CN"/>
        </w:rPr>
        <w:t>；</w:t>
      </w:r>
    </w:p>
    <w:p w14:paraId="3C15B205">
      <w:pPr>
        <w:keepNext w:val="0"/>
        <w:keepLines w:val="0"/>
        <w:pageBreakBefore w:val="0"/>
        <w:widowControl/>
        <w:numPr>
          <w:ilvl w:val="0"/>
          <w:numId w:val="53"/>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检查各部位应无油泥、水滴和金属屑等杂物。</w:t>
      </w:r>
    </w:p>
    <w:p w14:paraId="3F1A175E">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eastAsia="zh-CN"/>
        </w:rPr>
        <w:t>.8 器身检查时应检查箱壁上阀门开闭是否灵活，指示是否正确，导向冷却的变压器应检查和清理进油管接头和联箱。器身检查完毕后，应用合格的变压器油对器身进行冲洗、清洁油箱底部，不得有遗留杂物及残油。冲洗器身时，不</w:t>
      </w:r>
      <w:r>
        <w:rPr>
          <w:rFonts w:hint="default" w:ascii="Times New Roman" w:hAnsi="Times New Roman" w:cs="Times New Roman"/>
          <w:sz w:val="21"/>
          <w:szCs w:val="21"/>
          <w:lang w:val="en-US" w:eastAsia="zh-CN"/>
        </w:rPr>
        <w:t>应</w:t>
      </w:r>
      <w:r>
        <w:rPr>
          <w:rFonts w:hint="default" w:ascii="Times New Roman" w:hAnsi="Times New Roman" w:eastAsia="宋体" w:cs="Times New Roman"/>
          <w:sz w:val="21"/>
          <w:szCs w:val="21"/>
          <w:lang w:eastAsia="zh-CN"/>
        </w:rPr>
        <w:t>触及引出线端头裸露部分。</w:t>
      </w:r>
    </w:p>
    <w:p w14:paraId="0B97FF37">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lang w:eastAsia="zh-CN"/>
        </w:rPr>
        <w:t xml:space="preserve"> 内部安装、连接</w:t>
      </w:r>
    </w:p>
    <w:p w14:paraId="5DD96E6E">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lang w:eastAsia="zh-CN"/>
        </w:rPr>
        <w:t xml:space="preserve">.1 </w:t>
      </w:r>
      <w:r>
        <w:rPr>
          <w:rFonts w:hint="default" w:ascii="Times New Roman" w:hAnsi="Times New Roman" w:cs="Times New Roman"/>
          <w:sz w:val="21"/>
          <w:szCs w:val="21"/>
          <w:lang w:val="en-US" w:eastAsia="zh-CN"/>
        </w:rPr>
        <w:t>变压器</w:t>
      </w:r>
      <w:r>
        <w:rPr>
          <w:rFonts w:hint="default" w:ascii="Times New Roman" w:hAnsi="Times New Roman" w:eastAsia="宋体" w:cs="Times New Roman"/>
          <w:sz w:val="21"/>
          <w:szCs w:val="21"/>
          <w:lang w:eastAsia="zh-CN"/>
        </w:rPr>
        <w:t>的内部安装、连接，应按照产品说明书及合同约定执行。</w:t>
      </w:r>
    </w:p>
    <w:p w14:paraId="19DFC886">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lang w:eastAsia="zh-CN"/>
        </w:rPr>
        <w:t xml:space="preserve">.2 </w:t>
      </w:r>
      <w:r>
        <w:rPr>
          <w:rFonts w:hint="default" w:ascii="Times New Roman" w:hAnsi="Times New Roman" w:cs="Times New Roman"/>
          <w:sz w:val="21"/>
          <w:szCs w:val="21"/>
          <w:lang w:val="en-US" w:eastAsia="zh-CN"/>
        </w:rPr>
        <w:t>内部</w:t>
      </w:r>
      <w:r>
        <w:rPr>
          <w:rFonts w:hint="default" w:ascii="Times New Roman" w:hAnsi="Times New Roman" w:eastAsia="宋体" w:cs="Times New Roman"/>
          <w:sz w:val="21"/>
          <w:szCs w:val="21"/>
          <w:lang w:eastAsia="zh-CN"/>
        </w:rPr>
        <w:t>安装、连接记录签证应完整。</w:t>
      </w:r>
    </w:p>
    <w:p w14:paraId="7539B446">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val="en-US" w:eastAsia="zh-CN"/>
        </w:rPr>
        <w:t xml:space="preserve">.6 干燥 </w:t>
      </w:r>
    </w:p>
    <w:p w14:paraId="51267158">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val="en-US" w:eastAsia="zh-CN"/>
        </w:rPr>
        <w:t xml:space="preserve">.6.1 </w:t>
      </w:r>
      <w:r>
        <w:rPr>
          <w:rFonts w:hint="default" w:ascii="Times New Roman" w:hAnsi="Times New Roman" w:cs="Times New Roman"/>
          <w:sz w:val="21"/>
          <w:szCs w:val="21"/>
          <w:lang w:val="en-US" w:eastAsia="zh-CN"/>
        </w:rPr>
        <w:t>变压器</w:t>
      </w:r>
      <w:r>
        <w:rPr>
          <w:rFonts w:hint="default" w:ascii="Times New Roman" w:hAnsi="Times New Roman" w:eastAsia="宋体" w:cs="Times New Roman"/>
          <w:sz w:val="21"/>
          <w:szCs w:val="21"/>
          <w:lang w:val="en-US" w:eastAsia="zh-CN"/>
        </w:rPr>
        <w:t>是否需进行干燥，应根据</w:t>
      </w:r>
      <w:r>
        <w:rPr>
          <w:rFonts w:hint="default" w:ascii="Times New Roman" w:hAnsi="Times New Roman" w:cs="Times New Roman"/>
          <w:sz w:val="21"/>
          <w:szCs w:val="21"/>
          <w:lang w:val="en-US" w:eastAsia="zh-CN"/>
        </w:rPr>
        <w:t>GB 50148、DL/T 5840相关规定</w:t>
      </w:r>
      <w:r>
        <w:rPr>
          <w:rFonts w:hint="default" w:ascii="Times New Roman" w:hAnsi="Times New Roman" w:eastAsia="宋体" w:cs="Times New Roman"/>
          <w:sz w:val="21"/>
          <w:szCs w:val="21"/>
          <w:lang w:val="en-US" w:eastAsia="zh-CN"/>
        </w:rPr>
        <w:t xml:space="preserve">进行综合分析判断后确定。 </w:t>
      </w:r>
    </w:p>
    <w:p w14:paraId="6B8903F7">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6</w:t>
      </w:r>
      <w:r>
        <w:rPr>
          <w:rFonts w:hint="default" w:ascii="Times New Roman" w:hAnsi="Times New Roman" w:eastAsia="宋体" w:cs="Times New Roman"/>
          <w:sz w:val="21"/>
          <w:szCs w:val="21"/>
          <w:lang w:eastAsia="zh-CN"/>
        </w:rPr>
        <w:t>.2 设备进行干燥时，宜采用真空热油循环干燥法。带油干燥时上层油温不得超过 85℃。干式变压器进行干燥时，其绕组温度应根据其绝缘等级确定。</w:t>
      </w:r>
    </w:p>
    <w:p w14:paraId="13368B86">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6</w:t>
      </w:r>
      <w:r>
        <w:rPr>
          <w:rFonts w:hint="default" w:ascii="Times New Roman" w:hAnsi="Times New Roman" w:eastAsia="宋体" w:cs="Times New Roman"/>
          <w:sz w:val="21"/>
          <w:szCs w:val="21"/>
          <w:lang w:eastAsia="zh-CN"/>
        </w:rPr>
        <w:t>.3 在保持温度不变的情况下，绕组的绝缘电阻下降后再回升，110kV及以下的变压器持续6h</w:t>
      </w:r>
      <w:r>
        <w:rPr>
          <w:rFonts w:hint="default" w:ascii="Times New Roman" w:hAnsi="Times New Roman" w:cs="Times New Roman"/>
          <w:sz w:val="21"/>
          <w:szCs w:val="21"/>
          <w:lang w:eastAsia="zh-CN"/>
        </w:rPr>
        <w:t>；</w:t>
      </w:r>
      <w:r>
        <w:rPr>
          <w:rFonts w:hint="default" w:ascii="Times New Roman" w:hAnsi="Times New Roman" w:eastAsia="宋体" w:cs="Times New Roman"/>
          <w:sz w:val="21"/>
          <w:szCs w:val="21"/>
          <w:lang w:eastAsia="zh-CN"/>
        </w:rPr>
        <w:t>220kV及以上的变压器持续12h保持稳定，且真空滤油机中无凝结水产生时，可认为干燥完毕。</w:t>
      </w:r>
    </w:p>
    <w:p w14:paraId="2A9DD083">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 xml:space="preserve"> 本体及附件安装</w:t>
      </w:r>
    </w:p>
    <w:p w14:paraId="561E71DF">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.1 220kV及</w:t>
      </w:r>
      <w:r>
        <w:rPr>
          <w:rFonts w:hint="default" w:ascii="Times New Roman" w:hAnsi="Times New Roman" w:cs="Times New Roman"/>
          <w:sz w:val="21"/>
          <w:szCs w:val="21"/>
          <w:lang w:val="en-US" w:eastAsia="zh-CN"/>
        </w:rPr>
        <w:t>以上</w:t>
      </w:r>
      <w:r>
        <w:rPr>
          <w:rFonts w:hint="default" w:ascii="Times New Roman" w:hAnsi="Times New Roman" w:eastAsia="宋体" w:cs="Times New Roman"/>
          <w:sz w:val="21"/>
          <w:szCs w:val="21"/>
          <w:lang w:eastAsia="zh-CN"/>
        </w:rPr>
        <w:t>变压器本体露空安装附件应符合下列规定</w:t>
      </w:r>
      <w:r>
        <w:rPr>
          <w:rFonts w:hint="default" w:ascii="Times New Roman" w:hAnsi="Times New Roman" w:cs="Times New Roman"/>
          <w:sz w:val="21"/>
          <w:szCs w:val="21"/>
          <w:lang w:eastAsia="zh-CN"/>
        </w:rPr>
        <w:t>：</w:t>
      </w:r>
    </w:p>
    <w:p w14:paraId="0C7DDC00">
      <w:pPr>
        <w:keepNext w:val="0"/>
        <w:keepLines w:val="0"/>
        <w:pageBreakBefore w:val="0"/>
        <w:widowControl/>
        <w:numPr>
          <w:ilvl w:val="0"/>
          <w:numId w:val="56"/>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环境相对湿度应小于80</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eastAsia="zh-CN"/>
        </w:rPr>
        <w:t>在安装过程中应向箱体内持续补充露点低于</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eastAsia="zh-CN"/>
        </w:rPr>
        <w:t>40℃的干燥空气，补充</w:t>
      </w:r>
      <w:r>
        <w:rPr>
          <w:rFonts w:hint="default" w:ascii="Times New Roman" w:hAnsi="Times New Roman" w:eastAsia="宋体" w:cs="Times New Roman"/>
          <w:sz w:val="21"/>
          <w:szCs w:val="21"/>
          <w:lang w:val="en-US" w:eastAsia="zh-CN"/>
        </w:rPr>
        <w:t>干燥</w:t>
      </w:r>
      <w:r>
        <w:rPr>
          <w:rFonts w:hint="default" w:ascii="Times New Roman" w:hAnsi="Times New Roman" w:eastAsia="宋体" w:cs="Times New Roman"/>
          <w:sz w:val="21"/>
          <w:szCs w:val="21"/>
          <w:lang w:eastAsia="zh-CN"/>
        </w:rPr>
        <w:t>空气速率应符合产品技术文件要求</w:t>
      </w:r>
      <w:r>
        <w:rPr>
          <w:rFonts w:hint="eastAsia" w:ascii="Times New Roman" w:hAnsi="Times New Roman" w:cs="Times New Roman"/>
          <w:sz w:val="21"/>
          <w:szCs w:val="21"/>
          <w:lang w:eastAsia="zh-CN"/>
        </w:rPr>
        <w:t>；</w:t>
      </w:r>
    </w:p>
    <w:p w14:paraId="5CE067E5">
      <w:pPr>
        <w:keepNext w:val="0"/>
        <w:keepLines w:val="0"/>
        <w:pageBreakBefore w:val="0"/>
        <w:widowControl/>
        <w:numPr>
          <w:ilvl w:val="0"/>
          <w:numId w:val="56"/>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每次宜只打开一处</w:t>
      </w:r>
      <w:r>
        <w:rPr>
          <w:rFonts w:hint="default" w:ascii="Times New Roman" w:hAnsi="Times New Roman" w:cs="Times New Roman"/>
          <w:sz w:val="21"/>
          <w:szCs w:val="21"/>
          <w:lang w:val="en-US" w:eastAsia="zh-CN"/>
        </w:rPr>
        <w:t>封口</w:t>
      </w:r>
      <w:r>
        <w:rPr>
          <w:rFonts w:hint="default" w:ascii="Times New Roman" w:hAnsi="Times New Roman" w:eastAsia="宋体" w:cs="Times New Roman"/>
          <w:sz w:val="21"/>
          <w:szCs w:val="21"/>
          <w:lang w:eastAsia="zh-CN"/>
        </w:rPr>
        <w:t>，并用塑料薄膜覆盖，连续露空时间不宜超过8h，累计露空时间不宜超过24h；油箱内空气的相对湿度不大于20</w:t>
      </w:r>
      <w:r>
        <w:rPr>
          <w:rFonts w:hint="default" w:ascii="Times New Roman" w:hAnsi="Times New Roman" w:eastAsia="宋体" w:cs="Times New Roman"/>
          <w:sz w:val="21"/>
          <w:szCs w:val="21"/>
          <w:lang w:val="en-US" w:eastAsia="zh-CN"/>
        </w:rPr>
        <w:t>%</w:t>
      </w:r>
      <w:r>
        <w:rPr>
          <w:rFonts w:hint="default" w:ascii="Times New Roman" w:hAnsi="Times New Roman" w:cs="Times New Roman"/>
          <w:sz w:val="21"/>
          <w:szCs w:val="21"/>
          <w:lang w:val="en-US" w:eastAsia="zh-CN"/>
        </w:rPr>
        <w:t>。</w:t>
      </w:r>
      <w:r>
        <w:rPr>
          <w:rFonts w:hint="default" w:ascii="Times New Roman" w:hAnsi="Times New Roman" w:eastAsia="宋体" w:cs="Times New Roman"/>
          <w:sz w:val="21"/>
          <w:szCs w:val="21"/>
          <w:lang w:eastAsia="zh-CN"/>
        </w:rPr>
        <w:t>每天工作结束应抽真空</w:t>
      </w:r>
      <w:r>
        <w:rPr>
          <w:rFonts w:hint="default" w:ascii="Times New Roman" w:hAnsi="Times New Roman" w:cs="Times New Roman"/>
          <w:sz w:val="21"/>
          <w:szCs w:val="21"/>
          <w:lang w:val="en-US" w:eastAsia="zh-CN"/>
        </w:rPr>
        <w:t>或</w:t>
      </w:r>
      <w:r>
        <w:rPr>
          <w:rFonts w:hint="default" w:ascii="Times New Roman" w:hAnsi="Times New Roman" w:eastAsia="宋体" w:cs="Times New Roman"/>
          <w:sz w:val="21"/>
          <w:szCs w:val="21"/>
          <w:lang w:eastAsia="zh-CN"/>
        </w:rPr>
        <w:t>补充</w:t>
      </w:r>
      <w:r>
        <w:rPr>
          <w:rFonts w:hint="default" w:ascii="Times New Roman" w:hAnsi="Times New Roman" w:cs="Times New Roman"/>
          <w:sz w:val="21"/>
          <w:szCs w:val="21"/>
          <w:lang w:val="en-US" w:eastAsia="zh-CN"/>
        </w:rPr>
        <w:t>干</w:t>
      </w:r>
      <w:r>
        <w:rPr>
          <w:rFonts w:hint="default" w:ascii="Times New Roman" w:hAnsi="Times New Roman" w:eastAsia="宋体" w:cs="Times New Roman"/>
          <w:sz w:val="21"/>
          <w:szCs w:val="21"/>
          <w:lang w:eastAsia="zh-CN"/>
        </w:rPr>
        <w:t>燥空气</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充气时</w:t>
      </w:r>
      <w:r>
        <w:rPr>
          <w:rFonts w:hint="default" w:ascii="Times New Roman" w:hAnsi="Times New Roman" w:eastAsia="宋体" w:cs="Times New Roman"/>
          <w:sz w:val="21"/>
          <w:szCs w:val="21"/>
          <w:lang w:eastAsia="zh-CN"/>
        </w:rPr>
        <w:t>压力达到0.01MPa～0.03MPa。</w:t>
      </w:r>
    </w:p>
    <w:p w14:paraId="6F120E83">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.2 密封</w:t>
      </w:r>
      <w:r>
        <w:rPr>
          <w:rFonts w:hint="default" w:ascii="Times New Roman" w:hAnsi="Times New Roman" w:cs="Times New Roman"/>
          <w:sz w:val="21"/>
          <w:szCs w:val="21"/>
          <w:lang w:val="en-US" w:eastAsia="zh-CN"/>
        </w:rPr>
        <w:t>处理</w:t>
      </w:r>
      <w:r>
        <w:rPr>
          <w:rFonts w:hint="default" w:ascii="Times New Roman" w:hAnsi="Times New Roman" w:eastAsia="宋体" w:cs="Times New Roman"/>
          <w:sz w:val="21"/>
          <w:szCs w:val="21"/>
          <w:lang w:eastAsia="zh-CN"/>
        </w:rPr>
        <w:t>应符合下列规定</w:t>
      </w:r>
      <w:r>
        <w:rPr>
          <w:rFonts w:hint="default" w:ascii="Times New Roman" w:hAnsi="Times New Roman" w:cs="Times New Roman"/>
          <w:sz w:val="21"/>
          <w:szCs w:val="21"/>
          <w:lang w:eastAsia="zh-CN"/>
        </w:rPr>
        <w:t>：</w:t>
      </w:r>
    </w:p>
    <w:p w14:paraId="42C08060">
      <w:pPr>
        <w:keepNext w:val="0"/>
        <w:keepLines w:val="0"/>
        <w:pageBreakBefore w:val="0"/>
        <w:widowControl/>
        <w:numPr>
          <w:ilvl w:val="0"/>
          <w:numId w:val="57"/>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所有法兰连接处应用耐油密封垫圈密封；密封垫圈应无扭曲、变形、裂纹和毛刺，密封垫圈应与法兰面的尺寸相配合</w:t>
      </w:r>
      <w:r>
        <w:rPr>
          <w:rFonts w:hint="eastAsia" w:ascii="Times New Roman" w:hAnsi="Times New Roman" w:cs="Times New Roman"/>
          <w:sz w:val="21"/>
          <w:szCs w:val="21"/>
          <w:lang w:eastAsia="zh-CN"/>
        </w:rPr>
        <w:t>；</w:t>
      </w:r>
    </w:p>
    <w:p w14:paraId="43F7CEFD">
      <w:pPr>
        <w:keepNext w:val="0"/>
        <w:keepLines w:val="0"/>
        <w:pageBreakBefore w:val="0"/>
        <w:widowControl/>
        <w:numPr>
          <w:ilvl w:val="0"/>
          <w:numId w:val="57"/>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法兰连接面应平整、清洁；密封垫圈应使用产品技术文件要求的清洁剂擦拭干净，其安装位置应准确；其搭接处的厚度应与其原厚度相同，橡胶密封垫的压缩量不宜超过其厚度的1/3</w:t>
      </w:r>
      <w:r>
        <w:rPr>
          <w:rFonts w:hint="eastAsia" w:ascii="Times New Roman" w:hAnsi="Times New Roman" w:cs="Times New Roman"/>
          <w:sz w:val="21"/>
          <w:szCs w:val="21"/>
          <w:lang w:eastAsia="zh-CN"/>
        </w:rPr>
        <w:t>；</w:t>
      </w:r>
    </w:p>
    <w:p w14:paraId="7E16B5B0">
      <w:pPr>
        <w:keepNext w:val="0"/>
        <w:keepLines w:val="0"/>
        <w:pageBreakBefore w:val="0"/>
        <w:widowControl/>
        <w:numPr>
          <w:ilvl w:val="0"/>
          <w:numId w:val="57"/>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法兰螺栓应按对角线位置依次均匀紧固，紧固后的法兰间隙应均匀，紧固力矩值应符合产品技术文件要求。</w:t>
      </w:r>
    </w:p>
    <w:p w14:paraId="4636B81A">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.3 有载</w:t>
      </w:r>
      <w:r>
        <w:rPr>
          <w:rFonts w:hint="default" w:ascii="Times New Roman" w:hAnsi="Times New Roman" w:cs="Times New Roman"/>
          <w:sz w:val="21"/>
          <w:szCs w:val="21"/>
          <w:lang w:val="en-US" w:eastAsia="zh-CN"/>
        </w:rPr>
        <w:t>调压</w:t>
      </w:r>
      <w:r>
        <w:rPr>
          <w:rFonts w:hint="default" w:ascii="Times New Roman" w:hAnsi="Times New Roman" w:eastAsia="宋体" w:cs="Times New Roman"/>
          <w:sz w:val="21"/>
          <w:szCs w:val="21"/>
          <w:lang w:eastAsia="zh-CN"/>
        </w:rPr>
        <w:t>切换装置的安装应符合下列规定</w:t>
      </w:r>
      <w:r>
        <w:rPr>
          <w:rFonts w:hint="default" w:ascii="Times New Roman" w:hAnsi="Times New Roman" w:cs="Times New Roman"/>
          <w:sz w:val="21"/>
          <w:szCs w:val="21"/>
          <w:lang w:eastAsia="zh-CN"/>
        </w:rPr>
        <w:t>：</w:t>
      </w:r>
    </w:p>
    <w:p w14:paraId="533C466C">
      <w:pPr>
        <w:keepNext w:val="0"/>
        <w:keepLines w:val="0"/>
        <w:pageBreakBefore w:val="0"/>
        <w:widowControl/>
        <w:numPr>
          <w:ilvl w:val="0"/>
          <w:numId w:val="58"/>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传动机构中的操作机构、电动机、传动齿轮和杠杆应固定牢靠，连接位置正确，且操作灵活，无卡阻现象：传动机构的摩擦部分应涂以适合当地气候条件的润滑脂，并应符合产品技术文件的规定</w:t>
      </w:r>
      <w:r>
        <w:rPr>
          <w:rFonts w:hint="eastAsia" w:ascii="Times New Roman" w:hAnsi="Times New Roman" w:cs="Times New Roman"/>
          <w:sz w:val="21"/>
          <w:szCs w:val="21"/>
          <w:lang w:eastAsia="zh-CN"/>
        </w:rPr>
        <w:t>；</w:t>
      </w:r>
    </w:p>
    <w:p w14:paraId="35DCA21F">
      <w:pPr>
        <w:keepNext w:val="0"/>
        <w:keepLines w:val="0"/>
        <w:pageBreakBefore w:val="0"/>
        <w:widowControl/>
        <w:numPr>
          <w:ilvl w:val="0"/>
          <w:numId w:val="58"/>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切换开关的触头及其连接线应完整无损，且接触可靠；其限流电阻应完好，无断裂现象</w:t>
      </w:r>
      <w:r>
        <w:rPr>
          <w:rFonts w:hint="eastAsia" w:ascii="Times New Roman" w:hAnsi="Times New Roman" w:cs="Times New Roman"/>
          <w:sz w:val="21"/>
          <w:szCs w:val="21"/>
          <w:lang w:eastAsia="zh-CN"/>
        </w:rPr>
        <w:t>；</w:t>
      </w:r>
    </w:p>
    <w:p w14:paraId="43ACA1E2">
      <w:pPr>
        <w:keepNext w:val="0"/>
        <w:keepLines w:val="0"/>
        <w:pageBreakBefore w:val="0"/>
        <w:widowControl/>
        <w:numPr>
          <w:ilvl w:val="0"/>
          <w:numId w:val="58"/>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切换装置的工作顺序应符合产品技术要求；切换装置在极限位置时，其机械联锁与极限开关的电气联锁动作应正确</w:t>
      </w:r>
      <w:r>
        <w:rPr>
          <w:rFonts w:hint="eastAsia" w:ascii="Times New Roman" w:hAnsi="Times New Roman" w:cs="Times New Roman"/>
          <w:sz w:val="21"/>
          <w:szCs w:val="21"/>
          <w:lang w:eastAsia="zh-CN"/>
        </w:rPr>
        <w:t>；</w:t>
      </w:r>
    </w:p>
    <w:p w14:paraId="2A0088BD">
      <w:pPr>
        <w:keepNext w:val="0"/>
        <w:keepLines w:val="0"/>
        <w:pageBreakBefore w:val="0"/>
        <w:widowControl/>
        <w:numPr>
          <w:ilvl w:val="0"/>
          <w:numId w:val="58"/>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位置指示器应动作正常，指示正确</w:t>
      </w:r>
      <w:r>
        <w:rPr>
          <w:rFonts w:hint="eastAsia" w:ascii="Times New Roman" w:hAnsi="Times New Roman" w:cs="Times New Roman"/>
          <w:sz w:val="21"/>
          <w:szCs w:val="21"/>
          <w:lang w:eastAsia="zh-CN"/>
        </w:rPr>
        <w:t>；</w:t>
      </w:r>
    </w:p>
    <w:p w14:paraId="51146865">
      <w:pPr>
        <w:keepNext w:val="0"/>
        <w:keepLines w:val="0"/>
        <w:pageBreakBefore w:val="0"/>
        <w:widowControl/>
        <w:numPr>
          <w:ilvl w:val="0"/>
          <w:numId w:val="58"/>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切换开关油箱内应清洁，油箱应做密封试验，且密封良好；注入油箱中的绝缘油，其绝缘强度应符合产品技术文件要求</w:t>
      </w:r>
      <w:r>
        <w:rPr>
          <w:rFonts w:hint="eastAsia" w:ascii="Times New Roman" w:hAnsi="Times New Roman" w:cs="Times New Roman"/>
          <w:sz w:val="21"/>
          <w:szCs w:val="21"/>
          <w:lang w:eastAsia="zh-CN"/>
        </w:rPr>
        <w:t>。</w:t>
      </w:r>
    </w:p>
    <w:p w14:paraId="27BED179">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.4 冷却装置的安装应符合下列规定</w:t>
      </w:r>
      <w:r>
        <w:rPr>
          <w:rFonts w:hint="default" w:ascii="Times New Roman" w:hAnsi="Times New Roman" w:cs="Times New Roman"/>
          <w:sz w:val="21"/>
          <w:szCs w:val="21"/>
          <w:lang w:eastAsia="zh-CN"/>
        </w:rPr>
        <w:t>：</w:t>
      </w:r>
    </w:p>
    <w:p w14:paraId="6C183CEB">
      <w:pPr>
        <w:keepNext w:val="0"/>
        <w:keepLines w:val="0"/>
        <w:pageBreakBefore w:val="0"/>
        <w:widowControl/>
        <w:numPr>
          <w:ilvl w:val="0"/>
          <w:numId w:val="5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冷却装置在安装前应按制造厂规定的压力值用气压或油压进行密封试验，并应符合下列要求</w:t>
      </w:r>
      <w:r>
        <w:rPr>
          <w:rFonts w:hint="eastAsia" w:ascii="Times New Roman" w:hAnsi="Times New Roman" w:cs="Times New Roman"/>
          <w:sz w:val="21"/>
          <w:szCs w:val="21"/>
          <w:lang w:eastAsia="zh-CN"/>
        </w:rPr>
        <w:t>：</w:t>
      </w:r>
    </w:p>
    <w:p w14:paraId="6A800164">
      <w:pPr>
        <w:widowControl/>
        <w:numPr>
          <w:ilvl w:val="0"/>
          <w:numId w:val="60"/>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冷却器、强迫油循环风冷却器，持续 30min应无渗漏。</w:t>
      </w:r>
    </w:p>
    <w:p w14:paraId="5B586811">
      <w:pPr>
        <w:widowControl/>
        <w:numPr>
          <w:ilvl w:val="0"/>
          <w:numId w:val="60"/>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强迫油循环水冷却器，持续1h应无渗漏，水、油系统应分别检查渗漏。</w:t>
      </w:r>
    </w:p>
    <w:p w14:paraId="4D798401">
      <w:pPr>
        <w:keepNext w:val="0"/>
        <w:keepLines w:val="0"/>
        <w:pageBreakBefore w:val="0"/>
        <w:widowControl/>
        <w:numPr>
          <w:ilvl w:val="0"/>
          <w:numId w:val="5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冷却装置安装前应用合格的绝缘油经净油机循环冲洗干净，并将残油排尽</w:t>
      </w:r>
      <w:r>
        <w:rPr>
          <w:rFonts w:hint="eastAsia" w:ascii="Times New Roman" w:hAnsi="Times New Roman" w:cs="Times New Roman"/>
          <w:sz w:val="21"/>
          <w:szCs w:val="21"/>
          <w:lang w:eastAsia="zh-CN"/>
        </w:rPr>
        <w:t>；</w:t>
      </w:r>
    </w:p>
    <w:p w14:paraId="2AF7239F">
      <w:pPr>
        <w:keepNext w:val="0"/>
        <w:keepLines w:val="0"/>
        <w:pageBreakBefore w:val="0"/>
        <w:widowControl/>
        <w:numPr>
          <w:ilvl w:val="0"/>
          <w:numId w:val="5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风扇电动机及叶片安装应牢固，转动应灵活，转向应正确，</w:t>
      </w:r>
      <w:r>
        <w:rPr>
          <w:rFonts w:hint="default" w:ascii="Times New Roman" w:hAnsi="Times New Roman" w:eastAsia="宋体" w:cs="Times New Roman"/>
          <w:sz w:val="21"/>
          <w:szCs w:val="21"/>
          <w:lang w:val="en-US" w:eastAsia="zh-CN"/>
        </w:rPr>
        <w:t>并</w:t>
      </w:r>
      <w:r>
        <w:rPr>
          <w:rFonts w:hint="default" w:ascii="Times New Roman" w:hAnsi="Times New Roman" w:eastAsia="宋体" w:cs="Times New Roman"/>
          <w:sz w:val="21"/>
          <w:szCs w:val="21"/>
          <w:lang w:eastAsia="zh-CN"/>
        </w:rPr>
        <w:t>无卡阻</w:t>
      </w:r>
      <w:r>
        <w:rPr>
          <w:rFonts w:hint="eastAsia" w:ascii="Times New Roman" w:hAnsi="Times New Roman" w:cs="Times New Roman"/>
          <w:sz w:val="21"/>
          <w:szCs w:val="21"/>
          <w:lang w:eastAsia="zh-CN"/>
        </w:rPr>
        <w:t>；</w:t>
      </w:r>
    </w:p>
    <w:p w14:paraId="42E42A56">
      <w:pPr>
        <w:keepNext w:val="0"/>
        <w:keepLines w:val="0"/>
        <w:pageBreakBefore w:val="0"/>
        <w:widowControl/>
        <w:numPr>
          <w:ilvl w:val="0"/>
          <w:numId w:val="5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管路中的阀门应操作灵活，开闭位置应正确；阀门及法兰连接处应密封良好</w:t>
      </w:r>
      <w:r>
        <w:rPr>
          <w:rFonts w:hint="eastAsia" w:ascii="Times New Roman" w:hAnsi="Times New Roman" w:cs="Times New Roman"/>
          <w:sz w:val="21"/>
          <w:szCs w:val="21"/>
          <w:lang w:eastAsia="zh-CN"/>
        </w:rPr>
        <w:t>；</w:t>
      </w:r>
    </w:p>
    <w:p w14:paraId="705DA258">
      <w:pPr>
        <w:keepNext w:val="0"/>
        <w:keepLines w:val="0"/>
        <w:pageBreakBefore w:val="0"/>
        <w:widowControl/>
        <w:numPr>
          <w:ilvl w:val="0"/>
          <w:numId w:val="5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外接油管路在安装前，应进行彻底除锈并清洗干净；水冷却装置管道安装后，油管应涂黄漆，水管应涂黑漆，并应有流向标志</w:t>
      </w:r>
      <w:r>
        <w:rPr>
          <w:rFonts w:hint="eastAsia" w:ascii="Times New Roman" w:hAnsi="Times New Roman" w:cs="Times New Roman"/>
          <w:sz w:val="21"/>
          <w:szCs w:val="21"/>
          <w:lang w:eastAsia="zh-CN"/>
        </w:rPr>
        <w:t>；</w:t>
      </w:r>
    </w:p>
    <w:p w14:paraId="0EEB0EF5">
      <w:pPr>
        <w:keepNext w:val="0"/>
        <w:keepLines w:val="0"/>
        <w:pageBreakBefore w:val="0"/>
        <w:widowControl/>
        <w:numPr>
          <w:ilvl w:val="0"/>
          <w:numId w:val="5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油泵密封良好，无渗油或进气现象；转向正确，无异常噪声、振动或过热现象</w:t>
      </w:r>
      <w:r>
        <w:rPr>
          <w:rFonts w:hint="eastAsia" w:ascii="Times New Roman" w:hAnsi="Times New Roman" w:cs="Times New Roman"/>
          <w:sz w:val="21"/>
          <w:szCs w:val="21"/>
          <w:lang w:eastAsia="zh-CN"/>
        </w:rPr>
        <w:t>；</w:t>
      </w:r>
    </w:p>
    <w:p w14:paraId="740C6205">
      <w:pPr>
        <w:keepNext w:val="0"/>
        <w:keepLines w:val="0"/>
        <w:pageBreakBefore w:val="0"/>
        <w:widowControl/>
        <w:numPr>
          <w:ilvl w:val="0"/>
          <w:numId w:val="5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油流继电器、水冷变压器的差压继电器应密封严密，动作可靠</w:t>
      </w:r>
      <w:r>
        <w:rPr>
          <w:rFonts w:hint="eastAsia" w:ascii="Times New Roman" w:hAnsi="Times New Roman" w:cs="Times New Roman"/>
          <w:sz w:val="21"/>
          <w:szCs w:val="21"/>
          <w:lang w:eastAsia="zh-CN"/>
        </w:rPr>
        <w:t>；</w:t>
      </w:r>
    </w:p>
    <w:p w14:paraId="099EFB14">
      <w:pPr>
        <w:keepNext w:val="0"/>
        <w:keepLines w:val="0"/>
        <w:pageBreakBefore w:val="0"/>
        <w:widowControl/>
        <w:numPr>
          <w:ilvl w:val="0"/>
          <w:numId w:val="59"/>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水冷却装置停用时，应将水放尽。</w:t>
      </w:r>
    </w:p>
    <w:p w14:paraId="6EDF9889">
      <w:pPr>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.5 储油柜的安装应符合下列规定</w:t>
      </w:r>
      <w:r>
        <w:rPr>
          <w:rFonts w:hint="default" w:ascii="Times New Roman" w:hAnsi="Times New Roman" w:cs="Times New Roman"/>
          <w:sz w:val="21"/>
          <w:szCs w:val="21"/>
          <w:lang w:eastAsia="zh-CN"/>
        </w:rPr>
        <w:t>：</w:t>
      </w:r>
    </w:p>
    <w:p w14:paraId="656B77DE">
      <w:pPr>
        <w:keepNext w:val="0"/>
        <w:keepLines w:val="0"/>
        <w:pageBreakBefore w:val="0"/>
        <w:widowControl/>
        <w:numPr>
          <w:ilvl w:val="0"/>
          <w:numId w:val="61"/>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储油柜应按照产品技术文件要求进行检查、安装</w:t>
      </w:r>
      <w:r>
        <w:rPr>
          <w:rFonts w:hint="eastAsia" w:ascii="Times New Roman" w:hAnsi="Times New Roman" w:cs="Times New Roman"/>
          <w:sz w:val="21"/>
          <w:szCs w:val="21"/>
          <w:lang w:eastAsia="zh-CN"/>
        </w:rPr>
        <w:t>；</w:t>
      </w:r>
    </w:p>
    <w:p w14:paraId="459F819C">
      <w:pPr>
        <w:keepNext w:val="0"/>
        <w:keepLines w:val="0"/>
        <w:pageBreakBefore w:val="0"/>
        <w:widowControl/>
        <w:numPr>
          <w:ilvl w:val="0"/>
          <w:numId w:val="61"/>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油位表动作应灵活，指示应与储油柜的真实油位相符。油位表的信号接点位置正确，绝缘良好</w:t>
      </w:r>
      <w:r>
        <w:rPr>
          <w:rFonts w:hint="eastAsia" w:ascii="Times New Roman" w:hAnsi="Times New Roman" w:cs="Times New Roman"/>
          <w:sz w:val="21"/>
          <w:szCs w:val="21"/>
          <w:lang w:eastAsia="zh-CN"/>
        </w:rPr>
        <w:t>；</w:t>
      </w:r>
    </w:p>
    <w:p w14:paraId="18DA6397">
      <w:pPr>
        <w:keepNext w:val="0"/>
        <w:keepLines w:val="0"/>
        <w:pageBreakBefore w:val="0"/>
        <w:widowControl/>
        <w:numPr>
          <w:ilvl w:val="0"/>
          <w:numId w:val="61"/>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储油柜安装方向正确并进行位置复核。</w:t>
      </w:r>
    </w:p>
    <w:p w14:paraId="576B71DF">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.6 所有导</w:t>
      </w:r>
      <w:r>
        <w:rPr>
          <w:rFonts w:hint="default" w:ascii="Times New Roman" w:hAnsi="Times New Roman" w:cs="Times New Roman"/>
          <w:sz w:val="21"/>
          <w:szCs w:val="21"/>
          <w:lang w:val="en-US" w:eastAsia="zh-CN"/>
        </w:rPr>
        <w:t>气管</w:t>
      </w:r>
      <w:r>
        <w:rPr>
          <w:rFonts w:hint="default" w:ascii="Times New Roman" w:hAnsi="Times New Roman" w:eastAsia="宋体" w:cs="Times New Roman"/>
          <w:sz w:val="21"/>
          <w:szCs w:val="21"/>
          <w:lang w:eastAsia="zh-CN"/>
        </w:rPr>
        <w:t>应清拭干净，其连接处应密封严密。</w:t>
      </w:r>
    </w:p>
    <w:p w14:paraId="1D8C35A4">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.7 升高座的安装应符合下列规定</w:t>
      </w:r>
      <w:r>
        <w:rPr>
          <w:rFonts w:hint="default" w:ascii="Times New Roman" w:hAnsi="Times New Roman" w:cs="Times New Roman"/>
          <w:sz w:val="21"/>
          <w:szCs w:val="21"/>
          <w:lang w:eastAsia="zh-CN"/>
        </w:rPr>
        <w:t>：</w:t>
      </w:r>
    </w:p>
    <w:p w14:paraId="318AC924">
      <w:pPr>
        <w:keepNext w:val="0"/>
        <w:keepLines w:val="0"/>
        <w:pageBreakBefore w:val="0"/>
        <w:widowControl/>
        <w:numPr>
          <w:ilvl w:val="0"/>
          <w:numId w:val="62"/>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出线端子板绝缘应符合产品技术文件的要求，其接线螺栓和固定件的垫块应紧固，端子板密封严密，无渗油现象</w:t>
      </w:r>
      <w:r>
        <w:rPr>
          <w:rFonts w:hint="eastAsia" w:ascii="Times New Roman" w:hAnsi="Times New Roman" w:cs="Times New Roman"/>
          <w:sz w:val="21"/>
          <w:szCs w:val="21"/>
          <w:lang w:eastAsia="zh-CN"/>
        </w:rPr>
        <w:t>；</w:t>
      </w:r>
    </w:p>
    <w:p w14:paraId="215E385B">
      <w:pPr>
        <w:keepNext w:val="0"/>
        <w:keepLines w:val="0"/>
        <w:pageBreakBefore w:val="0"/>
        <w:widowControl/>
        <w:numPr>
          <w:ilvl w:val="0"/>
          <w:numId w:val="62"/>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升高座安装时应使绝缘筒的缺口与引出线方向一致，并不得相碰</w:t>
      </w:r>
      <w:r>
        <w:rPr>
          <w:rFonts w:hint="eastAsia" w:ascii="Times New Roman" w:hAnsi="Times New Roman" w:cs="Times New Roman"/>
          <w:sz w:val="21"/>
          <w:szCs w:val="21"/>
          <w:lang w:eastAsia="zh-CN"/>
        </w:rPr>
        <w:t>；</w:t>
      </w:r>
    </w:p>
    <w:p w14:paraId="6D2ECB05">
      <w:pPr>
        <w:keepNext w:val="0"/>
        <w:keepLines w:val="0"/>
        <w:pageBreakBefore w:val="0"/>
        <w:widowControl/>
        <w:numPr>
          <w:ilvl w:val="0"/>
          <w:numId w:val="62"/>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电流互感器和升高座的中心应基本一致</w:t>
      </w:r>
      <w:r>
        <w:rPr>
          <w:rFonts w:hint="eastAsia" w:ascii="Times New Roman" w:hAnsi="Times New Roman" w:cs="Times New Roman"/>
          <w:sz w:val="21"/>
          <w:szCs w:val="21"/>
          <w:lang w:eastAsia="zh-CN"/>
        </w:rPr>
        <w:t>；</w:t>
      </w:r>
    </w:p>
    <w:p w14:paraId="60FECBB8">
      <w:pPr>
        <w:keepNext w:val="0"/>
        <w:keepLines w:val="0"/>
        <w:pageBreakBefore w:val="0"/>
        <w:widowControl/>
        <w:numPr>
          <w:ilvl w:val="0"/>
          <w:numId w:val="62"/>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升高座法兰面必须与本体法兰面平行就位。放气塞位置应在升高座最高处。</w:t>
      </w:r>
    </w:p>
    <w:p w14:paraId="68C02800">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.8 套管的</w:t>
      </w:r>
      <w:r>
        <w:rPr>
          <w:rFonts w:hint="default" w:ascii="Times New Roman" w:hAnsi="Times New Roman" w:cs="Times New Roman"/>
          <w:sz w:val="21"/>
          <w:szCs w:val="21"/>
          <w:lang w:val="en-US" w:eastAsia="zh-CN"/>
        </w:rPr>
        <w:t>安装</w:t>
      </w:r>
      <w:r>
        <w:rPr>
          <w:rFonts w:hint="default" w:ascii="Times New Roman" w:hAnsi="Times New Roman" w:eastAsia="宋体" w:cs="Times New Roman"/>
          <w:sz w:val="21"/>
          <w:szCs w:val="21"/>
          <w:lang w:eastAsia="zh-CN"/>
        </w:rPr>
        <w:t>应符合下列规定；</w:t>
      </w:r>
    </w:p>
    <w:p w14:paraId="3F04DDA6">
      <w:pPr>
        <w:numPr>
          <w:ilvl w:val="0"/>
          <w:numId w:val="63"/>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电容式套管应经试验合格，套管采用瓷外套时，瓷套臂与金属法兰胶装部位应牢固密实并涂有性能良好的防水胶，瓷套管外观不得有裂纹、损伤；套管采用硅橡胶外套时，外观不得有裂纹、损伤、变形；套管的金属法兰结合面应平整、无外伤或铸造砂眼；充油套管无渗油现象，油位指示正常</w:t>
      </w:r>
      <w:r>
        <w:rPr>
          <w:rFonts w:hint="eastAsia" w:ascii="Times New Roman" w:hAnsi="Times New Roman" w:cs="Times New Roman"/>
          <w:sz w:val="21"/>
          <w:szCs w:val="21"/>
          <w:lang w:eastAsia="zh-CN"/>
        </w:rPr>
        <w:t>；</w:t>
      </w:r>
    </w:p>
    <w:p w14:paraId="3F1C6097">
      <w:pPr>
        <w:numPr>
          <w:ilvl w:val="0"/>
          <w:numId w:val="63"/>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套管竖立和吊装应符合产品技术文件要求</w:t>
      </w:r>
      <w:r>
        <w:rPr>
          <w:rFonts w:hint="eastAsia" w:ascii="Times New Roman" w:hAnsi="Times New Roman" w:cs="Times New Roman"/>
          <w:sz w:val="21"/>
          <w:szCs w:val="21"/>
          <w:lang w:eastAsia="zh-CN"/>
        </w:rPr>
        <w:t>；</w:t>
      </w:r>
    </w:p>
    <w:p w14:paraId="15C3B040">
      <w:pPr>
        <w:numPr>
          <w:ilvl w:val="0"/>
          <w:numId w:val="63"/>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套管顶部结构的密封垫应安装正确，密封良好、连接引线时，不应使顶部连接松扣</w:t>
      </w:r>
      <w:r>
        <w:rPr>
          <w:rFonts w:hint="eastAsia" w:ascii="Times New Roman" w:hAnsi="Times New Roman" w:cs="Times New Roman"/>
          <w:sz w:val="21"/>
          <w:szCs w:val="21"/>
          <w:lang w:eastAsia="zh-CN"/>
        </w:rPr>
        <w:t>；</w:t>
      </w:r>
    </w:p>
    <w:p w14:paraId="3DFD8E69">
      <w:pPr>
        <w:numPr>
          <w:ilvl w:val="0"/>
          <w:numId w:val="63"/>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充油套管的油位指示应面向外侧，末屏连接符合产品技术文件要求</w:t>
      </w:r>
      <w:r>
        <w:rPr>
          <w:rFonts w:hint="eastAsia" w:ascii="Times New Roman" w:hAnsi="Times New Roman" w:cs="Times New Roman"/>
          <w:sz w:val="21"/>
          <w:szCs w:val="21"/>
          <w:lang w:eastAsia="zh-CN"/>
        </w:rPr>
        <w:t>；</w:t>
      </w:r>
    </w:p>
    <w:p w14:paraId="09AE0EFD">
      <w:pPr>
        <w:numPr>
          <w:ilvl w:val="0"/>
          <w:numId w:val="63"/>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均压环表面应光滑无划痕，安装牢固且方向正确；均压环易积水部位最低点应有排水孔。</w:t>
      </w:r>
    </w:p>
    <w:p w14:paraId="2D899C89">
      <w:pPr>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val="en-US" w:eastAsia="zh-CN"/>
        </w:rPr>
        <w:t>.7.9 变压器</w:t>
      </w:r>
      <w:r>
        <w:rPr>
          <w:rFonts w:hint="default" w:ascii="Times New Roman" w:hAnsi="Times New Roman" w:cs="Times New Roman"/>
          <w:sz w:val="21"/>
          <w:szCs w:val="21"/>
          <w:lang w:val="en-US" w:eastAsia="zh-CN"/>
        </w:rPr>
        <w:t>升高</w:t>
      </w:r>
      <w:r>
        <w:rPr>
          <w:rFonts w:hint="default" w:ascii="Times New Roman" w:hAnsi="Times New Roman" w:eastAsia="宋体" w:cs="Times New Roman"/>
          <w:sz w:val="21"/>
          <w:szCs w:val="21"/>
          <w:lang w:val="en-US" w:eastAsia="zh-CN"/>
        </w:rPr>
        <w:t>座及套管安装前应检查试验数据，重点检查</w:t>
      </w:r>
      <w:r>
        <w:rPr>
          <w:rFonts w:hint="default" w:ascii="Times New Roman" w:hAnsi="Times New Roman" w:cs="Times New Roman"/>
          <w:sz w:val="21"/>
          <w:szCs w:val="21"/>
          <w:lang w:val="en-US" w:eastAsia="zh-CN"/>
        </w:rPr>
        <w:t>电流互感器</w:t>
      </w:r>
      <w:r>
        <w:rPr>
          <w:rFonts w:hint="default" w:ascii="Times New Roman" w:hAnsi="Times New Roman" w:eastAsia="宋体" w:cs="Times New Roman"/>
          <w:sz w:val="21"/>
          <w:szCs w:val="21"/>
          <w:lang w:val="en-US" w:eastAsia="zh-CN"/>
        </w:rPr>
        <w:t>绕组的排列顺序和极性，与图纸一致且试验数据合格后方可开始安装；安装完成后检查高</w:t>
      </w:r>
      <w:r>
        <w:rPr>
          <w:rFonts w:hint="default" w:ascii="Times New Roman" w:hAnsi="Times New Roman" w:cs="Times New Roman"/>
          <w:sz w:val="21"/>
          <w:szCs w:val="21"/>
          <w:lang w:val="en-US" w:eastAsia="zh-CN"/>
        </w:rPr>
        <w:t>－</w:t>
      </w:r>
      <w:r>
        <w:rPr>
          <w:rFonts w:hint="default" w:ascii="Times New Roman" w:hAnsi="Times New Roman" w:eastAsia="宋体" w:cs="Times New Roman"/>
          <w:sz w:val="21"/>
          <w:szCs w:val="21"/>
          <w:lang w:val="en-US" w:eastAsia="zh-CN"/>
        </w:rPr>
        <w:t>中、高</w:t>
      </w:r>
      <w:r>
        <w:rPr>
          <w:rFonts w:hint="default" w:ascii="Times New Roman" w:hAnsi="Times New Roman" w:cs="Times New Roman"/>
          <w:sz w:val="21"/>
          <w:szCs w:val="21"/>
          <w:lang w:val="en-US" w:eastAsia="zh-CN"/>
        </w:rPr>
        <w:t>－</w:t>
      </w:r>
      <w:r>
        <w:rPr>
          <w:rFonts w:hint="default" w:ascii="Times New Roman" w:hAnsi="Times New Roman" w:eastAsia="宋体" w:cs="Times New Roman"/>
          <w:sz w:val="21"/>
          <w:szCs w:val="21"/>
          <w:lang w:val="en-US" w:eastAsia="zh-CN"/>
        </w:rPr>
        <w:t>低侧极性</w:t>
      </w:r>
      <w:r>
        <w:rPr>
          <w:rFonts w:hint="eastAsia" w:ascii="Times New Roman" w:hAnsi="Times New Roman" w:cs="Times New Roman"/>
          <w:sz w:val="21"/>
          <w:szCs w:val="21"/>
          <w:lang w:val="en-US" w:eastAsia="zh-CN"/>
        </w:rPr>
        <w:t>。</w:t>
      </w:r>
    </w:p>
    <w:p w14:paraId="73D22228">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10</w:t>
      </w:r>
      <w:r>
        <w:rPr>
          <w:rFonts w:hint="default" w:ascii="Times New Roman" w:hAnsi="Times New Roman" w:eastAsia="宋体" w:cs="Times New Roman"/>
          <w:sz w:val="21"/>
          <w:szCs w:val="21"/>
          <w:lang w:eastAsia="zh-CN"/>
        </w:rPr>
        <w:t xml:space="preserve"> 气体继电器的安装应符合下列规定</w:t>
      </w:r>
      <w:r>
        <w:rPr>
          <w:rFonts w:hint="default" w:ascii="Times New Roman" w:hAnsi="Times New Roman" w:cs="Times New Roman"/>
          <w:sz w:val="21"/>
          <w:szCs w:val="21"/>
          <w:lang w:eastAsia="zh-CN"/>
        </w:rPr>
        <w:t>：</w:t>
      </w:r>
    </w:p>
    <w:p w14:paraId="61ED1B44">
      <w:pPr>
        <w:keepNext w:val="0"/>
        <w:keepLines w:val="0"/>
        <w:pageBreakBefore w:val="0"/>
        <w:widowControl/>
        <w:numPr>
          <w:ilvl w:val="0"/>
          <w:numId w:val="64"/>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气体继电器安装前应经检验合格，动作整定值符合定值要求，并解除运输用的固定措施</w:t>
      </w:r>
      <w:r>
        <w:rPr>
          <w:rFonts w:hint="eastAsia" w:ascii="Times New Roman" w:hAnsi="Times New Roman" w:cs="Times New Roman"/>
          <w:sz w:val="21"/>
          <w:szCs w:val="21"/>
          <w:lang w:eastAsia="zh-CN"/>
        </w:rPr>
        <w:t>；</w:t>
      </w:r>
    </w:p>
    <w:p w14:paraId="11ADDA42">
      <w:pPr>
        <w:keepNext w:val="0"/>
        <w:keepLines w:val="0"/>
        <w:pageBreakBefore w:val="0"/>
        <w:widowControl/>
        <w:numPr>
          <w:ilvl w:val="0"/>
          <w:numId w:val="64"/>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气体继电器应水平安装，顶盖上箭头标志应指向储油柜，连接密封严密</w:t>
      </w:r>
      <w:r>
        <w:rPr>
          <w:rFonts w:hint="eastAsia" w:ascii="Times New Roman" w:hAnsi="Times New Roman" w:cs="Times New Roman"/>
          <w:sz w:val="21"/>
          <w:szCs w:val="21"/>
          <w:lang w:eastAsia="zh-CN"/>
        </w:rPr>
        <w:t>；</w:t>
      </w:r>
    </w:p>
    <w:p w14:paraId="5FB159EB">
      <w:pPr>
        <w:keepNext w:val="0"/>
        <w:keepLines w:val="0"/>
        <w:pageBreakBefore w:val="0"/>
        <w:widowControl/>
        <w:numPr>
          <w:ilvl w:val="0"/>
          <w:numId w:val="64"/>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集气盒内应充满绝缘油、且密封严密</w:t>
      </w:r>
      <w:r>
        <w:rPr>
          <w:rFonts w:hint="eastAsia" w:ascii="Times New Roman" w:hAnsi="Times New Roman" w:cs="Times New Roman"/>
          <w:sz w:val="21"/>
          <w:szCs w:val="21"/>
          <w:lang w:eastAsia="zh-CN"/>
        </w:rPr>
        <w:t>；</w:t>
      </w:r>
    </w:p>
    <w:p w14:paraId="0F404A45">
      <w:pPr>
        <w:keepNext w:val="0"/>
        <w:keepLines w:val="0"/>
        <w:pageBreakBefore w:val="0"/>
        <w:widowControl/>
        <w:numPr>
          <w:ilvl w:val="0"/>
          <w:numId w:val="64"/>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气体继电器应具备防潮和防进水的功能并加装防雨罩</w:t>
      </w:r>
      <w:r>
        <w:rPr>
          <w:rFonts w:hint="eastAsia" w:ascii="Times New Roman" w:hAnsi="Times New Roman" w:cs="Times New Roman"/>
          <w:sz w:val="21"/>
          <w:szCs w:val="21"/>
          <w:lang w:eastAsia="zh-CN"/>
        </w:rPr>
        <w:t>；</w:t>
      </w:r>
    </w:p>
    <w:p w14:paraId="374F84F5">
      <w:pPr>
        <w:keepNext w:val="0"/>
        <w:keepLines w:val="0"/>
        <w:pageBreakBefore w:val="0"/>
        <w:widowControl/>
        <w:numPr>
          <w:ilvl w:val="0"/>
          <w:numId w:val="64"/>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电缆引线在接入气体</w:t>
      </w:r>
      <w:r>
        <w:rPr>
          <w:rFonts w:hint="default" w:ascii="Times New Roman" w:hAnsi="Times New Roman" w:eastAsia="宋体" w:cs="Times New Roman"/>
          <w:sz w:val="21"/>
          <w:szCs w:val="21"/>
          <w:lang w:val="en-US" w:eastAsia="zh-CN"/>
        </w:rPr>
        <w:t>继</w:t>
      </w:r>
      <w:r>
        <w:rPr>
          <w:rFonts w:hint="default" w:ascii="Times New Roman" w:hAnsi="Times New Roman" w:eastAsia="宋体" w:cs="Times New Roman"/>
          <w:sz w:val="21"/>
          <w:szCs w:val="21"/>
          <w:lang w:eastAsia="zh-CN"/>
        </w:rPr>
        <w:t>电器处应有滴水弯，进线孔封堵应严密</w:t>
      </w:r>
      <w:r>
        <w:rPr>
          <w:rFonts w:hint="eastAsia" w:ascii="Times New Roman" w:hAnsi="Times New Roman" w:cs="Times New Roman"/>
          <w:sz w:val="21"/>
          <w:szCs w:val="21"/>
          <w:lang w:eastAsia="zh-CN"/>
        </w:rPr>
        <w:t>；</w:t>
      </w:r>
    </w:p>
    <w:p w14:paraId="2E39175B">
      <w:pPr>
        <w:keepNext w:val="0"/>
        <w:keepLines w:val="0"/>
        <w:pageBreakBefore w:val="0"/>
        <w:widowControl/>
        <w:numPr>
          <w:ilvl w:val="0"/>
          <w:numId w:val="64"/>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观察窗的挡板应处于打开位置。</w:t>
      </w:r>
    </w:p>
    <w:p w14:paraId="79DD29B3">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.1</w:t>
      </w: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eastAsia="zh-CN"/>
        </w:rPr>
        <w:t xml:space="preserve"> 压力释</w:t>
      </w:r>
      <w:r>
        <w:rPr>
          <w:rFonts w:hint="default" w:ascii="Times New Roman" w:hAnsi="Times New Roman" w:cs="Times New Roman"/>
          <w:sz w:val="21"/>
          <w:szCs w:val="21"/>
          <w:lang w:val="en-US" w:eastAsia="zh-CN"/>
        </w:rPr>
        <w:t>放装置的安装方向应正确，阀盖和升高座内部应清洁，密封严密，电接点动作准确，绝缘性能、动作压力值应符合产品技术文件要求。</w:t>
      </w:r>
    </w:p>
    <w:p w14:paraId="5094223C">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7.2.7.12 吸湿器与储油柜间连接管的密封应严密，吸湿剂应干燥，油封油位应在油面线上。</w:t>
      </w:r>
    </w:p>
    <w:p w14:paraId="647083B3">
      <w:pPr>
        <w:jc w:val="left"/>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7.2.7.13 测温装置的</w:t>
      </w:r>
      <w:r>
        <w:rPr>
          <w:rFonts w:hint="default" w:ascii="Times New Roman" w:hAnsi="Times New Roman" w:eastAsia="宋体" w:cs="Times New Roman"/>
          <w:sz w:val="21"/>
          <w:szCs w:val="21"/>
          <w:lang w:eastAsia="zh-CN"/>
        </w:rPr>
        <w:t>安装应符合下列规定</w:t>
      </w:r>
      <w:r>
        <w:rPr>
          <w:rFonts w:hint="default" w:ascii="Times New Roman" w:hAnsi="Times New Roman" w:cs="Times New Roman"/>
          <w:sz w:val="21"/>
          <w:szCs w:val="21"/>
          <w:lang w:eastAsia="zh-CN"/>
        </w:rPr>
        <w:t>：</w:t>
      </w:r>
    </w:p>
    <w:p w14:paraId="2EABAF40">
      <w:pPr>
        <w:keepNext w:val="0"/>
        <w:keepLines w:val="0"/>
        <w:pageBreakBefore w:val="0"/>
        <w:widowControl/>
        <w:numPr>
          <w:ilvl w:val="0"/>
          <w:numId w:val="65"/>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温度计安装前应进行校验，信号接点动作应正确，导通应良好；当制造厂已提供有温度计出厂检验报告时可不进行现场送验，但应进行温度现场比对检查</w:t>
      </w:r>
      <w:r>
        <w:rPr>
          <w:rFonts w:hint="eastAsia" w:ascii="Times New Roman" w:hAnsi="Times New Roman" w:cs="Times New Roman"/>
          <w:sz w:val="21"/>
          <w:szCs w:val="21"/>
          <w:lang w:eastAsia="zh-CN"/>
        </w:rPr>
        <w:t>；</w:t>
      </w:r>
    </w:p>
    <w:p w14:paraId="08DD443E">
      <w:pPr>
        <w:keepNext w:val="0"/>
        <w:keepLines w:val="0"/>
        <w:pageBreakBefore w:val="0"/>
        <w:widowControl/>
        <w:numPr>
          <w:ilvl w:val="0"/>
          <w:numId w:val="65"/>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温度计应根据制造厂的规定进行整定</w:t>
      </w:r>
      <w:r>
        <w:rPr>
          <w:rFonts w:hint="eastAsia" w:ascii="Times New Roman" w:hAnsi="Times New Roman" w:cs="Times New Roman"/>
          <w:sz w:val="21"/>
          <w:szCs w:val="21"/>
          <w:lang w:eastAsia="zh-CN"/>
        </w:rPr>
        <w:t>；</w:t>
      </w:r>
    </w:p>
    <w:p w14:paraId="1073DB0C">
      <w:pPr>
        <w:keepNext w:val="0"/>
        <w:keepLines w:val="0"/>
        <w:pageBreakBefore w:val="0"/>
        <w:widowControl/>
        <w:numPr>
          <w:ilvl w:val="0"/>
          <w:numId w:val="65"/>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顶盖上的温度计座应严密无渗油现象，温度计座内应注以绝缘油；</w:t>
      </w:r>
      <w:r>
        <w:rPr>
          <w:rFonts w:hint="default" w:ascii="Times New Roman" w:hAnsi="Times New Roman" w:eastAsia="宋体" w:cs="Times New Roman"/>
          <w:sz w:val="21"/>
          <w:szCs w:val="21"/>
          <w:lang w:val="en-US" w:eastAsia="zh-CN"/>
        </w:rPr>
        <w:t>闲置</w:t>
      </w:r>
      <w:r>
        <w:rPr>
          <w:rFonts w:hint="default" w:ascii="Times New Roman" w:hAnsi="Times New Roman" w:eastAsia="宋体" w:cs="Times New Roman"/>
          <w:sz w:val="21"/>
          <w:szCs w:val="21"/>
          <w:lang w:eastAsia="zh-CN"/>
        </w:rPr>
        <w:t>的温度计座也应密封</w:t>
      </w:r>
      <w:r>
        <w:rPr>
          <w:rFonts w:hint="eastAsia" w:ascii="Times New Roman" w:hAnsi="Times New Roman" w:cs="Times New Roman"/>
          <w:sz w:val="21"/>
          <w:szCs w:val="21"/>
          <w:lang w:eastAsia="zh-CN"/>
        </w:rPr>
        <w:t>；</w:t>
      </w:r>
    </w:p>
    <w:p w14:paraId="3788D16A">
      <w:pPr>
        <w:keepNext w:val="0"/>
        <w:keepLines w:val="0"/>
        <w:pageBreakBefore w:val="0"/>
        <w:widowControl/>
        <w:numPr>
          <w:ilvl w:val="0"/>
          <w:numId w:val="65"/>
        </w:numPr>
        <w:suppressLineNumbers w:val="0"/>
        <w:kinsoku/>
        <w:wordWrap/>
        <w:overflowPunct/>
        <w:topLinePunct w:val="0"/>
        <w:autoSpaceDE/>
        <w:autoSpaceDN/>
        <w:bidi w:val="0"/>
        <w:adjustRightInd/>
        <w:snapToGrid/>
        <w:ind w:left="0" w:leftChars="0" w:firstLine="420" w:firstLineChars="0"/>
        <w:jc w:val="left"/>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膨胀式信号温度计的细金属软管不</w:t>
      </w:r>
      <w:r>
        <w:rPr>
          <w:rFonts w:hint="default" w:ascii="Times New Roman" w:hAnsi="Times New Roman" w:cs="Times New Roman"/>
          <w:sz w:val="21"/>
          <w:szCs w:val="21"/>
          <w:lang w:val="en-US" w:eastAsia="zh-CN"/>
        </w:rPr>
        <w:t>应</w:t>
      </w:r>
      <w:r>
        <w:rPr>
          <w:rFonts w:hint="default" w:ascii="Times New Roman" w:hAnsi="Times New Roman" w:eastAsia="宋体" w:cs="Times New Roman"/>
          <w:sz w:val="21"/>
          <w:szCs w:val="21"/>
          <w:lang w:eastAsia="zh-CN"/>
        </w:rPr>
        <w:t>压扁和急剧扭曲，其弯曲半径不</w:t>
      </w:r>
      <w:r>
        <w:rPr>
          <w:rFonts w:hint="default" w:ascii="Times New Roman" w:hAnsi="Times New Roman" w:cs="Times New Roman"/>
          <w:sz w:val="21"/>
          <w:szCs w:val="21"/>
          <w:lang w:val="en-US" w:eastAsia="zh-CN"/>
        </w:rPr>
        <w:t>应</w:t>
      </w:r>
      <w:r>
        <w:rPr>
          <w:rFonts w:hint="default" w:ascii="Times New Roman" w:hAnsi="Times New Roman" w:eastAsia="宋体" w:cs="Times New Roman"/>
          <w:sz w:val="21"/>
          <w:szCs w:val="21"/>
          <w:lang w:eastAsia="zh-CN"/>
        </w:rPr>
        <w:t>小于50mm。</w:t>
      </w:r>
    </w:p>
    <w:p w14:paraId="1BB69E9A">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eastAsia="zh-CN"/>
        </w:rPr>
        <w:t>.1</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eastAsia="zh-CN"/>
        </w:rPr>
        <w:t xml:space="preserve"> 变压器本</w:t>
      </w:r>
      <w:r>
        <w:rPr>
          <w:rFonts w:hint="default" w:ascii="Times New Roman" w:hAnsi="Times New Roman" w:cs="Times New Roman"/>
          <w:sz w:val="21"/>
          <w:szCs w:val="21"/>
          <w:lang w:val="en-US" w:eastAsia="zh-CN"/>
        </w:rPr>
        <w:t>体电缆，应有保护措施；排列应整齐，接线盒应密封。</w:t>
      </w:r>
    </w:p>
    <w:p w14:paraId="150DA175">
      <w:pPr>
        <w:jc w:val="left"/>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7.2.7.15 控制箱的</w:t>
      </w:r>
      <w:r>
        <w:rPr>
          <w:rFonts w:hint="default" w:ascii="Times New Roman" w:hAnsi="Times New Roman" w:eastAsia="宋体" w:cs="Times New Roman"/>
          <w:sz w:val="21"/>
          <w:szCs w:val="21"/>
          <w:lang w:eastAsia="zh-CN"/>
        </w:rPr>
        <w:t>检查安装应符合下列规定；</w:t>
      </w:r>
    </w:p>
    <w:p w14:paraId="2FEBCCF8">
      <w:pPr>
        <w:numPr>
          <w:ilvl w:val="0"/>
          <w:numId w:val="66"/>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冷却系统控制箱应有两路交流电源，自动互投传动应正确、可靠</w:t>
      </w:r>
      <w:r>
        <w:rPr>
          <w:rFonts w:hint="eastAsia" w:ascii="Times New Roman" w:hAnsi="Times New Roman" w:cs="Times New Roman"/>
          <w:sz w:val="21"/>
          <w:szCs w:val="21"/>
          <w:lang w:eastAsia="zh-CN"/>
        </w:rPr>
        <w:t>；</w:t>
      </w:r>
    </w:p>
    <w:p w14:paraId="71AD723C">
      <w:pPr>
        <w:numPr>
          <w:ilvl w:val="0"/>
          <w:numId w:val="66"/>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控制回路接线应排列整齐、清晰、</w:t>
      </w:r>
      <w:r>
        <w:rPr>
          <w:rFonts w:hint="default" w:ascii="Times New Roman" w:hAnsi="Times New Roman" w:cs="Times New Roman"/>
          <w:sz w:val="21"/>
          <w:szCs w:val="21"/>
          <w:lang w:val="en-US" w:eastAsia="zh-CN"/>
        </w:rPr>
        <w:t>美</w:t>
      </w:r>
      <w:r>
        <w:rPr>
          <w:rFonts w:hint="default" w:ascii="Times New Roman" w:hAnsi="Times New Roman" w:eastAsia="宋体" w:cs="Times New Roman"/>
          <w:sz w:val="21"/>
          <w:szCs w:val="21"/>
          <w:lang w:eastAsia="zh-CN"/>
        </w:rPr>
        <w:t>观，绝缘无损伤；接线应采用铜质或有电镀金属防锈层的螺栓紧固，且应有防松装置；连接导线截面应符合设计要求、标志清晰</w:t>
      </w:r>
      <w:r>
        <w:rPr>
          <w:rFonts w:hint="eastAsia" w:ascii="Times New Roman" w:hAnsi="Times New Roman" w:cs="Times New Roman"/>
          <w:sz w:val="21"/>
          <w:szCs w:val="21"/>
          <w:lang w:eastAsia="zh-CN"/>
        </w:rPr>
        <w:t>；</w:t>
      </w:r>
    </w:p>
    <w:p w14:paraId="36A69D55">
      <w:pPr>
        <w:numPr>
          <w:ilvl w:val="0"/>
          <w:numId w:val="66"/>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控制箱接地应牢固、可靠</w:t>
      </w:r>
      <w:r>
        <w:rPr>
          <w:rFonts w:hint="eastAsia" w:ascii="Times New Roman" w:hAnsi="Times New Roman" w:cs="Times New Roman"/>
          <w:sz w:val="21"/>
          <w:szCs w:val="21"/>
          <w:lang w:eastAsia="zh-CN"/>
        </w:rPr>
        <w:t>；</w:t>
      </w:r>
    </w:p>
    <w:p w14:paraId="284DC7A2">
      <w:pPr>
        <w:numPr>
          <w:ilvl w:val="0"/>
          <w:numId w:val="66"/>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内部断路器、接触器动作灵活无卡涩，触头接触紧密、可靠，无异常声响</w:t>
      </w:r>
      <w:r>
        <w:rPr>
          <w:rFonts w:hint="eastAsia" w:ascii="Times New Roman" w:hAnsi="Times New Roman" w:cs="Times New Roman"/>
          <w:sz w:val="21"/>
          <w:szCs w:val="21"/>
          <w:lang w:eastAsia="zh-CN"/>
        </w:rPr>
        <w:t>；</w:t>
      </w:r>
    </w:p>
    <w:p w14:paraId="3BB69A89">
      <w:pPr>
        <w:numPr>
          <w:ilvl w:val="0"/>
          <w:numId w:val="66"/>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保护电动机用的热继电器的整定值应为电动机额定电流的1.0倍～1.15倍</w:t>
      </w:r>
      <w:r>
        <w:rPr>
          <w:rFonts w:hint="eastAsia" w:ascii="Times New Roman" w:hAnsi="Times New Roman" w:cs="Times New Roman"/>
          <w:sz w:val="21"/>
          <w:szCs w:val="21"/>
          <w:lang w:eastAsia="zh-CN"/>
        </w:rPr>
        <w:t>；</w:t>
      </w:r>
    </w:p>
    <w:p w14:paraId="7A08AA91">
      <w:pPr>
        <w:numPr>
          <w:ilvl w:val="0"/>
          <w:numId w:val="66"/>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内部元件及转换开关各位置的命名应正确并符合设计要求</w:t>
      </w:r>
      <w:r>
        <w:rPr>
          <w:rFonts w:hint="eastAsia" w:ascii="Times New Roman" w:hAnsi="Times New Roman" w:cs="Times New Roman"/>
          <w:sz w:val="21"/>
          <w:szCs w:val="21"/>
          <w:lang w:eastAsia="zh-CN"/>
        </w:rPr>
        <w:t>；</w:t>
      </w:r>
    </w:p>
    <w:p w14:paraId="7E2D6A7E">
      <w:pPr>
        <w:numPr>
          <w:ilvl w:val="0"/>
          <w:numId w:val="66"/>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控制箱应密封，控制箱内外应清洁无锈蚀，驱潮装置工作应正常</w:t>
      </w:r>
      <w:r>
        <w:rPr>
          <w:rFonts w:hint="eastAsia" w:ascii="Times New Roman" w:hAnsi="Times New Roman" w:cs="Times New Roman"/>
          <w:sz w:val="21"/>
          <w:szCs w:val="21"/>
          <w:lang w:eastAsia="zh-CN"/>
        </w:rPr>
        <w:t>；</w:t>
      </w:r>
    </w:p>
    <w:p w14:paraId="223BEC34">
      <w:pPr>
        <w:numPr>
          <w:ilvl w:val="0"/>
          <w:numId w:val="66"/>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控制和信号回路应正确，并应符合GB 50171的有关规定。</w:t>
      </w:r>
    </w:p>
    <w:p w14:paraId="0BBCB9C8">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8</w:t>
      </w:r>
      <w:r>
        <w:rPr>
          <w:rFonts w:hint="default" w:ascii="Times New Roman" w:hAnsi="Times New Roman" w:eastAsia="宋体" w:cs="Times New Roman"/>
          <w:sz w:val="21"/>
          <w:szCs w:val="21"/>
          <w:lang w:eastAsia="zh-CN"/>
        </w:rPr>
        <w:t xml:space="preserve"> 注</w:t>
      </w:r>
      <w:r>
        <w:rPr>
          <w:rFonts w:hint="default" w:ascii="Times New Roman" w:hAnsi="Times New Roman" w:cs="Times New Roman"/>
          <w:sz w:val="21"/>
          <w:szCs w:val="21"/>
          <w:lang w:val="en-US" w:eastAsia="zh-CN"/>
        </w:rPr>
        <w:t>油</w:t>
      </w:r>
    </w:p>
    <w:p w14:paraId="32A2BA68">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7.2.8.1 绝缘油必须按GB 50150的规定试验合格后，方可注入变压器中。</w:t>
      </w:r>
    </w:p>
    <w:p w14:paraId="7BEB9BB2">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7.2.8.2 不同牌号的绝缘油或同牌号的新油与运行过的油混合使用前，必须做混油试验。</w:t>
      </w:r>
    </w:p>
    <w:p w14:paraId="254B4BD2">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7.2.8.3 新安装的变压器不宜使用混合油。</w:t>
      </w:r>
    </w:p>
    <w:p w14:paraId="5BC5B5F7">
      <w:pPr>
        <w:jc w:val="left"/>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7.2.8.4 变压器</w:t>
      </w:r>
      <w:r>
        <w:rPr>
          <w:rFonts w:hint="default" w:ascii="Times New Roman" w:hAnsi="Times New Roman" w:eastAsia="宋体" w:cs="Times New Roman"/>
          <w:sz w:val="21"/>
          <w:szCs w:val="21"/>
          <w:lang w:eastAsia="zh-CN"/>
        </w:rPr>
        <w:t>真空注油工作不宜在雨天或雾天进行。注油和真空处理应按产品技术文件要求，并应符合下列规定；</w:t>
      </w:r>
    </w:p>
    <w:p w14:paraId="08D75D6C">
      <w:pPr>
        <w:numPr>
          <w:ilvl w:val="0"/>
          <w:numId w:val="67"/>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220kV及以上的变压器应进行真空处理，当油箱内真空度达到200Pa以下时，应关闭真空机组出口阀门，测量系统</w:t>
      </w:r>
      <w:r>
        <w:rPr>
          <w:rFonts w:hint="default" w:ascii="Times New Roman" w:hAnsi="Times New Roman" w:cs="Times New Roman"/>
          <w:sz w:val="21"/>
          <w:szCs w:val="21"/>
          <w:lang w:val="en-US" w:eastAsia="zh-CN"/>
        </w:rPr>
        <w:t>泄漏</w:t>
      </w:r>
      <w:r>
        <w:rPr>
          <w:rFonts w:hint="default" w:ascii="Times New Roman" w:hAnsi="Times New Roman" w:eastAsia="宋体" w:cs="Times New Roman"/>
          <w:sz w:val="21"/>
          <w:szCs w:val="21"/>
          <w:lang w:eastAsia="zh-CN"/>
        </w:rPr>
        <w:t>率，测量时间应为30min，泄漏率应符合产品技术文件的要求</w:t>
      </w:r>
      <w:r>
        <w:rPr>
          <w:rFonts w:hint="eastAsia" w:ascii="Times New Roman" w:hAnsi="Times New Roman" w:cs="Times New Roman"/>
          <w:sz w:val="21"/>
          <w:szCs w:val="21"/>
          <w:lang w:eastAsia="zh-CN"/>
        </w:rPr>
        <w:t>；</w:t>
      </w:r>
    </w:p>
    <w:p w14:paraId="1B4A9B32">
      <w:pPr>
        <w:numPr>
          <w:ilvl w:val="0"/>
          <w:numId w:val="67"/>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抽真空时，应监视并记录油箱的变形，其最大值不</w:t>
      </w:r>
      <w:r>
        <w:rPr>
          <w:rFonts w:hint="default" w:ascii="Times New Roman" w:hAnsi="Times New Roman" w:cs="Times New Roman"/>
          <w:sz w:val="21"/>
          <w:szCs w:val="21"/>
          <w:lang w:val="en-US" w:eastAsia="zh-CN"/>
        </w:rPr>
        <w:t>应</w:t>
      </w:r>
      <w:r>
        <w:rPr>
          <w:rFonts w:hint="default" w:ascii="Times New Roman" w:hAnsi="Times New Roman" w:eastAsia="宋体" w:cs="Times New Roman"/>
          <w:sz w:val="21"/>
          <w:szCs w:val="21"/>
          <w:lang w:eastAsia="zh-CN"/>
        </w:rPr>
        <w:t>超过壁厚最大值的两倍</w:t>
      </w:r>
      <w:r>
        <w:rPr>
          <w:rFonts w:hint="eastAsia" w:ascii="Times New Roman" w:hAnsi="Times New Roman" w:cs="Times New Roman"/>
          <w:sz w:val="21"/>
          <w:szCs w:val="21"/>
          <w:lang w:eastAsia="zh-CN"/>
        </w:rPr>
        <w:t>；</w:t>
      </w:r>
    </w:p>
    <w:p w14:paraId="0212597C">
      <w:pPr>
        <w:numPr>
          <w:ilvl w:val="0"/>
          <w:numId w:val="67"/>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220kV～500kV变压器的真空度不应大于133Pa。</w:t>
      </w:r>
      <w:r>
        <w:rPr>
          <w:rFonts w:hint="default" w:ascii="Times New Roman" w:hAnsi="Times New Roman" w:cs="Times New Roman"/>
          <w:sz w:val="21"/>
          <w:szCs w:val="21"/>
          <w:lang w:val="en-US" w:eastAsia="zh-CN"/>
        </w:rPr>
        <w:t>750kV变压器的真空度不应大于13</w:t>
      </w:r>
      <w:r>
        <w:rPr>
          <w:rFonts w:hint="default" w:ascii="Times New Roman" w:hAnsi="Times New Roman" w:eastAsia="宋体" w:cs="Times New Roman"/>
          <w:sz w:val="21"/>
          <w:szCs w:val="21"/>
          <w:lang w:eastAsia="zh-CN"/>
        </w:rPr>
        <w:t>Pa</w:t>
      </w:r>
      <w:r>
        <w:rPr>
          <w:rFonts w:hint="eastAsia" w:ascii="Times New Roman" w:hAnsi="Times New Roman" w:cs="Times New Roman"/>
          <w:sz w:val="21"/>
          <w:szCs w:val="21"/>
          <w:lang w:eastAsia="zh-CN"/>
        </w:rPr>
        <w:t>；</w:t>
      </w:r>
    </w:p>
    <w:p w14:paraId="165F0F54">
      <w:pPr>
        <w:numPr>
          <w:ilvl w:val="0"/>
          <w:numId w:val="67"/>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用真空计测量油箱内真空度，当真空度小于规定值时开始</w:t>
      </w:r>
      <w:r>
        <w:rPr>
          <w:rFonts w:hint="default" w:ascii="Times New Roman" w:hAnsi="Times New Roman" w:cs="Times New Roman"/>
          <w:sz w:val="21"/>
          <w:szCs w:val="21"/>
          <w:lang w:eastAsia="zh-CN"/>
        </w:rPr>
        <w:t>计时</w:t>
      </w:r>
      <w:r>
        <w:rPr>
          <w:rFonts w:hint="default" w:ascii="Times New Roman" w:hAnsi="Times New Roman" w:eastAsia="宋体" w:cs="Times New Roman"/>
          <w:sz w:val="21"/>
          <w:szCs w:val="21"/>
          <w:lang w:eastAsia="zh-CN"/>
        </w:rPr>
        <w:t>，真空保持时间应符合</w:t>
      </w:r>
      <w:r>
        <w:rPr>
          <w:rFonts w:hint="default" w:ascii="Times New Roman" w:hAnsi="Times New Roman" w:cs="Times New Roman"/>
          <w:sz w:val="21"/>
          <w:szCs w:val="21"/>
          <w:lang w:val="en-US" w:eastAsia="zh-CN"/>
        </w:rPr>
        <w:t>以下要求</w:t>
      </w:r>
      <w:r>
        <w:rPr>
          <w:rFonts w:hint="default" w:ascii="Times New Roman" w:hAnsi="Times New Roman" w:cs="Times New Roman"/>
          <w:sz w:val="21"/>
          <w:szCs w:val="21"/>
          <w:lang w:eastAsia="zh-CN"/>
        </w:rPr>
        <w:t>：</w:t>
      </w:r>
    </w:p>
    <w:p w14:paraId="09A1334E">
      <w:pPr>
        <w:widowControl/>
        <w:numPr>
          <w:ilvl w:val="0"/>
          <w:numId w:val="68"/>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highlight w:val="none"/>
          <w:lang w:eastAsia="zh-CN"/>
        </w:rPr>
        <w:t>220kV～330kV变</w:t>
      </w:r>
      <w:r>
        <w:rPr>
          <w:rFonts w:hint="default" w:ascii="Times New Roman" w:hAnsi="Times New Roman" w:eastAsia="宋体" w:cs="Times New Roman"/>
          <w:sz w:val="21"/>
          <w:szCs w:val="21"/>
          <w:lang w:eastAsia="zh-CN"/>
        </w:rPr>
        <w:t>压器的真空保持时间不</w:t>
      </w:r>
      <w:r>
        <w:rPr>
          <w:rFonts w:hint="default" w:ascii="Times New Roman" w:hAnsi="Times New Roman" w:eastAsia="宋体" w:cs="Times New Roman"/>
          <w:sz w:val="21"/>
          <w:szCs w:val="21"/>
          <w:lang w:val="en-US" w:eastAsia="zh-CN"/>
        </w:rPr>
        <w:t>应</w:t>
      </w:r>
      <w:r>
        <w:rPr>
          <w:rFonts w:hint="default" w:ascii="Times New Roman" w:hAnsi="Times New Roman" w:eastAsia="宋体" w:cs="Times New Roman"/>
          <w:sz w:val="21"/>
          <w:szCs w:val="21"/>
          <w:lang w:eastAsia="zh-CN"/>
        </w:rPr>
        <w:t>少于8h；</w:t>
      </w:r>
    </w:p>
    <w:p w14:paraId="056721C1">
      <w:pPr>
        <w:widowControl/>
        <w:numPr>
          <w:ilvl w:val="0"/>
          <w:numId w:val="68"/>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500kV变压器的真空保持时间不</w:t>
      </w:r>
      <w:r>
        <w:rPr>
          <w:rFonts w:hint="default" w:ascii="Times New Roman" w:hAnsi="Times New Roman" w:eastAsia="宋体" w:cs="Times New Roman"/>
          <w:sz w:val="21"/>
          <w:szCs w:val="21"/>
          <w:lang w:val="en-US" w:eastAsia="zh-CN"/>
        </w:rPr>
        <w:t>应</w:t>
      </w:r>
      <w:r>
        <w:rPr>
          <w:rFonts w:hint="default" w:ascii="Times New Roman" w:hAnsi="Times New Roman" w:eastAsia="宋体" w:cs="Times New Roman"/>
          <w:sz w:val="21"/>
          <w:szCs w:val="21"/>
          <w:lang w:eastAsia="zh-CN"/>
        </w:rPr>
        <w:t>少于24h；</w:t>
      </w:r>
    </w:p>
    <w:p w14:paraId="513C387B">
      <w:pPr>
        <w:widowControl/>
        <w:numPr>
          <w:ilvl w:val="0"/>
          <w:numId w:val="68"/>
        </w:numPr>
        <w:tabs>
          <w:tab w:val="left" w:pos="0"/>
          <w:tab w:val="left" w:pos="154"/>
          <w:tab w:val="clear" w:pos="153"/>
        </w:tabs>
        <w:ind w:left="0" w:leftChars="0" w:firstLine="630" w:firstLineChars="300"/>
        <w:jc w:val="left"/>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lang w:val="en-US" w:eastAsia="zh-CN"/>
        </w:rPr>
        <w:t>750</w:t>
      </w:r>
      <w:r>
        <w:rPr>
          <w:rFonts w:hint="default" w:ascii="Times New Roman" w:hAnsi="Times New Roman" w:eastAsia="宋体" w:cs="Times New Roman"/>
          <w:sz w:val="21"/>
          <w:szCs w:val="21"/>
          <w:lang w:eastAsia="zh-CN"/>
        </w:rPr>
        <w:t>0kV变压器的真空保</w:t>
      </w:r>
      <w:r>
        <w:rPr>
          <w:rFonts w:hint="default" w:ascii="Times New Roman" w:hAnsi="Times New Roman" w:eastAsia="宋体" w:cs="Times New Roman"/>
          <w:sz w:val="21"/>
          <w:szCs w:val="21"/>
          <w:highlight w:val="none"/>
          <w:lang w:eastAsia="zh-CN"/>
        </w:rPr>
        <w:t>持时间不</w:t>
      </w:r>
      <w:r>
        <w:rPr>
          <w:rFonts w:hint="default" w:ascii="Times New Roman" w:hAnsi="Times New Roman" w:cs="Times New Roman"/>
          <w:sz w:val="21"/>
          <w:szCs w:val="21"/>
          <w:highlight w:val="none"/>
          <w:lang w:val="en-US" w:eastAsia="zh-CN"/>
        </w:rPr>
        <w:t>应少于48</w:t>
      </w:r>
      <w:r>
        <w:rPr>
          <w:rFonts w:hint="default" w:ascii="Times New Roman" w:hAnsi="Times New Roman" w:eastAsia="宋体" w:cs="Times New Roman"/>
          <w:sz w:val="21"/>
          <w:szCs w:val="21"/>
          <w:highlight w:val="none"/>
          <w:lang w:eastAsia="zh-CN"/>
        </w:rPr>
        <w:t>h</w:t>
      </w:r>
      <w:r>
        <w:rPr>
          <w:rFonts w:hint="default" w:ascii="Times New Roman" w:hAnsi="Times New Roman" w:cs="Times New Roman"/>
          <w:sz w:val="21"/>
          <w:szCs w:val="21"/>
          <w:highlight w:val="none"/>
          <w:lang w:val="en-US" w:eastAsia="zh-CN"/>
        </w:rPr>
        <w:t>。</w:t>
      </w:r>
    </w:p>
    <w:p w14:paraId="2ABC7D82">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8</w:t>
      </w:r>
      <w:r>
        <w:rPr>
          <w:rFonts w:hint="default" w:ascii="Times New Roman" w:hAnsi="Times New Roman" w:eastAsia="宋体" w:cs="Times New Roman"/>
          <w:sz w:val="21"/>
          <w:szCs w:val="21"/>
          <w:lang w:eastAsia="zh-CN"/>
        </w:rPr>
        <w:t>.5 220kV及</w:t>
      </w:r>
      <w:r>
        <w:rPr>
          <w:rFonts w:hint="default" w:ascii="Times New Roman" w:hAnsi="Times New Roman" w:cs="Times New Roman"/>
          <w:sz w:val="21"/>
          <w:szCs w:val="21"/>
          <w:lang w:val="en-US" w:eastAsia="zh-CN"/>
        </w:rPr>
        <w:t>以上的变压器应真空注油；110kV的变压器宜采用真空注油。注油全过程应保持真空。注入油的油温应高于器身温度。注油速度不宜大于100L/min。</w:t>
      </w:r>
    </w:p>
    <w:p w14:paraId="2D95EA5D">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7.2.8.6 在抽真空时，应将不能承受真空下机械强度的附件与油箱隔离；对允许抽同样真空度的部件，应同时抽真空；真空泵或真空机组应有防止突然停止或因误操作而引起真空泵油倒灌的措施。</w:t>
      </w:r>
    </w:p>
    <w:p w14:paraId="6996B6AE">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7.2.8.7 变压器注油时，宜从下部油阀进油。对导向强油循环的变压器，注油应按产品技术文件的要求执行。</w:t>
      </w:r>
    </w:p>
    <w:p w14:paraId="767AB37E">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7.2.8.8 变压</w:t>
      </w:r>
      <w:r>
        <w:rPr>
          <w:rFonts w:hint="default" w:ascii="Times New Roman" w:hAnsi="Times New Roman" w:eastAsia="宋体" w:cs="Times New Roman"/>
          <w:color w:val="auto"/>
          <w:sz w:val="21"/>
          <w:szCs w:val="21"/>
          <w:lang w:val="en-US" w:eastAsia="zh-CN"/>
        </w:rPr>
        <w:t>器现场真空注油、调整油位时应观察油位计是否均匀连续变化；明确储油柜油位与油面位置</w:t>
      </w:r>
      <w:r>
        <w:rPr>
          <w:rFonts w:hint="default" w:ascii="Times New Roman" w:hAnsi="Times New Roman" w:cs="Times New Roman"/>
          <w:sz w:val="21"/>
          <w:szCs w:val="21"/>
          <w:lang w:val="en-US" w:eastAsia="zh-CN"/>
        </w:rPr>
        <w:t>设计对应关系，注油完毕后通过透明软管校核实际油位，施工应跟厂家提前确定储油柜外部透明软管安装位置，保证操作安全性。</w:t>
      </w:r>
    </w:p>
    <w:p w14:paraId="36E73A40">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7.2.8.9 针对油位计校核，胶囊式储油柜可采用冲顶补油的方式进行全量程校核，波纹管式储油柜可咨询厂家校核的方式，并应在变压器安装方案中体现。</w:t>
      </w:r>
    </w:p>
    <w:p w14:paraId="28F8EB42">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7.2.8.10 变压器本体及各侧绕组，滤油机及油管道应可靠接地。</w:t>
      </w:r>
    </w:p>
    <w:p w14:paraId="05F03838">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7.2.9 热油循环</w:t>
      </w:r>
    </w:p>
    <w:p w14:paraId="4572AE0F">
      <w:pPr>
        <w:jc w:val="left"/>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7.2.9.1 220k</w:t>
      </w:r>
      <w:r>
        <w:rPr>
          <w:rFonts w:hint="default" w:ascii="Times New Roman" w:hAnsi="Times New Roman" w:eastAsia="宋体" w:cs="Times New Roman"/>
          <w:sz w:val="21"/>
          <w:szCs w:val="21"/>
          <w:lang w:eastAsia="zh-CN"/>
        </w:rPr>
        <w:t>V及以上变压器真空注油后应进行热油循环，并应符合下列规定</w:t>
      </w:r>
      <w:r>
        <w:rPr>
          <w:rFonts w:hint="default" w:ascii="Times New Roman" w:hAnsi="Times New Roman" w:cs="Times New Roman"/>
          <w:sz w:val="21"/>
          <w:szCs w:val="21"/>
          <w:lang w:eastAsia="zh-CN"/>
        </w:rPr>
        <w:t>：</w:t>
      </w:r>
    </w:p>
    <w:p w14:paraId="3456AB5B">
      <w:pPr>
        <w:numPr>
          <w:ilvl w:val="0"/>
          <w:numId w:val="69"/>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热油循环前，应对油管抽真空，将油管中空气抽干净</w:t>
      </w:r>
      <w:r>
        <w:rPr>
          <w:rFonts w:hint="eastAsia" w:ascii="Times New Roman" w:hAnsi="Times New Roman" w:cs="Times New Roman"/>
          <w:sz w:val="21"/>
          <w:szCs w:val="21"/>
          <w:lang w:eastAsia="zh-CN"/>
        </w:rPr>
        <w:t>；</w:t>
      </w:r>
    </w:p>
    <w:p w14:paraId="17339F9E">
      <w:pPr>
        <w:numPr>
          <w:ilvl w:val="0"/>
          <w:numId w:val="69"/>
        </w:numPr>
        <w:ind w:left="14" w:leftChars="0" w:firstLine="406" w:firstLineChars="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冷却器内的油应与油箱主体的油同时进行热油循环</w:t>
      </w:r>
      <w:r>
        <w:rPr>
          <w:rFonts w:hint="eastAsia" w:ascii="Times New Roman" w:hAnsi="Times New Roman" w:cs="Times New Roman"/>
          <w:sz w:val="21"/>
          <w:szCs w:val="21"/>
          <w:lang w:eastAsia="zh-CN"/>
        </w:rPr>
        <w:t>；</w:t>
      </w:r>
    </w:p>
    <w:p w14:paraId="309DA02D">
      <w:pPr>
        <w:numPr>
          <w:ilvl w:val="0"/>
          <w:numId w:val="69"/>
        </w:numPr>
        <w:ind w:left="14" w:leftChars="0" w:firstLine="406" w:firstLineChars="0"/>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热油循环过程中，滤油机加热脱水</w:t>
      </w:r>
      <w:r>
        <w:rPr>
          <w:rFonts w:hint="default" w:ascii="Times New Roman" w:hAnsi="Times New Roman" w:cs="Times New Roman"/>
          <w:sz w:val="21"/>
          <w:szCs w:val="21"/>
          <w:highlight w:val="none"/>
          <w:lang w:val="en-US" w:eastAsia="zh-CN"/>
        </w:rPr>
        <w:t>缸</w:t>
      </w:r>
      <w:r>
        <w:rPr>
          <w:rFonts w:hint="default" w:ascii="Times New Roman" w:hAnsi="Times New Roman" w:eastAsia="宋体" w:cs="Times New Roman"/>
          <w:sz w:val="21"/>
          <w:szCs w:val="21"/>
          <w:highlight w:val="none"/>
          <w:lang w:eastAsia="zh-CN"/>
        </w:rPr>
        <w:t>中的温度，应控制在65℃±5℃范围内，油箱内温度不应低于40℃。当环境温度全天平均低于15℃时，应对油箱采取保温措施</w:t>
      </w:r>
      <w:r>
        <w:rPr>
          <w:rFonts w:hint="eastAsia" w:ascii="Times New Roman" w:hAnsi="Times New Roman" w:cs="Times New Roman"/>
          <w:sz w:val="21"/>
          <w:szCs w:val="21"/>
          <w:highlight w:val="none"/>
          <w:lang w:eastAsia="zh-CN"/>
        </w:rPr>
        <w:t>；</w:t>
      </w:r>
    </w:p>
    <w:p w14:paraId="5580D82F">
      <w:pPr>
        <w:numPr>
          <w:ilvl w:val="0"/>
          <w:numId w:val="69"/>
        </w:numPr>
        <w:ind w:left="14" w:leftChars="0" w:firstLine="406" w:firstLineChars="0"/>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热油循环可在真空注油到储油柜的额定油位后的满油状态下进行，此时变压器或电抗器不应抽真空；当注油到离器身顶盖200mm处时，应进行抽真空。</w:t>
      </w:r>
    </w:p>
    <w:p w14:paraId="5446FCE0">
      <w:pPr>
        <w:jc w:val="left"/>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7.</w:t>
      </w:r>
      <w:r>
        <w:rPr>
          <w:rFonts w:hint="default" w:ascii="Times New Roman" w:hAnsi="Times New Roman" w:cs="Times New Roman"/>
          <w:sz w:val="21"/>
          <w:szCs w:val="21"/>
          <w:highlight w:val="none"/>
          <w:lang w:val="en-US" w:eastAsia="zh-CN"/>
        </w:rPr>
        <w:t>2</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lang w:val="en-US" w:eastAsia="zh-CN"/>
        </w:rPr>
        <w:t>9</w:t>
      </w:r>
      <w:r>
        <w:rPr>
          <w:rFonts w:hint="default" w:ascii="Times New Roman" w:hAnsi="Times New Roman" w:eastAsia="宋体" w:cs="Times New Roman"/>
          <w:sz w:val="21"/>
          <w:szCs w:val="21"/>
          <w:highlight w:val="none"/>
          <w:lang w:eastAsia="zh-CN"/>
        </w:rPr>
        <w:t>.2 热油循环应符合下列条件，方可结束</w:t>
      </w:r>
      <w:r>
        <w:rPr>
          <w:rFonts w:hint="default" w:ascii="Times New Roman" w:hAnsi="Times New Roman" w:cs="Times New Roman"/>
          <w:sz w:val="21"/>
          <w:szCs w:val="21"/>
          <w:highlight w:val="none"/>
          <w:lang w:eastAsia="zh-CN"/>
        </w:rPr>
        <w:t>：</w:t>
      </w:r>
    </w:p>
    <w:p w14:paraId="65D25CC2">
      <w:pPr>
        <w:numPr>
          <w:ilvl w:val="0"/>
          <w:numId w:val="70"/>
        </w:numPr>
        <w:ind w:left="14" w:leftChars="0" w:firstLine="406" w:firstLineChars="0"/>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热油循环持续时间不应少于48h</w:t>
      </w:r>
      <w:r>
        <w:rPr>
          <w:rFonts w:hint="eastAsia" w:ascii="Times New Roman" w:hAnsi="Times New Roman" w:cs="Times New Roman"/>
          <w:sz w:val="21"/>
          <w:szCs w:val="21"/>
          <w:highlight w:val="none"/>
          <w:lang w:eastAsia="zh-CN"/>
        </w:rPr>
        <w:t>；</w:t>
      </w:r>
    </w:p>
    <w:p w14:paraId="1C63D489">
      <w:pPr>
        <w:numPr>
          <w:ilvl w:val="0"/>
          <w:numId w:val="70"/>
        </w:numPr>
        <w:ind w:left="14" w:leftChars="0" w:firstLine="406" w:firstLineChars="0"/>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热油循环不应少于3×变压器总油重/通过滤油机每小时的油量</w:t>
      </w:r>
      <w:r>
        <w:rPr>
          <w:rFonts w:hint="eastAsia" w:ascii="Times New Roman" w:hAnsi="Times New Roman" w:cs="Times New Roman"/>
          <w:sz w:val="21"/>
          <w:szCs w:val="21"/>
          <w:highlight w:val="none"/>
          <w:lang w:eastAsia="zh-CN"/>
        </w:rPr>
        <w:t>；</w:t>
      </w:r>
    </w:p>
    <w:p w14:paraId="0101C414">
      <w:pPr>
        <w:numPr>
          <w:ilvl w:val="0"/>
          <w:numId w:val="70"/>
        </w:numPr>
        <w:ind w:left="14" w:leftChars="0" w:firstLine="406" w:firstLineChars="0"/>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lang w:eastAsia="zh-CN"/>
        </w:rPr>
        <w:t>热油循环后，绝缘油应静置24h后，进行取样试验，应符合现行国家标准《电气装置安装工程电气设备交接试验标准》GB50150</w:t>
      </w:r>
      <w:r>
        <w:rPr>
          <w:rFonts w:hint="default" w:ascii="Times New Roman" w:hAnsi="Times New Roman" w:cs="Times New Roman"/>
          <w:sz w:val="21"/>
          <w:szCs w:val="21"/>
          <w:highlight w:val="none"/>
          <w:lang w:eastAsia="zh-CN"/>
        </w:rPr>
        <w:t>。</w:t>
      </w:r>
    </w:p>
    <w:p w14:paraId="00AA82C4">
      <w:pPr>
        <w:jc w:val="left"/>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.1</w:t>
      </w:r>
      <w:r>
        <w:rPr>
          <w:rFonts w:hint="default" w:ascii="Times New Roman" w:hAnsi="Times New Roman" w:eastAsia="宋体" w:cs="Times New Roman"/>
          <w:sz w:val="21"/>
          <w:szCs w:val="21"/>
          <w:lang w:val="en-US" w:eastAsia="zh-CN"/>
        </w:rPr>
        <w:t>0</w:t>
      </w:r>
      <w:r>
        <w:rPr>
          <w:rFonts w:hint="default" w:ascii="Times New Roman" w:hAnsi="Times New Roman" w:eastAsia="宋体" w:cs="Times New Roman"/>
          <w:sz w:val="21"/>
          <w:szCs w:val="21"/>
          <w:lang w:eastAsia="zh-CN"/>
        </w:rPr>
        <w:t xml:space="preserve"> 补油、整体密封检查和静放</w:t>
      </w:r>
    </w:p>
    <w:p w14:paraId="228ADCCA">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.1</w:t>
      </w:r>
      <w:r>
        <w:rPr>
          <w:rFonts w:hint="default" w:ascii="Times New Roman" w:hAnsi="Times New Roman" w:eastAsia="宋体" w:cs="Times New Roman"/>
          <w:sz w:val="21"/>
          <w:szCs w:val="21"/>
          <w:lang w:val="en-US" w:eastAsia="zh-CN"/>
        </w:rPr>
        <w:t>0</w:t>
      </w:r>
      <w:r>
        <w:rPr>
          <w:rFonts w:hint="default" w:ascii="Times New Roman" w:hAnsi="Times New Roman" w:eastAsia="宋体" w:cs="Times New Roman"/>
          <w:sz w:val="21"/>
          <w:szCs w:val="21"/>
          <w:lang w:eastAsia="zh-CN"/>
        </w:rPr>
        <w:t>.1 向变</w:t>
      </w:r>
      <w:r>
        <w:rPr>
          <w:rFonts w:hint="default" w:ascii="Times New Roman" w:hAnsi="Times New Roman" w:cs="Times New Roman"/>
          <w:sz w:val="21"/>
          <w:szCs w:val="21"/>
          <w:lang w:val="en-US" w:eastAsia="zh-CN"/>
        </w:rPr>
        <w:t>压器内加注补充油时，应通过储油柜上专用的注油阀，并经净油机注入，注油至储油柜额定油位。注油时应排放本体及附件内的空气。</w:t>
      </w:r>
    </w:p>
    <w:p w14:paraId="7CDDC1DA">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7.2.10.2 具有胶囊或隔膜的储油柜的变压器，应按照产品技术文件要求的顺序进行注油、排气及油位计加油。</w:t>
      </w:r>
    </w:p>
    <w:p w14:paraId="71F4C34F">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7.2.10.3 对变压器连同气体继电器及储油柜进行密封性试验，可采用油柱或氮气，在油箱顶部加压0.03MPa；110kV～750kV变压器进行密封试验持续时间应为24h，并无渗漏。当产品技术文件有要求时，应按其要求进行。整体运输的变压器可不进行整体密封试验。</w:t>
      </w:r>
    </w:p>
    <w:p w14:paraId="43C06129">
      <w:pPr>
        <w:jc w:val="left"/>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7.2.10.</w:t>
      </w:r>
      <w:r>
        <w:rPr>
          <w:rFonts w:hint="default" w:ascii="Times New Roman" w:hAnsi="Times New Roman" w:eastAsia="宋体" w:cs="Times New Roman"/>
          <w:sz w:val="21"/>
          <w:szCs w:val="21"/>
          <w:lang w:eastAsia="zh-CN"/>
        </w:rPr>
        <w:t>4 注油完毕后，在施加电压前，其静置时间应符合表</w:t>
      </w:r>
      <w:r>
        <w:rPr>
          <w:rFonts w:hint="default" w:ascii="Times New Roman" w:hAnsi="Times New Roman" w:cs="Times New Roman"/>
          <w:sz w:val="21"/>
          <w:szCs w:val="21"/>
          <w:highlight w:val="none"/>
          <w:lang w:val="en-US" w:eastAsia="zh-CN"/>
        </w:rPr>
        <w:t>5</w:t>
      </w:r>
      <w:r>
        <w:rPr>
          <w:rFonts w:hint="default" w:ascii="Times New Roman" w:hAnsi="Times New Roman" w:eastAsia="宋体" w:cs="Times New Roman"/>
          <w:sz w:val="21"/>
          <w:szCs w:val="21"/>
          <w:lang w:eastAsia="zh-CN"/>
        </w:rPr>
        <w:t>的规定∶</w:t>
      </w:r>
    </w:p>
    <w:p w14:paraId="0689CA70">
      <w:pPr>
        <w:widowControl/>
        <w:jc w:val="center"/>
        <w:rPr>
          <w:rFonts w:hint="default" w:ascii="黑体" w:hAnsi="黑体" w:eastAsia="黑体" w:cs="黑体"/>
          <w:b w:val="0"/>
          <w:bCs w:val="0"/>
          <w:color w:val="000000"/>
          <w:kern w:val="0"/>
          <w:szCs w:val="21"/>
          <w:highlight w:val="none"/>
          <w:lang w:val="en-US" w:eastAsia="zh-CN" w:bidi="ar"/>
        </w:rPr>
      </w:pPr>
      <w:r>
        <w:rPr>
          <w:rFonts w:hint="default" w:ascii="黑体" w:hAnsi="黑体" w:eastAsia="黑体" w:cs="黑体"/>
          <w:b w:val="0"/>
          <w:bCs w:val="0"/>
          <w:color w:val="000000"/>
          <w:kern w:val="0"/>
          <w:szCs w:val="21"/>
          <w:highlight w:val="none"/>
          <w:lang w:val="en-US" w:eastAsia="zh-CN" w:bidi="ar"/>
        </w:rPr>
        <w:t>表5变压器注油完毕施加电压前静置时间</w:t>
      </w:r>
    </w:p>
    <w:tbl>
      <w:tblPr>
        <w:tblStyle w:val="32"/>
        <w:tblW w:w="5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0"/>
        <w:gridCol w:w="2910"/>
      </w:tblGrid>
      <w:tr w14:paraId="1E52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910" w:type="dxa"/>
            <w:vAlign w:val="center"/>
          </w:tcPr>
          <w:p w14:paraId="2C6C63A8">
            <w:pPr>
              <w:adjustRightInd w:val="0"/>
              <w:snapToGrid w:val="0"/>
              <w:jc w:val="center"/>
              <w:rPr>
                <w:rFonts w:hint="default" w:ascii="Times New Roman" w:hAnsi="Times New Roman" w:cs="Times New Roman"/>
                <w:bCs/>
                <w:color w:val="000000"/>
                <w:sz w:val="18"/>
                <w:szCs w:val="18"/>
                <w:lang w:eastAsia="zh-CN"/>
              </w:rPr>
            </w:pPr>
            <w:r>
              <w:rPr>
                <w:rFonts w:hint="default" w:ascii="Times New Roman" w:hAnsi="Times New Roman" w:cs="Times New Roman"/>
                <w:bCs/>
                <w:color w:val="000000"/>
                <w:sz w:val="18"/>
                <w:szCs w:val="18"/>
                <w:lang w:eastAsia="zh-CN"/>
              </w:rPr>
              <w:t>电压等级</w:t>
            </w:r>
          </w:p>
        </w:tc>
        <w:tc>
          <w:tcPr>
            <w:tcW w:w="2910" w:type="dxa"/>
            <w:vAlign w:val="center"/>
          </w:tcPr>
          <w:p w14:paraId="4E5735C2">
            <w:pPr>
              <w:adjustRightInd w:val="0"/>
              <w:snapToGrid w:val="0"/>
              <w:jc w:val="center"/>
              <w:rPr>
                <w:rFonts w:hint="default" w:ascii="Times New Roman" w:hAnsi="Times New Roman" w:cs="Times New Roman"/>
                <w:bCs/>
                <w:color w:val="000000"/>
                <w:sz w:val="18"/>
                <w:szCs w:val="18"/>
                <w:lang w:eastAsia="zh-CN"/>
              </w:rPr>
            </w:pPr>
            <w:r>
              <w:rPr>
                <w:rFonts w:hint="default" w:ascii="Times New Roman" w:hAnsi="Times New Roman" w:cs="Times New Roman"/>
                <w:bCs/>
                <w:color w:val="000000"/>
                <w:sz w:val="18"/>
                <w:szCs w:val="18"/>
                <w:lang w:eastAsia="zh-CN"/>
              </w:rPr>
              <w:t>静置时间</w:t>
            </w:r>
            <w:r>
              <w:rPr>
                <w:rFonts w:hint="default" w:ascii="Times New Roman" w:hAnsi="Times New Roman" w:cs="Times New Roman"/>
                <w:bCs/>
                <w:color w:val="000000"/>
                <w:sz w:val="18"/>
                <w:szCs w:val="18"/>
                <w:lang w:val="en-US" w:eastAsia="zh-CN"/>
              </w:rPr>
              <w:t>（h）</w:t>
            </w:r>
          </w:p>
        </w:tc>
      </w:tr>
      <w:tr w14:paraId="28E92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910" w:type="dxa"/>
            <w:vAlign w:val="center"/>
          </w:tcPr>
          <w:p w14:paraId="6F5867F9">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110kV及以下</w:t>
            </w:r>
          </w:p>
        </w:tc>
        <w:tc>
          <w:tcPr>
            <w:tcW w:w="2910" w:type="dxa"/>
            <w:vAlign w:val="center"/>
          </w:tcPr>
          <w:p w14:paraId="3E3B4CE1">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24</w:t>
            </w:r>
          </w:p>
        </w:tc>
      </w:tr>
      <w:tr w14:paraId="4F8F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910" w:type="dxa"/>
            <w:vAlign w:val="center"/>
          </w:tcPr>
          <w:p w14:paraId="3EE20912">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220kV及330kV</w:t>
            </w:r>
          </w:p>
        </w:tc>
        <w:tc>
          <w:tcPr>
            <w:tcW w:w="2910" w:type="dxa"/>
            <w:vAlign w:val="center"/>
          </w:tcPr>
          <w:p w14:paraId="2B8C295A">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48</w:t>
            </w:r>
          </w:p>
        </w:tc>
      </w:tr>
      <w:tr w14:paraId="08DD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910" w:type="dxa"/>
            <w:vAlign w:val="center"/>
          </w:tcPr>
          <w:p w14:paraId="4DFC0451">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500kV及750kV</w:t>
            </w:r>
          </w:p>
        </w:tc>
        <w:tc>
          <w:tcPr>
            <w:tcW w:w="2910" w:type="dxa"/>
            <w:vAlign w:val="center"/>
          </w:tcPr>
          <w:p w14:paraId="7DA50D30">
            <w:pPr>
              <w:adjustRightInd w:val="0"/>
              <w:snapToGrid w:val="0"/>
              <w:jc w:val="center"/>
              <w:rPr>
                <w:rFonts w:hint="default" w:ascii="Times New Roman" w:hAnsi="Times New Roman" w:cs="Times New Roman"/>
                <w:bCs/>
                <w:color w:val="000000"/>
                <w:sz w:val="18"/>
                <w:szCs w:val="18"/>
                <w:lang w:val="en-US" w:eastAsia="zh-CN"/>
              </w:rPr>
            </w:pPr>
            <w:r>
              <w:rPr>
                <w:rFonts w:hint="default" w:ascii="Times New Roman" w:hAnsi="Times New Roman" w:cs="Times New Roman"/>
                <w:bCs/>
                <w:color w:val="000000"/>
                <w:sz w:val="18"/>
                <w:szCs w:val="18"/>
                <w:lang w:val="en-US" w:eastAsia="zh-CN"/>
              </w:rPr>
              <w:t>72</w:t>
            </w:r>
          </w:p>
        </w:tc>
      </w:tr>
    </w:tbl>
    <w:p w14:paraId="2C897736">
      <w:pPr>
        <w:jc w:val="both"/>
        <w:rPr>
          <w:rFonts w:hint="default" w:ascii="Times New Roman" w:hAnsi="Times New Roman" w:eastAsia="宋体" w:cs="Times New Roman"/>
          <w:sz w:val="21"/>
          <w:szCs w:val="21"/>
        </w:rPr>
      </w:pPr>
    </w:p>
    <w:p w14:paraId="78878432">
      <w:pPr>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7.</w:t>
      </w: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lang w:eastAsia="zh-CN"/>
        </w:rPr>
        <w:t>.1</w:t>
      </w:r>
      <w:r>
        <w:rPr>
          <w:rFonts w:hint="default" w:ascii="Times New Roman" w:hAnsi="Times New Roman" w:eastAsia="宋体" w:cs="Times New Roman"/>
          <w:sz w:val="21"/>
          <w:szCs w:val="21"/>
          <w:lang w:val="en-US" w:eastAsia="zh-CN"/>
        </w:rPr>
        <w:t>0</w:t>
      </w:r>
      <w:r>
        <w:rPr>
          <w:rFonts w:hint="default" w:ascii="Times New Roman" w:hAnsi="Times New Roman" w:eastAsia="宋体" w:cs="Times New Roman"/>
          <w:sz w:val="21"/>
          <w:szCs w:val="21"/>
          <w:lang w:eastAsia="zh-CN"/>
        </w:rPr>
        <w:t>.5 静置完毕后，应从变压器的套管、升高座、冷却装置、气体继电器及压力释放装置等部位进行多次</w:t>
      </w:r>
      <w:r>
        <w:rPr>
          <w:rFonts w:hint="default" w:ascii="Times New Roman" w:hAnsi="Times New Roman" w:cs="Times New Roman"/>
          <w:sz w:val="21"/>
          <w:szCs w:val="21"/>
          <w:lang w:val="en-US" w:eastAsia="zh-CN"/>
        </w:rPr>
        <w:t>排</w:t>
      </w:r>
      <w:r>
        <w:rPr>
          <w:rFonts w:hint="default" w:ascii="Times New Roman" w:hAnsi="Times New Roman" w:eastAsia="宋体" w:cs="Times New Roman"/>
          <w:sz w:val="21"/>
          <w:szCs w:val="21"/>
          <w:lang w:eastAsia="zh-CN"/>
        </w:rPr>
        <w:t>气，并启动潜油泵，直至残余气体排尽，调整油位至相应环境温度时的位置。</w:t>
      </w:r>
    </w:p>
    <w:p w14:paraId="45860487">
      <w:pPr>
        <w:pStyle w:val="246"/>
        <w:numPr>
          <w:ilvl w:val="1"/>
          <w:numId w:val="0"/>
        </w:numPr>
        <w:tabs>
          <w:tab w:val="left" w:pos="0"/>
        </w:tabs>
        <w:rPr>
          <w:rFonts w:hint="default" w:ascii="黑体" w:hAnsi="黑体" w:eastAsia="黑体" w:cs="黑体"/>
          <w:b w:val="0"/>
          <w:bCs w:val="0"/>
        </w:rPr>
      </w:pPr>
      <w:r>
        <w:rPr>
          <w:rFonts w:hint="default" w:ascii="黑体" w:hAnsi="黑体" w:eastAsia="黑体" w:cs="黑体"/>
          <w:b w:val="0"/>
          <w:bCs w:val="0"/>
          <w:lang w:val="en-US" w:eastAsia="zh-CN"/>
        </w:rPr>
        <w:t xml:space="preserve">7.3  </w:t>
      </w:r>
      <w:r>
        <w:rPr>
          <w:rFonts w:hint="default" w:ascii="黑体" w:hAnsi="黑体" w:eastAsia="黑体" w:cs="黑体"/>
          <w:b w:val="0"/>
          <w:bCs w:val="0"/>
        </w:rPr>
        <w:t>气体绝缘金属封闭开关</w:t>
      </w:r>
    </w:p>
    <w:p w14:paraId="75399EFB">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color w:val="auto"/>
          <w:szCs w:val="22"/>
          <w:highlight w:val="none"/>
          <w:shd w:val="clear" w:color="auto" w:fill="auto"/>
          <w:lang w:eastAsia="zh-CN"/>
        </w:rPr>
        <w:t>7.</w:t>
      </w:r>
      <w:r>
        <w:rPr>
          <w:rFonts w:hint="default" w:ascii="Times New Roman" w:hAnsi="Times New Roman" w:cs="Times New Roman"/>
          <w:color w:val="auto"/>
          <w:szCs w:val="22"/>
          <w:highlight w:val="none"/>
          <w:shd w:val="clear" w:color="auto" w:fill="auto"/>
          <w:lang w:val="en-US" w:eastAsia="zh-CN"/>
        </w:rPr>
        <w:t>3</w:t>
      </w:r>
      <w:r>
        <w:rPr>
          <w:rFonts w:hint="default" w:ascii="Times New Roman" w:hAnsi="Times New Roman" w:eastAsia="宋体" w:cs="Times New Roman"/>
          <w:color w:val="auto"/>
          <w:szCs w:val="22"/>
          <w:highlight w:val="none"/>
          <w:shd w:val="clear" w:color="auto" w:fill="auto"/>
          <w:lang w:eastAsia="zh-CN"/>
        </w:rPr>
        <w:t>.1</w:t>
      </w:r>
      <w:r>
        <w:rPr>
          <w:rFonts w:hint="default" w:ascii="Times New Roman" w:hAnsi="Times New Roman" w:eastAsia="宋体" w:cs="Times New Roman"/>
          <w:color w:val="auto"/>
          <w:szCs w:val="22"/>
          <w:highlight w:val="none"/>
          <w:shd w:val="clear" w:color="auto" w:fill="auto"/>
          <w:lang w:val="en-US" w:eastAsia="zh-CN"/>
        </w:rPr>
        <w:t xml:space="preserve"> </w:t>
      </w:r>
      <w:r>
        <w:rPr>
          <w:rFonts w:hint="default" w:ascii="Times New Roman" w:hAnsi="Times New Roman" w:cs="Times New Roman"/>
          <w:color w:val="auto"/>
          <w:szCs w:val="22"/>
          <w:highlight w:val="none"/>
          <w:shd w:val="clear" w:color="auto" w:fill="auto"/>
          <w:lang w:val="en-US" w:eastAsia="zh-CN"/>
        </w:rPr>
        <w:t>安装</w:t>
      </w:r>
      <w:r>
        <w:rPr>
          <w:rFonts w:hint="default" w:ascii="Times New Roman" w:hAnsi="Times New Roman" w:cs="Times New Roman"/>
          <w:sz w:val="21"/>
          <w:szCs w:val="21"/>
          <w:lang w:val="en-US" w:eastAsia="zh-CN"/>
        </w:rPr>
        <w:t xml:space="preserve">前准备 </w:t>
      </w:r>
    </w:p>
    <w:p w14:paraId="1B247BF3">
      <w:pPr>
        <w:jc w:val="left"/>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cs="Times New Roman"/>
          <w:sz w:val="21"/>
          <w:szCs w:val="21"/>
          <w:lang w:val="en-US" w:eastAsia="zh-CN"/>
        </w:rPr>
        <w:t>7.3.1.1 GIS在运</w:t>
      </w:r>
      <w:r>
        <w:rPr>
          <w:rFonts w:hint="default" w:ascii="Times New Roman" w:hAnsi="Times New Roman" w:eastAsia="宋体" w:cs="Times New Roman"/>
          <w:color w:val="auto"/>
          <w:highlight w:val="none"/>
          <w:shd w:val="clear" w:color="auto" w:fill="auto"/>
        </w:rPr>
        <w:t>输和装卸过程中不</w:t>
      </w:r>
      <w:r>
        <w:rPr>
          <w:rFonts w:hint="default" w:ascii="Times New Roman" w:hAnsi="Times New Roman" w:cs="Times New Roman"/>
          <w:color w:val="auto"/>
          <w:highlight w:val="none"/>
          <w:shd w:val="clear" w:color="auto" w:fill="auto"/>
          <w:lang w:val="en-US" w:eastAsia="zh-CN"/>
        </w:rPr>
        <w:t>应</w:t>
      </w:r>
      <w:r>
        <w:rPr>
          <w:rFonts w:hint="default" w:ascii="Times New Roman" w:hAnsi="Times New Roman" w:eastAsia="宋体" w:cs="Times New Roman"/>
          <w:color w:val="auto"/>
          <w:highlight w:val="none"/>
          <w:shd w:val="clear" w:color="auto" w:fill="auto"/>
        </w:rPr>
        <w:t>倒置、倾翻、碰撞和受到剧烈的振动。</w:t>
      </w:r>
    </w:p>
    <w:p w14:paraId="65B21309">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1.2</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rPr>
        <w:t>现场卸车应符合下列要求</w:t>
      </w:r>
      <w:r>
        <w:rPr>
          <w:rFonts w:hint="default" w:ascii="Times New Roman" w:hAnsi="Times New Roman" w:eastAsia="宋体" w:cs="Times New Roman"/>
          <w:color w:val="auto"/>
          <w:highlight w:val="none"/>
          <w:shd w:val="clear" w:color="auto" w:fill="auto"/>
          <w:lang w:eastAsia="zh-CN"/>
        </w:rPr>
        <w:t>：</w:t>
      </w:r>
    </w:p>
    <w:p w14:paraId="22A3B840">
      <w:pPr>
        <w:numPr>
          <w:ilvl w:val="0"/>
          <w:numId w:val="71"/>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应按产品包装的重量选择起重机械</w:t>
      </w:r>
      <w:r>
        <w:rPr>
          <w:rFonts w:hint="default" w:ascii="Times New Roman" w:hAnsi="Times New Roman" w:cs="Times New Roman"/>
          <w:color w:val="auto"/>
          <w:highlight w:val="none"/>
          <w:shd w:val="clear" w:color="auto" w:fill="auto"/>
          <w:lang w:eastAsia="zh-CN"/>
        </w:rPr>
        <w:t>；</w:t>
      </w:r>
    </w:p>
    <w:p w14:paraId="09B07B85">
      <w:pPr>
        <w:numPr>
          <w:ilvl w:val="0"/>
          <w:numId w:val="72"/>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cs="Times New Roman"/>
          <w:color w:val="auto"/>
          <w:highlight w:val="none"/>
          <w:shd w:val="clear" w:color="auto" w:fill="auto"/>
          <w:lang w:val="en-US" w:eastAsia="zh-CN"/>
        </w:rPr>
        <w:t>应按厂家技术文件和包装要求进行卸车，设备及包装不应受损；</w:t>
      </w:r>
    </w:p>
    <w:p w14:paraId="5BF9ADDC">
      <w:pPr>
        <w:numPr>
          <w:ilvl w:val="0"/>
          <w:numId w:val="72"/>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断路器单元卸车和就位应符合设备安装的方向和顺序。</w:t>
      </w:r>
    </w:p>
    <w:p w14:paraId="0F740355">
      <w:pPr>
        <w:jc w:val="both"/>
        <w:rPr>
          <w:rFonts w:hint="default" w:ascii="Times New Roman" w:hAnsi="Times New Roman" w:cs="Times New Roman"/>
          <w:color w:val="auto"/>
          <w:szCs w:val="22"/>
          <w:highlight w:val="none"/>
          <w:shd w:val="clear" w:color="auto" w:fill="auto"/>
          <w:lang w:val="en-US" w:eastAsia="zh-CN"/>
        </w:rPr>
      </w:pPr>
      <w:r>
        <w:rPr>
          <w:rFonts w:hint="default" w:ascii="Times New Roman" w:hAnsi="Times New Roman" w:eastAsia="宋体" w:cs="Times New Roman"/>
          <w:color w:val="auto"/>
          <w:szCs w:val="22"/>
          <w:highlight w:val="none"/>
          <w:shd w:val="clear" w:color="auto" w:fill="auto"/>
          <w:lang w:val="en-US" w:eastAsia="zh-CN"/>
        </w:rPr>
        <w:t>7.</w:t>
      </w:r>
      <w:r>
        <w:rPr>
          <w:rFonts w:hint="default" w:ascii="Times New Roman" w:hAnsi="Times New Roman" w:cs="Times New Roman"/>
          <w:color w:val="auto"/>
          <w:szCs w:val="22"/>
          <w:highlight w:val="none"/>
          <w:shd w:val="clear" w:color="auto" w:fill="auto"/>
          <w:lang w:val="en-US" w:eastAsia="zh-CN"/>
        </w:rPr>
        <w:t>3</w:t>
      </w:r>
      <w:r>
        <w:rPr>
          <w:rFonts w:hint="default" w:ascii="Times New Roman" w:hAnsi="Times New Roman" w:eastAsia="宋体" w:cs="Times New Roman"/>
          <w:color w:val="auto"/>
          <w:szCs w:val="22"/>
          <w:highlight w:val="none"/>
          <w:shd w:val="clear" w:color="auto" w:fill="auto"/>
          <w:lang w:val="en-US" w:eastAsia="zh-CN"/>
        </w:rPr>
        <w:t>.1.</w:t>
      </w:r>
      <w:r>
        <w:rPr>
          <w:rFonts w:hint="default" w:ascii="Times New Roman" w:hAnsi="Times New Roman" w:cs="Times New Roman"/>
          <w:color w:val="auto"/>
          <w:szCs w:val="22"/>
          <w:highlight w:val="none"/>
          <w:shd w:val="clear" w:color="auto" w:fill="auto"/>
          <w:lang w:val="en-US" w:eastAsia="zh-CN"/>
        </w:rPr>
        <w:t>3</w:t>
      </w:r>
      <w:r>
        <w:rPr>
          <w:rFonts w:hint="default" w:ascii="Times New Roman" w:hAnsi="Times New Roman" w:eastAsia="宋体" w:cs="Times New Roman"/>
          <w:color w:val="auto"/>
          <w:szCs w:val="22"/>
          <w:highlight w:val="none"/>
          <w:shd w:val="clear" w:color="auto" w:fill="auto"/>
          <w:lang w:val="en-US" w:eastAsia="zh-CN"/>
        </w:rPr>
        <w:t xml:space="preserve"> </w:t>
      </w:r>
      <w:r>
        <w:rPr>
          <w:rFonts w:hint="default" w:ascii="Times New Roman" w:hAnsi="Times New Roman" w:cs="Times New Roman"/>
          <w:color w:val="auto"/>
          <w:szCs w:val="22"/>
          <w:highlight w:val="none"/>
          <w:shd w:val="clear" w:color="auto" w:fill="auto"/>
          <w:lang w:val="en-US" w:eastAsia="zh-CN"/>
        </w:rPr>
        <w:t>GIS</w:t>
      </w:r>
      <w:r>
        <w:rPr>
          <w:rFonts w:hint="default" w:ascii="Times New Roman" w:hAnsi="Times New Roman" w:eastAsia="宋体" w:cs="Times New Roman"/>
          <w:color w:val="auto"/>
          <w:szCs w:val="22"/>
          <w:highlight w:val="none"/>
          <w:shd w:val="clear" w:color="auto" w:fill="auto"/>
          <w:lang w:val="en-US" w:eastAsia="zh-CN"/>
        </w:rPr>
        <w:t>安</w:t>
      </w:r>
      <w:r>
        <w:rPr>
          <w:rFonts w:hint="default" w:ascii="Times New Roman" w:hAnsi="Times New Roman" w:cs="Times New Roman"/>
          <w:sz w:val="21"/>
          <w:szCs w:val="21"/>
          <w:lang w:val="en-US" w:eastAsia="zh-CN"/>
        </w:rPr>
        <w:t>装环</w:t>
      </w:r>
      <w:r>
        <w:rPr>
          <w:rFonts w:hint="default" w:ascii="Times New Roman" w:hAnsi="Times New Roman" w:eastAsia="宋体" w:cs="Times New Roman"/>
          <w:color w:val="auto"/>
          <w:szCs w:val="22"/>
          <w:highlight w:val="none"/>
          <w:shd w:val="clear" w:color="auto" w:fill="auto"/>
          <w:lang w:val="en-US" w:eastAsia="zh-CN"/>
        </w:rPr>
        <w:t>境应</w:t>
      </w:r>
      <w:r>
        <w:rPr>
          <w:rFonts w:hint="default" w:ascii="Times New Roman" w:hAnsi="Times New Roman" w:cs="Times New Roman"/>
          <w:color w:val="auto"/>
          <w:szCs w:val="22"/>
          <w:highlight w:val="none"/>
          <w:shd w:val="clear" w:color="auto" w:fill="auto"/>
          <w:lang w:val="en-US" w:eastAsia="zh-CN"/>
        </w:rPr>
        <w:t>达到下列要求：</w:t>
      </w:r>
    </w:p>
    <w:p w14:paraId="2DA608B1">
      <w:pPr>
        <w:numPr>
          <w:ilvl w:val="0"/>
          <w:numId w:val="73"/>
        </w:numPr>
        <w:ind w:left="14" w:firstLine="406"/>
        <w:jc w:val="left"/>
        <w:rPr>
          <w:rFonts w:hint="default" w:ascii="Times New Roman" w:hAnsi="Times New Roman" w:eastAsia="宋体" w:cs="Times New Roman"/>
          <w:color w:val="auto"/>
          <w:szCs w:val="24"/>
          <w:highlight w:val="none"/>
          <w:shd w:val="clear" w:color="auto" w:fill="auto"/>
          <w:lang w:val="en-US" w:eastAsia="zh-CN"/>
        </w:rPr>
      </w:pPr>
      <w:r>
        <w:rPr>
          <w:rFonts w:hint="default" w:ascii="Times New Roman" w:hAnsi="Times New Roman" w:eastAsia="宋体" w:cs="Times New Roman"/>
          <w:color w:val="auto"/>
          <w:szCs w:val="24"/>
          <w:highlight w:val="none"/>
          <w:shd w:val="clear" w:color="auto" w:fill="auto"/>
          <w:lang w:val="en-US" w:eastAsia="zh-CN"/>
        </w:rPr>
        <w:t>温度-10℃至40℃之间</w:t>
      </w:r>
      <w:r>
        <w:rPr>
          <w:rFonts w:hint="eastAsia" w:ascii="Times New Roman" w:hAnsi="Times New Roman" w:cs="Times New Roman"/>
          <w:color w:val="auto"/>
          <w:szCs w:val="24"/>
          <w:highlight w:val="none"/>
          <w:shd w:val="clear" w:color="auto" w:fill="auto"/>
          <w:lang w:val="en-US" w:eastAsia="zh-CN"/>
        </w:rPr>
        <w:t>；</w:t>
      </w:r>
    </w:p>
    <w:p w14:paraId="48F3C24B">
      <w:pPr>
        <w:numPr>
          <w:ilvl w:val="0"/>
          <w:numId w:val="73"/>
        </w:numPr>
        <w:ind w:left="14" w:firstLine="406"/>
        <w:jc w:val="left"/>
        <w:rPr>
          <w:rFonts w:hint="default" w:ascii="Times New Roman" w:hAnsi="Times New Roman" w:eastAsia="宋体" w:cs="Times New Roman"/>
          <w:color w:val="auto"/>
          <w:szCs w:val="24"/>
          <w:highlight w:val="none"/>
          <w:shd w:val="clear" w:color="auto" w:fill="auto"/>
          <w:lang w:val="en-US" w:eastAsia="zh-CN"/>
        </w:rPr>
      </w:pPr>
      <w:r>
        <w:rPr>
          <w:rFonts w:hint="default" w:ascii="Times New Roman" w:hAnsi="Times New Roman" w:eastAsia="宋体" w:cs="Times New Roman"/>
          <w:color w:val="auto"/>
          <w:szCs w:val="24"/>
          <w:highlight w:val="none"/>
          <w:shd w:val="clear" w:color="auto" w:fill="auto"/>
          <w:lang w:val="en-US" w:eastAsia="zh-CN"/>
        </w:rPr>
        <w:t>空气相对湿度小于80%</w:t>
      </w:r>
      <w:r>
        <w:rPr>
          <w:rFonts w:hint="default" w:ascii="Times New Roman" w:hAnsi="Times New Roman" w:cs="Times New Roman"/>
          <w:color w:val="auto"/>
          <w:szCs w:val="24"/>
          <w:highlight w:val="none"/>
          <w:shd w:val="clear" w:color="auto" w:fill="auto"/>
          <w:lang w:val="en-US" w:eastAsia="zh-CN"/>
        </w:rPr>
        <w:t>；</w:t>
      </w:r>
    </w:p>
    <w:p w14:paraId="5DAED36A">
      <w:pPr>
        <w:numPr>
          <w:ilvl w:val="0"/>
          <w:numId w:val="73"/>
        </w:numPr>
        <w:ind w:left="14" w:firstLine="406"/>
        <w:jc w:val="left"/>
        <w:rPr>
          <w:rFonts w:hint="default" w:ascii="Times New Roman" w:hAnsi="Times New Roman" w:cs="Times New Roman"/>
          <w:highlight w:val="none"/>
        </w:rPr>
      </w:pPr>
      <w:r>
        <w:rPr>
          <w:rFonts w:hint="default" w:ascii="Times New Roman" w:hAnsi="Times New Roman" w:eastAsia="宋体" w:cs="Times New Roman"/>
          <w:color w:val="auto"/>
          <w:szCs w:val="24"/>
          <w:highlight w:val="none"/>
          <w:shd w:val="clear" w:color="auto" w:fill="auto"/>
          <w:lang w:val="en-US" w:eastAsia="zh-CN"/>
        </w:rPr>
        <w:t>洁净度在百万级以上</w:t>
      </w:r>
      <w:r>
        <w:rPr>
          <w:rFonts w:hint="default" w:ascii="Times New Roman" w:hAnsi="Times New Roman" w:cs="Times New Roman"/>
          <w:color w:val="auto"/>
          <w:szCs w:val="24"/>
          <w:highlight w:val="none"/>
          <w:shd w:val="clear" w:color="auto" w:fill="auto"/>
          <w:lang w:val="en-US" w:eastAsia="zh-CN"/>
        </w:rPr>
        <w:t>，</w:t>
      </w:r>
      <w:r>
        <w:rPr>
          <w:rFonts w:hint="default" w:ascii="Times New Roman" w:hAnsi="Times New Roman" w:cs="Times New Roman"/>
          <w:highlight w:val="none"/>
        </w:rPr>
        <w:t>粒径≥0.5μm的浮游尘埃量≤3.52×10</w:t>
      </w:r>
      <w:r>
        <w:rPr>
          <w:rFonts w:hint="default" w:ascii="Times New Roman" w:hAnsi="Times New Roman" w:cs="Times New Roman"/>
          <w:highlight w:val="none"/>
          <w:vertAlign w:val="superscript"/>
          <w:lang w:val="en-US" w:eastAsia="zh-CN"/>
        </w:rPr>
        <w:t>7</w:t>
      </w:r>
      <w:r>
        <w:rPr>
          <w:rFonts w:hint="default" w:ascii="Times New Roman" w:hAnsi="Times New Roman" w:cs="Times New Roman"/>
          <w:highlight w:val="none"/>
        </w:rPr>
        <w:t>个，粒径≥1μm的浮游尘埃量≤8.32×10</w:t>
      </w:r>
      <w:r>
        <w:rPr>
          <w:rFonts w:hint="default" w:ascii="Times New Roman" w:hAnsi="Times New Roman" w:cs="Times New Roman"/>
          <w:highlight w:val="none"/>
          <w:vertAlign w:val="superscript"/>
          <w:lang w:val="en-US" w:eastAsia="zh-CN"/>
        </w:rPr>
        <w:t>6</w:t>
      </w:r>
      <w:r>
        <w:rPr>
          <w:rFonts w:hint="default" w:ascii="Times New Roman" w:hAnsi="Times New Roman" w:cs="Times New Roman"/>
          <w:highlight w:val="none"/>
        </w:rPr>
        <w:t>个，粒径≥5μm的浮游尘埃量≤2.93×10</w:t>
      </w:r>
      <w:r>
        <w:rPr>
          <w:rFonts w:hint="default" w:ascii="Times New Roman" w:hAnsi="Times New Roman" w:cs="Times New Roman"/>
          <w:highlight w:val="none"/>
          <w:vertAlign w:val="superscript"/>
          <w:lang w:val="en-US" w:eastAsia="zh-CN"/>
        </w:rPr>
        <w:t>5</w:t>
      </w:r>
      <w:r>
        <w:rPr>
          <w:rFonts w:hint="default" w:ascii="Times New Roman" w:hAnsi="Times New Roman" w:cs="Times New Roman"/>
          <w:highlight w:val="none"/>
        </w:rPr>
        <w:t>个</w:t>
      </w:r>
      <w:r>
        <w:rPr>
          <w:rFonts w:hint="default" w:ascii="Times New Roman" w:hAnsi="Times New Roman" w:cs="Times New Roman"/>
          <w:highlight w:val="none"/>
          <w:lang w:eastAsia="zh-CN"/>
        </w:rPr>
        <w:t>。</w:t>
      </w:r>
    </w:p>
    <w:p w14:paraId="68023EB8">
      <w:pPr>
        <w:jc w:val="left"/>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eastAsia="宋体" w:cs="Times New Roman"/>
          <w:color w:val="auto"/>
          <w:kern w:val="2"/>
          <w:sz w:val="21"/>
          <w:szCs w:val="22"/>
          <w:highlight w:val="none"/>
          <w:shd w:val="clear" w:color="auto" w:fill="auto"/>
          <w:lang w:val="en-US" w:eastAsia="zh-CN" w:bidi="ar-SA"/>
        </w:rPr>
        <w:t>7.</w:t>
      </w:r>
      <w:r>
        <w:rPr>
          <w:rFonts w:hint="default" w:ascii="Times New Roman" w:hAnsi="Times New Roman" w:cs="Times New Roman"/>
          <w:color w:val="auto"/>
          <w:kern w:val="2"/>
          <w:sz w:val="21"/>
          <w:szCs w:val="22"/>
          <w:highlight w:val="none"/>
          <w:shd w:val="clear" w:color="auto" w:fill="auto"/>
          <w:lang w:val="en-US" w:eastAsia="zh-CN" w:bidi="ar-SA"/>
        </w:rPr>
        <w:t>3</w:t>
      </w:r>
      <w:r>
        <w:rPr>
          <w:rFonts w:hint="default" w:ascii="Times New Roman" w:hAnsi="Times New Roman" w:eastAsia="宋体" w:cs="Times New Roman"/>
          <w:color w:val="auto"/>
          <w:kern w:val="2"/>
          <w:sz w:val="21"/>
          <w:szCs w:val="22"/>
          <w:highlight w:val="none"/>
          <w:shd w:val="clear" w:color="auto" w:fill="auto"/>
          <w:lang w:val="en-US" w:eastAsia="zh-CN" w:bidi="ar-SA"/>
        </w:rPr>
        <w:t>.1.</w:t>
      </w:r>
      <w:r>
        <w:rPr>
          <w:rFonts w:hint="default" w:ascii="Times New Roman" w:hAnsi="Times New Roman" w:cs="Times New Roman"/>
          <w:color w:val="auto"/>
          <w:kern w:val="2"/>
          <w:sz w:val="21"/>
          <w:szCs w:val="22"/>
          <w:highlight w:val="none"/>
          <w:shd w:val="clear" w:color="auto" w:fill="auto"/>
          <w:lang w:val="en-US" w:eastAsia="zh-CN" w:bidi="ar-SA"/>
        </w:rPr>
        <w:t>4</w:t>
      </w:r>
      <w:r>
        <w:rPr>
          <w:rFonts w:hint="default" w:ascii="Times New Roman" w:hAnsi="Times New Roman" w:eastAsia="宋体" w:cs="Times New Roman"/>
          <w:color w:val="auto"/>
          <w:kern w:val="2"/>
          <w:sz w:val="21"/>
          <w:szCs w:val="22"/>
          <w:highlight w:val="none"/>
          <w:shd w:val="clear" w:color="auto" w:fill="auto"/>
          <w:lang w:val="en-US" w:eastAsia="zh-CN" w:bidi="ar-SA"/>
        </w:rPr>
        <w:t xml:space="preserve"> </w:t>
      </w:r>
      <w:r>
        <w:rPr>
          <w:rFonts w:hint="default" w:ascii="Times New Roman" w:hAnsi="Times New Roman" w:eastAsia="宋体" w:cs="Times New Roman"/>
          <w:color w:val="auto"/>
          <w:highlight w:val="none"/>
          <w:shd w:val="clear" w:color="auto" w:fill="auto"/>
          <w:lang w:val="en-US" w:eastAsia="zh-CN"/>
        </w:rPr>
        <w:t>户外</w:t>
      </w:r>
      <w:r>
        <w:rPr>
          <w:rFonts w:hint="default" w:ascii="Times New Roman" w:hAnsi="Times New Roman" w:cs="Times New Roman"/>
          <w:color w:val="auto"/>
          <w:highlight w:val="none"/>
          <w:shd w:val="clear" w:color="auto" w:fill="auto"/>
          <w:lang w:val="en-US" w:eastAsia="zh-CN"/>
        </w:rPr>
        <w:t>220kV及以上GIS</w:t>
      </w:r>
      <w:r>
        <w:rPr>
          <w:rFonts w:hint="default" w:ascii="Times New Roman" w:hAnsi="Times New Roman" w:eastAsia="宋体" w:cs="Times New Roman"/>
          <w:color w:val="auto"/>
          <w:highlight w:val="none"/>
          <w:shd w:val="clear" w:color="auto" w:fill="auto"/>
          <w:lang w:val="en-US" w:eastAsia="zh-CN"/>
        </w:rPr>
        <w:t>本体安装</w:t>
      </w:r>
      <w:r>
        <w:rPr>
          <w:rFonts w:hint="default" w:ascii="Times New Roman" w:hAnsi="Times New Roman" w:cs="Times New Roman"/>
          <w:color w:val="auto"/>
          <w:highlight w:val="none"/>
          <w:shd w:val="clear" w:color="auto" w:fill="auto"/>
          <w:lang w:val="en-US" w:eastAsia="zh-CN"/>
        </w:rPr>
        <w:t>宜</w:t>
      </w:r>
      <w:r>
        <w:rPr>
          <w:rFonts w:hint="default" w:ascii="Times New Roman" w:hAnsi="Times New Roman" w:eastAsia="宋体" w:cs="Times New Roman"/>
          <w:color w:val="auto"/>
          <w:highlight w:val="none"/>
          <w:shd w:val="clear" w:color="auto" w:fill="auto"/>
          <w:lang w:val="en-US" w:eastAsia="zh-CN"/>
        </w:rPr>
        <w:t>选用轨道式防尘车间</w:t>
      </w:r>
      <w:r>
        <w:rPr>
          <w:rFonts w:hint="default" w:ascii="Times New Roman" w:hAnsi="Times New Roman" w:cs="Times New Roman"/>
          <w:color w:val="auto"/>
          <w:highlight w:val="none"/>
          <w:shd w:val="clear" w:color="auto" w:fill="auto"/>
          <w:lang w:val="en-US" w:eastAsia="zh-CN"/>
        </w:rPr>
        <w:t>；</w:t>
      </w:r>
      <w:r>
        <w:rPr>
          <w:rFonts w:hint="default" w:ascii="Times New Roman" w:hAnsi="Times New Roman" w:eastAsia="宋体" w:cs="Times New Roman"/>
          <w:color w:val="auto"/>
          <w:highlight w:val="none"/>
          <w:shd w:val="clear" w:color="auto" w:fill="auto"/>
          <w:lang w:val="en-US" w:eastAsia="zh-CN"/>
        </w:rPr>
        <w:t>分支的安装</w:t>
      </w:r>
      <w:r>
        <w:rPr>
          <w:rFonts w:hint="default" w:ascii="Times New Roman" w:hAnsi="Times New Roman" w:cs="Times New Roman"/>
          <w:color w:val="auto"/>
          <w:highlight w:val="none"/>
          <w:shd w:val="clear" w:color="auto" w:fill="auto"/>
          <w:lang w:val="en-US" w:eastAsia="zh-CN"/>
        </w:rPr>
        <w:t>不能在车间内完成的应</w:t>
      </w:r>
      <w:r>
        <w:rPr>
          <w:rFonts w:hint="default" w:ascii="Times New Roman" w:hAnsi="Times New Roman" w:eastAsia="宋体" w:cs="Times New Roman"/>
          <w:color w:val="auto"/>
          <w:highlight w:val="none"/>
          <w:shd w:val="clear" w:color="auto" w:fill="auto"/>
          <w:lang w:val="en-US" w:eastAsia="zh-CN"/>
        </w:rPr>
        <w:t>选用防尘棚</w:t>
      </w:r>
      <w:r>
        <w:rPr>
          <w:rFonts w:hint="default" w:ascii="Times New Roman" w:hAnsi="Times New Roman" w:cs="Times New Roman"/>
          <w:color w:val="auto"/>
          <w:highlight w:val="none"/>
          <w:shd w:val="clear" w:color="auto" w:fill="auto"/>
          <w:lang w:val="en-US" w:eastAsia="zh-CN"/>
        </w:rPr>
        <w:t>。</w:t>
      </w:r>
    </w:p>
    <w:p w14:paraId="444B5C5F">
      <w:pPr>
        <w:jc w:val="left"/>
        <w:rPr>
          <w:rFonts w:hint="default" w:ascii="Times New Roman" w:hAnsi="Times New Roman" w:eastAsia="宋体" w:cs="Times New Roman"/>
          <w:color w:val="auto"/>
          <w:szCs w:val="22"/>
          <w:highlight w:val="none"/>
          <w:shd w:val="clear" w:color="auto" w:fill="auto"/>
          <w:lang w:val="en-US" w:eastAsia="zh-CN"/>
        </w:rPr>
      </w:pPr>
      <w:r>
        <w:rPr>
          <w:rFonts w:hint="default" w:ascii="Times New Roman" w:hAnsi="Times New Roman" w:eastAsia="宋体" w:cs="Times New Roman"/>
          <w:color w:val="auto"/>
          <w:kern w:val="2"/>
          <w:sz w:val="21"/>
          <w:szCs w:val="22"/>
          <w:highlight w:val="none"/>
          <w:shd w:val="clear" w:color="auto" w:fill="auto"/>
          <w:lang w:val="en-US" w:eastAsia="zh-CN" w:bidi="ar-SA"/>
        </w:rPr>
        <w:t>7.</w:t>
      </w:r>
      <w:r>
        <w:rPr>
          <w:rFonts w:hint="default" w:ascii="Times New Roman" w:hAnsi="Times New Roman" w:cs="Times New Roman"/>
          <w:color w:val="auto"/>
          <w:kern w:val="2"/>
          <w:sz w:val="21"/>
          <w:szCs w:val="22"/>
          <w:highlight w:val="none"/>
          <w:shd w:val="clear" w:color="auto" w:fill="auto"/>
          <w:lang w:val="en-US" w:eastAsia="zh-CN" w:bidi="ar-SA"/>
        </w:rPr>
        <w:t>3</w:t>
      </w:r>
      <w:r>
        <w:rPr>
          <w:rFonts w:hint="default" w:ascii="Times New Roman" w:hAnsi="Times New Roman" w:eastAsia="宋体" w:cs="Times New Roman"/>
          <w:color w:val="auto"/>
          <w:kern w:val="2"/>
          <w:sz w:val="21"/>
          <w:szCs w:val="22"/>
          <w:highlight w:val="none"/>
          <w:shd w:val="clear" w:color="auto" w:fill="auto"/>
          <w:lang w:val="en-US" w:eastAsia="zh-CN" w:bidi="ar-SA"/>
        </w:rPr>
        <w:t>.1.</w:t>
      </w:r>
      <w:r>
        <w:rPr>
          <w:rFonts w:hint="default" w:ascii="Times New Roman" w:hAnsi="Times New Roman" w:cs="Times New Roman"/>
          <w:color w:val="auto"/>
          <w:kern w:val="2"/>
          <w:sz w:val="21"/>
          <w:szCs w:val="22"/>
          <w:highlight w:val="none"/>
          <w:shd w:val="clear" w:color="auto" w:fill="auto"/>
          <w:lang w:val="en-US" w:eastAsia="zh-CN" w:bidi="ar-SA"/>
        </w:rPr>
        <w:t>5</w:t>
      </w:r>
      <w:r>
        <w:rPr>
          <w:rFonts w:hint="default" w:ascii="Times New Roman" w:hAnsi="Times New Roman" w:eastAsia="宋体" w:cs="Times New Roman"/>
          <w:color w:val="auto"/>
          <w:kern w:val="2"/>
          <w:sz w:val="21"/>
          <w:szCs w:val="22"/>
          <w:highlight w:val="none"/>
          <w:shd w:val="clear" w:color="auto" w:fill="auto"/>
          <w:lang w:val="en-US" w:eastAsia="zh-CN" w:bidi="ar-SA"/>
        </w:rPr>
        <w:t xml:space="preserve"> </w:t>
      </w:r>
      <w:r>
        <w:rPr>
          <w:rFonts w:hint="default" w:ascii="Times New Roman" w:hAnsi="Times New Roman" w:eastAsia="宋体" w:cs="Times New Roman"/>
          <w:color w:val="auto"/>
          <w:highlight w:val="none"/>
          <w:shd w:val="clear" w:color="auto" w:fill="auto"/>
          <w:lang w:val="en-US" w:eastAsia="zh-CN"/>
        </w:rPr>
        <w:t>户内</w:t>
      </w:r>
      <w:r>
        <w:rPr>
          <w:rFonts w:hint="default" w:ascii="Times New Roman" w:hAnsi="Times New Roman" w:cs="Times New Roman"/>
          <w:sz w:val="21"/>
          <w:szCs w:val="21"/>
          <w:lang w:val="en-US" w:eastAsia="zh-CN"/>
        </w:rPr>
        <w:t>布置</w:t>
      </w:r>
      <w:r>
        <w:rPr>
          <w:rFonts w:hint="default" w:ascii="Times New Roman" w:hAnsi="Times New Roman" w:eastAsia="宋体" w:cs="Times New Roman"/>
          <w:color w:val="auto"/>
          <w:highlight w:val="none"/>
          <w:shd w:val="clear" w:color="auto" w:fill="auto"/>
          <w:lang w:val="en-US" w:eastAsia="zh-CN"/>
        </w:rPr>
        <w:t>的</w:t>
      </w:r>
      <w:r>
        <w:rPr>
          <w:rFonts w:hint="default" w:ascii="Times New Roman" w:hAnsi="Times New Roman" w:cs="Times New Roman"/>
          <w:color w:val="auto"/>
          <w:highlight w:val="none"/>
          <w:shd w:val="clear" w:color="auto" w:fill="auto"/>
          <w:lang w:val="en-US" w:eastAsia="zh-CN"/>
        </w:rPr>
        <w:t>GIS</w:t>
      </w:r>
      <w:r>
        <w:rPr>
          <w:rFonts w:hint="default" w:ascii="Times New Roman" w:hAnsi="Times New Roman" w:eastAsia="宋体" w:cs="Times New Roman"/>
          <w:color w:val="auto"/>
          <w:highlight w:val="none"/>
          <w:shd w:val="clear" w:color="auto" w:fill="auto"/>
          <w:lang w:val="en-US" w:eastAsia="zh-CN"/>
        </w:rPr>
        <w:t>安装应选用防尘棚。</w:t>
      </w:r>
      <w:r>
        <w:rPr>
          <w:rFonts w:hint="default" w:ascii="Times New Roman" w:hAnsi="Times New Roman" w:eastAsia="宋体" w:cs="Times New Roman"/>
          <w:color w:val="auto"/>
          <w:szCs w:val="22"/>
          <w:highlight w:val="none"/>
          <w:shd w:val="clear" w:color="auto" w:fill="auto"/>
          <w:lang w:val="en-US" w:eastAsia="zh-CN"/>
        </w:rPr>
        <w:t xml:space="preserve"> </w:t>
      </w:r>
    </w:p>
    <w:p w14:paraId="69F0BB11">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2</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rPr>
        <w:t>安装与</w:t>
      </w:r>
      <w:r>
        <w:rPr>
          <w:rFonts w:hint="default" w:ascii="Times New Roman" w:hAnsi="Times New Roman" w:cs="Times New Roman"/>
          <w:sz w:val="21"/>
          <w:szCs w:val="21"/>
          <w:lang w:val="en-US" w:eastAsia="zh-CN"/>
        </w:rPr>
        <w:t>调整</w:t>
      </w:r>
    </w:p>
    <w:p w14:paraId="0ED157A4">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cs="Times New Roman"/>
          <w:sz w:val="21"/>
          <w:szCs w:val="21"/>
          <w:lang w:val="en-US" w:eastAsia="zh-CN"/>
        </w:rPr>
        <w:t>7.3.2.1 施工场</w:t>
      </w:r>
      <w:r>
        <w:rPr>
          <w:rFonts w:hint="default" w:ascii="Times New Roman" w:hAnsi="Times New Roman" w:eastAsia="宋体" w:cs="Times New Roman"/>
          <w:color w:val="auto"/>
          <w:highlight w:val="none"/>
          <w:shd w:val="clear" w:color="auto" w:fill="auto"/>
        </w:rPr>
        <w:t>地应符合下列要求</w:t>
      </w:r>
      <w:r>
        <w:rPr>
          <w:rFonts w:hint="default" w:ascii="Times New Roman" w:hAnsi="Times New Roman" w:eastAsia="宋体" w:cs="Times New Roman"/>
          <w:color w:val="auto"/>
          <w:highlight w:val="none"/>
          <w:shd w:val="clear" w:color="auto" w:fill="auto"/>
          <w:lang w:eastAsia="zh-CN"/>
        </w:rPr>
        <w:t>：</w:t>
      </w:r>
    </w:p>
    <w:p w14:paraId="04203202">
      <w:pPr>
        <w:numPr>
          <w:ilvl w:val="0"/>
          <w:numId w:val="74"/>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起重机械工作场地应</w:t>
      </w:r>
      <w:r>
        <w:rPr>
          <w:rFonts w:hint="default" w:ascii="Times New Roman" w:hAnsi="Times New Roman" w:cs="Times New Roman"/>
          <w:color w:val="auto"/>
          <w:highlight w:val="none"/>
          <w:shd w:val="clear" w:color="auto" w:fill="auto"/>
          <w:lang w:val="en-US" w:eastAsia="zh-CN"/>
        </w:rPr>
        <w:t>平</w:t>
      </w:r>
      <w:r>
        <w:rPr>
          <w:rFonts w:hint="default" w:ascii="Times New Roman" w:hAnsi="Times New Roman" w:eastAsia="宋体" w:cs="Times New Roman"/>
          <w:color w:val="auto"/>
          <w:highlight w:val="none"/>
          <w:shd w:val="clear" w:color="auto" w:fill="auto"/>
        </w:rPr>
        <w:t>整、坚实</w:t>
      </w:r>
      <w:r>
        <w:rPr>
          <w:rFonts w:hint="eastAsia" w:ascii="Times New Roman" w:hAnsi="Times New Roman" w:cs="Times New Roman"/>
          <w:color w:val="auto"/>
          <w:highlight w:val="none"/>
          <w:shd w:val="clear" w:color="auto" w:fill="auto"/>
          <w:lang w:eastAsia="zh-CN"/>
        </w:rPr>
        <w:t>；</w:t>
      </w:r>
    </w:p>
    <w:p w14:paraId="3A814677">
      <w:pPr>
        <w:numPr>
          <w:ilvl w:val="0"/>
          <w:numId w:val="74"/>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应满足起重机械的最大工作半径</w:t>
      </w:r>
      <w:r>
        <w:rPr>
          <w:rFonts w:hint="eastAsia" w:ascii="Times New Roman" w:hAnsi="Times New Roman" w:cs="Times New Roman"/>
          <w:color w:val="auto"/>
          <w:highlight w:val="none"/>
          <w:shd w:val="clear" w:color="auto" w:fill="auto"/>
          <w:lang w:eastAsia="zh-CN"/>
        </w:rPr>
        <w:t>；</w:t>
      </w:r>
    </w:p>
    <w:p w14:paraId="415F33CF">
      <w:pPr>
        <w:numPr>
          <w:ilvl w:val="0"/>
          <w:numId w:val="74"/>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应满足设备防尘要求</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不应有扬尘及产生扬尘的环境。</w:t>
      </w:r>
    </w:p>
    <w:p w14:paraId="3C23EAAD">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2.2设备</w:t>
      </w:r>
      <w:r>
        <w:rPr>
          <w:rFonts w:hint="default" w:ascii="Times New Roman" w:hAnsi="Times New Roman" w:cs="Times New Roman"/>
          <w:sz w:val="21"/>
          <w:szCs w:val="21"/>
          <w:lang w:val="en-US" w:eastAsia="zh-CN"/>
        </w:rPr>
        <w:t>基础</w:t>
      </w:r>
      <w:r>
        <w:rPr>
          <w:rFonts w:hint="default" w:ascii="Times New Roman" w:hAnsi="Times New Roman" w:eastAsia="宋体" w:cs="Times New Roman"/>
          <w:color w:val="auto"/>
          <w:highlight w:val="none"/>
          <w:shd w:val="clear" w:color="auto" w:fill="auto"/>
        </w:rPr>
        <w:t>及预埋件的接地应良好。设备基础及预埋件的施工质量应符合下列要求</w:t>
      </w:r>
      <w:r>
        <w:rPr>
          <w:rFonts w:hint="default" w:ascii="Times New Roman" w:hAnsi="Times New Roman" w:eastAsia="宋体" w:cs="Times New Roman"/>
          <w:color w:val="auto"/>
          <w:highlight w:val="none"/>
          <w:shd w:val="clear" w:color="auto" w:fill="auto"/>
          <w:lang w:eastAsia="zh-CN"/>
        </w:rPr>
        <w:t>：</w:t>
      </w:r>
    </w:p>
    <w:p w14:paraId="6DF9791C">
      <w:pPr>
        <w:numPr>
          <w:ilvl w:val="0"/>
          <w:numId w:val="75"/>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混凝土强度应</w:t>
      </w:r>
      <w:r>
        <w:rPr>
          <w:rFonts w:hint="default" w:ascii="Times New Roman" w:hAnsi="Times New Roman" w:cs="Times New Roman"/>
          <w:color w:val="auto"/>
          <w:highlight w:val="none"/>
          <w:shd w:val="clear" w:color="auto" w:fill="auto"/>
          <w:lang w:val="en-US" w:eastAsia="zh-CN"/>
        </w:rPr>
        <w:t>符合设计</w:t>
      </w:r>
      <w:r>
        <w:rPr>
          <w:rFonts w:hint="default" w:ascii="Times New Roman" w:hAnsi="Times New Roman" w:eastAsia="宋体" w:cs="Times New Roman"/>
          <w:color w:val="auto"/>
          <w:highlight w:val="none"/>
          <w:shd w:val="clear" w:color="auto" w:fill="auto"/>
        </w:rPr>
        <w:t>要求</w:t>
      </w:r>
      <w:r>
        <w:rPr>
          <w:rFonts w:hint="eastAsia" w:ascii="Times New Roman" w:hAnsi="Times New Roman" w:cs="Times New Roman"/>
          <w:color w:val="auto"/>
          <w:highlight w:val="none"/>
          <w:shd w:val="clear" w:color="auto" w:fill="auto"/>
          <w:lang w:eastAsia="zh-CN"/>
        </w:rPr>
        <w:t>；</w:t>
      </w:r>
    </w:p>
    <w:p w14:paraId="35E1F5A6">
      <w:pPr>
        <w:numPr>
          <w:ilvl w:val="0"/>
          <w:numId w:val="75"/>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断路器x、y轴线误差不应大于5mm</w:t>
      </w:r>
      <w:r>
        <w:rPr>
          <w:rFonts w:hint="eastAsia" w:ascii="Times New Roman" w:hAnsi="Times New Roman" w:cs="Times New Roman"/>
          <w:color w:val="auto"/>
          <w:highlight w:val="none"/>
          <w:shd w:val="clear" w:color="auto" w:fill="auto"/>
          <w:lang w:eastAsia="zh-CN"/>
        </w:rPr>
        <w:t>；</w:t>
      </w:r>
    </w:p>
    <w:p w14:paraId="0474E3C8">
      <w:pPr>
        <w:numPr>
          <w:ilvl w:val="0"/>
          <w:numId w:val="75"/>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预埋件与预留孔应符合设计要求，预埋件安装应牢固</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预埋件表面标高误差</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相邻埋件不应大于2mm</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全部埋件不应大于5mm</w:t>
      </w:r>
      <w:r>
        <w:rPr>
          <w:rFonts w:hint="eastAsia" w:ascii="Times New Roman" w:hAnsi="Times New Roman" w:cs="Times New Roman"/>
          <w:color w:val="auto"/>
          <w:highlight w:val="none"/>
          <w:shd w:val="clear" w:color="auto" w:fill="auto"/>
          <w:lang w:eastAsia="zh-CN"/>
        </w:rPr>
        <w:t>；</w:t>
      </w:r>
    </w:p>
    <w:p w14:paraId="233CC5F5">
      <w:pPr>
        <w:numPr>
          <w:ilvl w:val="0"/>
          <w:numId w:val="75"/>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预埋螺栓中心线的误差不应大于2mm。</w:t>
      </w:r>
    </w:p>
    <w:p w14:paraId="5F7392C2">
      <w:pPr>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2.3</w:t>
      </w:r>
      <w:r>
        <w:rPr>
          <w:rFonts w:hint="default" w:ascii="Times New Roman" w:hAnsi="Times New Roman" w:cs="Times New Roman"/>
          <w:color w:val="auto"/>
          <w:highlight w:val="none"/>
          <w:shd w:val="clear" w:color="auto" w:fill="auto"/>
          <w:lang w:val="en-US" w:eastAsia="zh-CN"/>
        </w:rPr>
        <w:t xml:space="preserve"> GIS</w:t>
      </w:r>
      <w:r>
        <w:rPr>
          <w:rFonts w:hint="default" w:ascii="Times New Roman" w:hAnsi="Times New Roman" w:eastAsia="宋体" w:cs="Times New Roman"/>
          <w:color w:val="auto"/>
          <w:highlight w:val="none"/>
          <w:shd w:val="clear" w:color="auto" w:fill="auto"/>
        </w:rPr>
        <w:t>元</w:t>
      </w:r>
      <w:r>
        <w:rPr>
          <w:rFonts w:hint="default" w:ascii="Times New Roman" w:hAnsi="Times New Roman" w:cs="Times New Roman"/>
          <w:sz w:val="21"/>
          <w:szCs w:val="21"/>
          <w:lang w:val="en-US" w:eastAsia="zh-CN"/>
        </w:rPr>
        <w:t>件装</w:t>
      </w:r>
      <w:r>
        <w:rPr>
          <w:rFonts w:hint="default" w:ascii="Times New Roman" w:hAnsi="Times New Roman" w:eastAsia="宋体" w:cs="Times New Roman"/>
          <w:color w:val="auto"/>
          <w:highlight w:val="none"/>
          <w:shd w:val="clear" w:color="auto" w:fill="auto"/>
        </w:rPr>
        <w:t>配前</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应进行下列检查</w:t>
      </w:r>
      <w:r>
        <w:rPr>
          <w:rFonts w:hint="default" w:ascii="Times New Roman" w:hAnsi="Times New Roman" w:eastAsia="宋体" w:cs="Times New Roman"/>
          <w:color w:val="auto"/>
          <w:highlight w:val="none"/>
          <w:shd w:val="clear" w:color="auto" w:fill="auto"/>
          <w:lang w:eastAsia="zh-CN"/>
        </w:rPr>
        <w:t>：</w:t>
      </w:r>
    </w:p>
    <w:p w14:paraId="7FEEDE77">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元件的所有部件应完整、无损</w:t>
      </w:r>
      <w:r>
        <w:rPr>
          <w:rFonts w:hint="eastAsia" w:ascii="Times New Roman" w:hAnsi="Times New Roman" w:cs="Times New Roman"/>
          <w:color w:val="auto"/>
          <w:highlight w:val="none"/>
          <w:shd w:val="clear" w:color="auto" w:fill="auto"/>
          <w:lang w:eastAsia="zh-CN"/>
        </w:rPr>
        <w:t>；</w:t>
      </w:r>
    </w:p>
    <w:p w14:paraId="3A81C1F3">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充气运输单元的压力值和含水量应符合产品技术文件要求</w:t>
      </w:r>
      <w:r>
        <w:rPr>
          <w:rFonts w:hint="eastAsia" w:ascii="Times New Roman" w:hAnsi="Times New Roman" w:cs="Times New Roman"/>
          <w:color w:val="auto"/>
          <w:highlight w:val="none"/>
          <w:shd w:val="clear" w:color="auto" w:fill="auto"/>
          <w:lang w:eastAsia="zh-CN"/>
        </w:rPr>
        <w:t>；</w:t>
      </w:r>
    </w:p>
    <w:p w14:paraId="10620B6D">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元件的接线端子、插接件及载流部分应光洁、</w:t>
      </w:r>
      <w:r>
        <w:rPr>
          <w:rFonts w:hint="default" w:ascii="Times New Roman" w:hAnsi="Times New Roman" w:eastAsia="宋体" w:cs="Times New Roman"/>
          <w:color w:val="auto"/>
          <w:highlight w:val="none"/>
          <w:shd w:val="clear" w:color="auto" w:fill="auto"/>
          <w:lang w:eastAsia="zh-CN"/>
        </w:rPr>
        <w:t>无</w:t>
      </w:r>
      <w:r>
        <w:rPr>
          <w:rFonts w:hint="default" w:ascii="Times New Roman" w:hAnsi="Times New Roman" w:eastAsia="宋体" w:cs="Times New Roman"/>
          <w:color w:val="auto"/>
          <w:highlight w:val="none"/>
          <w:shd w:val="clear" w:color="auto" w:fill="auto"/>
        </w:rPr>
        <w:t>锈蚀，镀银层应无脱落</w:t>
      </w:r>
      <w:r>
        <w:rPr>
          <w:rFonts w:hint="eastAsia" w:ascii="Times New Roman" w:hAnsi="Times New Roman" w:cs="Times New Roman"/>
          <w:color w:val="auto"/>
          <w:highlight w:val="none"/>
          <w:shd w:val="clear" w:color="auto" w:fill="auto"/>
          <w:lang w:eastAsia="zh-CN"/>
        </w:rPr>
        <w:t>；</w:t>
      </w:r>
    </w:p>
    <w:p w14:paraId="0EBAFFDE">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各元件的紧固螺栓应齐全、无松动</w:t>
      </w:r>
      <w:r>
        <w:rPr>
          <w:rFonts w:hint="eastAsia" w:ascii="Times New Roman" w:hAnsi="Times New Roman" w:cs="Times New Roman"/>
          <w:color w:val="auto"/>
          <w:highlight w:val="none"/>
          <w:shd w:val="clear" w:color="auto" w:fill="auto"/>
          <w:lang w:eastAsia="zh-CN"/>
        </w:rPr>
        <w:t>；</w:t>
      </w:r>
    </w:p>
    <w:p w14:paraId="63DC2020">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绝缘件应无受潮、变形及破损。当套管采用瓷外套时，瓷套与金属法兰胶装部位应牢固、密实</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并应涂以性能良好的防水胶</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瓷套外观不得有裂纹、损伤</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当套管采用硅橡胶外套时</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外观不得有裂纹、损伤、变形</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套管的金属法兰结合面应平整</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无外伤或铸造砂眼</w:t>
      </w:r>
      <w:r>
        <w:rPr>
          <w:rFonts w:hint="eastAsia" w:ascii="Times New Roman" w:hAnsi="Times New Roman" w:cs="Times New Roman"/>
          <w:color w:val="auto"/>
          <w:highlight w:val="none"/>
          <w:shd w:val="clear" w:color="auto" w:fill="auto"/>
          <w:lang w:eastAsia="zh-CN"/>
        </w:rPr>
        <w:t>；</w:t>
      </w:r>
    </w:p>
    <w:p w14:paraId="32B62379">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各连接件、附件的材质、规格及数量应符合产品技术文件要求</w:t>
      </w:r>
      <w:r>
        <w:rPr>
          <w:rFonts w:hint="eastAsia" w:ascii="Times New Roman" w:hAnsi="Times New Roman" w:cs="Times New Roman"/>
          <w:color w:val="auto"/>
          <w:highlight w:val="none"/>
          <w:shd w:val="clear" w:color="auto" w:fill="auto"/>
          <w:lang w:eastAsia="zh-CN"/>
        </w:rPr>
        <w:t>；</w:t>
      </w:r>
    </w:p>
    <w:p w14:paraId="7606D9FB">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组装用的密封垫</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圈</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、清洁剂、润滑剂</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密封脂和擦拭材料应符合产品技术文件要求</w:t>
      </w:r>
      <w:r>
        <w:rPr>
          <w:rFonts w:hint="eastAsia" w:ascii="Times New Roman" w:hAnsi="Times New Roman" w:cs="Times New Roman"/>
          <w:color w:val="auto"/>
          <w:highlight w:val="none"/>
          <w:shd w:val="clear" w:color="auto" w:fill="auto"/>
          <w:lang w:eastAsia="zh-CN"/>
        </w:rPr>
        <w:t>；</w:t>
      </w:r>
    </w:p>
    <w:p w14:paraId="6E9284C9">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压力表和密度继电器应有产品合格证明及设备厂家检验报告</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压力表和密度继电器现场检验应符合DL/T 618的规定</w:t>
      </w:r>
      <w:r>
        <w:rPr>
          <w:rFonts w:hint="eastAsia" w:ascii="Times New Roman" w:hAnsi="Times New Roman" w:cs="Times New Roman"/>
          <w:color w:val="auto"/>
          <w:highlight w:val="none"/>
          <w:shd w:val="clear" w:color="auto" w:fill="auto"/>
          <w:lang w:eastAsia="zh-CN"/>
        </w:rPr>
        <w:t>；</w:t>
      </w:r>
    </w:p>
    <w:p w14:paraId="5496D73C">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电流互感器二次绕组排列次序及变比、极性、级次等应符合设计要求</w:t>
      </w:r>
      <w:r>
        <w:rPr>
          <w:rFonts w:hint="eastAsia" w:ascii="Times New Roman" w:hAnsi="Times New Roman" w:cs="Times New Roman"/>
          <w:color w:val="auto"/>
          <w:highlight w:val="none"/>
          <w:shd w:val="clear" w:color="auto" w:fill="auto"/>
          <w:lang w:eastAsia="zh-CN"/>
        </w:rPr>
        <w:t>；</w:t>
      </w:r>
    </w:p>
    <w:p w14:paraId="7FD9B08D">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母线和母线筒内壁应平整、无毛刺</w:t>
      </w:r>
      <w:r>
        <w:rPr>
          <w:rFonts w:hint="eastAsia"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各单元母线的长度应符合产品技术文件要求</w:t>
      </w:r>
      <w:r>
        <w:rPr>
          <w:rFonts w:hint="eastAsia" w:ascii="Times New Roman" w:hAnsi="Times New Roman" w:cs="Times New Roman"/>
          <w:color w:val="auto"/>
          <w:highlight w:val="none"/>
          <w:shd w:val="clear" w:color="auto" w:fill="auto"/>
          <w:lang w:eastAsia="zh-CN"/>
        </w:rPr>
        <w:t>；</w:t>
      </w:r>
    </w:p>
    <w:p w14:paraId="22B5D229">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防爆膜或其他防爆装置应完好，配置应符合产品技术文件要求，相关出厂证明资料应齐全</w:t>
      </w:r>
      <w:r>
        <w:rPr>
          <w:rFonts w:hint="eastAsia" w:ascii="Times New Roman" w:hAnsi="Times New Roman" w:cs="Times New Roman"/>
          <w:color w:val="auto"/>
          <w:highlight w:val="none"/>
          <w:shd w:val="clear" w:color="auto" w:fill="auto"/>
          <w:lang w:eastAsia="zh-CN"/>
        </w:rPr>
        <w:t>；</w:t>
      </w:r>
    </w:p>
    <w:p w14:paraId="2408A559">
      <w:pPr>
        <w:numPr>
          <w:ilvl w:val="0"/>
          <w:numId w:val="76"/>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支架及接地引线应无锈蚀或损伤。</w:t>
      </w:r>
    </w:p>
    <w:p w14:paraId="3BDCB911">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.2.4</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lang w:eastAsia="zh-CN"/>
        </w:rPr>
        <w:t>六</w:t>
      </w:r>
      <w:r>
        <w:rPr>
          <w:rFonts w:hint="default" w:ascii="Times New Roman" w:hAnsi="Times New Roman" w:cs="Times New Roman"/>
          <w:sz w:val="21"/>
          <w:szCs w:val="21"/>
          <w:lang w:val="en-US" w:eastAsia="zh-CN"/>
        </w:rPr>
        <w:t>氟化硫断路器不应在现场解体检查，当有缺陷必须在现场解体时，应经制造厂同意，并在厂方人员指导下进行，或由制造厂负责处理。</w:t>
      </w:r>
    </w:p>
    <w:p w14:paraId="26C00AAF">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cs="Times New Roman"/>
          <w:sz w:val="21"/>
          <w:szCs w:val="21"/>
          <w:lang w:val="en-US" w:eastAsia="zh-CN"/>
        </w:rPr>
        <w:t>7.3.2.5 GIS的</w:t>
      </w:r>
      <w:r>
        <w:rPr>
          <w:rFonts w:hint="default" w:ascii="Times New Roman" w:hAnsi="Times New Roman" w:eastAsia="宋体" w:cs="Times New Roman"/>
          <w:color w:val="auto"/>
          <w:highlight w:val="none"/>
          <w:shd w:val="clear" w:color="auto" w:fill="auto"/>
          <w:lang w:eastAsia="zh-CN"/>
        </w:rPr>
        <w:t>现场安装应在设备厂家技术人员指导下进行，</w:t>
      </w:r>
      <w:r>
        <w:rPr>
          <w:rFonts w:hint="default" w:ascii="Times New Roman" w:hAnsi="Times New Roman" w:cs="Times New Roman"/>
          <w:color w:val="auto"/>
          <w:highlight w:val="none"/>
          <w:shd w:val="clear" w:color="auto" w:fill="auto"/>
          <w:lang w:val="en-US" w:eastAsia="zh-CN"/>
        </w:rPr>
        <w:t>按照GB 50147、DL/T 5850执行，</w:t>
      </w:r>
      <w:r>
        <w:rPr>
          <w:rFonts w:hint="default" w:ascii="Times New Roman" w:hAnsi="Times New Roman" w:eastAsia="宋体" w:cs="Times New Roman"/>
          <w:color w:val="auto"/>
          <w:highlight w:val="none"/>
          <w:shd w:val="clear" w:color="auto" w:fill="auto"/>
          <w:lang w:eastAsia="zh-CN"/>
        </w:rPr>
        <w:t>并应符合下列要求：</w:t>
      </w:r>
    </w:p>
    <w:p w14:paraId="14A0C594">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应在空气相对湿度小于80%的条件下进行，并应采取有效的防尘、防潮</w:t>
      </w:r>
      <w:r>
        <w:rPr>
          <w:rFonts w:hint="default" w:ascii="Times New Roman" w:hAnsi="Times New Roman" w:cs="Times New Roman"/>
          <w:color w:val="auto"/>
          <w:highlight w:val="none"/>
          <w:shd w:val="clear" w:color="auto" w:fill="auto"/>
          <w:lang w:eastAsia="zh-CN"/>
        </w:rPr>
        <w:t>、</w:t>
      </w:r>
      <w:r>
        <w:rPr>
          <w:rFonts w:hint="default" w:ascii="Times New Roman" w:hAnsi="Times New Roman" w:cs="Times New Roman"/>
          <w:color w:val="auto"/>
          <w:highlight w:val="none"/>
          <w:shd w:val="clear" w:color="auto" w:fill="auto"/>
          <w:lang w:val="en-US" w:eastAsia="zh-CN"/>
        </w:rPr>
        <w:t>防风沙和雨雪的</w:t>
      </w:r>
      <w:r>
        <w:rPr>
          <w:rFonts w:hint="default" w:ascii="Times New Roman" w:hAnsi="Times New Roman" w:eastAsia="宋体" w:cs="Times New Roman"/>
          <w:color w:val="auto"/>
          <w:highlight w:val="none"/>
          <w:shd w:val="clear" w:color="auto" w:fill="auto"/>
          <w:lang w:eastAsia="zh-CN"/>
        </w:rPr>
        <w:t>措施</w:t>
      </w:r>
      <w:r>
        <w:rPr>
          <w:rFonts w:hint="eastAsia" w:ascii="Times New Roman" w:hAnsi="Times New Roman" w:cs="Times New Roman"/>
          <w:color w:val="auto"/>
          <w:highlight w:val="none"/>
          <w:shd w:val="clear" w:color="auto" w:fill="auto"/>
          <w:lang w:eastAsia="zh-CN"/>
        </w:rPr>
        <w:t>；</w:t>
      </w:r>
    </w:p>
    <w:p w14:paraId="1C36F4FE">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应按产品技术文件要求进行内检，参加内检的人员着装应符合产品技术文件要求</w:t>
      </w:r>
      <w:r>
        <w:rPr>
          <w:rFonts w:hint="eastAsia" w:ascii="Times New Roman" w:hAnsi="Times New Roman" w:cs="Times New Roman"/>
          <w:color w:val="auto"/>
          <w:highlight w:val="none"/>
          <w:shd w:val="clear" w:color="auto" w:fill="auto"/>
          <w:lang w:eastAsia="zh-CN"/>
        </w:rPr>
        <w:t>；</w:t>
      </w:r>
    </w:p>
    <w:p w14:paraId="52031BB9">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应按产品技术文件要求选用吊装器具及吊点</w:t>
      </w:r>
      <w:r>
        <w:rPr>
          <w:rFonts w:hint="eastAsia" w:ascii="Times New Roman" w:hAnsi="Times New Roman" w:cs="Times New Roman"/>
          <w:color w:val="auto"/>
          <w:highlight w:val="none"/>
          <w:shd w:val="clear" w:color="auto" w:fill="auto"/>
          <w:lang w:eastAsia="zh-CN"/>
        </w:rPr>
        <w:t>；</w:t>
      </w:r>
    </w:p>
    <w:p w14:paraId="4C961132">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基座、支架的安装应符合设计和产品技术文件要求</w:t>
      </w:r>
      <w:r>
        <w:rPr>
          <w:rFonts w:hint="eastAsia" w:ascii="Times New Roman" w:hAnsi="Times New Roman" w:cs="Times New Roman"/>
          <w:color w:val="auto"/>
          <w:highlight w:val="none"/>
          <w:shd w:val="clear" w:color="auto" w:fill="auto"/>
          <w:lang w:eastAsia="zh-CN"/>
        </w:rPr>
        <w:t>；</w:t>
      </w:r>
    </w:p>
    <w:p w14:paraId="56300C42">
      <w:pPr>
        <w:numPr>
          <w:ilvl w:val="0"/>
          <w:numId w:val="77"/>
        </w:numPr>
        <w:ind w:left="14" w:firstLine="406"/>
        <w:rPr>
          <w:rFonts w:hint="default" w:ascii="Times New Roman" w:hAnsi="Times New Roman" w:eastAsia="宋体" w:cs="Times New Roman"/>
          <w:color w:val="auto"/>
          <w:szCs w:val="22"/>
          <w:highlight w:val="none"/>
          <w:shd w:val="clear" w:color="auto" w:fill="auto"/>
          <w:lang w:val="en-US" w:eastAsia="zh-CN"/>
        </w:rPr>
      </w:pPr>
      <w:r>
        <w:rPr>
          <w:rFonts w:hint="default" w:ascii="Times New Roman" w:hAnsi="Times New Roman" w:eastAsia="宋体" w:cs="Times New Roman"/>
          <w:color w:val="auto"/>
          <w:highlight w:val="none"/>
          <w:shd w:val="clear" w:color="auto" w:fill="auto"/>
          <w:lang w:eastAsia="zh-CN"/>
        </w:rPr>
        <w:t>应按设备厂家的编号和规定的程序进行元件安装，不得混装；元件安装前及安装过程中的试验进度应满足安装需要</w:t>
      </w:r>
      <w:r>
        <w:rPr>
          <w:rFonts w:hint="eastAsia" w:ascii="Times New Roman" w:hAnsi="Times New Roman" w:cs="Times New Roman"/>
          <w:color w:val="auto"/>
          <w:highlight w:val="none"/>
          <w:shd w:val="clear" w:color="auto" w:fill="auto"/>
          <w:lang w:eastAsia="zh-CN"/>
        </w:rPr>
        <w:t>；</w:t>
      </w:r>
    </w:p>
    <w:p w14:paraId="7928D7DC">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szCs w:val="22"/>
          <w:highlight w:val="none"/>
          <w:shd w:val="clear" w:color="auto" w:fill="auto"/>
          <w:lang w:val="en-US" w:eastAsia="zh-CN"/>
        </w:rPr>
        <w:t>辅助开关的电气接点连接</w:t>
      </w:r>
      <w:r>
        <w:rPr>
          <w:rFonts w:hint="default" w:ascii="Times New Roman" w:hAnsi="Times New Roman" w:cs="Times New Roman"/>
          <w:color w:val="auto"/>
          <w:szCs w:val="22"/>
          <w:highlight w:val="none"/>
          <w:shd w:val="clear" w:color="auto" w:fill="auto"/>
          <w:lang w:val="en-US" w:eastAsia="zh-CN"/>
        </w:rPr>
        <w:t>可靠、</w:t>
      </w:r>
      <w:r>
        <w:rPr>
          <w:rFonts w:hint="default" w:ascii="Times New Roman" w:hAnsi="Times New Roman" w:eastAsia="宋体" w:cs="Times New Roman"/>
          <w:color w:val="auto"/>
          <w:szCs w:val="22"/>
          <w:highlight w:val="none"/>
          <w:shd w:val="clear" w:color="auto" w:fill="auto"/>
          <w:lang w:val="en-US" w:eastAsia="zh-CN"/>
        </w:rPr>
        <w:t>变位点转换</w:t>
      </w:r>
      <w:r>
        <w:rPr>
          <w:rFonts w:hint="default" w:ascii="Times New Roman" w:hAnsi="Times New Roman" w:cs="Times New Roman"/>
          <w:color w:val="auto"/>
          <w:szCs w:val="22"/>
          <w:highlight w:val="none"/>
          <w:shd w:val="clear" w:color="auto" w:fill="auto"/>
          <w:lang w:val="en-US" w:eastAsia="zh-CN"/>
        </w:rPr>
        <w:t>灵活、动作准确</w:t>
      </w:r>
      <w:r>
        <w:rPr>
          <w:rFonts w:hint="eastAsia" w:ascii="Times New Roman" w:hAnsi="Times New Roman" w:cs="Times New Roman"/>
          <w:color w:val="auto"/>
          <w:szCs w:val="22"/>
          <w:highlight w:val="none"/>
          <w:shd w:val="clear" w:color="auto" w:fill="auto"/>
          <w:lang w:val="en-US" w:eastAsia="zh-CN"/>
        </w:rPr>
        <w:t>；</w:t>
      </w:r>
    </w:p>
    <w:p w14:paraId="520905BB">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预充氮气的箱体必须先经排氮，然后充露点低于</w:t>
      </w:r>
      <w:r>
        <w:rPr>
          <w:rFonts w:hint="default" w:ascii="Times New Roman" w:hAnsi="Times New Roman" w:eastAsia="宋体" w:cs="Times New Roman"/>
          <w:color w:val="auto"/>
          <w:highlight w:val="none"/>
          <w:shd w:val="clear" w:color="auto" w:fill="auto"/>
          <w:lang w:val="en-US" w:eastAsia="zh-CN"/>
        </w:rPr>
        <w:t>-</w:t>
      </w:r>
      <w:r>
        <w:rPr>
          <w:rFonts w:hint="default" w:ascii="Times New Roman" w:hAnsi="Times New Roman" w:eastAsia="宋体" w:cs="Times New Roman"/>
          <w:color w:val="auto"/>
          <w:highlight w:val="none"/>
          <w:shd w:val="clear" w:color="auto" w:fill="auto"/>
          <w:lang w:eastAsia="zh-CN"/>
        </w:rPr>
        <w:t>40</w:t>
      </w:r>
      <w:r>
        <w:rPr>
          <w:rFonts w:hint="default" w:ascii="Times New Roman" w:hAnsi="Times New Roman" w:cs="Times New Roman"/>
          <w:color w:val="auto"/>
          <w:highlight w:val="none"/>
          <w:shd w:val="clear" w:color="auto" w:fill="auto"/>
          <w:lang w:val="en-US" w:eastAsia="zh-CN"/>
        </w:rPr>
        <w:t>℃</w:t>
      </w:r>
      <w:r>
        <w:rPr>
          <w:rFonts w:hint="default" w:ascii="Times New Roman" w:hAnsi="Times New Roman" w:eastAsia="宋体" w:cs="Times New Roman"/>
          <w:color w:val="auto"/>
          <w:highlight w:val="none"/>
          <w:shd w:val="clear" w:color="auto" w:fill="auto"/>
          <w:lang w:eastAsia="zh-CN"/>
        </w:rPr>
        <w:t>的干燥空气，且必须在检测氧气含量达到1</w:t>
      </w:r>
      <w:r>
        <w:rPr>
          <w:rFonts w:hint="default" w:ascii="Times New Roman" w:hAnsi="Times New Roman" w:cs="Times New Roman"/>
          <w:color w:val="auto"/>
          <w:highlight w:val="none"/>
          <w:shd w:val="clear" w:color="auto" w:fill="auto"/>
          <w:lang w:val="en-US" w:eastAsia="zh-CN"/>
        </w:rPr>
        <w:t>9.5</w:t>
      </w:r>
      <w:r>
        <w:rPr>
          <w:rFonts w:hint="default" w:ascii="Times New Roman" w:hAnsi="Times New Roman" w:eastAsia="宋体" w:cs="Times New Roman"/>
          <w:color w:val="auto"/>
          <w:highlight w:val="none"/>
          <w:shd w:val="clear" w:color="auto" w:fill="auto"/>
          <w:lang w:eastAsia="zh-CN"/>
        </w:rPr>
        <w:t>%以上时，方可进入</w:t>
      </w:r>
      <w:r>
        <w:rPr>
          <w:rFonts w:hint="eastAsia" w:ascii="Times New Roman" w:hAnsi="Times New Roman" w:cs="Times New Roman"/>
          <w:color w:val="auto"/>
          <w:highlight w:val="none"/>
          <w:shd w:val="clear" w:color="auto" w:fill="auto"/>
          <w:lang w:eastAsia="zh-CN"/>
        </w:rPr>
        <w:t>；</w:t>
      </w:r>
    </w:p>
    <w:p w14:paraId="012BDFCA">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所有单元的开盖、内检及连接工作应在防尘室内进行，防尘室内及安装单元应按产品要求充</w:t>
      </w:r>
      <w:r>
        <w:rPr>
          <w:rFonts w:hint="default" w:ascii="Times New Roman" w:hAnsi="Times New Roman" w:cs="Times New Roman"/>
          <w:color w:val="auto"/>
          <w:highlight w:val="none"/>
          <w:shd w:val="clear" w:color="auto" w:fill="auto"/>
          <w:lang w:val="en-US" w:eastAsia="zh-CN"/>
        </w:rPr>
        <w:t>入</w:t>
      </w:r>
      <w:r>
        <w:rPr>
          <w:rFonts w:hint="default" w:ascii="Times New Roman" w:hAnsi="Times New Roman" w:eastAsia="宋体" w:cs="Times New Roman"/>
          <w:color w:val="auto"/>
          <w:highlight w:val="none"/>
          <w:shd w:val="clear" w:color="auto" w:fill="auto"/>
          <w:lang w:eastAsia="zh-CN"/>
        </w:rPr>
        <w:t>经过滤尘的干燥空气。安装单元在工作间断时应及时封闭并充</w:t>
      </w:r>
      <w:r>
        <w:rPr>
          <w:rFonts w:hint="default" w:ascii="Times New Roman" w:hAnsi="Times New Roman" w:cs="Times New Roman"/>
          <w:color w:val="auto"/>
          <w:highlight w:val="none"/>
          <w:shd w:val="clear" w:color="auto" w:fill="auto"/>
          <w:lang w:val="en-US" w:eastAsia="zh-CN"/>
        </w:rPr>
        <w:t>入</w:t>
      </w:r>
      <w:r>
        <w:rPr>
          <w:rFonts w:hint="default" w:ascii="Times New Roman" w:hAnsi="Times New Roman" w:eastAsia="宋体" w:cs="Times New Roman"/>
          <w:color w:val="auto"/>
          <w:highlight w:val="none"/>
          <w:shd w:val="clear" w:color="auto" w:fill="auto"/>
          <w:lang w:eastAsia="zh-CN"/>
        </w:rPr>
        <w:t>经过滤尘的干燥空气，并应保持微正压</w:t>
      </w:r>
      <w:r>
        <w:rPr>
          <w:rFonts w:hint="eastAsia" w:ascii="Times New Roman" w:hAnsi="Times New Roman" w:cs="Times New Roman"/>
          <w:color w:val="auto"/>
          <w:highlight w:val="none"/>
          <w:shd w:val="clear" w:color="auto" w:fill="auto"/>
          <w:lang w:eastAsia="zh-CN"/>
        </w:rPr>
        <w:t>；</w:t>
      </w:r>
    </w:p>
    <w:p w14:paraId="27CCA9FC">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盆式绝缘子应完好，表面应清洁；内接等电位连接应可靠</w:t>
      </w:r>
      <w:r>
        <w:rPr>
          <w:rFonts w:hint="eastAsia" w:ascii="Times New Roman" w:hAnsi="Times New Roman" w:cs="Times New Roman"/>
          <w:color w:val="auto"/>
          <w:highlight w:val="none"/>
          <w:shd w:val="clear" w:color="auto" w:fill="auto"/>
          <w:lang w:eastAsia="zh-CN"/>
        </w:rPr>
        <w:t>；</w:t>
      </w:r>
    </w:p>
    <w:p w14:paraId="4992E8E8">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气室内运输用临时支撑在拆除前应无位移、无磨损</w:t>
      </w:r>
      <w:r>
        <w:rPr>
          <w:rFonts w:hint="eastAsia" w:ascii="Times New Roman" w:hAnsi="Times New Roman" w:cs="Times New Roman"/>
          <w:color w:val="auto"/>
          <w:highlight w:val="none"/>
          <w:shd w:val="clear" w:color="auto" w:fill="auto"/>
          <w:lang w:eastAsia="zh-CN"/>
        </w:rPr>
        <w:t>；</w:t>
      </w:r>
    </w:p>
    <w:p w14:paraId="2BD6120C">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检查设备厂家已装配好的母线、母线简内壁及其他附件表面应平整、无毛刺，涂漆的漆层应完好</w:t>
      </w:r>
      <w:r>
        <w:rPr>
          <w:rFonts w:hint="eastAsia" w:ascii="Times New Roman" w:hAnsi="Times New Roman" w:cs="Times New Roman"/>
          <w:color w:val="auto"/>
          <w:highlight w:val="none"/>
          <w:shd w:val="clear" w:color="auto" w:fill="auto"/>
          <w:lang w:eastAsia="zh-CN"/>
        </w:rPr>
        <w:t>；</w:t>
      </w:r>
    </w:p>
    <w:p w14:paraId="0E12105E">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导电部件镀银状况应良好，表面应光滑、无脱落</w:t>
      </w:r>
      <w:r>
        <w:rPr>
          <w:rFonts w:hint="eastAsia" w:ascii="Times New Roman" w:hAnsi="Times New Roman" w:cs="Times New Roman"/>
          <w:color w:val="auto"/>
          <w:highlight w:val="none"/>
          <w:shd w:val="clear" w:color="auto" w:fill="auto"/>
          <w:lang w:eastAsia="zh-CN"/>
        </w:rPr>
        <w:t>；</w:t>
      </w:r>
    </w:p>
    <w:p w14:paraId="1A911BE8">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连接插件的触头中心应对准插口，不</w:t>
      </w:r>
      <w:r>
        <w:rPr>
          <w:rFonts w:hint="default" w:ascii="Times New Roman" w:hAnsi="Times New Roman" w:cs="Times New Roman"/>
          <w:color w:val="auto"/>
          <w:highlight w:val="none"/>
          <w:shd w:val="clear" w:color="auto" w:fill="auto"/>
          <w:lang w:val="en-US" w:eastAsia="zh-CN"/>
        </w:rPr>
        <w:t>应</w:t>
      </w:r>
      <w:r>
        <w:rPr>
          <w:rFonts w:hint="default" w:ascii="Times New Roman" w:hAnsi="Times New Roman" w:eastAsia="宋体" w:cs="Times New Roman"/>
          <w:color w:val="auto"/>
          <w:highlight w:val="none"/>
          <w:shd w:val="clear" w:color="auto" w:fill="auto"/>
          <w:lang w:eastAsia="zh-CN"/>
        </w:rPr>
        <w:t>出现卡阻，插</w:t>
      </w:r>
      <w:r>
        <w:rPr>
          <w:rFonts w:hint="default" w:ascii="Times New Roman" w:hAnsi="Times New Roman" w:cs="Times New Roman"/>
          <w:color w:val="auto"/>
          <w:highlight w:val="none"/>
          <w:shd w:val="clear" w:color="auto" w:fill="auto"/>
          <w:lang w:val="en-US" w:eastAsia="zh-CN"/>
        </w:rPr>
        <w:t>入</w:t>
      </w:r>
      <w:r>
        <w:rPr>
          <w:rFonts w:hint="default" w:ascii="Times New Roman" w:hAnsi="Times New Roman" w:eastAsia="宋体" w:cs="Times New Roman"/>
          <w:color w:val="auto"/>
          <w:highlight w:val="none"/>
          <w:shd w:val="clear" w:color="auto" w:fill="auto"/>
          <w:lang w:eastAsia="zh-CN"/>
        </w:rPr>
        <w:t>深度应符合产品技术文件要求；接触电阻应符合产品技术文件要求</w:t>
      </w:r>
      <w:r>
        <w:rPr>
          <w:rFonts w:hint="eastAsia" w:ascii="Times New Roman" w:hAnsi="Times New Roman" w:cs="Times New Roman"/>
          <w:color w:val="auto"/>
          <w:highlight w:val="none"/>
          <w:shd w:val="clear" w:color="auto" w:fill="auto"/>
          <w:lang w:eastAsia="zh-CN"/>
        </w:rPr>
        <w:t>；</w:t>
      </w:r>
    </w:p>
    <w:p w14:paraId="33A5294E">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应按产品技术文件要求更换吸附剂</w:t>
      </w:r>
      <w:r>
        <w:rPr>
          <w:rFonts w:hint="eastAsia" w:ascii="Times New Roman" w:hAnsi="Times New Roman" w:cs="Times New Roman"/>
          <w:color w:val="auto"/>
          <w:highlight w:val="none"/>
          <w:shd w:val="clear" w:color="auto" w:fill="auto"/>
          <w:lang w:eastAsia="zh-CN"/>
        </w:rPr>
        <w:t>；</w:t>
      </w:r>
    </w:p>
    <w:p w14:paraId="3D42F20D">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应按产品技术文件要求进行除尘</w:t>
      </w:r>
      <w:r>
        <w:rPr>
          <w:rFonts w:hint="eastAsia" w:ascii="Times New Roman" w:hAnsi="Times New Roman" w:cs="Times New Roman"/>
          <w:color w:val="auto"/>
          <w:highlight w:val="none"/>
          <w:shd w:val="clear" w:color="auto" w:fill="auto"/>
          <w:lang w:eastAsia="zh-CN"/>
        </w:rPr>
        <w:t>；</w:t>
      </w:r>
    </w:p>
    <w:p w14:paraId="5DF91314">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已用过的密封垫</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圈</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不</w:t>
      </w:r>
      <w:r>
        <w:rPr>
          <w:rFonts w:hint="default" w:ascii="Times New Roman" w:hAnsi="Times New Roman" w:cs="Times New Roman"/>
          <w:color w:val="auto"/>
          <w:highlight w:val="none"/>
          <w:shd w:val="clear" w:color="auto" w:fill="auto"/>
          <w:lang w:val="en-US" w:eastAsia="zh-CN"/>
        </w:rPr>
        <w:t>应</w:t>
      </w:r>
      <w:r>
        <w:rPr>
          <w:rFonts w:hint="default" w:ascii="Times New Roman" w:hAnsi="Times New Roman" w:eastAsia="宋体" w:cs="Times New Roman"/>
          <w:color w:val="auto"/>
          <w:highlight w:val="none"/>
          <w:shd w:val="clear" w:color="auto" w:fill="auto"/>
          <w:lang w:eastAsia="zh-CN"/>
        </w:rPr>
        <w:t>再用</w:t>
      </w:r>
      <w:r>
        <w:rPr>
          <w:rFonts w:hint="eastAsia"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密封槽面应清洁、无划伤，密封垫</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圈</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应无损伤</w:t>
      </w:r>
      <w:r>
        <w:rPr>
          <w:rFonts w:hint="eastAsia"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涂密封脂时，不</w:t>
      </w:r>
      <w:r>
        <w:rPr>
          <w:rFonts w:hint="default" w:ascii="Times New Roman" w:hAnsi="Times New Roman" w:cs="Times New Roman"/>
          <w:color w:val="auto"/>
          <w:highlight w:val="none"/>
          <w:shd w:val="clear" w:color="auto" w:fill="auto"/>
          <w:lang w:val="en-US" w:eastAsia="zh-CN"/>
        </w:rPr>
        <w:t>应</w:t>
      </w:r>
      <w:r>
        <w:rPr>
          <w:rFonts w:hint="default" w:ascii="Times New Roman" w:hAnsi="Times New Roman" w:eastAsia="宋体" w:cs="Times New Roman"/>
          <w:color w:val="auto"/>
          <w:highlight w:val="none"/>
          <w:shd w:val="clear" w:color="auto" w:fill="auto"/>
          <w:lang w:eastAsia="zh-CN"/>
        </w:rPr>
        <w:t>使其流</w:t>
      </w:r>
      <w:r>
        <w:rPr>
          <w:rFonts w:hint="default" w:ascii="Times New Roman" w:hAnsi="Times New Roman" w:cs="Times New Roman"/>
          <w:color w:val="auto"/>
          <w:highlight w:val="none"/>
          <w:shd w:val="clear" w:color="auto" w:fill="auto"/>
          <w:lang w:val="en-US" w:eastAsia="zh-CN"/>
        </w:rPr>
        <w:t>入</w:t>
      </w:r>
      <w:r>
        <w:rPr>
          <w:rFonts w:hint="default" w:ascii="Times New Roman" w:hAnsi="Times New Roman" w:eastAsia="宋体" w:cs="Times New Roman"/>
          <w:color w:val="auto"/>
          <w:highlight w:val="none"/>
          <w:shd w:val="clear" w:color="auto" w:fill="auto"/>
          <w:lang w:eastAsia="zh-CN"/>
        </w:rPr>
        <w:t>密封垫</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圈</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内侧与六氟化硫气体接触</w:t>
      </w:r>
      <w:r>
        <w:rPr>
          <w:rFonts w:hint="eastAsia" w:ascii="Times New Roman" w:hAnsi="Times New Roman" w:cs="Times New Roman"/>
          <w:color w:val="auto"/>
          <w:highlight w:val="none"/>
          <w:shd w:val="clear" w:color="auto" w:fill="auto"/>
          <w:lang w:eastAsia="zh-CN"/>
        </w:rPr>
        <w:t>；</w:t>
      </w:r>
    </w:p>
    <w:p w14:paraId="244A644D">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螺栓连接和紧固应对称均匀用力</w:t>
      </w:r>
      <w:r>
        <w:rPr>
          <w:rFonts w:hint="eastAsia"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其紧固力矩值应符合产品技术文件要求</w:t>
      </w:r>
      <w:r>
        <w:rPr>
          <w:rFonts w:hint="eastAsia" w:ascii="Times New Roman" w:hAnsi="Times New Roman" w:cs="Times New Roman"/>
          <w:color w:val="auto"/>
          <w:highlight w:val="none"/>
          <w:shd w:val="clear" w:color="auto" w:fill="auto"/>
          <w:lang w:eastAsia="zh-CN"/>
        </w:rPr>
        <w:t>；</w:t>
      </w:r>
    </w:p>
    <w:p w14:paraId="549147CE">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szCs w:val="22"/>
          <w:highlight w:val="none"/>
          <w:shd w:val="clear" w:color="auto" w:fill="auto"/>
          <w:lang w:val="en-US" w:eastAsia="zh-CN"/>
        </w:rPr>
        <w:t>伸缩节配置</w:t>
      </w:r>
      <w:r>
        <w:rPr>
          <w:rFonts w:hint="default" w:ascii="Times New Roman" w:hAnsi="Times New Roman" w:cs="Times New Roman"/>
          <w:color w:val="auto"/>
          <w:szCs w:val="22"/>
          <w:highlight w:val="none"/>
          <w:shd w:val="clear" w:color="auto" w:fill="auto"/>
          <w:lang w:val="en-US" w:eastAsia="zh-CN"/>
        </w:rPr>
        <w:t>及</w:t>
      </w:r>
      <w:r>
        <w:rPr>
          <w:rFonts w:hint="default" w:ascii="Times New Roman" w:hAnsi="Times New Roman" w:eastAsia="宋体" w:cs="Times New Roman"/>
          <w:color w:val="auto"/>
          <w:szCs w:val="22"/>
          <w:highlight w:val="none"/>
          <w:shd w:val="clear" w:color="auto" w:fill="auto"/>
          <w:lang w:val="en-US" w:eastAsia="zh-CN"/>
        </w:rPr>
        <w:t>螺栓紧固</w:t>
      </w:r>
      <w:r>
        <w:rPr>
          <w:rFonts w:hint="default" w:ascii="Times New Roman" w:hAnsi="Times New Roman" w:cs="Times New Roman"/>
          <w:color w:val="auto"/>
          <w:szCs w:val="22"/>
          <w:highlight w:val="none"/>
          <w:shd w:val="clear" w:color="auto" w:fill="auto"/>
          <w:lang w:val="en-US" w:eastAsia="zh-CN"/>
        </w:rPr>
        <w:t>与厂家技术文件一致</w:t>
      </w:r>
      <w:r>
        <w:rPr>
          <w:rFonts w:hint="eastAsia" w:ascii="Times New Roman" w:hAnsi="Times New Roman" w:cs="Times New Roman"/>
          <w:color w:val="auto"/>
          <w:szCs w:val="22"/>
          <w:highlight w:val="none"/>
          <w:shd w:val="clear" w:color="auto" w:fill="auto"/>
          <w:lang w:val="en-US" w:eastAsia="zh-CN"/>
        </w:rPr>
        <w:t>；</w:t>
      </w:r>
    </w:p>
    <w:p w14:paraId="43C75E1C">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套管的导体插</w:t>
      </w:r>
      <w:r>
        <w:rPr>
          <w:rFonts w:hint="default" w:ascii="Times New Roman" w:hAnsi="Times New Roman" w:cs="Times New Roman"/>
          <w:color w:val="auto"/>
          <w:highlight w:val="none"/>
          <w:shd w:val="clear" w:color="auto" w:fill="auto"/>
          <w:lang w:val="en-US" w:eastAsia="zh-CN"/>
        </w:rPr>
        <w:t>入</w:t>
      </w:r>
      <w:r>
        <w:rPr>
          <w:rFonts w:hint="default" w:ascii="Times New Roman" w:hAnsi="Times New Roman" w:eastAsia="宋体" w:cs="Times New Roman"/>
          <w:color w:val="auto"/>
          <w:highlight w:val="none"/>
          <w:shd w:val="clear" w:color="auto" w:fill="auto"/>
          <w:lang w:eastAsia="zh-CN"/>
        </w:rPr>
        <w:t>深度应符合产品技术文件要求；套管轴线与垂直线夹角应符合产品技术文件要求</w:t>
      </w:r>
      <w:r>
        <w:rPr>
          <w:rFonts w:hint="eastAsia" w:ascii="Times New Roman" w:hAnsi="Times New Roman" w:cs="Times New Roman"/>
          <w:color w:val="auto"/>
          <w:highlight w:val="none"/>
          <w:shd w:val="clear" w:color="auto" w:fill="auto"/>
          <w:lang w:eastAsia="zh-CN"/>
        </w:rPr>
        <w:t>；</w:t>
      </w:r>
    </w:p>
    <w:p w14:paraId="39DE023F">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气管的现场加工工艺、曲率半径及支架布置应符合产品技术文件要求，气体配管安装前内部应清洁</w:t>
      </w:r>
      <w:r>
        <w:rPr>
          <w:rFonts w:hint="eastAsia" w:ascii="Times New Roman" w:hAnsi="Times New Roman" w:cs="Times New Roman"/>
          <w:color w:val="auto"/>
          <w:highlight w:val="none"/>
          <w:shd w:val="clear" w:color="auto" w:fill="auto"/>
          <w:lang w:eastAsia="zh-CN"/>
        </w:rPr>
        <w:t>；</w:t>
      </w:r>
    </w:p>
    <w:p w14:paraId="0FAF0117">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在每次内检</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安装和试验工作结束后，应清点用具、用品，应检查确认无遗留物后方可封盖</w:t>
      </w:r>
      <w:r>
        <w:rPr>
          <w:rFonts w:hint="eastAsia" w:ascii="Times New Roman" w:hAnsi="Times New Roman" w:cs="Times New Roman"/>
          <w:color w:val="auto"/>
          <w:highlight w:val="none"/>
          <w:shd w:val="clear" w:color="auto" w:fill="auto"/>
          <w:lang w:eastAsia="zh-CN"/>
        </w:rPr>
        <w:t>；</w:t>
      </w:r>
    </w:p>
    <w:p w14:paraId="3B543E48">
      <w:pPr>
        <w:numPr>
          <w:ilvl w:val="0"/>
          <w:numId w:val="77"/>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在产品的安装、检测及试验工作全部完成后，应按产品技术文件要求对产品进行密封。</w:t>
      </w:r>
    </w:p>
    <w:p w14:paraId="0293F4CB">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color w:val="auto"/>
          <w:szCs w:val="22"/>
          <w:highlight w:val="none"/>
          <w:shd w:val="clear" w:color="auto" w:fill="auto"/>
          <w:lang w:val="en-US" w:eastAsia="zh-CN"/>
        </w:rPr>
        <w:t>7.</w:t>
      </w:r>
      <w:r>
        <w:rPr>
          <w:rFonts w:hint="default" w:ascii="Times New Roman" w:hAnsi="Times New Roman" w:cs="Times New Roman"/>
          <w:color w:val="auto"/>
          <w:szCs w:val="22"/>
          <w:highlight w:val="none"/>
          <w:shd w:val="clear" w:color="auto" w:fill="auto"/>
          <w:lang w:val="en-US" w:eastAsia="zh-CN"/>
        </w:rPr>
        <w:t>3</w:t>
      </w:r>
      <w:r>
        <w:rPr>
          <w:rFonts w:hint="default" w:ascii="Times New Roman" w:hAnsi="Times New Roman" w:eastAsia="宋体" w:cs="Times New Roman"/>
          <w:color w:val="auto"/>
          <w:szCs w:val="22"/>
          <w:highlight w:val="none"/>
          <w:shd w:val="clear" w:color="auto" w:fill="auto"/>
          <w:lang w:val="en-US" w:eastAsia="zh-CN"/>
        </w:rPr>
        <w:t xml:space="preserve">.2.6 </w:t>
      </w:r>
      <w:r>
        <w:rPr>
          <w:rFonts w:hint="default" w:ascii="Times New Roman" w:hAnsi="Times New Roman" w:cs="Times New Roman"/>
          <w:color w:val="auto"/>
          <w:szCs w:val="22"/>
          <w:highlight w:val="none"/>
          <w:shd w:val="clear" w:color="auto" w:fill="auto"/>
          <w:lang w:val="en-US" w:eastAsia="zh-CN"/>
        </w:rPr>
        <w:t>GIS</w:t>
      </w:r>
      <w:r>
        <w:rPr>
          <w:rFonts w:hint="default" w:ascii="Times New Roman" w:hAnsi="Times New Roman" w:eastAsia="宋体" w:cs="Times New Roman"/>
          <w:color w:val="auto"/>
          <w:szCs w:val="22"/>
          <w:highlight w:val="none"/>
          <w:shd w:val="clear" w:color="auto" w:fill="auto"/>
          <w:lang w:eastAsia="zh-CN"/>
        </w:rPr>
        <w:t>设</w:t>
      </w:r>
      <w:r>
        <w:rPr>
          <w:rFonts w:hint="default" w:ascii="Times New Roman" w:hAnsi="Times New Roman" w:cs="Times New Roman"/>
          <w:sz w:val="21"/>
          <w:szCs w:val="21"/>
          <w:lang w:val="en-US" w:eastAsia="zh-CN"/>
        </w:rPr>
        <w:t xml:space="preserve">备导体对接封盖前应做好隐蔽前各项检查，重点检查附件齐全、螺栓紧固、现场对接处洁净度等应满足要求，并留存现场照片。   </w:t>
      </w:r>
    </w:p>
    <w:p w14:paraId="223EDD48">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7.3.2.7 设备接线端子的镀银部分不应挫磨，接触表面应平整、清洁、无氧化膜及毛刺，并应涂以薄层电力复合脂；连接螺栓应齐全，紧固力矩值应符合产品技术文件的要求。在连接设备连线时，不应使设备接线端子受到超过允许的外加应力。</w:t>
      </w:r>
    </w:p>
    <w:p w14:paraId="12C5C6C9">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7.3.2.8 开关状态自动监测系统应符合产品技术文件的要求。</w:t>
      </w:r>
    </w:p>
    <w:p w14:paraId="6A548B96">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7.3.3 六氟化硫断路器的安装调整</w:t>
      </w:r>
    </w:p>
    <w:p w14:paraId="0C5E3FFF">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7.3.3.1 所有部件的安装位置应正确。</w:t>
      </w:r>
    </w:p>
    <w:p w14:paraId="15BD5BB3">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7.3.3.2 六氟化硫断路器调整后的各项动作参数应符合产品技术文件的要求。</w:t>
      </w:r>
    </w:p>
    <w:p w14:paraId="3404D00D">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cs="Times New Roman"/>
          <w:sz w:val="21"/>
          <w:szCs w:val="21"/>
          <w:lang w:val="en-US" w:eastAsia="zh-CN"/>
        </w:rPr>
        <w:t>7.3.3.3 六氟化硫</w:t>
      </w:r>
      <w:r>
        <w:rPr>
          <w:rFonts w:hint="default" w:ascii="Times New Roman" w:hAnsi="Times New Roman" w:eastAsia="宋体" w:cs="Times New Roman"/>
          <w:color w:val="auto"/>
          <w:highlight w:val="none"/>
          <w:shd w:val="clear" w:color="auto" w:fill="auto"/>
          <w:lang w:eastAsia="zh-CN"/>
        </w:rPr>
        <w:t>断路器和操动机构的联合动作应符合下列要求：</w:t>
      </w:r>
    </w:p>
    <w:p w14:paraId="1AB38DD0">
      <w:pPr>
        <w:numPr>
          <w:ilvl w:val="0"/>
          <w:numId w:val="78"/>
        </w:numPr>
        <w:ind w:left="0" w:leftChars="0" w:firstLine="420"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在联合动作前，断路器内应充有额定压力的六氟化硫气体</w:t>
      </w:r>
      <w:r>
        <w:rPr>
          <w:rFonts w:hint="eastAsia" w:ascii="Times New Roman" w:hAnsi="Times New Roman" w:cs="Times New Roman"/>
          <w:color w:val="auto"/>
          <w:highlight w:val="none"/>
          <w:shd w:val="clear" w:color="auto" w:fill="auto"/>
          <w:lang w:eastAsia="zh-CN"/>
        </w:rPr>
        <w:t>；</w:t>
      </w:r>
    </w:p>
    <w:p w14:paraId="6E87251A">
      <w:pPr>
        <w:numPr>
          <w:ilvl w:val="0"/>
          <w:numId w:val="78"/>
        </w:numPr>
        <w:ind w:left="0" w:leftChars="0" w:firstLine="420"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位置指示器动作应正确、可靠，应与断路器的实际分、合位置一致。</w:t>
      </w:r>
    </w:p>
    <w:p w14:paraId="027C18AF">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.3.4</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lang w:eastAsia="zh-CN"/>
        </w:rPr>
        <w:t>操动机构运到现场后的检查、保管应符合下列要求：</w:t>
      </w:r>
    </w:p>
    <w:p w14:paraId="4E4D3700">
      <w:pPr>
        <w:numPr>
          <w:ilvl w:val="0"/>
          <w:numId w:val="79"/>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操动机构的所有零部件、附件及备件应齐全</w:t>
      </w:r>
      <w:r>
        <w:rPr>
          <w:rFonts w:hint="eastAsia" w:ascii="Times New Roman" w:hAnsi="Times New Roman" w:cs="Times New Roman"/>
          <w:color w:val="auto"/>
          <w:highlight w:val="none"/>
          <w:shd w:val="clear" w:color="auto" w:fill="auto"/>
          <w:lang w:eastAsia="zh-CN"/>
        </w:rPr>
        <w:t>；</w:t>
      </w:r>
    </w:p>
    <w:p w14:paraId="4C6B7354">
      <w:pPr>
        <w:numPr>
          <w:ilvl w:val="0"/>
          <w:numId w:val="79"/>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操动机构的零部件、附件应无锈蚀、受损及受潮</w:t>
      </w:r>
      <w:r>
        <w:rPr>
          <w:rFonts w:hint="eastAsia" w:ascii="Times New Roman" w:hAnsi="Times New Roman" w:cs="Times New Roman"/>
          <w:color w:val="auto"/>
          <w:highlight w:val="none"/>
          <w:shd w:val="clear" w:color="auto" w:fill="auto"/>
          <w:lang w:eastAsia="zh-CN"/>
        </w:rPr>
        <w:t>；</w:t>
      </w:r>
    </w:p>
    <w:p w14:paraId="7EBF71CC">
      <w:pPr>
        <w:numPr>
          <w:ilvl w:val="0"/>
          <w:numId w:val="79"/>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充油、充气部件应无渗漏。</w:t>
      </w:r>
    </w:p>
    <w:p w14:paraId="24726D19">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.3.5</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lang w:eastAsia="zh-CN"/>
        </w:rPr>
        <w:t>操动</w:t>
      </w:r>
      <w:r>
        <w:rPr>
          <w:rFonts w:hint="default" w:ascii="Times New Roman" w:hAnsi="Times New Roman" w:cs="Times New Roman"/>
          <w:sz w:val="21"/>
          <w:szCs w:val="21"/>
          <w:lang w:val="en-US" w:eastAsia="zh-CN"/>
        </w:rPr>
        <w:t>机构</w:t>
      </w:r>
      <w:r>
        <w:rPr>
          <w:rFonts w:hint="default" w:ascii="Times New Roman" w:hAnsi="Times New Roman" w:eastAsia="宋体" w:cs="Times New Roman"/>
          <w:color w:val="auto"/>
          <w:highlight w:val="none"/>
          <w:shd w:val="clear" w:color="auto" w:fill="auto"/>
          <w:lang w:eastAsia="zh-CN"/>
        </w:rPr>
        <w:t>的安装应符合下列要求：</w:t>
      </w:r>
    </w:p>
    <w:p w14:paraId="2754B252">
      <w:pPr>
        <w:numPr>
          <w:ilvl w:val="0"/>
          <w:numId w:val="80"/>
        </w:numPr>
        <w:ind w:left="0" w:leftChars="0" w:firstLine="420"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操动机构的零部件应齐全，各转动部分应涂以符合产品技术文件要求且适合当地气候条件的润滑脂</w:t>
      </w:r>
      <w:r>
        <w:rPr>
          <w:rFonts w:hint="eastAsia"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电动机转向应正确</w:t>
      </w:r>
      <w:r>
        <w:rPr>
          <w:rFonts w:hint="eastAsia" w:ascii="Times New Roman" w:hAnsi="Times New Roman" w:cs="Times New Roman"/>
          <w:color w:val="auto"/>
          <w:highlight w:val="none"/>
          <w:shd w:val="clear" w:color="auto" w:fill="auto"/>
          <w:lang w:eastAsia="zh-CN"/>
        </w:rPr>
        <w:t>；</w:t>
      </w:r>
    </w:p>
    <w:p w14:paraId="270163A0">
      <w:pPr>
        <w:numPr>
          <w:ilvl w:val="0"/>
          <w:numId w:val="80"/>
        </w:numPr>
        <w:ind w:left="0" w:leftChars="0" w:firstLine="420"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各种接触器、继电器、微动开关、压力开关和辅助开关的动作应准确可靠，接点</w:t>
      </w:r>
      <w:r>
        <w:rPr>
          <w:rFonts w:hint="default" w:ascii="Times New Roman" w:hAnsi="Times New Roman" w:cs="Times New Roman"/>
          <w:color w:val="auto"/>
          <w:highlight w:val="none"/>
          <w:shd w:val="clear" w:color="auto" w:fill="auto"/>
          <w:lang w:val="en-US" w:eastAsia="zh-CN"/>
        </w:rPr>
        <w:t>接</w:t>
      </w:r>
      <w:r>
        <w:rPr>
          <w:rFonts w:hint="default" w:ascii="Times New Roman" w:hAnsi="Times New Roman" w:eastAsia="宋体" w:cs="Times New Roman"/>
          <w:color w:val="auto"/>
          <w:highlight w:val="none"/>
          <w:shd w:val="clear" w:color="auto" w:fill="auto"/>
          <w:lang w:eastAsia="zh-CN"/>
        </w:rPr>
        <w:t>触应良好，无烧损或锈蚀</w:t>
      </w:r>
      <w:r>
        <w:rPr>
          <w:rFonts w:hint="eastAsia" w:ascii="Times New Roman" w:hAnsi="Times New Roman" w:cs="Times New Roman"/>
          <w:color w:val="auto"/>
          <w:highlight w:val="none"/>
          <w:shd w:val="clear" w:color="auto" w:fill="auto"/>
          <w:lang w:eastAsia="zh-CN"/>
        </w:rPr>
        <w:t>；</w:t>
      </w:r>
    </w:p>
    <w:p w14:paraId="5E290188">
      <w:pPr>
        <w:numPr>
          <w:ilvl w:val="0"/>
          <w:numId w:val="80"/>
        </w:numPr>
        <w:ind w:left="0" w:leftChars="0" w:firstLine="420"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分、合闸线圈的衔铁应动作灵活，无卡阻</w:t>
      </w:r>
      <w:r>
        <w:rPr>
          <w:rFonts w:hint="eastAsia" w:ascii="Times New Roman" w:hAnsi="Times New Roman" w:cs="Times New Roman"/>
          <w:color w:val="auto"/>
          <w:highlight w:val="none"/>
          <w:shd w:val="clear" w:color="auto" w:fill="auto"/>
          <w:lang w:eastAsia="zh-CN"/>
        </w:rPr>
        <w:t>；</w:t>
      </w:r>
    </w:p>
    <w:p w14:paraId="3C335622">
      <w:pPr>
        <w:numPr>
          <w:ilvl w:val="0"/>
          <w:numId w:val="80"/>
        </w:numPr>
        <w:ind w:left="0" w:leftChars="0" w:firstLine="420"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控制元件及加热装置的绝缘应良好</w:t>
      </w:r>
      <w:r>
        <w:rPr>
          <w:rFonts w:hint="eastAsia" w:ascii="Times New Roman" w:hAnsi="Times New Roman" w:cs="Times New Roman"/>
          <w:color w:val="auto"/>
          <w:highlight w:val="none"/>
          <w:shd w:val="clear" w:color="auto" w:fill="auto"/>
          <w:lang w:eastAsia="zh-CN"/>
        </w:rPr>
        <w:t>；</w:t>
      </w:r>
    </w:p>
    <w:p w14:paraId="6D092828">
      <w:pPr>
        <w:numPr>
          <w:ilvl w:val="0"/>
          <w:numId w:val="80"/>
        </w:numPr>
        <w:ind w:left="0" w:leftChars="0" w:firstLine="420"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断路器的油缓冲器油位应正常，并应采用适合当地气候条件的液压油。</w:t>
      </w:r>
    </w:p>
    <w:p w14:paraId="7A77390C">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.3.6</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lang w:eastAsia="zh-CN"/>
        </w:rPr>
        <w:t>液压</w:t>
      </w:r>
      <w:r>
        <w:rPr>
          <w:rFonts w:hint="default" w:ascii="Times New Roman" w:hAnsi="Times New Roman" w:cs="Times New Roman"/>
          <w:sz w:val="21"/>
          <w:szCs w:val="21"/>
          <w:lang w:val="en-US" w:eastAsia="zh-CN"/>
        </w:rPr>
        <w:t>机构</w:t>
      </w:r>
      <w:r>
        <w:rPr>
          <w:rFonts w:hint="default" w:ascii="Times New Roman" w:hAnsi="Times New Roman" w:eastAsia="宋体" w:cs="Times New Roman"/>
          <w:color w:val="auto"/>
          <w:highlight w:val="none"/>
          <w:shd w:val="clear" w:color="auto" w:fill="auto"/>
          <w:lang w:eastAsia="zh-CN"/>
        </w:rPr>
        <w:t>及液压弹簧机构的安装应符合本规范第7.5.3.5条</w:t>
      </w:r>
      <w:r>
        <w:rPr>
          <w:rFonts w:hint="default" w:ascii="Times New Roman" w:hAnsi="Times New Roman" w:cs="Times New Roman"/>
          <w:color w:val="auto"/>
          <w:highlight w:val="none"/>
          <w:shd w:val="clear" w:color="auto" w:fill="auto"/>
          <w:lang w:val="en-US" w:eastAsia="zh-CN"/>
        </w:rPr>
        <w:t>与</w:t>
      </w:r>
      <w:r>
        <w:rPr>
          <w:rFonts w:hint="default" w:ascii="Times New Roman" w:hAnsi="Times New Roman" w:eastAsia="宋体" w:cs="Times New Roman"/>
          <w:color w:val="auto"/>
          <w:highlight w:val="none"/>
          <w:shd w:val="clear" w:color="auto" w:fill="auto"/>
          <w:lang w:eastAsia="zh-CN"/>
        </w:rPr>
        <w:t>下列要求：</w:t>
      </w:r>
    </w:p>
    <w:p w14:paraId="3C7F29B7">
      <w:pPr>
        <w:numPr>
          <w:ilvl w:val="0"/>
          <w:numId w:val="81"/>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液压油的标号应符合产品技术文件要求</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液压油应洁净、无杂质，油位指示应正确</w:t>
      </w:r>
      <w:r>
        <w:rPr>
          <w:rFonts w:hint="eastAsia" w:ascii="Times New Roman" w:hAnsi="Times New Roman" w:cs="Times New Roman"/>
          <w:color w:val="auto"/>
          <w:highlight w:val="none"/>
          <w:shd w:val="clear" w:color="auto" w:fill="auto"/>
          <w:lang w:eastAsia="zh-CN"/>
        </w:rPr>
        <w:t>；</w:t>
      </w:r>
    </w:p>
    <w:p w14:paraId="3EFA7B53">
      <w:pPr>
        <w:numPr>
          <w:ilvl w:val="0"/>
          <w:numId w:val="81"/>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连接处密封应良好，且应牢固、可靠</w:t>
      </w:r>
      <w:r>
        <w:rPr>
          <w:rFonts w:hint="eastAsia" w:ascii="Times New Roman" w:hAnsi="Times New Roman" w:cs="Times New Roman"/>
          <w:color w:val="auto"/>
          <w:highlight w:val="none"/>
          <w:shd w:val="clear" w:color="auto" w:fill="auto"/>
          <w:lang w:eastAsia="zh-CN"/>
        </w:rPr>
        <w:t>；</w:t>
      </w:r>
    </w:p>
    <w:p w14:paraId="1248F2A0">
      <w:pPr>
        <w:numPr>
          <w:ilvl w:val="0"/>
          <w:numId w:val="81"/>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液压机构补充的氮气及其预充压力应符合产品技术文件要求。补充的氮气应采用纯度大于99.999%</w:t>
      </w:r>
      <w:r>
        <w:rPr>
          <w:rFonts w:hint="default" w:ascii="Times New Roman" w:hAnsi="Times New Roman" w:cs="Times New Roman"/>
          <w:color w:val="auto"/>
          <w:highlight w:val="none"/>
          <w:shd w:val="clear" w:color="auto" w:fill="auto"/>
          <w:lang w:val="en-US" w:eastAsia="zh-CN"/>
        </w:rPr>
        <w:t>且</w:t>
      </w:r>
      <w:r>
        <w:rPr>
          <w:rFonts w:hint="default" w:ascii="Times New Roman" w:hAnsi="Times New Roman" w:eastAsia="宋体" w:cs="Times New Roman"/>
          <w:color w:val="auto"/>
          <w:highlight w:val="none"/>
          <w:shd w:val="clear" w:color="auto" w:fill="auto"/>
          <w:lang w:eastAsia="zh-CN"/>
        </w:rPr>
        <w:t>含水量不大于3pL/L</w:t>
      </w:r>
      <w:r>
        <w:rPr>
          <w:rFonts w:hint="default" w:ascii="Times New Roman" w:hAnsi="Times New Roman" w:cs="Times New Roman"/>
          <w:color w:val="auto"/>
          <w:highlight w:val="none"/>
          <w:shd w:val="clear" w:color="auto" w:fill="auto"/>
          <w:lang w:val="en-US" w:eastAsia="zh-CN"/>
        </w:rPr>
        <w:t>的</w:t>
      </w:r>
      <w:r>
        <w:rPr>
          <w:rFonts w:hint="default" w:ascii="Times New Roman" w:hAnsi="Times New Roman" w:eastAsia="宋体" w:cs="Times New Roman"/>
          <w:color w:val="auto"/>
          <w:highlight w:val="none"/>
          <w:shd w:val="clear" w:color="auto" w:fill="auto"/>
          <w:lang w:eastAsia="zh-CN"/>
        </w:rPr>
        <w:t>高纯氮，</w:t>
      </w:r>
      <w:r>
        <w:rPr>
          <w:rFonts w:hint="default" w:ascii="Times New Roman" w:hAnsi="Times New Roman" w:cs="Times New Roman"/>
          <w:color w:val="auto"/>
          <w:highlight w:val="none"/>
          <w:shd w:val="clear" w:color="auto" w:fill="auto"/>
          <w:lang w:val="en-US" w:eastAsia="zh-CN"/>
        </w:rPr>
        <w:t>并</w:t>
      </w:r>
      <w:r>
        <w:rPr>
          <w:rFonts w:hint="default" w:ascii="Times New Roman" w:hAnsi="Times New Roman" w:eastAsia="宋体" w:cs="Times New Roman"/>
          <w:color w:val="auto"/>
          <w:highlight w:val="none"/>
          <w:shd w:val="clear" w:color="auto" w:fill="auto"/>
          <w:lang w:eastAsia="zh-CN"/>
        </w:rPr>
        <w:t>符合GB/T 8979中对高纯氮的技术要求。</w:t>
      </w:r>
    </w:p>
    <w:p w14:paraId="7BC777BC">
      <w:pPr>
        <w:numPr>
          <w:ilvl w:val="0"/>
          <w:numId w:val="81"/>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液压弹簧机构弹簧位置应符合产品技术文件要求</w:t>
      </w:r>
      <w:r>
        <w:rPr>
          <w:rFonts w:hint="eastAsia" w:ascii="Times New Roman" w:hAnsi="Times New Roman" w:cs="Times New Roman"/>
          <w:color w:val="auto"/>
          <w:highlight w:val="none"/>
          <w:shd w:val="clear" w:color="auto" w:fill="auto"/>
          <w:lang w:eastAsia="zh-CN"/>
        </w:rPr>
        <w:t>；</w:t>
      </w:r>
    </w:p>
    <w:p w14:paraId="6FE8F338">
      <w:pPr>
        <w:numPr>
          <w:ilvl w:val="0"/>
          <w:numId w:val="81"/>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液</w:t>
      </w:r>
      <w:r>
        <w:rPr>
          <w:rFonts w:hint="default" w:ascii="Times New Roman" w:hAnsi="Times New Roman" w:cs="Times New Roman"/>
          <w:color w:val="auto"/>
          <w:highlight w:val="none"/>
          <w:shd w:val="clear" w:color="auto" w:fill="auto"/>
          <w:lang w:val="en-US" w:eastAsia="zh-CN"/>
        </w:rPr>
        <w:t>压</w:t>
      </w:r>
      <w:r>
        <w:rPr>
          <w:rFonts w:hint="default" w:ascii="Times New Roman" w:hAnsi="Times New Roman" w:eastAsia="宋体" w:cs="Times New Roman"/>
          <w:color w:val="auto"/>
          <w:highlight w:val="none"/>
          <w:shd w:val="clear" w:color="auto" w:fill="auto"/>
          <w:lang w:eastAsia="zh-CN"/>
        </w:rPr>
        <w:t>回路在额定油</w:t>
      </w:r>
      <w:r>
        <w:rPr>
          <w:rFonts w:hint="default" w:ascii="Times New Roman" w:hAnsi="Times New Roman" w:cs="Times New Roman"/>
          <w:color w:val="auto"/>
          <w:highlight w:val="none"/>
          <w:shd w:val="clear" w:color="auto" w:fill="auto"/>
          <w:lang w:val="en-US" w:eastAsia="zh-CN"/>
        </w:rPr>
        <w:t>压</w:t>
      </w:r>
      <w:r>
        <w:rPr>
          <w:rFonts w:hint="default" w:ascii="Times New Roman" w:hAnsi="Times New Roman" w:eastAsia="宋体" w:cs="Times New Roman"/>
          <w:color w:val="auto"/>
          <w:highlight w:val="none"/>
          <w:shd w:val="clear" w:color="auto" w:fill="auto"/>
          <w:lang w:eastAsia="zh-CN"/>
        </w:rPr>
        <w:t>时，油面</w:t>
      </w:r>
      <w:r>
        <w:rPr>
          <w:rFonts w:hint="default" w:ascii="Times New Roman" w:hAnsi="Times New Roman" w:cs="Times New Roman"/>
          <w:color w:val="auto"/>
          <w:highlight w:val="none"/>
          <w:shd w:val="clear" w:color="auto" w:fill="auto"/>
          <w:lang w:val="en-US" w:eastAsia="zh-CN"/>
        </w:rPr>
        <w:t>位置</w:t>
      </w:r>
      <w:r>
        <w:rPr>
          <w:rFonts w:hint="default" w:ascii="Times New Roman" w:hAnsi="Times New Roman" w:eastAsia="宋体" w:cs="Times New Roman"/>
          <w:color w:val="auto"/>
          <w:highlight w:val="none"/>
          <w:shd w:val="clear" w:color="auto" w:fill="auto"/>
          <w:lang w:eastAsia="zh-CN"/>
        </w:rPr>
        <w:t>应</w:t>
      </w:r>
      <w:r>
        <w:rPr>
          <w:rFonts w:hint="default" w:ascii="Times New Roman" w:hAnsi="Times New Roman" w:cs="Times New Roman"/>
          <w:color w:val="auto"/>
          <w:highlight w:val="none"/>
          <w:shd w:val="clear" w:color="auto" w:fill="auto"/>
          <w:lang w:val="en-US" w:eastAsia="zh-CN"/>
        </w:rPr>
        <w:t>符合厂家技术文件要求</w:t>
      </w:r>
      <w:r>
        <w:rPr>
          <w:rFonts w:hint="default" w:ascii="Times New Roman" w:hAnsi="Times New Roman" w:eastAsia="宋体" w:cs="Times New Roman"/>
          <w:color w:val="auto"/>
          <w:highlight w:val="none"/>
          <w:shd w:val="clear" w:color="auto" w:fill="auto"/>
          <w:lang w:eastAsia="zh-CN"/>
        </w:rPr>
        <w:t>，外观检查应无渗油</w:t>
      </w:r>
      <w:r>
        <w:rPr>
          <w:rFonts w:hint="eastAsia" w:ascii="Times New Roman" w:hAnsi="Times New Roman" w:cs="Times New Roman"/>
          <w:color w:val="auto"/>
          <w:highlight w:val="none"/>
          <w:shd w:val="clear" w:color="auto" w:fill="auto"/>
          <w:lang w:eastAsia="zh-CN"/>
        </w:rPr>
        <w:t>；</w:t>
      </w:r>
    </w:p>
    <w:p w14:paraId="46CA9C0B">
      <w:pPr>
        <w:numPr>
          <w:ilvl w:val="0"/>
          <w:numId w:val="81"/>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微动开关、接触器的动作应可靠</w:t>
      </w:r>
      <w:r>
        <w:rPr>
          <w:rFonts w:hint="default" w:ascii="Times New Roman" w:hAnsi="Times New Roman"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eastAsia="zh-CN"/>
        </w:rPr>
        <w:t>接触应良好；压力释放阀动作</w:t>
      </w:r>
      <w:r>
        <w:rPr>
          <w:rFonts w:hint="default" w:ascii="Times New Roman" w:hAnsi="Times New Roman" w:cs="Times New Roman"/>
          <w:color w:val="auto"/>
          <w:highlight w:val="none"/>
          <w:shd w:val="clear" w:color="auto" w:fill="auto"/>
          <w:lang w:val="en-US" w:eastAsia="zh-CN"/>
        </w:rPr>
        <w:t>应</w:t>
      </w:r>
      <w:r>
        <w:rPr>
          <w:rFonts w:hint="default" w:ascii="Times New Roman" w:hAnsi="Times New Roman" w:eastAsia="宋体" w:cs="Times New Roman"/>
          <w:color w:val="auto"/>
          <w:highlight w:val="none"/>
          <w:shd w:val="clear" w:color="auto" w:fill="auto"/>
          <w:lang w:eastAsia="zh-CN"/>
        </w:rPr>
        <w:t>可靠，关闭应严密；联动闭锁压力值应按产品技术文件要求进行整定</w:t>
      </w:r>
      <w:r>
        <w:rPr>
          <w:rFonts w:hint="eastAsia" w:ascii="Times New Roman" w:hAnsi="Times New Roman" w:cs="Times New Roman"/>
          <w:color w:val="auto"/>
          <w:highlight w:val="none"/>
          <w:shd w:val="clear" w:color="auto" w:fill="auto"/>
          <w:lang w:eastAsia="zh-CN"/>
        </w:rPr>
        <w:t>；</w:t>
      </w:r>
    </w:p>
    <w:p w14:paraId="4A1DFAB0">
      <w:pPr>
        <w:numPr>
          <w:ilvl w:val="0"/>
          <w:numId w:val="81"/>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防止失压慢分装置应可靠。</w:t>
      </w:r>
    </w:p>
    <w:p w14:paraId="53CB3E34">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.3.7</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lang w:eastAsia="zh-CN"/>
        </w:rPr>
        <w:t>汇控柜的安装应符合下列要求：</w:t>
      </w:r>
    </w:p>
    <w:p w14:paraId="4839F869">
      <w:pPr>
        <w:numPr>
          <w:ilvl w:val="0"/>
          <w:numId w:val="82"/>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汇控柜柜门应关闭严密，箱体内部应</w:t>
      </w:r>
      <w:r>
        <w:rPr>
          <w:rFonts w:hint="default" w:ascii="Times New Roman" w:hAnsi="Times New Roman" w:cs="Times New Roman"/>
          <w:color w:val="auto"/>
          <w:highlight w:val="none"/>
          <w:shd w:val="clear" w:color="auto" w:fill="auto"/>
          <w:lang w:val="en-US" w:eastAsia="zh-CN"/>
        </w:rPr>
        <w:t>干</w:t>
      </w:r>
      <w:r>
        <w:rPr>
          <w:rFonts w:hint="default" w:ascii="Times New Roman" w:hAnsi="Times New Roman" w:eastAsia="宋体" w:cs="Times New Roman"/>
          <w:color w:val="auto"/>
          <w:highlight w:val="none"/>
          <w:shd w:val="clear" w:color="auto" w:fill="auto"/>
          <w:lang w:eastAsia="zh-CN"/>
        </w:rPr>
        <w:t>燥、清洁，并有通风和防潮措施</w:t>
      </w:r>
      <w:r>
        <w:rPr>
          <w:rFonts w:hint="eastAsia" w:ascii="Times New Roman" w:hAnsi="Times New Roman" w:cs="Times New Roman"/>
          <w:color w:val="auto"/>
          <w:highlight w:val="none"/>
          <w:shd w:val="clear" w:color="auto" w:fill="auto"/>
          <w:lang w:eastAsia="zh-CN"/>
        </w:rPr>
        <w:t>；</w:t>
      </w:r>
    </w:p>
    <w:p w14:paraId="4850D3F8">
      <w:pPr>
        <w:numPr>
          <w:ilvl w:val="0"/>
          <w:numId w:val="82"/>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控制和信号回路应正确，并符合GB</w:t>
      </w:r>
      <w:r>
        <w:rPr>
          <w:rFonts w:hint="default" w:ascii="Times New Roman" w:hAnsi="Times New Roman"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lang w:eastAsia="zh-CN"/>
        </w:rPr>
        <w:t>50171的有关规定</w:t>
      </w:r>
      <w:r>
        <w:rPr>
          <w:rFonts w:hint="eastAsia" w:ascii="Times New Roman" w:hAnsi="Times New Roman" w:cs="Times New Roman"/>
          <w:color w:val="auto"/>
          <w:highlight w:val="none"/>
          <w:shd w:val="clear" w:color="auto" w:fill="auto"/>
          <w:lang w:eastAsia="zh-CN"/>
        </w:rPr>
        <w:t>；</w:t>
      </w:r>
    </w:p>
    <w:p w14:paraId="26D2BCE3">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.3.8</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lang w:eastAsia="zh-CN"/>
        </w:rPr>
        <w:t>辅助开关的安装应符合下列要求：</w:t>
      </w:r>
    </w:p>
    <w:p w14:paraId="6AD16563">
      <w:pPr>
        <w:numPr>
          <w:ilvl w:val="0"/>
          <w:numId w:val="83"/>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辅助开关应安装牢固，应防止因多次操作松动、变位</w:t>
      </w:r>
      <w:r>
        <w:rPr>
          <w:rFonts w:hint="eastAsia" w:ascii="Times New Roman" w:hAnsi="Times New Roman" w:cs="Times New Roman"/>
          <w:color w:val="auto"/>
          <w:highlight w:val="none"/>
          <w:shd w:val="clear" w:color="auto" w:fill="auto"/>
          <w:lang w:eastAsia="zh-CN"/>
        </w:rPr>
        <w:t>；</w:t>
      </w:r>
    </w:p>
    <w:p w14:paraId="4E5D022B">
      <w:pPr>
        <w:numPr>
          <w:ilvl w:val="0"/>
          <w:numId w:val="83"/>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辅助开关接点转换应灵活、切换可靠、性能稳定</w:t>
      </w:r>
      <w:r>
        <w:rPr>
          <w:rFonts w:hint="eastAsia" w:ascii="Times New Roman" w:hAnsi="Times New Roman" w:cs="Times New Roman"/>
          <w:color w:val="auto"/>
          <w:highlight w:val="none"/>
          <w:shd w:val="clear" w:color="auto" w:fill="auto"/>
          <w:lang w:eastAsia="zh-CN"/>
        </w:rPr>
        <w:t>；</w:t>
      </w:r>
    </w:p>
    <w:p w14:paraId="3F033254">
      <w:pPr>
        <w:numPr>
          <w:ilvl w:val="0"/>
          <w:numId w:val="83"/>
        </w:numPr>
        <w:ind w:left="14" w:leftChars="0" w:firstLine="406" w:firstLineChars="0"/>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辅助开关与机构间的连接应转换灵活，并应满足通电时</w:t>
      </w:r>
      <w:r>
        <w:rPr>
          <w:rFonts w:hint="default" w:ascii="Times New Roman" w:hAnsi="Times New Roman" w:cs="Times New Roman"/>
          <w:color w:val="auto"/>
          <w:highlight w:val="none"/>
          <w:shd w:val="clear" w:color="auto" w:fill="auto"/>
          <w:lang w:val="en-US" w:eastAsia="zh-CN"/>
        </w:rPr>
        <w:t>间</w:t>
      </w:r>
      <w:r>
        <w:rPr>
          <w:rFonts w:hint="default" w:ascii="Times New Roman" w:hAnsi="Times New Roman" w:eastAsia="宋体" w:cs="Times New Roman"/>
          <w:color w:val="auto"/>
          <w:highlight w:val="none"/>
          <w:shd w:val="clear" w:color="auto" w:fill="auto"/>
          <w:lang w:eastAsia="zh-CN"/>
        </w:rPr>
        <w:t>的要求，连接锁紧螺帽应拧紧。</w:t>
      </w:r>
    </w:p>
    <w:p w14:paraId="45371407">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4</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rPr>
        <w:t>隔离</w:t>
      </w:r>
      <w:r>
        <w:rPr>
          <w:rFonts w:hint="default" w:ascii="Times New Roman" w:hAnsi="Times New Roman" w:cs="Times New Roman"/>
          <w:sz w:val="21"/>
          <w:szCs w:val="21"/>
          <w:lang w:val="en-US" w:eastAsia="zh-CN"/>
        </w:rPr>
        <w:t>开关和接地开关的安装调整</w:t>
      </w:r>
    </w:p>
    <w:p w14:paraId="6D96E5C1">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7.3.4.1 隔离开关和接地开关的操动机构零部件应齐全，所有固定连接部件应紧固，转动部分应涂符合产品技术文件要求和适合当地气候的润滑脂。</w:t>
      </w:r>
    </w:p>
    <w:p w14:paraId="5222EF64">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7.3.4.2 隔离开关和接地开关中的传动装置的安装和调整，应符合产品技术文件要求；定位螺钉应按产品技术文件要求调整并加以固定。</w:t>
      </w:r>
    </w:p>
    <w:p w14:paraId="1D2BA12D">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cs="Times New Roman"/>
          <w:sz w:val="21"/>
          <w:szCs w:val="21"/>
          <w:lang w:val="en-US" w:eastAsia="zh-CN"/>
        </w:rPr>
        <w:t>7.3.4.3 操动机</w:t>
      </w:r>
      <w:r>
        <w:rPr>
          <w:rFonts w:hint="default" w:ascii="Times New Roman" w:hAnsi="Times New Roman" w:eastAsia="宋体" w:cs="Times New Roman"/>
          <w:color w:val="auto"/>
          <w:highlight w:val="none"/>
          <w:shd w:val="clear" w:color="auto" w:fill="auto"/>
        </w:rPr>
        <w:t>构的安装和调整除应符合产品技术文件要求外</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cs="Times New Roman"/>
          <w:color w:val="auto"/>
          <w:highlight w:val="none"/>
          <w:shd w:val="clear" w:color="auto" w:fill="auto"/>
          <w:lang w:val="en-US" w:eastAsia="zh-CN"/>
        </w:rPr>
        <w:t>还</w:t>
      </w:r>
      <w:r>
        <w:rPr>
          <w:rFonts w:hint="default" w:ascii="Times New Roman" w:hAnsi="Times New Roman" w:eastAsia="宋体" w:cs="Times New Roman"/>
          <w:color w:val="auto"/>
          <w:highlight w:val="none"/>
          <w:shd w:val="clear" w:color="auto" w:fill="auto"/>
        </w:rPr>
        <w:t>应符合下列要求</w:t>
      </w:r>
      <w:r>
        <w:rPr>
          <w:rFonts w:hint="default" w:ascii="Times New Roman" w:hAnsi="Times New Roman" w:eastAsia="宋体" w:cs="Times New Roman"/>
          <w:color w:val="auto"/>
          <w:highlight w:val="none"/>
          <w:shd w:val="clear" w:color="auto" w:fill="auto"/>
          <w:lang w:eastAsia="zh-CN"/>
        </w:rPr>
        <w:t>：</w:t>
      </w:r>
    </w:p>
    <w:p w14:paraId="5C3E6686">
      <w:pPr>
        <w:numPr>
          <w:ilvl w:val="0"/>
          <w:numId w:val="84"/>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在电动操作前</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气室内六氟化硫气体压力值应符合产品技术文件要求</w:t>
      </w:r>
      <w:r>
        <w:rPr>
          <w:rFonts w:hint="eastAsia" w:ascii="Times New Roman" w:hAnsi="Times New Roman" w:cs="Times New Roman"/>
          <w:color w:val="auto"/>
          <w:highlight w:val="none"/>
          <w:shd w:val="clear" w:color="auto" w:fill="auto"/>
          <w:lang w:eastAsia="zh-CN"/>
        </w:rPr>
        <w:t>；</w:t>
      </w:r>
    </w:p>
    <w:p w14:paraId="514347A7">
      <w:pPr>
        <w:numPr>
          <w:ilvl w:val="0"/>
          <w:numId w:val="84"/>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在电动操作前</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应先进行3次</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5次手动分、合闸</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机构动作应正常</w:t>
      </w:r>
      <w:r>
        <w:rPr>
          <w:rFonts w:hint="eastAsia" w:ascii="Times New Roman" w:hAnsi="Times New Roman" w:cs="Times New Roman"/>
          <w:color w:val="auto"/>
          <w:highlight w:val="none"/>
          <w:shd w:val="clear" w:color="auto" w:fill="auto"/>
          <w:lang w:eastAsia="zh-CN"/>
        </w:rPr>
        <w:t>；</w:t>
      </w:r>
    </w:p>
    <w:p w14:paraId="04F81A09">
      <w:pPr>
        <w:numPr>
          <w:ilvl w:val="0"/>
          <w:numId w:val="84"/>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操动机构在进行手动操作时</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应闭锁电动操作</w:t>
      </w:r>
      <w:r>
        <w:rPr>
          <w:rFonts w:hint="eastAsia" w:ascii="Times New Roman" w:hAnsi="Times New Roman" w:cs="Times New Roman"/>
          <w:color w:val="auto"/>
          <w:highlight w:val="none"/>
          <w:shd w:val="clear" w:color="auto" w:fill="auto"/>
          <w:lang w:eastAsia="zh-CN"/>
        </w:rPr>
        <w:t>；</w:t>
      </w:r>
    </w:p>
    <w:p w14:paraId="2B49268C">
      <w:pPr>
        <w:numPr>
          <w:ilvl w:val="0"/>
          <w:numId w:val="84"/>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电动机转向应正确</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机构的分、合闸指示与设备的实际分、合闸位置应相符</w:t>
      </w:r>
      <w:r>
        <w:rPr>
          <w:rFonts w:hint="eastAsia" w:ascii="Times New Roman" w:hAnsi="Times New Roman" w:cs="Times New Roman"/>
          <w:color w:val="auto"/>
          <w:highlight w:val="none"/>
          <w:shd w:val="clear" w:color="auto" w:fill="auto"/>
          <w:lang w:eastAsia="zh-CN"/>
        </w:rPr>
        <w:t>；</w:t>
      </w:r>
    </w:p>
    <w:p w14:paraId="0A7100F4">
      <w:pPr>
        <w:numPr>
          <w:ilvl w:val="0"/>
          <w:numId w:val="84"/>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机构动作应平稳</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无卡阻、冲击等异常现象</w:t>
      </w:r>
      <w:r>
        <w:rPr>
          <w:rFonts w:hint="eastAsia" w:ascii="Times New Roman" w:hAnsi="Times New Roman" w:cs="Times New Roman"/>
          <w:color w:val="auto"/>
          <w:highlight w:val="none"/>
          <w:shd w:val="clear" w:color="auto" w:fill="auto"/>
          <w:lang w:eastAsia="zh-CN"/>
        </w:rPr>
        <w:t>；</w:t>
      </w:r>
    </w:p>
    <w:p w14:paraId="7D3B6FA9">
      <w:pPr>
        <w:numPr>
          <w:ilvl w:val="0"/>
          <w:numId w:val="84"/>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限位装置应准确可靠</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到达分、合极限位置时</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应可靠切除电源。</w:t>
      </w:r>
    </w:p>
    <w:p w14:paraId="27F196F7">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val="en-US" w:eastAsia="zh-CN"/>
        </w:rPr>
        <w:t>4</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cs="Times New Roman"/>
          <w:sz w:val="21"/>
          <w:szCs w:val="21"/>
          <w:lang w:val="en-US" w:eastAsia="zh-CN"/>
        </w:rPr>
        <w:t>4弹簧机构</w:t>
      </w:r>
      <w:r>
        <w:rPr>
          <w:rFonts w:hint="default" w:ascii="Times New Roman" w:hAnsi="Times New Roman" w:eastAsia="宋体" w:cs="Times New Roman"/>
          <w:color w:val="auto"/>
          <w:highlight w:val="none"/>
          <w:shd w:val="clear" w:color="auto" w:fill="auto"/>
        </w:rPr>
        <w:t>的安装应符合下列要求</w:t>
      </w:r>
      <w:r>
        <w:rPr>
          <w:rFonts w:hint="default" w:ascii="Times New Roman" w:hAnsi="Times New Roman" w:eastAsia="宋体" w:cs="Times New Roman"/>
          <w:color w:val="auto"/>
          <w:highlight w:val="none"/>
          <w:shd w:val="clear" w:color="auto" w:fill="auto"/>
          <w:lang w:eastAsia="zh-CN"/>
        </w:rPr>
        <w:t>：</w:t>
      </w:r>
    </w:p>
    <w:p w14:paraId="0765588E">
      <w:pPr>
        <w:numPr>
          <w:ilvl w:val="0"/>
          <w:numId w:val="85"/>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分、合闸闭锁装置动作应灵活，复位应准确而迅速</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并应扣合可靠</w:t>
      </w:r>
      <w:r>
        <w:rPr>
          <w:rFonts w:hint="eastAsia" w:ascii="Times New Roman" w:hAnsi="Times New Roman" w:cs="Times New Roman"/>
          <w:color w:val="auto"/>
          <w:highlight w:val="none"/>
          <w:shd w:val="clear" w:color="auto" w:fill="auto"/>
          <w:lang w:eastAsia="zh-CN"/>
        </w:rPr>
        <w:t>；</w:t>
      </w:r>
    </w:p>
    <w:p w14:paraId="01D94C40">
      <w:pPr>
        <w:numPr>
          <w:ilvl w:val="0"/>
          <w:numId w:val="85"/>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机构合闸后</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应能可靠地保持在合闸位置</w:t>
      </w:r>
      <w:r>
        <w:rPr>
          <w:rFonts w:hint="eastAsia" w:ascii="Times New Roman" w:hAnsi="Times New Roman" w:cs="Times New Roman"/>
          <w:color w:val="auto"/>
          <w:highlight w:val="none"/>
          <w:shd w:val="clear" w:color="auto" w:fill="auto"/>
          <w:lang w:eastAsia="zh-CN"/>
        </w:rPr>
        <w:t>；</w:t>
      </w:r>
    </w:p>
    <w:p w14:paraId="794B745F">
      <w:pPr>
        <w:numPr>
          <w:ilvl w:val="0"/>
          <w:numId w:val="85"/>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弹簧机构缓冲器的行程应符合产品技术文件要求。</w:t>
      </w:r>
    </w:p>
    <w:p w14:paraId="279F59C9">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val="en-US" w:eastAsia="zh-CN"/>
        </w:rPr>
        <w:t>4</w:t>
      </w:r>
      <w:r>
        <w:rPr>
          <w:rFonts w:hint="default" w:ascii="Times New Roman" w:hAnsi="Times New Roman" w:eastAsia="宋体" w:cs="Times New Roman"/>
          <w:color w:val="auto"/>
          <w:highlight w:val="none"/>
          <w:shd w:val="clear" w:color="auto" w:fill="auto"/>
          <w:lang w:eastAsia="zh-CN"/>
        </w:rPr>
        <w:t>.5</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cs="Times New Roman"/>
          <w:sz w:val="21"/>
          <w:szCs w:val="21"/>
          <w:lang w:val="en-US" w:eastAsia="zh-CN"/>
        </w:rPr>
        <w:t>机构箱的安装应符合本规范第7.5.3.5条的要求。</w:t>
      </w:r>
    </w:p>
    <w:p w14:paraId="76258EA7">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7.3.4.6 辅助开关的安装应符合本规范第7.5.3.8条的要求。</w:t>
      </w:r>
    </w:p>
    <w:p w14:paraId="61D6BDE5">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cs="Times New Roman"/>
          <w:sz w:val="21"/>
          <w:szCs w:val="21"/>
          <w:lang w:val="en-US" w:eastAsia="zh-CN"/>
        </w:rPr>
        <w:t>7.3.4.7 接地开关</w:t>
      </w:r>
      <w:r>
        <w:rPr>
          <w:rFonts w:hint="default" w:ascii="Times New Roman" w:hAnsi="Times New Roman" w:eastAsia="宋体" w:cs="Times New Roman"/>
          <w:color w:val="auto"/>
          <w:highlight w:val="none"/>
          <w:shd w:val="clear" w:color="auto" w:fill="auto"/>
          <w:lang w:eastAsia="zh-CN"/>
        </w:rPr>
        <w:t>应与</w:t>
      </w:r>
      <w:r>
        <w:rPr>
          <w:rFonts w:hint="default" w:ascii="Times New Roman" w:hAnsi="Times New Roman" w:cs="Times New Roman"/>
          <w:color w:val="auto"/>
          <w:highlight w:val="none"/>
          <w:shd w:val="clear" w:color="auto" w:fill="auto"/>
          <w:lang w:val="en-US" w:eastAsia="zh-CN"/>
        </w:rPr>
        <w:t>GIS</w:t>
      </w:r>
      <w:r>
        <w:rPr>
          <w:rFonts w:hint="default" w:ascii="Times New Roman" w:hAnsi="Times New Roman" w:eastAsia="宋体" w:cs="Times New Roman"/>
          <w:color w:val="auto"/>
          <w:highlight w:val="none"/>
          <w:shd w:val="clear" w:color="auto" w:fill="auto"/>
          <w:lang w:eastAsia="zh-CN"/>
        </w:rPr>
        <w:t>设备外壳绝缘并应</w:t>
      </w:r>
      <w:r>
        <w:rPr>
          <w:rFonts w:hint="default" w:ascii="Times New Roman" w:hAnsi="Times New Roman" w:cs="Times New Roman"/>
          <w:color w:val="auto"/>
          <w:highlight w:val="none"/>
          <w:shd w:val="clear" w:color="auto" w:fill="auto"/>
          <w:lang w:eastAsia="zh-CN"/>
        </w:rPr>
        <w:t>连接</w:t>
      </w:r>
      <w:r>
        <w:rPr>
          <w:rFonts w:hint="default" w:ascii="Times New Roman" w:hAnsi="Times New Roman" w:eastAsia="宋体" w:cs="Times New Roman"/>
          <w:color w:val="auto"/>
          <w:highlight w:val="none"/>
          <w:shd w:val="clear" w:color="auto" w:fill="auto"/>
          <w:lang w:eastAsia="zh-CN"/>
        </w:rPr>
        <w:t>牢固、可靠；绝缘水平及接地连接应符合产品技术文件要求。</w:t>
      </w:r>
    </w:p>
    <w:p w14:paraId="0D9944DA">
      <w:pPr>
        <w:jc w:val="left"/>
        <w:rPr>
          <w:rFonts w:hint="default" w:ascii="Times New Roman" w:hAnsi="Times New Roman" w:cs="Times New Roman"/>
          <w:sz w:val="21"/>
          <w:szCs w:val="21"/>
          <w:lang w:val="en-US"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lang w:val="en-US" w:eastAsia="zh-CN"/>
        </w:rPr>
        <w:t>4</w:t>
      </w:r>
      <w:r>
        <w:rPr>
          <w:rFonts w:hint="default" w:ascii="Times New Roman" w:hAnsi="Times New Roman" w:eastAsia="宋体" w:cs="Times New Roman"/>
          <w:color w:val="auto"/>
          <w:highlight w:val="none"/>
          <w:shd w:val="clear" w:color="auto" w:fill="auto"/>
          <w:lang w:eastAsia="zh-CN"/>
        </w:rPr>
        <w:t>.8</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lang w:eastAsia="zh-CN"/>
        </w:rPr>
        <w:t>隔离</w:t>
      </w:r>
      <w:r>
        <w:rPr>
          <w:rFonts w:hint="default" w:ascii="Times New Roman" w:hAnsi="Times New Roman" w:cs="Times New Roman"/>
          <w:sz w:val="21"/>
          <w:szCs w:val="21"/>
          <w:lang w:val="en-US" w:eastAsia="zh-CN"/>
        </w:rPr>
        <w:t>开关、接地开关、断路器的电气闭锁回路应动作正确、可靠。</w:t>
      </w:r>
    </w:p>
    <w:p w14:paraId="37DF379C">
      <w:pPr>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7.3.5  六氟化硫气体管理及充注</w:t>
      </w:r>
    </w:p>
    <w:p w14:paraId="034E62E1">
      <w:pPr>
        <w:jc w:val="left"/>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cs="Times New Roman"/>
          <w:sz w:val="21"/>
          <w:szCs w:val="21"/>
          <w:lang w:val="en-US" w:eastAsia="zh-CN"/>
        </w:rPr>
        <w:t>7.3.5.1 六氟化硫气体的技术条件应符合表6的规定，六氟化硫新气充入设备前应按GB/T 12022和DL/T 6</w:t>
      </w:r>
      <w:r>
        <w:rPr>
          <w:rFonts w:hint="default" w:ascii="Times New Roman" w:hAnsi="Times New Roman" w:eastAsia="宋体" w:cs="Times New Roman"/>
          <w:color w:val="auto"/>
          <w:highlight w:val="none"/>
          <w:shd w:val="clear" w:color="auto" w:fill="auto"/>
          <w:lang w:eastAsia="zh-CN"/>
        </w:rPr>
        <w:t>18的有关规定执行；新气验收应遵照产品技术文件要求执行。</w:t>
      </w:r>
    </w:p>
    <w:p w14:paraId="2227588F">
      <w:pPr>
        <w:pStyle w:val="245"/>
        <w:adjustRightInd w:val="0"/>
        <w:snapToGrid w:val="0"/>
        <w:rPr>
          <w:rFonts w:hint="default" w:ascii="Times New Roman" w:hAnsi="Times New Roman" w:cs="Times New Roman"/>
          <w:color w:val="auto"/>
          <w:szCs w:val="22"/>
          <w:highlight w:val="none"/>
          <w:shd w:val="clear" w:color="auto" w:fill="auto"/>
          <w:lang w:val="en-US" w:eastAsia="zh-CN"/>
        </w:rPr>
      </w:pPr>
    </w:p>
    <w:p w14:paraId="7837B385">
      <w:pPr>
        <w:widowControl/>
        <w:jc w:val="center"/>
        <w:rPr>
          <w:rFonts w:hint="default" w:ascii="黑体" w:hAnsi="黑体" w:eastAsia="黑体" w:cs="黑体"/>
          <w:b w:val="0"/>
          <w:bCs w:val="0"/>
          <w:color w:val="000000"/>
          <w:kern w:val="0"/>
          <w:szCs w:val="21"/>
          <w:highlight w:val="none"/>
          <w:lang w:eastAsia="zh-CN" w:bidi="ar"/>
        </w:rPr>
      </w:pPr>
      <w:r>
        <w:rPr>
          <w:rFonts w:hint="default" w:ascii="黑体" w:hAnsi="黑体" w:eastAsia="黑体" w:cs="黑体"/>
          <w:b w:val="0"/>
          <w:bCs w:val="0"/>
          <w:color w:val="000000"/>
          <w:kern w:val="0"/>
          <w:szCs w:val="21"/>
          <w:highlight w:val="none"/>
          <w:lang w:eastAsia="zh-CN" w:bidi="ar"/>
        </w:rPr>
        <w:t>表6</w:t>
      </w:r>
      <w:r>
        <w:rPr>
          <w:rFonts w:hint="default" w:ascii="黑体" w:hAnsi="黑体" w:eastAsia="黑体" w:cs="黑体"/>
          <w:b w:val="0"/>
          <w:bCs w:val="0"/>
          <w:color w:val="000000"/>
          <w:kern w:val="0"/>
          <w:szCs w:val="21"/>
          <w:highlight w:val="none"/>
          <w:lang w:val="en-US" w:eastAsia="zh-CN" w:bidi="ar"/>
        </w:rPr>
        <w:t xml:space="preserve"> </w:t>
      </w:r>
      <w:r>
        <w:rPr>
          <w:rFonts w:hint="default" w:ascii="黑体" w:hAnsi="黑体" w:eastAsia="黑体" w:cs="黑体"/>
          <w:b w:val="0"/>
          <w:bCs w:val="0"/>
          <w:color w:val="000000"/>
          <w:kern w:val="0"/>
          <w:szCs w:val="21"/>
          <w:highlight w:val="none"/>
          <w:lang w:eastAsia="zh-CN" w:bidi="ar"/>
        </w:rPr>
        <w:t>六氟化硫气体的技术条件</w:t>
      </w:r>
    </w:p>
    <w:tbl>
      <w:tblPr>
        <w:tblStyle w:val="32"/>
        <w:tblW w:w="6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3465"/>
        <w:gridCol w:w="1668"/>
      </w:tblGrid>
      <w:tr w14:paraId="5AC4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4412" w:type="dxa"/>
            <w:gridSpan w:val="2"/>
            <w:vAlign w:val="center"/>
          </w:tcPr>
          <w:p w14:paraId="4DA6EE9C">
            <w:pPr>
              <w:adjustRightInd w:val="0"/>
              <w:snapToGrid w:val="0"/>
              <w:jc w:val="center"/>
              <w:rPr>
                <w:rFonts w:hint="default" w:ascii="Times New Roman" w:hAnsi="Times New Roman" w:cs="Times New Roman"/>
                <w:bCs/>
                <w:color w:val="auto"/>
                <w:sz w:val="18"/>
                <w:szCs w:val="18"/>
                <w:highlight w:val="none"/>
                <w:shd w:val="clear" w:color="auto" w:fill="auto"/>
                <w:lang w:eastAsia="zh-CN"/>
              </w:rPr>
            </w:pPr>
            <w:r>
              <w:rPr>
                <w:rFonts w:hint="default" w:ascii="Times New Roman" w:hAnsi="Times New Roman" w:cs="Times New Roman"/>
                <w:bCs/>
                <w:color w:val="auto"/>
                <w:sz w:val="18"/>
                <w:szCs w:val="18"/>
                <w:highlight w:val="none"/>
                <w:shd w:val="clear" w:color="auto" w:fill="auto"/>
                <w:lang w:eastAsia="zh-CN"/>
              </w:rPr>
              <w:t>指标项目</w:t>
            </w:r>
          </w:p>
        </w:tc>
        <w:tc>
          <w:tcPr>
            <w:tcW w:w="1668" w:type="dxa"/>
            <w:vAlign w:val="center"/>
          </w:tcPr>
          <w:p w14:paraId="56E3EB42">
            <w:pPr>
              <w:adjustRightInd w:val="0"/>
              <w:snapToGrid w:val="0"/>
              <w:jc w:val="center"/>
              <w:rPr>
                <w:rFonts w:hint="default" w:ascii="Times New Roman" w:hAnsi="Times New Roman" w:cs="Times New Roman"/>
                <w:bCs/>
                <w:color w:val="auto"/>
                <w:sz w:val="18"/>
                <w:szCs w:val="18"/>
                <w:highlight w:val="none"/>
                <w:shd w:val="clear" w:color="auto" w:fill="auto"/>
                <w:lang w:eastAsia="zh-CN"/>
              </w:rPr>
            </w:pPr>
            <w:r>
              <w:rPr>
                <w:rFonts w:hint="default" w:ascii="Times New Roman" w:hAnsi="Times New Roman" w:cs="Times New Roman"/>
                <w:bCs/>
                <w:color w:val="auto"/>
                <w:sz w:val="18"/>
                <w:szCs w:val="18"/>
                <w:highlight w:val="none"/>
                <w:shd w:val="clear" w:color="auto" w:fill="auto"/>
                <w:lang w:eastAsia="zh-CN"/>
              </w:rPr>
              <w:t>指标</w:t>
            </w:r>
          </w:p>
        </w:tc>
      </w:tr>
      <w:tr w14:paraId="57FF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4412" w:type="dxa"/>
            <w:gridSpan w:val="2"/>
            <w:vAlign w:val="center"/>
          </w:tcPr>
          <w:p w14:paraId="661925DA">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六氟化硫（SF</w:t>
            </w:r>
            <w:r>
              <w:rPr>
                <w:rFonts w:hint="default" w:ascii="Times New Roman" w:hAnsi="Times New Roman" w:cs="Times New Roman"/>
                <w:bCs/>
                <w:color w:val="auto"/>
                <w:sz w:val="18"/>
                <w:szCs w:val="18"/>
                <w:highlight w:val="none"/>
                <w:shd w:val="clear" w:color="auto" w:fill="auto"/>
                <w:vertAlign w:val="subscript"/>
                <w:lang w:val="en-US" w:eastAsia="zh-CN"/>
              </w:rPr>
              <w:t>6</w:t>
            </w:r>
            <w:r>
              <w:rPr>
                <w:rFonts w:hint="default" w:ascii="Times New Roman" w:hAnsi="Times New Roman" w:cs="Times New Roman"/>
                <w:bCs/>
                <w:color w:val="auto"/>
                <w:sz w:val="18"/>
                <w:szCs w:val="18"/>
                <w:highlight w:val="none"/>
                <w:shd w:val="clear" w:color="auto" w:fill="auto"/>
                <w:lang w:val="en-US" w:eastAsia="zh-CN"/>
              </w:rPr>
              <w:t>）的质量分数（%）</w:t>
            </w:r>
          </w:p>
        </w:tc>
        <w:tc>
          <w:tcPr>
            <w:tcW w:w="1668" w:type="dxa"/>
            <w:vAlign w:val="center"/>
          </w:tcPr>
          <w:p w14:paraId="0961D833">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≥99.9</w:t>
            </w:r>
          </w:p>
        </w:tc>
      </w:tr>
      <w:tr w14:paraId="165A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4412" w:type="dxa"/>
            <w:gridSpan w:val="2"/>
            <w:vAlign w:val="center"/>
          </w:tcPr>
          <w:p w14:paraId="25B84E5F">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空气的质量分数（%）</w:t>
            </w:r>
          </w:p>
        </w:tc>
        <w:tc>
          <w:tcPr>
            <w:tcW w:w="1668" w:type="dxa"/>
            <w:vAlign w:val="center"/>
          </w:tcPr>
          <w:p w14:paraId="7B47956B">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≤0.04</w:t>
            </w:r>
          </w:p>
        </w:tc>
      </w:tr>
      <w:tr w14:paraId="7798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4412" w:type="dxa"/>
            <w:gridSpan w:val="2"/>
            <w:vAlign w:val="center"/>
          </w:tcPr>
          <w:p w14:paraId="2A0BFB63">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四氟化碳（CF</w:t>
            </w:r>
            <w:r>
              <w:rPr>
                <w:rFonts w:hint="default" w:ascii="Times New Roman" w:hAnsi="Times New Roman" w:cs="Times New Roman"/>
                <w:bCs/>
                <w:color w:val="auto"/>
                <w:sz w:val="18"/>
                <w:szCs w:val="18"/>
                <w:highlight w:val="none"/>
                <w:shd w:val="clear" w:color="auto" w:fill="auto"/>
                <w:vertAlign w:val="subscript"/>
                <w:lang w:val="en-US" w:eastAsia="zh-CN"/>
              </w:rPr>
              <w:t>4</w:t>
            </w:r>
            <w:r>
              <w:rPr>
                <w:rFonts w:hint="default" w:ascii="Times New Roman" w:hAnsi="Times New Roman" w:cs="Times New Roman"/>
                <w:bCs/>
                <w:color w:val="auto"/>
                <w:sz w:val="18"/>
                <w:szCs w:val="18"/>
                <w:highlight w:val="none"/>
                <w:shd w:val="clear" w:color="auto" w:fill="auto"/>
                <w:lang w:val="en-US" w:eastAsia="zh-CN"/>
              </w:rPr>
              <w:t>）的质量分数（%）</w:t>
            </w:r>
          </w:p>
        </w:tc>
        <w:tc>
          <w:tcPr>
            <w:tcW w:w="1668" w:type="dxa"/>
            <w:vAlign w:val="center"/>
          </w:tcPr>
          <w:p w14:paraId="35D46CC8">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≤0.04</w:t>
            </w:r>
          </w:p>
        </w:tc>
      </w:tr>
      <w:tr w14:paraId="427E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947" w:type="dxa"/>
            <w:vMerge w:val="restart"/>
            <w:vAlign w:val="center"/>
          </w:tcPr>
          <w:p w14:paraId="5D10B176">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水分</w:t>
            </w:r>
          </w:p>
        </w:tc>
        <w:tc>
          <w:tcPr>
            <w:tcW w:w="3465" w:type="dxa"/>
            <w:vAlign w:val="center"/>
          </w:tcPr>
          <w:p w14:paraId="4E0BA947">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水的质量分数（%）</w:t>
            </w:r>
          </w:p>
        </w:tc>
        <w:tc>
          <w:tcPr>
            <w:tcW w:w="1668" w:type="dxa"/>
            <w:vAlign w:val="center"/>
          </w:tcPr>
          <w:p w14:paraId="33CFD331">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≤0.0005</w:t>
            </w:r>
          </w:p>
        </w:tc>
      </w:tr>
      <w:tr w14:paraId="4A9B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947" w:type="dxa"/>
            <w:vMerge w:val="continue"/>
            <w:vAlign w:val="center"/>
          </w:tcPr>
          <w:p w14:paraId="44B30E86">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p>
        </w:tc>
        <w:tc>
          <w:tcPr>
            <w:tcW w:w="3465" w:type="dxa"/>
            <w:vAlign w:val="center"/>
          </w:tcPr>
          <w:p w14:paraId="4BADCA94">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露点（℃）</w:t>
            </w:r>
          </w:p>
        </w:tc>
        <w:tc>
          <w:tcPr>
            <w:tcW w:w="1668" w:type="dxa"/>
            <w:vAlign w:val="center"/>
          </w:tcPr>
          <w:p w14:paraId="1777A71B">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≤-49.7</w:t>
            </w:r>
          </w:p>
        </w:tc>
      </w:tr>
      <w:tr w14:paraId="5053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4412" w:type="dxa"/>
            <w:gridSpan w:val="2"/>
            <w:vAlign w:val="center"/>
          </w:tcPr>
          <w:p w14:paraId="2A7B270C">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酸度（以HF计）的质量分数（%）</w:t>
            </w:r>
          </w:p>
        </w:tc>
        <w:tc>
          <w:tcPr>
            <w:tcW w:w="1668" w:type="dxa"/>
            <w:vAlign w:val="center"/>
          </w:tcPr>
          <w:p w14:paraId="669E0CC5">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≤0.00002</w:t>
            </w:r>
          </w:p>
        </w:tc>
      </w:tr>
      <w:tr w14:paraId="6E57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4412" w:type="dxa"/>
            <w:gridSpan w:val="2"/>
            <w:vAlign w:val="center"/>
          </w:tcPr>
          <w:p w14:paraId="6B7F3FEF">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可水解氟化物（以HF计）的质量分数（%）</w:t>
            </w:r>
          </w:p>
        </w:tc>
        <w:tc>
          <w:tcPr>
            <w:tcW w:w="1668" w:type="dxa"/>
            <w:vAlign w:val="center"/>
          </w:tcPr>
          <w:p w14:paraId="0D222AE1">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≤0.0001</w:t>
            </w:r>
          </w:p>
        </w:tc>
      </w:tr>
      <w:tr w14:paraId="729E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4412" w:type="dxa"/>
            <w:gridSpan w:val="2"/>
            <w:vAlign w:val="center"/>
          </w:tcPr>
          <w:p w14:paraId="2ABFE88B">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矿物油的质量分数（%）</w:t>
            </w:r>
          </w:p>
        </w:tc>
        <w:tc>
          <w:tcPr>
            <w:tcW w:w="1668" w:type="dxa"/>
            <w:vAlign w:val="center"/>
          </w:tcPr>
          <w:p w14:paraId="23D4B0CF">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≤0.0004</w:t>
            </w:r>
          </w:p>
        </w:tc>
      </w:tr>
      <w:tr w14:paraId="63C5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412" w:type="dxa"/>
            <w:gridSpan w:val="2"/>
            <w:vAlign w:val="center"/>
          </w:tcPr>
          <w:p w14:paraId="3EB0372B">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毒性</w:t>
            </w:r>
          </w:p>
        </w:tc>
        <w:tc>
          <w:tcPr>
            <w:tcW w:w="1668" w:type="dxa"/>
            <w:vAlign w:val="center"/>
          </w:tcPr>
          <w:p w14:paraId="148269B3">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生物实验无毒</w:t>
            </w:r>
          </w:p>
        </w:tc>
      </w:tr>
    </w:tbl>
    <w:p w14:paraId="69C9617A">
      <w:pPr>
        <w:jc w:val="both"/>
        <w:rPr>
          <w:rFonts w:hint="default" w:ascii="Times New Roman" w:hAnsi="Times New Roman" w:eastAsia="宋体" w:cs="Times New Roman"/>
          <w:color w:val="auto"/>
          <w:highlight w:val="none"/>
          <w:shd w:val="clear" w:color="auto" w:fill="auto"/>
          <w:lang w:eastAsia="zh-CN"/>
        </w:rPr>
      </w:pPr>
    </w:p>
    <w:p w14:paraId="2D2D4F74">
      <w:pPr>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5.2 新六</w:t>
      </w:r>
      <w:r>
        <w:rPr>
          <w:rFonts w:hint="default" w:ascii="Times New Roman" w:hAnsi="Times New Roman" w:cs="Times New Roman"/>
          <w:sz w:val="21"/>
          <w:szCs w:val="21"/>
          <w:lang w:val="en-US" w:eastAsia="zh-CN"/>
        </w:rPr>
        <w:t>氟化硫气体应有出厂试验报告及合格证明文件。运到现场后，每瓶应做含水量检验；新六氟化硫气体抽样比例应按表7进行全分析检验。检验结果有一项不符合表7要求时，则应以两</w:t>
      </w:r>
      <w:r>
        <w:rPr>
          <w:rFonts w:hint="default" w:ascii="Times New Roman" w:hAnsi="Times New Roman" w:eastAsia="宋体" w:cs="Times New Roman"/>
          <w:color w:val="auto"/>
          <w:highlight w:val="none"/>
          <w:shd w:val="clear" w:color="auto" w:fill="auto"/>
        </w:rPr>
        <w:t>倍量气瓶数重新抽样进行复验</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复验结果仍有一项指标不符合要求时</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则整批产品不得通过验收。</w:t>
      </w:r>
      <w:r>
        <w:rPr>
          <w:rFonts w:hint="default" w:ascii="Times New Roman" w:hAnsi="Times New Roman" w:eastAsia="宋体" w:cs="Times New Roman"/>
          <w:color w:val="auto"/>
          <w:highlight w:val="none"/>
          <w:shd w:val="clear" w:color="auto" w:fill="auto"/>
          <w:lang w:eastAsia="zh-CN"/>
        </w:rPr>
        <w:t>六氟化硫气体应取得合格的抽样检测报告，未取得合格检测报告不得进行气体充注。</w:t>
      </w:r>
    </w:p>
    <w:p w14:paraId="20718C54">
      <w:pPr>
        <w:widowControl/>
        <w:jc w:val="center"/>
        <w:rPr>
          <w:rFonts w:hint="default" w:ascii="黑体" w:hAnsi="黑体" w:eastAsia="黑体" w:cs="黑体"/>
          <w:b w:val="0"/>
          <w:bCs w:val="0"/>
          <w:color w:val="000000"/>
          <w:kern w:val="0"/>
          <w:szCs w:val="21"/>
          <w:highlight w:val="none"/>
          <w:lang w:bidi="ar"/>
        </w:rPr>
      </w:pPr>
      <w:r>
        <w:rPr>
          <w:rFonts w:hint="default" w:ascii="黑体" w:hAnsi="黑体" w:eastAsia="黑体" w:cs="黑体"/>
          <w:b w:val="0"/>
          <w:bCs w:val="0"/>
          <w:color w:val="000000"/>
          <w:kern w:val="0"/>
          <w:szCs w:val="21"/>
          <w:highlight w:val="none"/>
          <w:lang w:bidi="ar"/>
        </w:rPr>
        <w:t>表</w:t>
      </w:r>
      <w:r>
        <w:rPr>
          <w:rFonts w:hint="default" w:ascii="黑体" w:hAnsi="黑体" w:eastAsia="黑体" w:cs="黑体"/>
          <w:b w:val="0"/>
          <w:bCs w:val="0"/>
          <w:color w:val="000000"/>
          <w:kern w:val="0"/>
          <w:szCs w:val="21"/>
          <w:highlight w:val="none"/>
          <w:lang w:val="en-US" w:eastAsia="zh-CN" w:bidi="ar"/>
        </w:rPr>
        <w:t xml:space="preserve">7 </w:t>
      </w:r>
      <w:r>
        <w:rPr>
          <w:rFonts w:hint="default" w:ascii="黑体" w:hAnsi="黑体" w:eastAsia="黑体" w:cs="黑体"/>
          <w:b w:val="0"/>
          <w:bCs w:val="0"/>
          <w:color w:val="000000"/>
          <w:kern w:val="0"/>
          <w:szCs w:val="21"/>
          <w:highlight w:val="none"/>
          <w:lang w:bidi="ar"/>
        </w:rPr>
        <w:t>新六氟化硫气体抽样比例</w:t>
      </w:r>
    </w:p>
    <w:tbl>
      <w:tblPr>
        <w:tblStyle w:val="32"/>
        <w:tblW w:w="5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0"/>
        <w:gridCol w:w="2910"/>
      </w:tblGrid>
      <w:tr w14:paraId="185A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910" w:type="dxa"/>
            <w:vAlign w:val="center"/>
          </w:tcPr>
          <w:p w14:paraId="18144662">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每批气瓶数</w:t>
            </w:r>
          </w:p>
        </w:tc>
        <w:tc>
          <w:tcPr>
            <w:tcW w:w="2910" w:type="dxa"/>
            <w:vAlign w:val="center"/>
          </w:tcPr>
          <w:p w14:paraId="1DEDD69A">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选取的最少气瓶数</w:t>
            </w:r>
          </w:p>
        </w:tc>
      </w:tr>
      <w:tr w14:paraId="372B8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10" w:type="dxa"/>
            <w:vAlign w:val="center"/>
          </w:tcPr>
          <w:p w14:paraId="635F68BA">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1</w:t>
            </w:r>
          </w:p>
        </w:tc>
        <w:tc>
          <w:tcPr>
            <w:tcW w:w="2910" w:type="dxa"/>
            <w:vAlign w:val="center"/>
          </w:tcPr>
          <w:p w14:paraId="35EC1605">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1</w:t>
            </w:r>
          </w:p>
        </w:tc>
      </w:tr>
      <w:tr w14:paraId="42C96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10" w:type="dxa"/>
            <w:vAlign w:val="center"/>
          </w:tcPr>
          <w:p w14:paraId="1062F76D">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2~40</w:t>
            </w:r>
          </w:p>
        </w:tc>
        <w:tc>
          <w:tcPr>
            <w:tcW w:w="2910" w:type="dxa"/>
            <w:vAlign w:val="center"/>
          </w:tcPr>
          <w:p w14:paraId="7880D6A6">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2</w:t>
            </w:r>
          </w:p>
        </w:tc>
      </w:tr>
      <w:tr w14:paraId="3D89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910" w:type="dxa"/>
            <w:tcBorders>
              <w:bottom w:val="single" w:color="auto" w:sz="4" w:space="0"/>
            </w:tcBorders>
            <w:vAlign w:val="center"/>
          </w:tcPr>
          <w:p w14:paraId="0440B628">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41~70</w:t>
            </w:r>
          </w:p>
        </w:tc>
        <w:tc>
          <w:tcPr>
            <w:tcW w:w="2910" w:type="dxa"/>
            <w:tcBorders>
              <w:bottom w:val="single" w:color="auto" w:sz="4" w:space="0"/>
            </w:tcBorders>
            <w:vAlign w:val="center"/>
          </w:tcPr>
          <w:p w14:paraId="7FAC348A">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3</w:t>
            </w:r>
          </w:p>
        </w:tc>
      </w:tr>
    </w:tbl>
    <w:p w14:paraId="0F1493F2">
      <w:pPr>
        <w:jc w:val="center"/>
        <w:rPr>
          <w:rFonts w:hint="default" w:ascii="Times New Roman" w:hAnsi="Times New Roman" w:eastAsia="宋体" w:cs="Times New Roman"/>
          <w:color w:val="auto"/>
          <w:highlight w:val="none"/>
          <w:shd w:val="clear" w:color="auto" w:fill="auto"/>
          <w:lang w:eastAsia="zh-CN"/>
        </w:rPr>
      </w:pPr>
      <w:r>
        <w:rPr>
          <w:rFonts w:hint="default" w:ascii="黑体" w:hAnsi="黑体" w:eastAsia="黑体" w:cs="黑体"/>
          <w:b w:val="0"/>
          <w:bCs w:val="0"/>
          <w:color w:val="000000"/>
          <w:kern w:val="0"/>
          <w:szCs w:val="21"/>
          <w:highlight w:val="none"/>
          <w:lang w:bidi="ar"/>
        </w:rPr>
        <w:t>表</w:t>
      </w:r>
      <w:r>
        <w:rPr>
          <w:rFonts w:hint="default" w:ascii="黑体" w:hAnsi="黑体" w:eastAsia="黑体" w:cs="黑体"/>
          <w:b w:val="0"/>
          <w:bCs w:val="0"/>
          <w:color w:val="000000"/>
          <w:kern w:val="0"/>
          <w:szCs w:val="21"/>
          <w:highlight w:val="none"/>
          <w:lang w:val="en-US" w:eastAsia="zh-CN" w:bidi="ar"/>
        </w:rPr>
        <w:t xml:space="preserve">7 </w:t>
      </w:r>
      <w:r>
        <w:rPr>
          <w:rFonts w:hint="eastAsia" w:ascii="黑体" w:hAnsi="黑体" w:eastAsia="黑体" w:cs="黑体"/>
          <w:b w:val="0"/>
          <w:bCs w:val="0"/>
          <w:color w:val="000000"/>
          <w:kern w:val="0"/>
          <w:szCs w:val="21"/>
          <w:highlight w:val="none"/>
          <w:lang w:val="en-US" w:eastAsia="zh-CN" w:bidi="ar"/>
        </w:rPr>
        <w:t>（续）</w:t>
      </w:r>
    </w:p>
    <w:tbl>
      <w:tblPr>
        <w:tblStyle w:val="32"/>
        <w:tblW w:w="5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0"/>
        <w:gridCol w:w="2910"/>
      </w:tblGrid>
      <w:tr w14:paraId="440E8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 w:hRule="atLeast"/>
          <w:jc w:val="center"/>
        </w:trPr>
        <w:tc>
          <w:tcPr>
            <w:tcW w:w="2910" w:type="dxa"/>
            <w:shd w:val="clear" w:color="auto" w:fill="auto"/>
            <w:vAlign w:val="center"/>
          </w:tcPr>
          <w:p w14:paraId="760C3ADB">
            <w:pPr>
              <w:adjustRightInd w:val="0"/>
              <w:snapToGrid w:val="0"/>
              <w:jc w:val="center"/>
              <w:rPr>
                <w:rFonts w:hint="default" w:ascii="Times New Roman" w:hAnsi="Times New Roman" w:eastAsia="宋体" w:cs="Times New Roman"/>
                <w:bCs/>
                <w:color w:val="auto"/>
                <w:kern w:val="2"/>
                <w:sz w:val="18"/>
                <w:szCs w:val="18"/>
                <w:highlight w:val="none"/>
                <w:shd w:val="clear" w:color="auto" w:fill="auto"/>
                <w:lang w:val="en-US" w:eastAsia="zh-CN" w:bidi="ar-SA"/>
              </w:rPr>
            </w:pPr>
            <w:r>
              <w:rPr>
                <w:rFonts w:hint="default" w:ascii="Times New Roman" w:hAnsi="Times New Roman" w:cs="Times New Roman"/>
                <w:bCs/>
                <w:color w:val="auto"/>
                <w:sz w:val="18"/>
                <w:szCs w:val="18"/>
                <w:highlight w:val="none"/>
                <w:shd w:val="clear" w:color="auto" w:fill="auto"/>
                <w:lang w:val="en-US" w:eastAsia="zh-CN"/>
              </w:rPr>
              <w:t>每批气瓶数</w:t>
            </w:r>
          </w:p>
        </w:tc>
        <w:tc>
          <w:tcPr>
            <w:tcW w:w="2910" w:type="dxa"/>
            <w:shd w:val="clear" w:color="auto" w:fill="auto"/>
            <w:vAlign w:val="center"/>
          </w:tcPr>
          <w:p w14:paraId="451BB5A5">
            <w:pPr>
              <w:adjustRightInd w:val="0"/>
              <w:snapToGrid w:val="0"/>
              <w:jc w:val="center"/>
              <w:rPr>
                <w:rFonts w:hint="default" w:ascii="Times New Roman" w:hAnsi="Times New Roman" w:eastAsia="宋体" w:cs="Times New Roman"/>
                <w:bCs/>
                <w:color w:val="auto"/>
                <w:kern w:val="2"/>
                <w:sz w:val="18"/>
                <w:szCs w:val="18"/>
                <w:highlight w:val="none"/>
                <w:shd w:val="clear" w:color="auto" w:fill="auto"/>
                <w:lang w:val="en-US" w:eastAsia="zh-CN" w:bidi="ar-SA"/>
              </w:rPr>
            </w:pPr>
            <w:r>
              <w:rPr>
                <w:rFonts w:hint="default" w:ascii="Times New Roman" w:hAnsi="Times New Roman" w:cs="Times New Roman"/>
                <w:bCs/>
                <w:color w:val="auto"/>
                <w:sz w:val="18"/>
                <w:szCs w:val="18"/>
                <w:highlight w:val="none"/>
                <w:shd w:val="clear" w:color="auto" w:fill="auto"/>
                <w:lang w:val="en-US" w:eastAsia="zh-CN"/>
              </w:rPr>
              <w:t>选取的最少气瓶数</w:t>
            </w:r>
          </w:p>
        </w:tc>
      </w:tr>
      <w:tr w14:paraId="033D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910" w:type="dxa"/>
            <w:vAlign w:val="center"/>
          </w:tcPr>
          <w:p w14:paraId="34915416">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71~100</w:t>
            </w:r>
          </w:p>
        </w:tc>
        <w:tc>
          <w:tcPr>
            <w:tcW w:w="2910" w:type="dxa"/>
            <w:vAlign w:val="center"/>
          </w:tcPr>
          <w:p w14:paraId="4EFCFCD5">
            <w:pPr>
              <w:adjustRightInd w:val="0"/>
              <w:snapToGrid w:val="0"/>
              <w:jc w:val="center"/>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4</w:t>
            </w:r>
          </w:p>
        </w:tc>
      </w:tr>
      <w:tr w14:paraId="7E0F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5820" w:type="dxa"/>
            <w:gridSpan w:val="2"/>
            <w:vAlign w:val="center"/>
          </w:tcPr>
          <w:p w14:paraId="0F4755C7">
            <w:pPr>
              <w:adjustRightInd w:val="0"/>
              <w:snapToGrid w:val="0"/>
              <w:jc w:val="both"/>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备注：1 超过100瓶气体按另一批计算。</w:t>
            </w:r>
          </w:p>
          <w:p w14:paraId="61B13057">
            <w:pPr>
              <w:adjustRightInd w:val="0"/>
              <w:snapToGrid w:val="0"/>
              <w:ind w:firstLine="540" w:firstLineChars="300"/>
              <w:jc w:val="both"/>
              <w:rPr>
                <w:rFonts w:hint="default" w:ascii="Times New Roman" w:hAnsi="Times New Roman" w:cs="Times New Roman"/>
                <w:bCs/>
                <w:color w:val="auto"/>
                <w:sz w:val="18"/>
                <w:szCs w:val="18"/>
                <w:highlight w:val="none"/>
                <w:shd w:val="clear" w:color="auto" w:fill="auto"/>
                <w:lang w:val="en-US" w:eastAsia="zh-CN"/>
              </w:rPr>
            </w:pPr>
            <w:r>
              <w:rPr>
                <w:rFonts w:hint="default" w:ascii="Times New Roman" w:hAnsi="Times New Roman" w:cs="Times New Roman"/>
                <w:bCs/>
                <w:color w:val="auto"/>
                <w:sz w:val="18"/>
                <w:szCs w:val="18"/>
                <w:highlight w:val="none"/>
                <w:shd w:val="clear" w:color="auto" w:fill="auto"/>
                <w:lang w:val="en-US" w:eastAsia="zh-CN"/>
              </w:rPr>
              <w:t>2 SF</w:t>
            </w:r>
            <w:r>
              <w:rPr>
                <w:rFonts w:hint="default" w:ascii="Times New Roman" w:hAnsi="Times New Roman" w:cs="Times New Roman"/>
                <w:bCs/>
                <w:color w:val="auto"/>
                <w:sz w:val="18"/>
                <w:szCs w:val="18"/>
                <w:highlight w:val="none"/>
                <w:shd w:val="clear" w:color="auto" w:fill="auto"/>
                <w:vertAlign w:val="subscript"/>
                <w:lang w:val="en-US" w:eastAsia="zh-CN"/>
              </w:rPr>
              <w:t>6</w:t>
            </w:r>
            <w:r>
              <w:rPr>
                <w:rFonts w:hint="default" w:ascii="Times New Roman" w:hAnsi="Times New Roman" w:cs="Times New Roman"/>
                <w:bCs/>
                <w:color w:val="auto"/>
                <w:sz w:val="18"/>
                <w:szCs w:val="18"/>
                <w:highlight w:val="none"/>
                <w:shd w:val="clear" w:color="auto" w:fill="auto"/>
                <w:lang w:val="en-US" w:eastAsia="zh-CN"/>
              </w:rPr>
              <w:t>气体在充入电气设备 24h后方可进行试验。</w:t>
            </w:r>
          </w:p>
        </w:tc>
      </w:tr>
    </w:tbl>
    <w:p w14:paraId="4017AB7A">
      <w:pPr>
        <w:rPr>
          <w:rFonts w:hint="default" w:ascii="Times New Roman" w:hAnsi="Times New Roman" w:eastAsia="宋体" w:cs="Times New Roman"/>
          <w:color w:val="auto"/>
          <w:highlight w:val="none"/>
          <w:shd w:val="clear" w:color="auto" w:fill="auto"/>
          <w:lang w:eastAsia="zh-CN"/>
        </w:rPr>
      </w:pPr>
    </w:p>
    <w:p w14:paraId="6FB95BC4">
      <w:pPr>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5.3 六氟化硫气瓶的搬运和保管应符合下列要求</w:t>
      </w:r>
      <w:r>
        <w:rPr>
          <w:rFonts w:hint="default" w:ascii="Times New Roman" w:hAnsi="Times New Roman" w:eastAsia="宋体" w:cs="Times New Roman"/>
          <w:color w:val="auto"/>
          <w:highlight w:val="none"/>
          <w:shd w:val="clear" w:color="auto" w:fill="auto"/>
          <w:lang w:eastAsia="zh-CN"/>
        </w:rPr>
        <w:t>：</w:t>
      </w:r>
    </w:p>
    <w:p w14:paraId="1BFB4398">
      <w:pPr>
        <w:numPr>
          <w:ilvl w:val="0"/>
          <w:numId w:val="8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六氟化硫气瓶的安全帽、防震圈应齐全</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安全帽应拧紧</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搬运时应轻装轻卸，不</w:t>
      </w:r>
      <w:r>
        <w:rPr>
          <w:rFonts w:hint="default" w:ascii="Times New Roman" w:hAnsi="Times New Roman" w:cs="Times New Roman"/>
          <w:color w:val="auto"/>
          <w:highlight w:val="none"/>
          <w:shd w:val="clear" w:color="auto" w:fill="auto"/>
          <w:lang w:val="en-US" w:eastAsia="zh-CN"/>
        </w:rPr>
        <w:t>应</w:t>
      </w:r>
      <w:r>
        <w:rPr>
          <w:rFonts w:hint="default" w:ascii="Times New Roman" w:hAnsi="Times New Roman" w:eastAsia="宋体" w:cs="Times New Roman"/>
          <w:color w:val="auto"/>
          <w:highlight w:val="none"/>
          <w:shd w:val="clear" w:color="auto" w:fill="auto"/>
        </w:rPr>
        <w:t>抛掷</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溜放</w:t>
      </w:r>
      <w:r>
        <w:rPr>
          <w:rFonts w:hint="eastAsia" w:ascii="Times New Roman" w:hAnsi="Times New Roman" w:cs="Times New Roman"/>
          <w:color w:val="auto"/>
          <w:highlight w:val="none"/>
          <w:shd w:val="clear" w:color="auto" w:fill="auto"/>
          <w:lang w:eastAsia="zh-CN"/>
        </w:rPr>
        <w:t>；</w:t>
      </w:r>
    </w:p>
    <w:p w14:paraId="66F409DF">
      <w:pPr>
        <w:numPr>
          <w:ilvl w:val="0"/>
          <w:numId w:val="8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气瓶应存放在防晒、防潮和通风良好的场所</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不</w:t>
      </w:r>
      <w:r>
        <w:rPr>
          <w:rFonts w:hint="default" w:ascii="Times New Roman" w:hAnsi="Times New Roman" w:cs="Times New Roman"/>
          <w:color w:val="auto"/>
          <w:highlight w:val="none"/>
          <w:shd w:val="clear" w:color="auto" w:fill="auto"/>
          <w:lang w:val="en-US" w:eastAsia="zh-CN"/>
        </w:rPr>
        <w:t>应</w:t>
      </w:r>
      <w:r>
        <w:rPr>
          <w:rFonts w:hint="default" w:ascii="Times New Roman" w:hAnsi="Times New Roman" w:eastAsia="宋体" w:cs="Times New Roman"/>
          <w:color w:val="auto"/>
          <w:highlight w:val="none"/>
          <w:shd w:val="clear" w:color="auto" w:fill="auto"/>
        </w:rPr>
        <w:t>靠近热源和油污的地方</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阀门上不得粘有水分和油污</w:t>
      </w:r>
      <w:r>
        <w:rPr>
          <w:rFonts w:hint="eastAsia" w:ascii="Times New Roman" w:hAnsi="Times New Roman" w:cs="Times New Roman"/>
          <w:color w:val="auto"/>
          <w:highlight w:val="none"/>
          <w:shd w:val="clear" w:color="auto" w:fill="auto"/>
          <w:lang w:eastAsia="zh-CN"/>
        </w:rPr>
        <w:t>；</w:t>
      </w:r>
    </w:p>
    <w:p w14:paraId="04AD52BB">
      <w:pPr>
        <w:numPr>
          <w:ilvl w:val="0"/>
          <w:numId w:val="86"/>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六氟化硫气瓶与其他气瓶不</w:t>
      </w:r>
      <w:r>
        <w:rPr>
          <w:rFonts w:hint="default" w:ascii="Times New Roman" w:hAnsi="Times New Roman" w:cs="Times New Roman"/>
          <w:color w:val="auto"/>
          <w:highlight w:val="none"/>
          <w:shd w:val="clear" w:color="auto" w:fill="auto"/>
          <w:lang w:val="en-US" w:eastAsia="zh-CN"/>
        </w:rPr>
        <w:t>应</w:t>
      </w:r>
      <w:r>
        <w:rPr>
          <w:rFonts w:hint="default" w:ascii="Times New Roman" w:hAnsi="Times New Roman" w:eastAsia="宋体" w:cs="Times New Roman"/>
          <w:color w:val="auto"/>
          <w:highlight w:val="none"/>
          <w:shd w:val="clear" w:color="auto" w:fill="auto"/>
        </w:rPr>
        <w:t>混放。</w:t>
      </w:r>
    </w:p>
    <w:p w14:paraId="67BEE0E3">
      <w:pPr>
        <w:rPr>
          <w:rFonts w:hint="default" w:ascii="Times New Roman" w:hAnsi="Times New Roman" w:eastAsia="宋体" w:cs="Times New Roman"/>
          <w:color w:val="auto"/>
          <w:highlight w:val="none"/>
          <w:shd w:val="clear" w:color="auto" w:fill="auto"/>
          <w:lang w:eastAsia="zh-CN"/>
        </w:rPr>
      </w:pPr>
      <w:r>
        <w:rPr>
          <w:rFonts w:hint="default" w:ascii="Times New Roman" w:hAnsi="Times New Roman" w:eastAsia="宋体" w:cs="Times New Roman"/>
          <w:color w:val="auto"/>
          <w:highlight w:val="none"/>
          <w:shd w:val="clear" w:color="auto" w:fill="auto"/>
          <w:lang w:eastAsia="zh-CN"/>
        </w:rPr>
        <w:t>7.</w:t>
      </w:r>
      <w:r>
        <w:rPr>
          <w:rFonts w:hint="default" w:ascii="Times New Roman" w:hAnsi="Times New Roman" w:cs="Times New Roman"/>
          <w:color w:val="auto"/>
          <w:highlight w:val="none"/>
          <w:shd w:val="clear" w:color="auto" w:fill="auto"/>
          <w:lang w:val="en-US" w:eastAsia="zh-CN"/>
        </w:rPr>
        <w:t>3</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5.4</w:t>
      </w:r>
      <w:r>
        <w:rPr>
          <w:rFonts w:hint="default" w:ascii="Times New Roman" w:hAnsi="Times New Roman" w:eastAsia="宋体" w:cs="Times New Roman"/>
          <w:color w:val="auto"/>
          <w:highlight w:val="none"/>
          <w:shd w:val="clear" w:color="auto" w:fill="auto"/>
          <w:lang w:val="en-US" w:eastAsia="zh-CN"/>
        </w:rPr>
        <w:t xml:space="preserve"> </w:t>
      </w:r>
      <w:r>
        <w:rPr>
          <w:rFonts w:hint="default" w:ascii="Times New Roman" w:hAnsi="Times New Roman" w:eastAsia="宋体" w:cs="Times New Roman"/>
          <w:color w:val="auto"/>
          <w:highlight w:val="none"/>
          <w:shd w:val="clear" w:color="auto" w:fill="auto"/>
        </w:rPr>
        <w:t>六氟化硫气体的充注应符合下列要求</w:t>
      </w:r>
      <w:r>
        <w:rPr>
          <w:rFonts w:hint="default" w:ascii="Times New Roman" w:hAnsi="Times New Roman" w:eastAsia="宋体" w:cs="Times New Roman"/>
          <w:color w:val="auto"/>
          <w:highlight w:val="none"/>
          <w:shd w:val="clear" w:color="auto" w:fill="auto"/>
          <w:lang w:eastAsia="zh-CN"/>
        </w:rPr>
        <w:t>：</w:t>
      </w:r>
    </w:p>
    <w:p w14:paraId="4522F40E">
      <w:pPr>
        <w:numPr>
          <w:ilvl w:val="0"/>
          <w:numId w:val="87"/>
        </w:numPr>
        <w:ind w:left="14" w:leftChars="0" w:firstLine="406" w:firstLineChars="0"/>
        <w:rPr>
          <w:rFonts w:hint="default" w:ascii="Times New Roman" w:hAnsi="Times New Roman" w:eastAsia="宋体" w:cs="Times New Roman"/>
          <w:color w:val="auto"/>
          <w:highlight w:val="none"/>
          <w:shd w:val="clear" w:color="auto" w:fill="auto"/>
        </w:rPr>
      </w:pPr>
      <w:r>
        <w:rPr>
          <w:rFonts w:hint="default" w:ascii="Times New Roman" w:hAnsi="Times New Roman" w:eastAsia="宋体" w:cs="Times New Roman"/>
          <w:color w:val="auto"/>
          <w:highlight w:val="none"/>
          <w:shd w:val="clear" w:color="auto" w:fill="auto"/>
        </w:rPr>
        <w:t>应采用专用的充注设备和管道</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充气设备及管路应洁净、无水分</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无油污</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管路</w:t>
      </w:r>
      <w:r>
        <w:rPr>
          <w:rFonts w:hint="default" w:ascii="Times New Roman" w:hAnsi="Times New Roman" w:eastAsia="宋体" w:cs="Times New Roman"/>
          <w:color w:val="auto"/>
          <w:highlight w:val="none"/>
          <w:shd w:val="clear" w:color="auto" w:fill="auto"/>
          <w:lang w:val="en-US" w:eastAsia="zh-CN"/>
        </w:rPr>
        <w:t>连</w:t>
      </w:r>
      <w:r>
        <w:rPr>
          <w:rFonts w:hint="default" w:ascii="Times New Roman" w:hAnsi="Times New Roman" w:eastAsia="宋体" w:cs="Times New Roman"/>
          <w:color w:val="auto"/>
          <w:highlight w:val="none"/>
          <w:shd w:val="clear" w:color="auto" w:fill="auto"/>
        </w:rPr>
        <w:t>接部分应无渗漏</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充注前应排除管路中的空气</w:t>
      </w:r>
      <w:r>
        <w:rPr>
          <w:rFonts w:hint="eastAsia" w:ascii="Times New Roman" w:hAnsi="Times New Roman" w:cs="Times New Roman"/>
          <w:color w:val="auto"/>
          <w:highlight w:val="none"/>
          <w:shd w:val="clear" w:color="auto" w:fill="auto"/>
          <w:lang w:eastAsia="zh-CN"/>
        </w:rPr>
        <w:t>；</w:t>
      </w:r>
    </w:p>
    <w:p w14:paraId="173E5FC2">
      <w:pPr>
        <w:numPr>
          <w:ilvl w:val="0"/>
          <w:numId w:val="87"/>
        </w:numPr>
        <w:ind w:left="14" w:leftChars="0" w:firstLine="406" w:firstLineChars="0"/>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eastAsia="宋体" w:cs="Times New Roman"/>
          <w:color w:val="auto"/>
          <w:highlight w:val="none"/>
          <w:shd w:val="clear" w:color="auto" w:fill="auto"/>
        </w:rPr>
        <w:t>气体充注前应按产品技术要求对设备内部进行真空处理，真空度及保持时间应符合产品技术文件要求</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真空机组应有防止突然停止或因误操作而引起真空泵油倒灌的措施</w:t>
      </w:r>
      <w:r>
        <w:rPr>
          <w:rFonts w:hint="eastAsia" w:ascii="Times New Roman" w:hAnsi="Times New Roman" w:cs="Times New Roman"/>
          <w:color w:val="auto"/>
          <w:highlight w:val="none"/>
          <w:shd w:val="clear" w:color="auto" w:fill="auto"/>
          <w:lang w:eastAsia="zh-CN"/>
        </w:rPr>
        <w:t>；</w:t>
      </w:r>
    </w:p>
    <w:p w14:paraId="214A981C">
      <w:pPr>
        <w:numPr>
          <w:ilvl w:val="0"/>
          <w:numId w:val="87"/>
        </w:numPr>
        <w:ind w:left="14" w:leftChars="0" w:firstLine="406" w:firstLineChars="0"/>
        <w:rPr>
          <w:rFonts w:hint="default" w:ascii="Times New Roman" w:hAnsi="Times New Roman" w:cs="Times New Roman"/>
          <w:color w:val="auto"/>
          <w:highlight w:val="none"/>
          <w:shd w:val="clear" w:color="auto" w:fill="auto"/>
          <w:lang w:val="en-US" w:eastAsia="zh-CN"/>
        </w:rPr>
      </w:pPr>
      <w:r>
        <w:rPr>
          <w:rFonts w:hint="default" w:ascii="Times New Roman" w:hAnsi="Times New Roman" w:eastAsia="宋体" w:cs="Times New Roman"/>
          <w:color w:val="auto"/>
          <w:highlight w:val="none"/>
          <w:shd w:val="clear" w:color="auto" w:fill="auto"/>
        </w:rPr>
        <w:t>当气室已充有六氟化硫气体</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且含水量检验合格时</w:t>
      </w:r>
      <w:r>
        <w:rPr>
          <w:rFonts w:hint="default" w:ascii="Times New Roman" w:hAnsi="Times New Roman" w:eastAsia="宋体" w:cs="Times New Roman"/>
          <w:color w:val="auto"/>
          <w:highlight w:val="none"/>
          <w:shd w:val="clear" w:color="auto" w:fill="auto"/>
          <w:lang w:eastAsia="zh-CN"/>
        </w:rPr>
        <w:t>，</w:t>
      </w:r>
      <w:r>
        <w:rPr>
          <w:rFonts w:hint="default" w:ascii="Times New Roman" w:hAnsi="Times New Roman" w:eastAsia="宋体" w:cs="Times New Roman"/>
          <w:color w:val="auto"/>
          <w:highlight w:val="none"/>
          <w:shd w:val="clear" w:color="auto" w:fill="auto"/>
        </w:rPr>
        <w:t>可直</w:t>
      </w:r>
      <w:r>
        <w:rPr>
          <w:rFonts w:hint="default" w:ascii="Times New Roman" w:hAnsi="Times New Roman" w:cs="Times New Roman"/>
          <w:color w:val="auto"/>
          <w:highlight w:val="none"/>
          <w:shd w:val="clear" w:color="auto" w:fill="auto"/>
          <w:lang w:val="en-US" w:eastAsia="zh-CN"/>
        </w:rPr>
        <w:t>接</w:t>
      </w:r>
      <w:r>
        <w:rPr>
          <w:rFonts w:hint="default" w:ascii="Times New Roman" w:hAnsi="Times New Roman" w:eastAsia="宋体" w:cs="Times New Roman"/>
          <w:color w:val="auto"/>
          <w:highlight w:val="none"/>
          <w:shd w:val="clear" w:color="auto" w:fill="auto"/>
        </w:rPr>
        <w:t>补气。</w:t>
      </w:r>
    </w:p>
    <w:bookmarkEnd w:id="45"/>
    <w:p w14:paraId="07ACCCD3">
      <w:pPr>
        <w:pStyle w:val="246"/>
        <w:numPr>
          <w:ilvl w:val="1"/>
          <w:numId w:val="0"/>
        </w:numPr>
        <w:tabs>
          <w:tab w:val="left" w:pos="0"/>
        </w:tabs>
        <w:rPr>
          <w:rFonts w:hint="default" w:ascii="黑体" w:hAnsi="黑体" w:eastAsia="黑体" w:cs="黑体"/>
          <w:b w:val="0"/>
          <w:bCs w:val="0"/>
          <w:lang w:val="en-US" w:eastAsia="zh-CN"/>
        </w:rPr>
      </w:pPr>
      <w:bookmarkStart w:id="46" w:name="_Toc3491"/>
      <w:r>
        <w:rPr>
          <w:rFonts w:hint="default" w:ascii="黑体" w:hAnsi="黑体" w:eastAsia="黑体" w:cs="黑体"/>
          <w:b w:val="0"/>
          <w:bCs w:val="0"/>
          <w:lang w:val="en-US" w:eastAsia="zh-CN"/>
        </w:rPr>
        <w:t>7.4  智能化机械化施工</w:t>
      </w:r>
    </w:p>
    <w:p w14:paraId="11464B0C">
      <w:pPr>
        <w:rPr>
          <w:rFonts w:hint="default" w:ascii="Times New Roman" w:hAnsi="Times New Roman" w:cs="Times New Roman"/>
          <w:color w:val="auto"/>
          <w:lang w:val="en-US" w:eastAsia="zh-CN"/>
        </w:rPr>
      </w:pPr>
      <w:r>
        <w:rPr>
          <w:rFonts w:hint="default" w:ascii="Times New Roman" w:hAnsi="Times New Roman" w:eastAsia="宋体" w:cs="Times New Roman"/>
          <w:color w:val="auto"/>
          <w:highlight w:val="none"/>
          <w:shd w:val="clear" w:color="auto" w:fill="auto"/>
          <w:lang w:val="en-US" w:eastAsia="zh-CN"/>
        </w:rPr>
        <w:t>7.</w:t>
      </w:r>
      <w:r>
        <w:rPr>
          <w:rFonts w:hint="default" w:ascii="Times New Roman" w:hAnsi="Times New Roman" w:cs="Times New Roman"/>
          <w:color w:val="auto"/>
          <w:highlight w:val="none"/>
          <w:shd w:val="clear" w:color="auto" w:fill="auto"/>
          <w:lang w:val="en-US" w:eastAsia="zh-CN"/>
        </w:rPr>
        <w:t>4</w:t>
      </w:r>
      <w:r>
        <w:rPr>
          <w:rFonts w:hint="default" w:ascii="Times New Roman" w:hAnsi="Times New Roman" w:eastAsia="宋体" w:cs="Times New Roman"/>
          <w:color w:val="auto"/>
          <w:highlight w:val="none"/>
          <w:shd w:val="clear" w:color="auto" w:fill="auto"/>
          <w:lang w:val="en-US" w:eastAsia="zh-CN"/>
        </w:rPr>
        <w:t xml:space="preserve">.1 </w:t>
      </w:r>
      <w:r>
        <w:rPr>
          <w:rFonts w:hint="default" w:ascii="Times New Roman" w:hAnsi="Times New Roman" w:cs="Times New Roman"/>
          <w:color w:val="auto"/>
          <w:lang w:val="en-US" w:eastAsia="zh-CN"/>
        </w:rPr>
        <w:t>变压器安装可</w:t>
      </w:r>
      <w:r>
        <w:rPr>
          <w:rFonts w:hint="eastAsia" w:ascii="Times New Roman" w:hAnsi="Times New Roman" w:cs="Times New Roman"/>
          <w:color w:val="auto"/>
          <w:lang w:val="en-US" w:eastAsia="zh-CN"/>
        </w:rPr>
        <w:t>采取以下智能化机械化施工措施</w:t>
      </w:r>
      <w:r>
        <w:rPr>
          <w:rFonts w:hint="default" w:ascii="Times New Roman" w:hAnsi="Times New Roman" w:cs="Times New Roman"/>
          <w:color w:val="auto"/>
          <w:lang w:val="en-US" w:eastAsia="zh-CN"/>
        </w:rPr>
        <w:t>：</w:t>
      </w:r>
    </w:p>
    <w:p w14:paraId="3A0582EC">
      <w:pPr>
        <w:numPr>
          <w:ilvl w:val="0"/>
          <w:numId w:val="88"/>
        </w:numPr>
        <w:ind w:left="14" w:leftChars="0" w:firstLine="406" w:firstLineChars="0"/>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eastAsia="宋体" w:cs="Times New Roman"/>
          <w:color w:val="auto"/>
          <w:highlight w:val="none"/>
          <w:shd w:val="clear" w:color="auto" w:fill="auto"/>
          <w:lang w:val="en-US" w:eastAsia="zh-CN"/>
        </w:rPr>
        <w:t>变压器油气处理可采用集中监控系统，对油气处理设备运行状态和各项参数进行远程监控</w:t>
      </w:r>
      <w:r>
        <w:rPr>
          <w:rFonts w:hint="eastAsia" w:ascii="Times New Roman" w:hAnsi="Times New Roman" w:cs="Times New Roman"/>
          <w:color w:val="auto"/>
          <w:highlight w:val="none"/>
          <w:shd w:val="clear" w:color="auto" w:fill="auto"/>
          <w:lang w:val="en-US" w:eastAsia="zh-CN"/>
        </w:rPr>
        <w:t>；</w:t>
      </w:r>
    </w:p>
    <w:p w14:paraId="10EA616C">
      <w:pPr>
        <w:numPr>
          <w:ilvl w:val="0"/>
          <w:numId w:val="88"/>
        </w:numPr>
        <w:ind w:left="14" w:leftChars="0" w:firstLine="406" w:firstLineChars="0"/>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eastAsia="宋体" w:cs="Times New Roman"/>
          <w:color w:val="auto"/>
          <w:highlight w:val="none"/>
          <w:shd w:val="clear" w:color="auto" w:fill="auto"/>
          <w:lang w:val="en-US" w:eastAsia="zh-CN"/>
        </w:rPr>
        <w:t>油气处理设备运行出现异常时，可发出声光报警信号</w:t>
      </w:r>
      <w:r>
        <w:rPr>
          <w:rFonts w:hint="eastAsia" w:ascii="Times New Roman" w:hAnsi="Times New Roman" w:cs="Times New Roman"/>
          <w:color w:val="auto"/>
          <w:highlight w:val="none"/>
          <w:shd w:val="clear" w:color="auto" w:fill="auto"/>
          <w:lang w:val="en-US" w:eastAsia="zh-CN"/>
        </w:rPr>
        <w:t>；</w:t>
      </w:r>
    </w:p>
    <w:p w14:paraId="535F6A6E">
      <w:pPr>
        <w:numPr>
          <w:ilvl w:val="0"/>
          <w:numId w:val="88"/>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eastAsia="宋体" w:cs="Times New Roman"/>
          <w:color w:val="auto"/>
          <w:highlight w:val="none"/>
          <w:shd w:val="clear" w:color="auto" w:fill="auto"/>
          <w:lang w:val="en-US" w:eastAsia="zh-CN"/>
        </w:rPr>
        <w:t>油气处理过程宜配置不少于3个摄像头，实时监控设备阀门及进排油管状态、真空分离罐液位情况、集控室</w:t>
      </w:r>
      <w:r>
        <w:rPr>
          <w:rFonts w:hint="default" w:ascii="Times New Roman" w:hAnsi="Times New Roman" w:eastAsia="宋体" w:cs="Times New Roman"/>
          <w:kern w:val="0"/>
          <w:sz w:val="21"/>
          <w:szCs w:val="22"/>
          <w:lang w:val="en-US" w:eastAsia="zh-CN" w:bidi="ar-SA"/>
        </w:rPr>
        <w:t>值班情况等</w:t>
      </w:r>
      <w:r>
        <w:rPr>
          <w:rFonts w:hint="default" w:ascii="Times New Roman" w:hAnsi="Times New Roman" w:cs="Times New Roman"/>
          <w:color w:val="auto"/>
          <w:lang w:val="en-US" w:eastAsia="zh-CN"/>
        </w:rPr>
        <w:t>。</w:t>
      </w:r>
    </w:p>
    <w:p w14:paraId="401D513C">
      <w:pPr>
        <w:rPr>
          <w:rFonts w:hint="default" w:ascii="Times New Roman" w:hAnsi="Times New Roman" w:eastAsia="宋体" w:cs="Times New Roman"/>
          <w:kern w:val="0"/>
          <w:sz w:val="21"/>
          <w:szCs w:val="22"/>
          <w:lang w:val="en-US" w:eastAsia="zh-CN" w:bidi="ar-SA"/>
        </w:rPr>
      </w:pPr>
      <w:r>
        <w:rPr>
          <w:rFonts w:hint="default" w:ascii="Times New Roman" w:hAnsi="Times New Roman" w:eastAsia="宋体" w:cs="Times New Roman"/>
          <w:kern w:val="0"/>
          <w:sz w:val="21"/>
          <w:szCs w:val="22"/>
          <w:lang w:val="en-US" w:eastAsia="zh-CN" w:bidi="ar-SA"/>
        </w:rPr>
        <w:t>7.4.2</w:t>
      </w:r>
      <w:r>
        <w:rPr>
          <w:rFonts w:hint="default" w:ascii="Times New Roman" w:hAnsi="Times New Roman" w:cs="Times New Roman"/>
          <w:kern w:val="0"/>
          <w:sz w:val="21"/>
          <w:szCs w:val="22"/>
          <w:lang w:val="en-US" w:eastAsia="zh-CN" w:bidi="ar-SA"/>
        </w:rPr>
        <w:t xml:space="preserve"> </w:t>
      </w:r>
      <w:r>
        <w:rPr>
          <w:rFonts w:hint="default" w:ascii="Times New Roman" w:hAnsi="Times New Roman" w:eastAsia="宋体" w:cs="Times New Roman"/>
          <w:kern w:val="0"/>
          <w:sz w:val="21"/>
          <w:szCs w:val="22"/>
          <w:lang w:val="en-US" w:eastAsia="zh-CN" w:bidi="ar-SA"/>
        </w:rPr>
        <w:t xml:space="preserve"> GIS安装可</w:t>
      </w:r>
      <w:r>
        <w:rPr>
          <w:rFonts w:hint="eastAsia" w:ascii="Times New Roman" w:hAnsi="Times New Roman" w:cs="Times New Roman"/>
          <w:color w:val="auto"/>
          <w:lang w:val="en-US" w:eastAsia="zh-CN"/>
        </w:rPr>
        <w:t>采取以下智能化机械化施工措施</w:t>
      </w:r>
      <w:r>
        <w:rPr>
          <w:rFonts w:hint="default" w:ascii="Times New Roman" w:hAnsi="Times New Roman" w:eastAsia="宋体" w:cs="Times New Roman"/>
          <w:kern w:val="0"/>
          <w:sz w:val="21"/>
          <w:szCs w:val="22"/>
          <w:lang w:val="en-US" w:eastAsia="zh-CN" w:bidi="ar-SA"/>
        </w:rPr>
        <w:t>：</w:t>
      </w:r>
    </w:p>
    <w:p w14:paraId="4113FA39">
      <w:pPr>
        <w:numPr>
          <w:ilvl w:val="0"/>
          <w:numId w:val="89"/>
        </w:numPr>
        <w:ind w:left="14" w:leftChars="0" w:firstLine="406" w:firstLineChars="0"/>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cs="Times New Roman"/>
          <w:color w:val="auto"/>
          <w:lang w:val="en-US" w:eastAsia="zh-CN"/>
        </w:rPr>
        <w:t>室</w:t>
      </w:r>
      <w:r>
        <w:rPr>
          <w:rFonts w:hint="default" w:ascii="Times New Roman" w:hAnsi="Times New Roman" w:eastAsia="宋体" w:cs="Times New Roman"/>
          <w:color w:val="auto"/>
          <w:highlight w:val="none"/>
          <w:shd w:val="clear" w:color="auto" w:fill="auto"/>
          <w:lang w:val="en-US" w:eastAsia="zh-CN"/>
        </w:rPr>
        <w:t>内GIS可采用气垫运输装置进行运输就位</w:t>
      </w:r>
      <w:r>
        <w:rPr>
          <w:rFonts w:hint="eastAsia" w:ascii="Times New Roman" w:hAnsi="Times New Roman" w:cs="Times New Roman"/>
          <w:color w:val="auto"/>
          <w:highlight w:val="none"/>
          <w:shd w:val="clear" w:color="auto" w:fill="auto"/>
          <w:lang w:val="en-US" w:eastAsia="zh-CN"/>
        </w:rPr>
        <w:t>；</w:t>
      </w:r>
    </w:p>
    <w:p w14:paraId="59AC54DA">
      <w:pPr>
        <w:numPr>
          <w:ilvl w:val="0"/>
          <w:numId w:val="89"/>
        </w:numPr>
        <w:ind w:left="14" w:leftChars="0" w:firstLine="406" w:firstLineChars="0"/>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eastAsia="宋体" w:cs="Times New Roman"/>
          <w:color w:val="auto"/>
          <w:highlight w:val="none"/>
          <w:shd w:val="clear" w:color="auto" w:fill="auto"/>
          <w:lang w:val="en-US" w:eastAsia="zh-CN"/>
        </w:rPr>
        <w:t>GIS对接可采用智能化防尘棚，集除尘、除湿、控温、换气一体，通过新风辅助系统自动调节，有效控制温度、湿度、洁净度</w:t>
      </w:r>
      <w:r>
        <w:rPr>
          <w:rFonts w:hint="eastAsia" w:ascii="Times New Roman" w:hAnsi="Times New Roman" w:cs="Times New Roman"/>
          <w:color w:val="auto"/>
          <w:highlight w:val="none"/>
          <w:shd w:val="clear" w:color="auto" w:fill="auto"/>
          <w:lang w:val="en-US" w:eastAsia="zh-CN"/>
        </w:rPr>
        <w:t>；</w:t>
      </w:r>
    </w:p>
    <w:p w14:paraId="4311C839">
      <w:pPr>
        <w:numPr>
          <w:ilvl w:val="0"/>
          <w:numId w:val="89"/>
        </w:numPr>
        <w:ind w:left="14" w:leftChars="0" w:firstLine="406" w:firstLineChars="0"/>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eastAsia="宋体" w:cs="Times New Roman"/>
          <w:color w:val="auto"/>
          <w:highlight w:val="none"/>
          <w:shd w:val="clear" w:color="auto" w:fill="auto"/>
          <w:lang w:val="en-US" w:eastAsia="zh-CN"/>
        </w:rPr>
        <w:t>GIS安装过程可配置监控系统，设置点对点摄像头，实时监测并记录安装过程</w:t>
      </w:r>
      <w:r>
        <w:rPr>
          <w:rFonts w:hint="eastAsia" w:ascii="Times New Roman" w:hAnsi="Times New Roman" w:cs="Times New Roman"/>
          <w:color w:val="auto"/>
          <w:highlight w:val="none"/>
          <w:shd w:val="clear" w:color="auto" w:fill="auto"/>
          <w:lang w:val="en-US" w:eastAsia="zh-CN"/>
        </w:rPr>
        <w:t>；</w:t>
      </w:r>
    </w:p>
    <w:p w14:paraId="5B7DA5B1">
      <w:pPr>
        <w:numPr>
          <w:ilvl w:val="0"/>
          <w:numId w:val="89"/>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eastAsia="宋体" w:cs="Times New Roman"/>
          <w:color w:val="auto"/>
          <w:highlight w:val="none"/>
          <w:shd w:val="clear" w:color="auto" w:fill="auto"/>
          <w:lang w:val="en-US" w:eastAsia="zh-CN"/>
        </w:rPr>
        <w:t>GIS安装可配</w:t>
      </w:r>
      <w:r>
        <w:rPr>
          <w:rFonts w:hint="default" w:ascii="Times New Roman" w:hAnsi="Times New Roman" w:eastAsia="宋体" w:cs="Times New Roman"/>
          <w:kern w:val="0"/>
          <w:sz w:val="21"/>
          <w:szCs w:val="22"/>
          <w:lang w:val="en-US" w:eastAsia="zh-CN" w:bidi="ar-SA"/>
        </w:rPr>
        <w:t>置自动报警功能，当监测到空气温度、湿度、洁净度超过报警限值时，启动报警并自动调节</w:t>
      </w:r>
      <w:r>
        <w:rPr>
          <w:rFonts w:hint="default" w:ascii="Times New Roman" w:hAnsi="Times New Roman" w:cs="Times New Roman"/>
          <w:color w:val="auto"/>
          <w:lang w:val="en-US" w:eastAsia="zh-CN"/>
        </w:rPr>
        <w:t>。</w:t>
      </w:r>
    </w:p>
    <w:p w14:paraId="0D661072">
      <w:pPr>
        <w:pStyle w:val="246"/>
        <w:numPr>
          <w:ilvl w:val="1"/>
          <w:numId w:val="0"/>
        </w:numPr>
        <w:tabs>
          <w:tab w:val="left" w:pos="0"/>
        </w:tabs>
        <w:rPr>
          <w:rFonts w:hint="default" w:ascii="黑体" w:hAnsi="黑体" w:eastAsia="黑体" w:cs="黑体"/>
          <w:b w:val="0"/>
          <w:bCs w:val="0"/>
          <w:lang w:val="en-US" w:eastAsia="zh-CN"/>
        </w:rPr>
      </w:pPr>
      <w:r>
        <w:rPr>
          <w:rFonts w:hint="default" w:ascii="黑体" w:hAnsi="黑体" w:eastAsia="黑体" w:cs="黑体"/>
          <w:b w:val="0"/>
          <w:bCs w:val="0"/>
          <w:lang w:val="en-US" w:eastAsia="zh-CN"/>
        </w:rPr>
        <w:t>7.5  绿色</w:t>
      </w:r>
      <w:r>
        <w:rPr>
          <w:rFonts w:hint="eastAsia" w:hAnsi="黑体" w:cs="黑体"/>
          <w:b w:val="0"/>
          <w:bCs w:val="0"/>
          <w:lang w:val="en-US" w:eastAsia="zh-CN"/>
        </w:rPr>
        <w:t>化</w:t>
      </w:r>
      <w:r>
        <w:rPr>
          <w:rFonts w:hint="default" w:ascii="黑体" w:hAnsi="黑体" w:eastAsia="黑体" w:cs="黑体"/>
          <w:b w:val="0"/>
          <w:bCs w:val="0"/>
          <w:lang w:val="en-US" w:eastAsia="zh-CN"/>
        </w:rPr>
        <w:t>施工</w:t>
      </w:r>
    </w:p>
    <w:p w14:paraId="24623DB2">
      <w:pPr>
        <w:rPr>
          <w:rFonts w:hint="default" w:ascii="Times New Roman" w:hAnsi="Times New Roman" w:cs="Times New Roman"/>
          <w:color w:val="auto"/>
          <w:lang w:val="en-US" w:eastAsia="zh-CN"/>
        </w:rPr>
      </w:pPr>
      <w:r>
        <w:rPr>
          <w:rFonts w:hint="default" w:ascii="Times New Roman" w:hAnsi="Times New Roman" w:eastAsia="宋体" w:cs="Times New Roman"/>
          <w:color w:val="auto"/>
          <w:highlight w:val="none"/>
          <w:shd w:val="clear" w:color="auto" w:fill="auto"/>
          <w:lang w:val="en-US" w:eastAsia="zh-CN"/>
        </w:rPr>
        <w:t>7.</w:t>
      </w:r>
      <w:r>
        <w:rPr>
          <w:rFonts w:hint="default" w:ascii="Times New Roman" w:hAnsi="Times New Roman" w:cs="Times New Roman"/>
          <w:color w:val="auto"/>
          <w:highlight w:val="none"/>
          <w:shd w:val="clear" w:color="auto" w:fill="auto"/>
          <w:lang w:val="en-US" w:eastAsia="zh-CN"/>
        </w:rPr>
        <w:t>5</w:t>
      </w:r>
      <w:r>
        <w:rPr>
          <w:rFonts w:hint="default" w:ascii="Times New Roman" w:hAnsi="Times New Roman" w:eastAsia="宋体" w:cs="Times New Roman"/>
          <w:color w:val="auto"/>
          <w:highlight w:val="none"/>
          <w:shd w:val="clear" w:color="auto" w:fill="auto"/>
          <w:lang w:val="en-US" w:eastAsia="zh-CN"/>
        </w:rPr>
        <w:t xml:space="preserve">.1 </w:t>
      </w:r>
      <w:r>
        <w:rPr>
          <w:rFonts w:hint="default" w:ascii="Times New Roman" w:hAnsi="Times New Roman" w:cs="Times New Roman"/>
          <w:color w:val="auto"/>
          <w:lang w:val="en-US" w:eastAsia="zh-CN"/>
        </w:rPr>
        <w:t>变压</w:t>
      </w:r>
      <w:r>
        <w:rPr>
          <w:rFonts w:hint="default" w:ascii="Times New Roman" w:hAnsi="Times New Roman" w:eastAsia="宋体" w:cs="Times New Roman"/>
          <w:color w:val="auto"/>
          <w:highlight w:val="none"/>
          <w:shd w:val="clear" w:color="auto" w:fill="auto"/>
          <w:lang w:val="en-US" w:eastAsia="zh-CN"/>
        </w:rPr>
        <w:t>器安</w:t>
      </w:r>
      <w:r>
        <w:rPr>
          <w:rFonts w:hint="default" w:ascii="Times New Roman" w:hAnsi="Times New Roman" w:cs="Times New Roman"/>
          <w:color w:val="auto"/>
          <w:lang w:val="en-US" w:eastAsia="zh-CN"/>
        </w:rPr>
        <w:t>装应采取以下绿色</w:t>
      </w:r>
      <w:r>
        <w:rPr>
          <w:rFonts w:hint="eastAsia" w:ascii="Times New Roman" w:hAnsi="Times New Roman" w:cs="Times New Roman"/>
          <w:color w:val="auto"/>
          <w:lang w:val="en-US" w:eastAsia="zh-CN"/>
        </w:rPr>
        <w:t>化</w:t>
      </w:r>
      <w:r>
        <w:rPr>
          <w:rFonts w:hint="default" w:ascii="Times New Roman" w:hAnsi="Times New Roman" w:cs="Times New Roman"/>
          <w:color w:val="auto"/>
          <w:lang w:val="en-US" w:eastAsia="zh-CN"/>
        </w:rPr>
        <w:t>施工措施：</w:t>
      </w:r>
    </w:p>
    <w:p w14:paraId="1F4B0B22">
      <w:pPr>
        <w:numPr>
          <w:ilvl w:val="0"/>
          <w:numId w:val="90"/>
        </w:numPr>
        <w:ind w:left="14" w:leftChars="0" w:firstLine="406" w:firstLineChars="0"/>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cs="Times New Roman"/>
          <w:color w:val="auto"/>
          <w:lang w:val="en-US" w:eastAsia="zh-CN"/>
        </w:rPr>
        <w:t>绝缘油到场后应使用专用</w:t>
      </w:r>
      <w:r>
        <w:rPr>
          <w:rFonts w:hint="default" w:ascii="Times New Roman" w:hAnsi="Times New Roman" w:eastAsia="宋体" w:cs="Times New Roman"/>
          <w:kern w:val="0"/>
          <w:sz w:val="21"/>
          <w:szCs w:val="22"/>
          <w:lang w:val="en-US" w:eastAsia="zh-CN" w:bidi="ar-SA"/>
        </w:rPr>
        <w:t>油罐放置在指定区域，不</w:t>
      </w:r>
      <w:r>
        <w:rPr>
          <w:rFonts w:hint="default" w:ascii="Times New Roman" w:hAnsi="Times New Roman" w:cs="Times New Roman"/>
          <w:kern w:val="0"/>
          <w:sz w:val="21"/>
          <w:szCs w:val="22"/>
          <w:lang w:val="en-US" w:eastAsia="zh-CN" w:bidi="ar-SA"/>
        </w:rPr>
        <w:t>应</w:t>
      </w:r>
      <w:r>
        <w:rPr>
          <w:rFonts w:hint="default" w:ascii="Times New Roman" w:hAnsi="Times New Roman" w:eastAsia="宋体" w:cs="Times New Roman"/>
          <w:kern w:val="0"/>
          <w:sz w:val="21"/>
          <w:szCs w:val="22"/>
          <w:lang w:val="en-US" w:eastAsia="zh-CN" w:bidi="ar-SA"/>
        </w:rPr>
        <w:t>使用储放过其他油类或不清洁的容器，</w:t>
      </w:r>
      <w:r>
        <w:rPr>
          <w:rFonts w:hint="default" w:ascii="Times New Roman" w:hAnsi="Times New Roman" w:cs="Times New Roman"/>
          <w:kern w:val="0"/>
          <w:sz w:val="21"/>
          <w:szCs w:val="22"/>
          <w:lang w:val="en-US" w:eastAsia="zh-CN" w:bidi="ar-SA"/>
        </w:rPr>
        <w:t>不应</w:t>
      </w:r>
      <w:r>
        <w:rPr>
          <w:rFonts w:hint="default" w:ascii="Times New Roman" w:hAnsi="Times New Roman" w:eastAsia="宋体" w:cs="Times New Roman"/>
          <w:color w:val="auto"/>
          <w:highlight w:val="none"/>
          <w:shd w:val="clear" w:color="auto" w:fill="auto"/>
          <w:lang w:val="en-US" w:eastAsia="zh-CN"/>
        </w:rPr>
        <w:t>直接放置于草坪、土壤上。堆放地面应设置防油措施，废油、残油应统一回收处理并做好记录</w:t>
      </w:r>
      <w:r>
        <w:rPr>
          <w:rFonts w:hint="eastAsia" w:ascii="Times New Roman" w:hAnsi="Times New Roman" w:cs="Times New Roman"/>
          <w:color w:val="auto"/>
          <w:highlight w:val="none"/>
          <w:shd w:val="clear" w:color="auto" w:fill="auto"/>
          <w:lang w:val="en-US" w:eastAsia="zh-CN"/>
        </w:rPr>
        <w:t>；</w:t>
      </w:r>
    </w:p>
    <w:p w14:paraId="0EBD0371">
      <w:pPr>
        <w:numPr>
          <w:ilvl w:val="0"/>
          <w:numId w:val="90"/>
        </w:numPr>
        <w:ind w:left="14" w:leftChars="0" w:firstLine="406" w:firstLineChars="0"/>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eastAsia="宋体" w:cs="Times New Roman"/>
          <w:color w:val="auto"/>
          <w:highlight w:val="none"/>
          <w:shd w:val="clear" w:color="auto" w:fill="auto"/>
          <w:lang w:val="en-US" w:eastAsia="zh-CN"/>
        </w:rPr>
        <w:t>真空注油、热油循环、滤油前，应对设备、油管、连接阀等进行检查，并用新油进行冲洗，避免不合格绝缘油及杂质进入器身。滤油前，变压器、滤油设备及油管路应采取防泄漏措施并可靠接地</w:t>
      </w:r>
      <w:r>
        <w:rPr>
          <w:rFonts w:hint="eastAsia" w:ascii="Times New Roman" w:hAnsi="Times New Roman" w:cs="Times New Roman"/>
          <w:color w:val="auto"/>
          <w:highlight w:val="none"/>
          <w:shd w:val="clear" w:color="auto" w:fill="auto"/>
          <w:lang w:val="en-US" w:eastAsia="zh-CN"/>
        </w:rPr>
        <w:t>；</w:t>
      </w:r>
    </w:p>
    <w:p w14:paraId="282ED32E">
      <w:pPr>
        <w:numPr>
          <w:ilvl w:val="0"/>
          <w:numId w:val="90"/>
        </w:numPr>
        <w:ind w:left="14" w:leftChars="0" w:firstLine="406" w:firstLineChars="0"/>
        <w:rPr>
          <w:rFonts w:hint="default" w:ascii="Times New Roman" w:hAnsi="Times New Roman" w:eastAsia="宋体" w:cs="Times New Roman"/>
          <w:color w:val="auto"/>
          <w:highlight w:val="none"/>
          <w:shd w:val="clear" w:color="auto" w:fill="auto"/>
          <w:lang w:val="en-US" w:eastAsia="zh-CN"/>
        </w:rPr>
      </w:pPr>
      <w:r>
        <w:rPr>
          <w:rFonts w:hint="default" w:ascii="Times New Roman" w:hAnsi="Times New Roman" w:eastAsia="宋体" w:cs="Times New Roman"/>
          <w:color w:val="auto"/>
          <w:highlight w:val="none"/>
          <w:shd w:val="clear" w:color="auto" w:fill="auto"/>
          <w:lang w:val="en-US" w:eastAsia="zh-CN"/>
        </w:rPr>
        <w:t>变压器内检人员应着连体防尘服、防尘帽、鞋套等个人防尘用品。内检后，浸油的鞋套、手套、抹布应做好回收处理，不得随意丢弃污染环境</w:t>
      </w:r>
      <w:r>
        <w:rPr>
          <w:rFonts w:hint="eastAsia" w:ascii="Times New Roman" w:hAnsi="Times New Roman" w:cs="Times New Roman"/>
          <w:color w:val="auto"/>
          <w:highlight w:val="none"/>
          <w:shd w:val="clear" w:color="auto" w:fill="auto"/>
          <w:lang w:val="en-US" w:eastAsia="zh-CN"/>
        </w:rPr>
        <w:t>；</w:t>
      </w:r>
    </w:p>
    <w:p w14:paraId="388EC91A">
      <w:pPr>
        <w:numPr>
          <w:ilvl w:val="0"/>
          <w:numId w:val="90"/>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eastAsia="宋体" w:cs="Times New Roman"/>
          <w:color w:val="auto"/>
          <w:highlight w:val="none"/>
          <w:shd w:val="clear" w:color="auto" w:fill="auto"/>
          <w:lang w:val="en-US" w:eastAsia="zh-CN"/>
        </w:rPr>
        <w:t>器身检查和接线</w:t>
      </w:r>
      <w:r>
        <w:rPr>
          <w:rFonts w:hint="default" w:ascii="Times New Roman" w:hAnsi="Times New Roman" w:cs="Times New Roman"/>
          <w:color w:val="auto"/>
          <w:lang w:val="en-US" w:eastAsia="zh-CN"/>
        </w:rPr>
        <w:t>时所有工器具应拴绳、登记、清点，避免工具及杂物遗留在器身内。</w:t>
      </w:r>
    </w:p>
    <w:p w14:paraId="25020042">
      <w:pPr>
        <w:rPr>
          <w:rFonts w:hint="default" w:ascii="Times New Roman" w:hAnsi="Times New Roman" w:cs="Times New Roman"/>
          <w:color w:val="auto"/>
          <w:lang w:val="en-US" w:eastAsia="zh-CN"/>
        </w:rPr>
      </w:pPr>
      <w:r>
        <w:rPr>
          <w:rFonts w:hint="default" w:ascii="Times New Roman" w:hAnsi="Times New Roman" w:eastAsia="宋体" w:cs="Times New Roman"/>
          <w:color w:val="auto"/>
          <w:highlight w:val="none"/>
          <w:shd w:val="clear" w:color="auto" w:fill="auto"/>
          <w:lang w:val="en-US" w:eastAsia="zh-CN"/>
        </w:rPr>
        <w:t>7.</w:t>
      </w:r>
      <w:r>
        <w:rPr>
          <w:rFonts w:hint="default" w:ascii="Times New Roman" w:hAnsi="Times New Roman" w:cs="Times New Roman"/>
          <w:color w:val="auto"/>
          <w:highlight w:val="none"/>
          <w:shd w:val="clear" w:color="auto" w:fill="auto"/>
          <w:lang w:val="en-US" w:eastAsia="zh-CN"/>
        </w:rPr>
        <w:t>5</w:t>
      </w:r>
      <w:r>
        <w:rPr>
          <w:rFonts w:hint="default" w:ascii="Times New Roman" w:hAnsi="Times New Roman" w:eastAsia="宋体" w:cs="Times New Roman"/>
          <w:color w:val="auto"/>
          <w:highlight w:val="none"/>
          <w:shd w:val="clear" w:color="auto" w:fill="auto"/>
          <w:lang w:val="en-US" w:eastAsia="zh-CN"/>
        </w:rPr>
        <w:t xml:space="preserve">.2 </w:t>
      </w:r>
      <w:r>
        <w:rPr>
          <w:rFonts w:hint="default" w:ascii="Times New Roman" w:hAnsi="Times New Roman" w:cs="Times New Roman"/>
          <w:color w:val="auto"/>
          <w:lang w:val="en-US" w:eastAsia="zh-CN"/>
        </w:rPr>
        <w:t xml:space="preserve"> GI</w:t>
      </w:r>
      <w:r>
        <w:rPr>
          <w:rFonts w:hint="default" w:ascii="Times New Roman" w:hAnsi="Times New Roman" w:eastAsia="宋体" w:cs="Times New Roman"/>
          <w:color w:val="auto"/>
          <w:highlight w:val="none"/>
          <w:shd w:val="clear" w:color="auto" w:fill="auto"/>
          <w:lang w:val="en-US" w:eastAsia="zh-CN"/>
        </w:rPr>
        <w:t>S安装</w:t>
      </w:r>
      <w:r>
        <w:rPr>
          <w:rFonts w:hint="default" w:ascii="Times New Roman" w:hAnsi="Times New Roman" w:cs="Times New Roman"/>
          <w:color w:val="auto"/>
          <w:lang w:val="en-US" w:eastAsia="zh-CN"/>
        </w:rPr>
        <w:t>应采取以下绿色</w:t>
      </w:r>
      <w:r>
        <w:rPr>
          <w:rFonts w:hint="eastAsia" w:ascii="Times New Roman" w:hAnsi="Times New Roman" w:cs="Times New Roman"/>
          <w:color w:val="auto"/>
          <w:lang w:val="en-US" w:eastAsia="zh-CN"/>
        </w:rPr>
        <w:t>化</w:t>
      </w:r>
      <w:r>
        <w:rPr>
          <w:rFonts w:hint="default" w:ascii="Times New Roman" w:hAnsi="Times New Roman" w:cs="Times New Roman"/>
          <w:color w:val="auto"/>
          <w:lang w:val="en-US" w:eastAsia="zh-CN"/>
        </w:rPr>
        <w:t>施工措施：</w:t>
      </w:r>
    </w:p>
    <w:p w14:paraId="7748C83B">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GIS安装场地装修工作应完成，门窗孔洞封堵完成，房间内清洁、通风良好，地面应安装气体监测报警装置</w:t>
      </w:r>
      <w:r>
        <w:rPr>
          <w:rFonts w:hint="eastAsia" w:ascii="Times New Roman" w:hAnsi="Times New Roman" w:cs="Times New Roman"/>
          <w:color w:val="auto"/>
          <w:lang w:val="en-US" w:eastAsia="zh-CN"/>
        </w:rPr>
        <w:t>；</w:t>
      </w:r>
    </w:p>
    <w:p w14:paraId="08C17E67">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GIS安装应满足无尘化要求，施工区域的环境洁净度需达到百万级以上。现场应配备风淋房、颗粒物检测仪、温湿度计、除湿器、空气净化器等，室外作业应满足防尘条件</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GIS设备吊装应使用合成纤维吊装带，设备安装时作业人员应着连体防尘服、防尘帽、鞋套等个人防尘用品，内腔安装人员不应佩戴棉手套</w:t>
      </w:r>
      <w:r>
        <w:rPr>
          <w:rFonts w:hint="eastAsia" w:ascii="Times New Roman" w:hAnsi="Times New Roman" w:cs="Times New Roman"/>
          <w:color w:val="auto"/>
          <w:lang w:val="en-US" w:eastAsia="zh-CN"/>
        </w:rPr>
        <w:t>；</w:t>
      </w:r>
    </w:p>
    <w:p w14:paraId="24610525">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GIS安装完成后，可使用 X光等无损检测方法对 GIS内部进行检查，防止异物遗留。</w:t>
      </w:r>
    </w:p>
    <w:p w14:paraId="2577FDB9">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GIS搬运要加强地面成品保护，宜采用气垫运输新技术，提高就位工作效率</w:t>
      </w:r>
      <w:r>
        <w:rPr>
          <w:rFonts w:hint="eastAsia" w:ascii="Times New Roman" w:hAnsi="Times New Roman" w:cs="Times New Roman"/>
          <w:color w:val="auto"/>
          <w:lang w:val="en-US" w:eastAsia="zh-CN"/>
        </w:rPr>
        <w:t>；</w:t>
      </w:r>
    </w:p>
    <w:p w14:paraId="0182B285">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SF6断路器到达现场后应对设备气体管道采取防护措施，避免因管道受损致使 SF6气体泄漏</w:t>
      </w:r>
      <w:r>
        <w:rPr>
          <w:rFonts w:hint="eastAsia" w:ascii="Times New Roman" w:hAnsi="Times New Roman" w:cs="Times New Roman"/>
          <w:color w:val="auto"/>
          <w:lang w:val="en-US" w:eastAsia="zh-CN"/>
        </w:rPr>
        <w:t>；</w:t>
      </w:r>
    </w:p>
    <w:p w14:paraId="66843C93">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SF6断路器不应在现场解体检查，如需进行现场解体或内检，应按GB 50147中SF6断路器的有关规定进行操作</w:t>
      </w:r>
      <w:r>
        <w:rPr>
          <w:rFonts w:hint="eastAsia" w:ascii="Times New Roman" w:hAnsi="Times New Roman" w:cs="Times New Roman"/>
          <w:color w:val="auto"/>
          <w:lang w:val="en-US" w:eastAsia="zh-CN"/>
        </w:rPr>
        <w:t>；</w:t>
      </w:r>
    </w:p>
    <w:p w14:paraId="61674DF6">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抽真空、注气前，应对设备、气管、连接阀等进行检查，避免 SF6气体泄漏</w:t>
      </w:r>
      <w:r>
        <w:rPr>
          <w:rFonts w:hint="eastAsia" w:ascii="Times New Roman" w:hAnsi="Times New Roman" w:cs="Times New Roman"/>
          <w:color w:val="auto"/>
          <w:lang w:val="en-US" w:eastAsia="zh-CN"/>
        </w:rPr>
        <w:t>；</w:t>
      </w:r>
    </w:p>
    <w:p w14:paraId="28796395">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SF6气瓶的搬运和保管过程中，气瓶的安全帽、防震圈应齐全，且安全帽应拧紧；气瓶应存放在防晒、防潮和通风良好的场所；SF6气瓶应单独存放</w:t>
      </w:r>
      <w:r>
        <w:rPr>
          <w:rFonts w:hint="eastAsia" w:ascii="Times New Roman" w:hAnsi="Times New Roman" w:cs="Times New Roman"/>
          <w:color w:val="auto"/>
          <w:lang w:val="en-US" w:eastAsia="zh-CN"/>
        </w:rPr>
        <w:t>；</w:t>
      </w:r>
    </w:p>
    <w:p w14:paraId="6AAC6572">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现场SF6气体需回收时应配备气体回收装置，回收的气体应统一处理，宜使用SF6气体回收净化装置</w:t>
      </w:r>
      <w:r>
        <w:rPr>
          <w:rFonts w:hint="eastAsia" w:ascii="Times New Roman" w:hAnsi="Times New Roman" w:cs="Times New Roman"/>
          <w:color w:val="auto"/>
          <w:lang w:val="en-US" w:eastAsia="zh-CN"/>
        </w:rPr>
        <w:t>；</w:t>
      </w:r>
    </w:p>
    <w:p w14:paraId="0567F444">
      <w:pPr>
        <w:numPr>
          <w:ilvl w:val="0"/>
          <w:numId w:val="91"/>
        </w:numPr>
        <w:ind w:left="14" w:leftChars="0" w:firstLine="406"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安装结束后应进行SF6气体检漏，如有泄漏，应迅速使用气体回收装置回收气体，并现场处理或安排返厂检修。</w:t>
      </w:r>
    </w:p>
    <w:p w14:paraId="4582C761">
      <w:pPr>
        <w:pStyle w:val="110"/>
        <w:spacing w:before="240" w:after="240" w:line="360" w:lineRule="auto"/>
        <w:rPr>
          <w:rFonts w:hint="default" w:ascii="Times New Roman" w:hAnsi="Times New Roman" w:cs="Times New Roman"/>
          <w:color w:val="000000"/>
          <w:lang w:val="en-US" w:eastAsia="zh-CN"/>
        </w:rPr>
      </w:pPr>
      <w:bookmarkStart w:id="47" w:name="_Toc15737"/>
      <w:r>
        <w:rPr>
          <w:rFonts w:hint="default" w:ascii="Times New Roman" w:hAnsi="Times New Roman" w:cs="Times New Roman"/>
          <w:color w:val="000000"/>
          <w:lang w:val="en-US" w:eastAsia="zh-CN"/>
        </w:rPr>
        <w:t>交接试验</w:t>
      </w:r>
      <w:bookmarkEnd w:id="47"/>
    </w:p>
    <w:p w14:paraId="74FAE924">
      <w:pPr>
        <w:pStyle w:val="246"/>
        <w:numPr>
          <w:ilvl w:val="1"/>
          <w:numId w:val="0"/>
        </w:numPr>
        <w:tabs>
          <w:tab w:val="left" w:pos="0"/>
        </w:tabs>
        <w:rPr>
          <w:rFonts w:hint="default" w:ascii="黑体" w:hAnsi="黑体" w:eastAsia="黑体" w:cs="黑体"/>
          <w:b w:val="0"/>
          <w:bCs w:val="0"/>
        </w:rPr>
      </w:pPr>
      <w:r>
        <w:rPr>
          <w:rFonts w:hint="default" w:ascii="黑体" w:hAnsi="黑体" w:eastAsia="黑体" w:cs="黑体"/>
          <w:b w:val="0"/>
          <w:bCs w:val="0"/>
          <w:lang w:val="en-US" w:eastAsia="zh-CN"/>
        </w:rPr>
        <w:t>8.1  电力</w:t>
      </w:r>
      <w:r>
        <w:rPr>
          <w:rFonts w:hint="default" w:ascii="黑体" w:hAnsi="黑体" w:eastAsia="黑体" w:cs="黑体"/>
          <w:b w:val="0"/>
          <w:bCs w:val="0"/>
        </w:rPr>
        <w:t>变压器</w:t>
      </w:r>
    </w:p>
    <w:p w14:paraId="02A6ADEB">
      <w:pP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8.</w:t>
      </w:r>
      <w:r>
        <w:rPr>
          <w:rFonts w:hint="default" w:ascii="Times New Roman" w:hAnsi="Times New Roman" w:cs="Times New Roman"/>
          <w:color w:val="auto"/>
          <w:highlight w:val="none"/>
          <w:lang w:val="en-US" w:eastAsia="zh-CN"/>
        </w:rPr>
        <w:t>1</w:t>
      </w:r>
      <w:r>
        <w:rPr>
          <w:rFonts w:hint="default" w:ascii="Times New Roman" w:hAnsi="Times New Roman" w:eastAsia="宋体" w:cs="Times New Roman"/>
          <w:color w:val="auto"/>
          <w:highlight w:val="none"/>
          <w:lang w:val="en-US" w:eastAsia="zh-CN"/>
        </w:rPr>
        <w:t>.1 容量为1600kVA</w:t>
      </w:r>
      <w:r>
        <w:rPr>
          <w:rFonts w:hint="default" w:ascii="Times New Roman" w:hAnsi="Times New Roman" w:cs="Times New Roman"/>
          <w:color w:val="auto"/>
          <w:highlight w:val="none"/>
          <w:lang w:val="en-US" w:eastAsia="zh-CN"/>
        </w:rPr>
        <w:t>以上</w:t>
      </w:r>
      <w:r>
        <w:rPr>
          <w:rFonts w:hint="default" w:ascii="Times New Roman" w:hAnsi="Times New Roman" w:eastAsia="宋体" w:cs="Times New Roman"/>
          <w:color w:val="auto"/>
          <w:highlight w:val="none"/>
          <w:lang w:val="en-US" w:eastAsia="zh-CN"/>
        </w:rPr>
        <w:t>油浸式变压器的试验项目，应包括下列内容</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5D55F517">
      <w:pPr>
        <w:numPr>
          <w:ilvl w:val="0"/>
          <w:numId w:val="92"/>
        </w:numPr>
        <w:tabs>
          <w:tab w:val="left" w:pos="0"/>
          <w:tab w:val="clear" w:pos="397"/>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绝缘油试验或</w:t>
      </w:r>
      <w:r>
        <w:rPr>
          <w:rFonts w:hint="default" w:ascii="Times New Roman" w:hAnsi="Times New Roman" w:eastAsia="宋体" w:cs="Times New Roman"/>
          <w:color w:val="auto"/>
          <w:position w:val="-12"/>
          <w:highlight w:val="none"/>
          <w:lang w:val="en-US" w:eastAsia="zh-CN"/>
        </w:rPr>
        <w:object>
          <v:shape id="_x0000_i1025" o:spt="75" type="#_x0000_t75" style="height:17.1pt;width:18pt;" o:ole="t" filled="f" o:preferrelative="t" stroked="f" coordsize="21600,21600">
            <v:path/>
            <v:fill on="f" focussize="0,0"/>
            <v:stroke on="f"/>
            <v:imagedata r:id="rId12" o:title=""/>
            <o:lock v:ext="edit" aspectratio="t"/>
            <w10:wrap type="none"/>
            <w10:anchorlock/>
          </v:shape>
          <o:OLEObject Type="Embed" ProgID="Equation.KSEE3" ShapeID="_x0000_i1025" DrawAspect="Content" ObjectID="_1468075725" r:id="rId11">
            <o:LockedField>false</o:LockedField>
          </o:OLEObject>
        </w:object>
      </w:r>
      <w:r>
        <w:rPr>
          <w:rFonts w:hint="default" w:ascii="Times New Roman" w:hAnsi="Times New Roman" w:eastAsia="宋体" w:cs="Times New Roman"/>
          <w:color w:val="auto"/>
          <w:highlight w:val="none"/>
          <w:lang w:val="en-US" w:eastAsia="zh-CN"/>
        </w:rPr>
        <w:t xml:space="preserve">气体试验； </w:t>
      </w:r>
    </w:p>
    <w:p w14:paraId="6966B494">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测量绕组连同套管的直流电阻</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65CDE71C">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检查所有分接的电压比</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3D35A059">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检查变压器的</w:t>
      </w:r>
      <w:r>
        <w:rPr>
          <w:rFonts w:hint="default" w:ascii="Times New Roman" w:hAnsi="Times New Roman" w:cs="Times New Roman"/>
          <w:color w:val="auto"/>
          <w:highlight w:val="none"/>
          <w:lang w:val="en-US" w:eastAsia="zh-CN"/>
        </w:rPr>
        <w:t>三</w:t>
      </w:r>
      <w:r>
        <w:rPr>
          <w:rFonts w:hint="default" w:ascii="Times New Roman" w:hAnsi="Times New Roman" w:eastAsia="宋体" w:cs="Times New Roman"/>
          <w:color w:val="auto"/>
          <w:highlight w:val="none"/>
          <w:lang w:val="en-US" w:eastAsia="zh-CN"/>
        </w:rPr>
        <w:t>相接线组别和单相变压器引出线的极性</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1A50873A">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测量铁心及夹件的绝缘电阻</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2CC14F85">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非纯瓷套管的试验</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688F0801">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有载调压切换装置的检查和试验</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25A8DA32">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测量绕组连同套管的绝缘电阻、吸收比或极化指数</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2051DF40">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测量绕组连同套管的介质损耗因数</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tan</w:t>
      </w:r>
      <w:r>
        <w:rPr>
          <w:rFonts w:hint="default" w:ascii="Times New Roman" w:hAnsi="Times New Roman" w:cs="Times New Roman"/>
          <w:color w:val="auto"/>
          <w:highlight w:val="none"/>
          <w:lang w:val="en-US" w:eastAsia="zh-CN"/>
        </w:rPr>
        <w:t>δ）</w:t>
      </w:r>
      <w:r>
        <w:rPr>
          <w:rFonts w:hint="default" w:ascii="Times New Roman" w:hAnsi="Times New Roman" w:eastAsia="宋体" w:cs="Times New Roman"/>
          <w:color w:val="auto"/>
          <w:highlight w:val="none"/>
          <w:lang w:val="en-US" w:eastAsia="zh-CN"/>
        </w:rPr>
        <w:t>与电容量</w:t>
      </w:r>
      <w:r>
        <w:rPr>
          <w:rFonts w:hint="default" w:ascii="Times New Roman" w:hAnsi="Times New Roman" w:cs="Times New Roman"/>
          <w:color w:val="auto"/>
          <w:highlight w:val="none"/>
          <w:lang w:val="en-US" w:eastAsia="zh-CN"/>
        </w:rPr>
        <w:t>；</w:t>
      </w:r>
    </w:p>
    <w:p w14:paraId="7B07657E">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变压器绕组变形试验</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33D4DF37">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绕组连同套管的交流耐压试验</w:t>
      </w:r>
      <w:r>
        <w:rPr>
          <w:rFonts w:hint="default" w:ascii="Times New Roman" w:hAnsi="Times New Roman" w:cs="Times New Roman"/>
          <w:color w:val="auto"/>
          <w:highlight w:val="none"/>
          <w:lang w:val="en-US" w:eastAsia="zh-CN"/>
        </w:rPr>
        <w:t>；</w:t>
      </w:r>
    </w:p>
    <w:p w14:paraId="6A7FBC5C">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绕组连同套管的长时感应耐压试验带局部放电测量</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6F930584">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额定电压下的冲击合闸试验</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06AE8D98">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检查相位</w:t>
      </w:r>
      <w:r>
        <w:rPr>
          <w:rFonts w:hint="default" w:ascii="Times New Roman" w:hAnsi="Times New Roman" w:cs="Times New Roman"/>
          <w:color w:val="auto"/>
          <w:szCs w:val="22"/>
          <w:highlight w:val="none"/>
          <w:lang w:val="en-US" w:eastAsia="zh-CN"/>
        </w:rPr>
        <w:t>；</w:t>
      </w:r>
    </w:p>
    <w:p w14:paraId="76916782">
      <w:pPr>
        <w:numPr>
          <w:ilvl w:val="0"/>
          <w:numId w:val="92"/>
        </w:numPr>
        <w:tabs>
          <w:tab w:val="left" w:pos="0"/>
        </w:tabs>
        <w:snapToGrid w:val="0"/>
        <w:ind w:left="14" w:leftChars="0" w:firstLine="406" w:firstLineChars="0"/>
        <w:jc w:val="both"/>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测量噪音。</w:t>
      </w:r>
    </w:p>
    <w:p w14:paraId="64241BF2">
      <w:pPr>
        <w:numPr>
          <w:ilvl w:val="-1"/>
          <w:numId w:val="0"/>
        </w:numPr>
        <w:tabs>
          <w:tab w:val="left" w:pos="0"/>
          <w:tab w:val="left" w:pos="397"/>
        </w:tabs>
        <w:snapToGrid w:val="0"/>
        <w:ind w:left="420" w:leftChars="0" w:firstLine="0" w:firstLineChars="0"/>
        <w:jc w:val="both"/>
        <w:rPr>
          <w:rFonts w:hint="default" w:ascii="Times New Roman" w:hAnsi="Times New Roman" w:cs="Times New Roman"/>
          <w:color w:val="auto"/>
          <w:highlight w:val="none"/>
          <w:lang w:val="en-US" w:eastAsia="zh-CN"/>
        </w:rPr>
      </w:pPr>
      <w:r>
        <w:rPr>
          <w:rFonts w:hint="default" w:ascii="Times New Roman" w:hAnsi="Times New Roman" w:eastAsia="宋体" w:cs="Times New Roman"/>
          <w:color w:val="auto"/>
          <w:highlight w:val="none"/>
          <w:lang w:val="en-US" w:eastAsia="zh-CN"/>
        </w:rPr>
        <w:t>容量为1600kVA</w:t>
      </w:r>
      <w:r>
        <w:rPr>
          <w:rFonts w:hint="default" w:ascii="Times New Roman" w:hAnsi="Times New Roman" w:cs="Times New Roman"/>
          <w:color w:val="auto"/>
          <w:highlight w:val="none"/>
          <w:lang w:val="en-US" w:eastAsia="zh-CN"/>
        </w:rPr>
        <w:t>及以下的</w:t>
      </w:r>
      <w:r>
        <w:rPr>
          <w:rFonts w:hint="default" w:ascii="Times New Roman" w:hAnsi="Times New Roman" w:eastAsia="宋体" w:cs="Times New Roman"/>
          <w:color w:val="auto"/>
          <w:highlight w:val="none"/>
          <w:lang w:val="en-US" w:eastAsia="zh-CN"/>
        </w:rPr>
        <w:t>油浸式变压器</w:t>
      </w:r>
      <w:r>
        <w:rPr>
          <w:rFonts w:hint="default" w:ascii="Times New Roman" w:hAnsi="Times New Roman" w:cs="Times New Roman"/>
          <w:color w:val="auto"/>
          <w:highlight w:val="none"/>
          <w:lang w:val="en-US" w:eastAsia="zh-CN"/>
        </w:rPr>
        <w:t>，i）j）l）o）条款试验项目可不进行试验。</w:t>
      </w:r>
    </w:p>
    <w:p w14:paraId="08B28AC0">
      <w:pPr>
        <w:numPr>
          <w:ilvl w:val="0"/>
          <w:numId w:val="0"/>
        </w:numPr>
        <w:tabs>
          <w:tab w:val="left" w:pos="0"/>
          <w:tab w:val="left" w:pos="397"/>
        </w:tabs>
        <w:snapToGrid w:val="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8.</w:t>
      </w:r>
      <w:r>
        <w:rPr>
          <w:rFonts w:hint="default" w:ascii="Times New Roman" w:hAnsi="Times New Roman" w:cs="Times New Roman"/>
          <w:color w:val="auto"/>
          <w:highlight w:val="none"/>
          <w:lang w:val="en-US" w:eastAsia="zh-CN"/>
        </w:rPr>
        <w:t>1</w:t>
      </w:r>
      <w:r>
        <w:rPr>
          <w:rFonts w:hint="default" w:ascii="Times New Roman" w:hAnsi="Times New Roman" w:eastAsia="宋体" w:cs="Times New Roman"/>
          <w:color w:val="auto"/>
          <w:highlight w:val="none"/>
          <w:lang w:val="en-US" w:eastAsia="zh-CN"/>
        </w:rPr>
        <w:t>.</w:t>
      </w:r>
      <w:r>
        <w:rPr>
          <w:rFonts w:hint="default" w:ascii="Times New Roman" w:hAnsi="Times New Roman" w:cs="Times New Roman"/>
          <w:color w:val="auto"/>
          <w:highlight w:val="none"/>
          <w:lang w:val="en-US" w:eastAsia="zh-CN"/>
        </w:rPr>
        <w:t>2</w:t>
      </w:r>
      <w:r>
        <w:rPr>
          <w:rFonts w:hint="default" w:ascii="Times New Roman" w:hAnsi="Times New Roman" w:eastAsia="宋体"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干式</w:t>
      </w:r>
      <w:r>
        <w:rPr>
          <w:rFonts w:hint="default" w:ascii="Times New Roman" w:hAnsi="Times New Roman" w:eastAsia="宋体" w:cs="Times New Roman"/>
          <w:color w:val="auto"/>
          <w:highlight w:val="none"/>
          <w:lang w:val="en-US" w:eastAsia="zh-CN"/>
        </w:rPr>
        <w:t>变压器的试验项目，应包括下列内容</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4A5C6B72">
      <w:pPr>
        <w:numPr>
          <w:ilvl w:val="0"/>
          <w:numId w:val="93"/>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测量绕组连同套管的直流电阻</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3A330A1E">
      <w:pPr>
        <w:numPr>
          <w:ilvl w:val="0"/>
          <w:numId w:val="93"/>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检查所有分接的电压比</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41D20FF7">
      <w:pPr>
        <w:numPr>
          <w:ilvl w:val="0"/>
          <w:numId w:val="93"/>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检查变压器的</w:t>
      </w:r>
      <w:r>
        <w:rPr>
          <w:rFonts w:hint="default" w:ascii="Times New Roman" w:hAnsi="Times New Roman" w:cs="Times New Roman"/>
          <w:color w:val="auto"/>
          <w:highlight w:val="none"/>
          <w:lang w:val="en-US" w:eastAsia="zh-CN"/>
        </w:rPr>
        <w:t>三</w:t>
      </w:r>
      <w:r>
        <w:rPr>
          <w:rFonts w:hint="default" w:ascii="Times New Roman" w:hAnsi="Times New Roman" w:eastAsia="宋体" w:cs="Times New Roman"/>
          <w:color w:val="auto"/>
          <w:highlight w:val="none"/>
          <w:lang w:val="en-US" w:eastAsia="zh-CN"/>
        </w:rPr>
        <w:t>相接线组别和单相变压器引出线的极性</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644DABB0">
      <w:pPr>
        <w:numPr>
          <w:ilvl w:val="0"/>
          <w:numId w:val="93"/>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测量铁心及夹件的绝缘电阻</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0A0A3A36">
      <w:pPr>
        <w:numPr>
          <w:ilvl w:val="0"/>
          <w:numId w:val="93"/>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有载调压切换装置的检查和试验</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223301A9">
      <w:pPr>
        <w:numPr>
          <w:ilvl w:val="0"/>
          <w:numId w:val="93"/>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测量绕组连同套管的绝缘电阻、吸收比或极化指数</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2DCE41AA">
      <w:pPr>
        <w:numPr>
          <w:ilvl w:val="0"/>
          <w:numId w:val="93"/>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绕组连同套管的交流耐压试验</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0A4B074A">
      <w:pPr>
        <w:numPr>
          <w:ilvl w:val="0"/>
          <w:numId w:val="93"/>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额定电压下的冲击合闸试验</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0CBBBBD1">
      <w:pPr>
        <w:numPr>
          <w:ilvl w:val="0"/>
          <w:numId w:val="93"/>
        </w:numPr>
        <w:tabs>
          <w:tab w:val="left" w:pos="0"/>
        </w:tabs>
        <w:snapToGrid w:val="0"/>
        <w:ind w:left="14" w:leftChars="0" w:firstLine="406" w:firstLineChars="0"/>
        <w:jc w:val="both"/>
        <w:rPr>
          <w:rFonts w:hint="default" w:ascii="Times New Roman" w:hAnsi="Times New Roman" w:eastAsia="宋体" w:cs="Times New Roman"/>
          <w:color w:val="auto"/>
          <w:szCs w:val="22"/>
          <w:highlight w:val="none"/>
          <w:lang w:val="en-US" w:eastAsia="zh-CN"/>
        </w:rPr>
      </w:pPr>
      <w:r>
        <w:rPr>
          <w:rFonts w:hint="default" w:ascii="Times New Roman" w:hAnsi="Times New Roman" w:eastAsia="宋体" w:cs="Times New Roman"/>
          <w:color w:val="auto"/>
          <w:szCs w:val="22"/>
          <w:highlight w:val="none"/>
          <w:lang w:val="en-US" w:eastAsia="zh-CN"/>
        </w:rPr>
        <w:t>检查相位</w:t>
      </w:r>
      <w:r>
        <w:rPr>
          <w:rFonts w:hint="default" w:ascii="Times New Roman" w:hAnsi="Times New Roman" w:cs="Times New Roman"/>
          <w:color w:val="auto"/>
          <w:szCs w:val="22"/>
          <w:highlight w:val="none"/>
          <w:lang w:val="en-US" w:eastAsia="zh-CN"/>
        </w:rPr>
        <w:t>。</w:t>
      </w:r>
      <w:r>
        <w:rPr>
          <w:rFonts w:hint="default" w:ascii="Times New Roman" w:hAnsi="Times New Roman" w:eastAsia="宋体" w:cs="Times New Roman"/>
          <w:color w:val="auto"/>
          <w:szCs w:val="22"/>
          <w:highlight w:val="none"/>
          <w:lang w:val="en-US" w:eastAsia="zh-CN"/>
        </w:rPr>
        <w:t xml:space="preserve"> </w:t>
      </w:r>
    </w:p>
    <w:p w14:paraId="142AA267">
      <w:pPr>
        <w:numPr>
          <w:ilvl w:val="0"/>
          <w:numId w:val="0"/>
        </w:numPr>
        <w:tabs>
          <w:tab w:val="left" w:pos="0"/>
          <w:tab w:val="left" w:pos="397"/>
        </w:tabs>
        <w:snapToGrid w:val="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8.</w:t>
      </w:r>
      <w:r>
        <w:rPr>
          <w:rFonts w:hint="default" w:ascii="Times New Roman" w:hAnsi="Times New Roman" w:cs="Times New Roman"/>
          <w:color w:val="auto"/>
          <w:highlight w:val="none"/>
          <w:lang w:val="en-US" w:eastAsia="zh-CN"/>
        </w:rPr>
        <w:t>1</w:t>
      </w:r>
      <w:r>
        <w:rPr>
          <w:rFonts w:hint="default" w:ascii="Times New Roman" w:hAnsi="Times New Roman" w:eastAsia="宋体" w:cs="Times New Roman"/>
          <w:color w:val="auto"/>
          <w:highlight w:val="none"/>
          <w:lang w:val="en-US" w:eastAsia="zh-CN"/>
        </w:rPr>
        <w:t>.</w:t>
      </w:r>
      <w:r>
        <w:rPr>
          <w:rFonts w:hint="default" w:ascii="Times New Roman" w:hAnsi="Times New Roman" w:cs="Times New Roman"/>
          <w:color w:val="auto"/>
          <w:highlight w:val="none"/>
          <w:lang w:val="en-US" w:eastAsia="zh-CN"/>
        </w:rPr>
        <w:t>3</w:t>
      </w:r>
      <w:r>
        <w:rPr>
          <w:rFonts w:hint="default" w:ascii="Times New Roman" w:hAnsi="Times New Roman" w:eastAsia="宋体"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接地</w:t>
      </w:r>
      <w:r>
        <w:rPr>
          <w:rFonts w:hint="default" w:ascii="Times New Roman" w:hAnsi="Times New Roman" w:eastAsia="宋体" w:cs="Times New Roman"/>
          <w:color w:val="auto"/>
          <w:highlight w:val="none"/>
          <w:lang w:val="en-US" w:eastAsia="zh-CN"/>
        </w:rPr>
        <w:t>变压器的试验项目，应包括下列内容</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601EDE85">
      <w:pPr>
        <w:numPr>
          <w:ilvl w:val="0"/>
          <w:numId w:val="94"/>
        </w:numPr>
        <w:tabs>
          <w:tab w:val="left" w:pos="0"/>
          <w:tab w:val="clear" w:pos="397"/>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绝缘油试验或</w:t>
      </w:r>
      <w:r>
        <w:rPr>
          <w:rFonts w:hint="default" w:ascii="Times New Roman" w:hAnsi="Times New Roman" w:eastAsia="宋体" w:cs="Times New Roman"/>
          <w:color w:val="auto"/>
          <w:position w:val="-12"/>
          <w:highlight w:val="none"/>
          <w:lang w:val="en-US" w:eastAsia="zh-CN"/>
        </w:rPr>
        <w:object>
          <v:shape id="_x0000_i1026" o:spt="75" type="#_x0000_t75" style="height:17.1pt;width:18pt;" o:ole="t" filled="f" o:preferrelative="t" stroked="f" coordsize="21600,21600">
            <v:path/>
            <v:fill on="f" focussize="0,0"/>
            <v:stroke on="f"/>
            <v:imagedata r:id="rId12" o:title=""/>
            <o:lock v:ext="edit" aspectratio="t"/>
            <w10:wrap type="none"/>
            <w10:anchorlock/>
          </v:shape>
          <o:OLEObject Type="Embed" ProgID="Equation.KSEE3" ShapeID="_x0000_i1026" DrawAspect="Content" ObjectID="_1468075726" r:id="rId13">
            <o:LockedField>false</o:LockedField>
          </o:OLEObject>
        </w:object>
      </w:r>
      <w:r>
        <w:rPr>
          <w:rFonts w:hint="default" w:ascii="Times New Roman" w:hAnsi="Times New Roman" w:eastAsia="宋体" w:cs="Times New Roman"/>
          <w:color w:val="auto"/>
          <w:highlight w:val="none"/>
          <w:lang w:val="en-US" w:eastAsia="zh-CN"/>
        </w:rPr>
        <w:t>气体试验</w:t>
      </w:r>
      <w:r>
        <w:rPr>
          <w:rFonts w:hint="default" w:ascii="Times New Roman" w:hAnsi="Times New Roman" w:cs="Times New Roman"/>
          <w:color w:val="auto"/>
          <w:highlight w:val="none"/>
          <w:lang w:val="en-US" w:eastAsia="zh-CN"/>
        </w:rPr>
        <w:t>（油浸式变压器）</w:t>
      </w:r>
      <w:r>
        <w:rPr>
          <w:rFonts w:hint="default" w:ascii="Times New Roman" w:hAnsi="Times New Roman" w:eastAsia="宋体" w:cs="Times New Roman"/>
          <w:color w:val="auto"/>
          <w:highlight w:val="none"/>
          <w:lang w:val="en-US" w:eastAsia="zh-CN"/>
        </w:rPr>
        <w:t xml:space="preserve">； </w:t>
      </w:r>
    </w:p>
    <w:p w14:paraId="77B0B2BB">
      <w:pPr>
        <w:numPr>
          <w:ilvl w:val="0"/>
          <w:numId w:val="94"/>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测量绕组连同套管的直流电阻</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73195661">
      <w:pPr>
        <w:numPr>
          <w:ilvl w:val="0"/>
          <w:numId w:val="94"/>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检查所有分接的电压比</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6D2E559E">
      <w:pPr>
        <w:numPr>
          <w:ilvl w:val="0"/>
          <w:numId w:val="94"/>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检查变压器的</w:t>
      </w:r>
      <w:r>
        <w:rPr>
          <w:rFonts w:hint="default" w:ascii="Times New Roman" w:hAnsi="Times New Roman" w:cs="Times New Roman"/>
          <w:color w:val="auto"/>
          <w:highlight w:val="none"/>
          <w:lang w:val="en-US" w:eastAsia="zh-CN"/>
        </w:rPr>
        <w:t>三</w:t>
      </w:r>
      <w:r>
        <w:rPr>
          <w:rFonts w:hint="default" w:ascii="Times New Roman" w:hAnsi="Times New Roman" w:eastAsia="宋体" w:cs="Times New Roman"/>
          <w:color w:val="auto"/>
          <w:highlight w:val="none"/>
          <w:lang w:val="en-US" w:eastAsia="zh-CN"/>
        </w:rPr>
        <w:t>相接线组别和单相变压器引出线的极性</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34905AEA">
      <w:pPr>
        <w:numPr>
          <w:ilvl w:val="0"/>
          <w:numId w:val="94"/>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测量铁心及夹件的绝缘电阻</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3C798B4A">
      <w:pPr>
        <w:numPr>
          <w:ilvl w:val="0"/>
          <w:numId w:val="94"/>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测量绕组连同套管的绝缘电阻、吸收比或极化指数</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0F174395">
      <w:pPr>
        <w:numPr>
          <w:ilvl w:val="0"/>
          <w:numId w:val="94"/>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测量绕组连同套管的介质损耗因数（tanδ）与电容量</w:t>
      </w:r>
      <w:r>
        <w:rPr>
          <w:rFonts w:hint="default" w:ascii="Times New Roman" w:hAnsi="Times New Roman" w:cs="Times New Roman"/>
          <w:color w:val="auto"/>
          <w:highlight w:val="none"/>
          <w:lang w:val="en-US" w:eastAsia="zh-CN"/>
        </w:rPr>
        <w:t>（油浸式变压器）；</w:t>
      </w:r>
      <w:r>
        <w:rPr>
          <w:rFonts w:hint="default" w:ascii="Times New Roman" w:hAnsi="Times New Roman" w:eastAsia="宋体" w:cs="Times New Roman"/>
          <w:color w:val="auto"/>
          <w:highlight w:val="none"/>
          <w:lang w:val="en-US" w:eastAsia="zh-CN"/>
        </w:rPr>
        <w:t xml:space="preserve"> </w:t>
      </w:r>
    </w:p>
    <w:p w14:paraId="22B25AE0">
      <w:pPr>
        <w:numPr>
          <w:ilvl w:val="0"/>
          <w:numId w:val="94"/>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绕组连同套管的交流耐压试验</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1313B395">
      <w:pPr>
        <w:numPr>
          <w:ilvl w:val="0"/>
          <w:numId w:val="94"/>
        </w:numPr>
        <w:tabs>
          <w:tab w:val="left" w:pos="0"/>
        </w:tabs>
        <w:snapToGrid w:val="0"/>
        <w:ind w:left="14" w:leftChars="0" w:firstLine="406" w:firstLineChars="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额定电压下的冲击合闸试验</w:t>
      </w:r>
      <w:r>
        <w:rPr>
          <w:rFonts w:hint="default" w:ascii="Times New Roman" w:hAnsi="Times New Roman" w:cs="Times New Roman"/>
          <w:color w:val="auto"/>
          <w:highlight w:val="none"/>
          <w:lang w:val="en-US" w:eastAsia="zh-CN"/>
        </w:rPr>
        <w:t>。</w:t>
      </w:r>
    </w:p>
    <w:p w14:paraId="2257E0B1">
      <w:pPr>
        <w:numPr>
          <w:ilvl w:val="0"/>
          <w:numId w:val="0"/>
        </w:numPr>
        <w:tabs>
          <w:tab w:val="left" w:pos="0"/>
          <w:tab w:val="left" w:pos="397"/>
        </w:tabs>
        <w:snapToGrid w:val="0"/>
        <w:jc w:val="both"/>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en-US" w:eastAsia="zh-CN"/>
        </w:rPr>
        <w:t xml:space="preserve">8.1.4 </w:t>
      </w:r>
      <w:r>
        <w:rPr>
          <w:rFonts w:hint="default" w:ascii="Times New Roman" w:hAnsi="Times New Roman" w:eastAsia="宋体" w:cs="Times New Roman"/>
          <w:color w:val="auto"/>
          <w:highlight w:val="none"/>
          <w:lang w:val="en-US" w:eastAsia="zh-CN"/>
        </w:rPr>
        <w:t xml:space="preserve">容量为1600kVA以上的天然酯变压器试验项目，应包括下列内容： </w:t>
      </w:r>
    </w:p>
    <w:p w14:paraId="60F9248F">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油中溶解气体分析（适用于35kV及以上电压等级、8000kVA及以上容量）； </w:t>
      </w:r>
    </w:p>
    <w:p w14:paraId="4F98CE54">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绕组连同套管的直流电阻； </w:t>
      </w:r>
    </w:p>
    <w:p w14:paraId="3988D9A8">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绕组连同套管的绝缘电阻、吸收比或极化指数； </w:t>
      </w:r>
    </w:p>
    <w:p w14:paraId="1A07925E">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绕组连同套管的介质损耗因数和电容量； </w:t>
      </w:r>
    </w:p>
    <w:p w14:paraId="591C22A2">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套管试验； </w:t>
      </w:r>
    </w:p>
    <w:p w14:paraId="785590F7">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绝缘油试验； </w:t>
      </w:r>
    </w:p>
    <w:p w14:paraId="4CD8CDBE">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绕组连同套管的耐压试验； </w:t>
      </w:r>
    </w:p>
    <w:p w14:paraId="16E23933">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铁心和夹件的绝缘电阻（有外引接地线的）； </w:t>
      </w:r>
    </w:p>
    <w:p w14:paraId="7F41C292">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变压器绕组电压比； </w:t>
      </w:r>
    </w:p>
    <w:p w14:paraId="713A7318">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三相变压器的接线组别或单相变压器极性； </w:t>
      </w:r>
    </w:p>
    <w:p w14:paraId="221DB26D">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绕组连同套管的带有局部放电测量的感应电压试验； </w:t>
      </w:r>
    </w:p>
    <w:p w14:paraId="2FFF822C">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低电压空载电流测量； </w:t>
      </w:r>
    </w:p>
    <w:p w14:paraId="11904BB6">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短路阻抗测量； </w:t>
      </w:r>
    </w:p>
    <w:p w14:paraId="06F6B9FF">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有载调压装置的检查和试验； </w:t>
      </w:r>
    </w:p>
    <w:p w14:paraId="23FA43EC">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测温装置试验； </w:t>
      </w:r>
    </w:p>
    <w:p w14:paraId="392CA057">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气体继电器试验； </w:t>
      </w:r>
    </w:p>
    <w:p w14:paraId="133FAE5A">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压力释放阀试验； </w:t>
      </w:r>
    </w:p>
    <w:p w14:paraId="4A8BDDEA">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套管电流互感器试验； </w:t>
      </w:r>
    </w:p>
    <w:p w14:paraId="59AE8571">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声级试验； </w:t>
      </w:r>
    </w:p>
    <w:p w14:paraId="0081EFCA">
      <w:pPr>
        <w:numPr>
          <w:ilvl w:val="0"/>
          <w:numId w:val="95"/>
        </w:numPr>
        <w:tabs>
          <w:tab w:val="left" w:pos="0"/>
        </w:tabs>
        <w:snapToGrid w:val="0"/>
        <w:ind w:left="14" w:leftChars="0" w:firstLine="406" w:firstLineChars="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变压器绕组变形试验。</w:t>
      </w:r>
    </w:p>
    <w:p w14:paraId="6814F9B6">
      <w:pPr>
        <w:snapToGrid w:val="0"/>
        <w:ind w:firstLine="42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容量为1600kVA及以下天然酯变压器，</w:t>
      </w:r>
      <w:r>
        <w:rPr>
          <w:rFonts w:hint="default" w:ascii="Times New Roman" w:hAnsi="Times New Roman" w:cs="Times New Roman"/>
          <w:color w:val="auto"/>
          <w:highlight w:val="none"/>
          <w:lang w:val="en-US" w:eastAsia="zh-CN"/>
        </w:rPr>
        <w:t>可</w:t>
      </w:r>
      <w:r>
        <w:rPr>
          <w:rFonts w:hint="default" w:ascii="Times New Roman" w:hAnsi="Times New Roman" w:eastAsia="宋体" w:cs="Times New Roman"/>
          <w:color w:val="auto"/>
          <w:highlight w:val="none"/>
          <w:lang w:val="en-US" w:eastAsia="zh-CN"/>
        </w:rPr>
        <w:t xml:space="preserve">按 </w:t>
      </w:r>
      <w:r>
        <w:rPr>
          <w:rFonts w:hint="default" w:ascii="Times New Roman" w:hAnsi="Times New Roman" w:cs="Times New Roman"/>
          <w:color w:val="auto"/>
          <w:highlight w:val="none"/>
          <w:lang w:val="en-US" w:eastAsia="zh-CN"/>
        </w:rPr>
        <w:t>8</w:t>
      </w:r>
      <w:r>
        <w:rPr>
          <w:rFonts w:hint="default" w:ascii="Times New Roman" w:hAnsi="Times New Roman" w:eastAsia="宋体" w:cs="Times New Roman"/>
          <w:color w:val="auto"/>
          <w:highlight w:val="none"/>
          <w:lang w:val="en-US" w:eastAsia="zh-CN"/>
        </w:rPr>
        <w:t>.1</w:t>
      </w:r>
      <w:r>
        <w:rPr>
          <w:rFonts w:hint="default" w:ascii="Times New Roman" w:hAnsi="Times New Roman" w:cs="Times New Roman"/>
          <w:color w:val="auto"/>
          <w:highlight w:val="none"/>
          <w:lang w:val="en-US" w:eastAsia="zh-CN"/>
        </w:rPr>
        <w:t>.4</w:t>
      </w:r>
      <w:r>
        <w:rPr>
          <w:rFonts w:hint="default" w:ascii="Times New Roman" w:hAnsi="Times New Roman" w:eastAsia="宋体" w:cs="Times New Roman"/>
          <w:color w:val="auto"/>
          <w:highlight w:val="none"/>
          <w:lang w:val="en-US" w:eastAsia="zh-CN"/>
        </w:rPr>
        <w:t xml:space="preserve"> 中第 b）、c）、e）、f）、g）、h）i）、j）、n）、o）试验项目进行。</w:t>
      </w:r>
    </w:p>
    <w:p w14:paraId="0A5B96D4">
      <w:pPr>
        <w:snapToGrid w:val="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8.</w:t>
      </w:r>
      <w:r>
        <w:rPr>
          <w:rFonts w:hint="default" w:ascii="Times New Roman" w:hAnsi="Times New Roman" w:cs="Times New Roman"/>
          <w:color w:val="auto"/>
          <w:highlight w:val="none"/>
          <w:lang w:val="en-US" w:eastAsia="zh-CN"/>
        </w:rPr>
        <w:t>1</w:t>
      </w:r>
      <w:r>
        <w:rPr>
          <w:rFonts w:hint="default" w:ascii="Times New Roman" w:hAnsi="Times New Roman" w:eastAsia="宋体" w:cs="Times New Roman"/>
          <w:color w:val="auto"/>
          <w:highlight w:val="none"/>
          <w:lang w:val="en-US" w:eastAsia="zh-CN"/>
        </w:rPr>
        <w:t>.</w:t>
      </w:r>
      <w:r>
        <w:rPr>
          <w:rFonts w:hint="default" w:ascii="Times New Roman" w:hAnsi="Times New Roman" w:cs="Times New Roman"/>
          <w:color w:val="auto"/>
          <w:highlight w:val="none"/>
          <w:lang w:val="en-US" w:eastAsia="zh-CN"/>
        </w:rPr>
        <w:t>5</w:t>
      </w:r>
      <w:r>
        <w:rPr>
          <w:rFonts w:hint="default" w:ascii="Times New Roman" w:hAnsi="Times New Roman" w:eastAsia="宋体" w:cs="Times New Roman"/>
          <w:color w:val="auto"/>
          <w:highlight w:val="none"/>
          <w:lang w:val="en-US" w:eastAsia="zh-CN"/>
        </w:rPr>
        <w:t xml:space="preserve"> 油浸式变压器、干式变压器、接地变压器</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天然酯变压器等各类变压器</w:t>
      </w:r>
      <w:r>
        <w:rPr>
          <w:rFonts w:hint="default" w:ascii="Times New Roman" w:hAnsi="Times New Roman" w:cs="Times New Roman"/>
          <w:color w:val="auto"/>
          <w:highlight w:val="none"/>
          <w:lang w:val="en-US" w:eastAsia="zh-CN"/>
        </w:rPr>
        <w:t>进行试验</w:t>
      </w:r>
      <w:r>
        <w:rPr>
          <w:rFonts w:hint="default" w:ascii="Times New Roman" w:hAnsi="Times New Roman" w:eastAsia="宋体" w:cs="Times New Roman"/>
          <w:color w:val="auto"/>
          <w:highlight w:val="none"/>
          <w:lang w:val="en-US" w:eastAsia="zh-CN"/>
        </w:rPr>
        <w:t>应</w:t>
      </w:r>
      <w:r>
        <w:rPr>
          <w:rFonts w:hint="default" w:ascii="Times New Roman" w:hAnsi="Times New Roman" w:cs="Times New Roman"/>
          <w:color w:val="auto"/>
          <w:highlight w:val="none"/>
          <w:lang w:val="en-US" w:eastAsia="zh-CN"/>
        </w:rPr>
        <w:t>符合</w:t>
      </w:r>
      <w:r>
        <w:rPr>
          <w:rFonts w:hint="default" w:ascii="Times New Roman" w:hAnsi="Times New Roman" w:eastAsia="宋体" w:cs="Times New Roman"/>
          <w:color w:val="auto"/>
          <w:highlight w:val="none"/>
          <w:lang w:val="en-US" w:eastAsia="zh-CN"/>
        </w:rPr>
        <w:t>GB 50150相关</w:t>
      </w:r>
      <w:r>
        <w:rPr>
          <w:rFonts w:hint="default" w:ascii="Times New Roman" w:hAnsi="Times New Roman" w:cs="Times New Roman"/>
          <w:color w:val="auto"/>
          <w:highlight w:val="none"/>
          <w:lang w:val="en-US" w:eastAsia="zh-CN"/>
        </w:rPr>
        <w:t>规定</w:t>
      </w:r>
      <w:r>
        <w:rPr>
          <w:rFonts w:hint="default" w:ascii="Times New Roman" w:hAnsi="Times New Roman" w:eastAsia="宋体" w:cs="Times New Roman"/>
          <w:color w:val="auto"/>
          <w:highlight w:val="none"/>
          <w:lang w:val="en-US" w:eastAsia="zh-CN"/>
        </w:rPr>
        <w:t>。</w:t>
      </w:r>
    </w:p>
    <w:p w14:paraId="2DFE6DB2">
      <w:pPr>
        <w:snapToGrid w:val="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8.</w:t>
      </w:r>
      <w:r>
        <w:rPr>
          <w:rFonts w:hint="default" w:ascii="Times New Roman" w:hAnsi="Times New Roman" w:cs="Times New Roman"/>
          <w:color w:val="auto"/>
          <w:highlight w:val="none"/>
          <w:lang w:val="en-US" w:eastAsia="zh-CN"/>
        </w:rPr>
        <w:t>1</w:t>
      </w:r>
      <w:r>
        <w:rPr>
          <w:rFonts w:hint="default" w:ascii="Times New Roman" w:hAnsi="Times New Roman" w:eastAsia="宋体" w:cs="Times New Roman"/>
          <w:color w:val="auto"/>
          <w:highlight w:val="none"/>
          <w:lang w:val="en-US" w:eastAsia="zh-CN"/>
        </w:rPr>
        <w:t>.</w:t>
      </w:r>
      <w:r>
        <w:rPr>
          <w:rFonts w:hint="default" w:ascii="Times New Roman" w:hAnsi="Times New Roman" w:cs="Times New Roman"/>
          <w:color w:val="auto"/>
          <w:highlight w:val="none"/>
          <w:lang w:val="en-US" w:eastAsia="zh-CN"/>
        </w:rPr>
        <w:t>6</w:t>
      </w:r>
      <w:r>
        <w:rPr>
          <w:rFonts w:hint="default" w:ascii="Times New Roman" w:hAnsi="Times New Roman" w:eastAsia="宋体" w:cs="Times New Roman"/>
          <w:color w:val="auto"/>
          <w:highlight w:val="none"/>
          <w:lang w:val="en-US" w:eastAsia="zh-CN"/>
        </w:rPr>
        <w:t xml:space="preserve"> 油浸式变压器、干式变压器、接地变压器等各类变压器应对气体继电器、油流继电器、压力释放阀和气体密度继电器等附件进行检</w:t>
      </w:r>
      <w:r>
        <w:rPr>
          <w:rFonts w:hint="default" w:ascii="Times New Roman" w:hAnsi="Times New Roman" w:cs="Times New Roman"/>
          <w:color w:val="auto"/>
          <w:highlight w:val="none"/>
          <w:lang w:val="en-US" w:eastAsia="zh-CN"/>
        </w:rPr>
        <w:t>验</w:t>
      </w:r>
      <w:r>
        <w:rPr>
          <w:rFonts w:hint="default" w:ascii="Times New Roman" w:hAnsi="Times New Roman" w:eastAsia="宋体" w:cs="Times New Roman"/>
          <w:color w:val="auto"/>
          <w:highlight w:val="none"/>
          <w:lang w:val="en-US" w:eastAsia="zh-CN"/>
        </w:rPr>
        <w:t>。</w:t>
      </w:r>
    </w:p>
    <w:p w14:paraId="5988D4A0">
      <w:pPr>
        <w:pStyle w:val="246"/>
        <w:numPr>
          <w:ilvl w:val="1"/>
          <w:numId w:val="0"/>
        </w:numPr>
        <w:tabs>
          <w:tab w:val="left" w:pos="0"/>
        </w:tabs>
        <w:rPr>
          <w:rFonts w:hint="default" w:ascii="黑体" w:hAnsi="黑体" w:eastAsia="黑体" w:cs="黑体"/>
          <w:b w:val="0"/>
          <w:bCs w:val="0"/>
        </w:rPr>
      </w:pPr>
      <w:r>
        <w:rPr>
          <w:rFonts w:hint="default" w:ascii="黑体" w:hAnsi="黑体" w:eastAsia="黑体" w:cs="黑体"/>
          <w:b w:val="0"/>
          <w:bCs w:val="0"/>
          <w:lang w:val="en-US" w:eastAsia="zh-CN"/>
        </w:rPr>
        <w:t>8.2  气体绝缘金属封闭开关</w:t>
      </w:r>
    </w:p>
    <w:p w14:paraId="0AF1E909">
      <w:pPr>
        <w:snapToGrid w:val="0"/>
        <w:ind w:left="0" w:leftChars="0" w:firstLine="0" w:firstLineChars="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8.</w:t>
      </w:r>
      <w:r>
        <w:rPr>
          <w:rFonts w:hint="default" w:ascii="Times New Roman" w:hAnsi="Times New Roman" w:cs="Times New Roman"/>
          <w:color w:val="auto"/>
          <w:highlight w:val="none"/>
          <w:lang w:val="en-US" w:eastAsia="zh-CN"/>
        </w:rPr>
        <w:t>2</w:t>
      </w:r>
      <w:r>
        <w:rPr>
          <w:rFonts w:hint="default" w:ascii="Times New Roman" w:hAnsi="Times New Roman" w:eastAsia="宋体" w:cs="Times New Roman"/>
          <w:color w:val="auto"/>
          <w:highlight w:val="none"/>
          <w:lang w:val="en-US" w:eastAsia="zh-CN"/>
        </w:rPr>
        <w:t xml:space="preserve">.1 </w:t>
      </w:r>
      <w:r>
        <w:rPr>
          <w:rFonts w:hint="default" w:ascii="Times New Roman" w:hAnsi="Times New Roman" w:cs="Times New Roman"/>
          <w:color w:val="auto"/>
          <w:highlight w:val="none"/>
          <w:lang w:val="en-US" w:eastAsia="zh-CN"/>
        </w:rPr>
        <w:t xml:space="preserve"> GIS</w:t>
      </w:r>
      <w:r>
        <w:rPr>
          <w:rFonts w:hint="default" w:ascii="Times New Roman" w:hAnsi="Times New Roman" w:eastAsia="宋体" w:cs="Times New Roman"/>
          <w:color w:val="auto"/>
          <w:highlight w:val="none"/>
          <w:lang w:val="en-US" w:eastAsia="zh-CN"/>
        </w:rPr>
        <w:t>试验项目，应包括下列内容</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w:t>
      </w:r>
    </w:p>
    <w:p w14:paraId="3CFB2C4B">
      <w:pPr>
        <w:numPr>
          <w:ilvl w:val="0"/>
          <w:numId w:val="96"/>
        </w:numPr>
        <w:snapToGrid w:val="0"/>
        <w:ind w:left="14" w:leftChars="0" w:firstLine="406" w:firstLineChars="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 xml:space="preserve">测量主回路的导电电阻；  </w:t>
      </w:r>
    </w:p>
    <w:p w14:paraId="1E7B4722">
      <w:pPr>
        <w:numPr>
          <w:ilvl w:val="0"/>
          <w:numId w:val="96"/>
        </w:numPr>
        <w:snapToGrid w:val="0"/>
        <w:ind w:left="14" w:leftChars="0" w:firstLine="406" w:firstLineChars="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 xml:space="preserve">气体绝缘金属封闭开关内各元件的试验；  </w:t>
      </w:r>
    </w:p>
    <w:p w14:paraId="73E22132">
      <w:pPr>
        <w:numPr>
          <w:ilvl w:val="0"/>
          <w:numId w:val="96"/>
        </w:numPr>
        <w:snapToGrid w:val="0"/>
        <w:ind w:left="14" w:leftChars="0" w:firstLine="406" w:firstLineChars="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 xml:space="preserve">密封性试验；  </w:t>
      </w:r>
    </w:p>
    <w:p w14:paraId="66E69994">
      <w:pPr>
        <w:numPr>
          <w:ilvl w:val="0"/>
          <w:numId w:val="96"/>
        </w:numPr>
        <w:snapToGrid w:val="0"/>
        <w:ind w:left="14" w:leftChars="0" w:firstLine="406" w:firstLineChars="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测量六氟化硫气体含水量；</w:t>
      </w:r>
    </w:p>
    <w:p w14:paraId="2B03772D">
      <w:pPr>
        <w:numPr>
          <w:ilvl w:val="0"/>
          <w:numId w:val="96"/>
        </w:numPr>
        <w:snapToGrid w:val="0"/>
        <w:ind w:left="14" w:leftChars="0" w:firstLine="406" w:firstLineChars="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主回路的交流耐压试验；</w:t>
      </w:r>
    </w:p>
    <w:p w14:paraId="2F60605D">
      <w:pPr>
        <w:numPr>
          <w:ilvl w:val="0"/>
          <w:numId w:val="96"/>
        </w:numPr>
        <w:snapToGrid w:val="0"/>
        <w:ind w:left="14" w:leftChars="0" w:firstLine="406" w:firstLineChars="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组合电器的操动试验；</w:t>
      </w:r>
    </w:p>
    <w:p w14:paraId="1D9AEABB">
      <w:pPr>
        <w:numPr>
          <w:ilvl w:val="0"/>
          <w:numId w:val="96"/>
        </w:numPr>
        <w:snapToGrid w:val="0"/>
        <w:ind w:left="14" w:leftChars="0" w:firstLine="406" w:firstLineChars="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气体密度继电器、压力表和压力动作阀的检查</w:t>
      </w:r>
      <w:r>
        <w:rPr>
          <w:rFonts w:hint="default" w:ascii="Times New Roman" w:hAnsi="Times New Roman" w:cs="Times New Roman"/>
          <w:color w:val="auto"/>
          <w:highlight w:val="none"/>
          <w:lang w:val="en-US" w:eastAsia="zh-CN"/>
        </w:rPr>
        <w:t>；</w:t>
      </w:r>
    </w:p>
    <w:p w14:paraId="1B5D9B3C">
      <w:pPr>
        <w:numPr>
          <w:ilvl w:val="0"/>
          <w:numId w:val="96"/>
        </w:numPr>
        <w:snapToGrid w:val="0"/>
        <w:ind w:left="14" w:leftChars="0" w:firstLine="406" w:firstLineChars="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 xml:space="preserve"> 辅助回路和控制回路的绝缘试验</w:t>
      </w:r>
      <w:r>
        <w:rPr>
          <w:rFonts w:hint="default" w:ascii="Times New Roman" w:hAnsi="Times New Roman" w:cs="Times New Roman"/>
          <w:color w:val="auto"/>
          <w:highlight w:val="none"/>
          <w:lang w:val="en-US" w:eastAsia="zh-CN"/>
        </w:rPr>
        <w:t>。</w:t>
      </w:r>
    </w:p>
    <w:p w14:paraId="3D630D1B">
      <w:pPr>
        <w:snapToGrid w:val="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8.</w:t>
      </w:r>
      <w:r>
        <w:rPr>
          <w:rFonts w:hint="default" w:ascii="Times New Roman" w:hAnsi="Times New Roman" w:cs="Times New Roman"/>
          <w:color w:val="auto"/>
          <w:highlight w:val="none"/>
          <w:lang w:val="en-US" w:eastAsia="zh-CN"/>
        </w:rPr>
        <w:t>2</w:t>
      </w:r>
      <w:r>
        <w:rPr>
          <w:rFonts w:hint="default" w:ascii="Times New Roman" w:hAnsi="Times New Roman" w:eastAsia="宋体" w:cs="Times New Roman"/>
          <w:color w:val="auto"/>
          <w:highlight w:val="none"/>
          <w:lang w:val="en-US" w:eastAsia="zh-CN"/>
        </w:rPr>
        <w:t>.</w:t>
      </w:r>
      <w:r>
        <w:rPr>
          <w:rFonts w:hint="default" w:ascii="Times New Roman" w:hAnsi="Times New Roman" w:cs="Times New Roman"/>
          <w:color w:val="auto"/>
          <w:highlight w:val="none"/>
          <w:lang w:val="en-US" w:eastAsia="zh-CN"/>
        </w:rPr>
        <w:t xml:space="preserve">2 </w:t>
      </w:r>
      <w:r>
        <w:rPr>
          <w:rFonts w:hint="default" w:ascii="Times New Roman" w:hAnsi="Times New Roman" w:eastAsia="宋体"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GIS进行</w:t>
      </w:r>
      <w:r>
        <w:rPr>
          <w:rFonts w:hint="default" w:ascii="Times New Roman" w:hAnsi="Times New Roman" w:eastAsia="宋体" w:cs="Times New Roman"/>
          <w:color w:val="auto"/>
          <w:highlight w:val="none"/>
          <w:lang w:val="en-US" w:eastAsia="zh-CN"/>
        </w:rPr>
        <w:t>试验</w:t>
      </w:r>
      <w:r>
        <w:rPr>
          <w:rFonts w:hint="default" w:ascii="Times New Roman" w:hAnsi="Times New Roman" w:cs="Times New Roman"/>
          <w:color w:val="auto"/>
          <w:highlight w:val="none"/>
          <w:lang w:val="en-US" w:eastAsia="zh-CN"/>
        </w:rPr>
        <w:t>应符合</w:t>
      </w:r>
      <w:r>
        <w:rPr>
          <w:rFonts w:hint="default" w:ascii="Times New Roman" w:hAnsi="Times New Roman" w:eastAsia="宋体" w:cs="Times New Roman"/>
          <w:color w:val="auto"/>
          <w:highlight w:val="none"/>
          <w:lang w:val="en-US" w:eastAsia="zh-CN"/>
        </w:rPr>
        <w:t>GB 50150相关</w:t>
      </w:r>
      <w:r>
        <w:rPr>
          <w:rFonts w:hint="default" w:ascii="Times New Roman" w:hAnsi="Times New Roman" w:cs="Times New Roman"/>
          <w:color w:val="auto"/>
          <w:highlight w:val="none"/>
          <w:lang w:val="en-US" w:eastAsia="zh-CN"/>
        </w:rPr>
        <w:t>规定</w:t>
      </w:r>
      <w:r>
        <w:rPr>
          <w:rFonts w:hint="default" w:ascii="Times New Roman" w:hAnsi="Times New Roman" w:eastAsia="宋体" w:cs="Times New Roman"/>
          <w:color w:val="auto"/>
          <w:highlight w:val="none"/>
          <w:lang w:val="en-US" w:eastAsia="zh-CN"/>
        </w:rPr>
        <w:t>。</w:t>
      </w:r>
    </w:p>
    <w:p w14:paraId="6F466094">
      <w:pPr>
        <w:snapToGrid w:val="0"/>
        <w:ind w:left="0" w:leftChars="0" w:firstLine="0" w:firstLineChars="0"/>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en-US" w:eastAsia="zh-CN"/>
        </w:rPr>
        <w:t>8.2.3  SF</w:t>
      </w:r>
      <w:r>
        <w:rPr>
          <w:rFonts w:hint="default" w:ascii="Times New Roman" w:hAnsi="Times New Roman" w:cs="Times New Roman"/>
          <w:color w:val="auto"/>
          <w:highlight w:val="none"/>
          <w:vertAlign w:val="subscript"/>
          <w:lang w:val="en-US" w:eastAsia="zh-CN"/>
        </w:rPr>
        <w:t>6</w:t>
      </w:r>
      <w:r>
        <w:rPr>
          <w:rFonts w:hint="default" w:ascii="Times New Roman" w:hAnsi="Times New Roman" w:cs="Times New Roman"/>
          <w:color w:val="auto"/>
          <w:highlight w:val="none"/>
          <w:vertAlign w:val="baseline"/>
          <w:lang w:val="en-US" w:eastAsia="zh-CN"/>
        </w:rPr>
        <w:t>混合气体GIS设备气体的检测项目、检测周期和检测方法应符合DL/T 1986相关规定，并符合表8要求。</w:t>
      </w:r>
    </w:p>
    <w:p w14:paraId="4B108558">
      <w:pPr>
        <w:widowControl/>
        <w:jc w:val="center"/>
        <w:rPr>
          <w:rFonts w:hint="default" w:ascii="Times New Roman" w:hAnsi="Times New Roman" w:eastAsia="宋体" w:cs="Times New Roman"/>
          <w:b/>
          <w:bCs/>
          <w:color w:val="auto"/>
          <w:sz w:val="21"/>
          <w:szCs w:val="21"/>
          <w:highlight w:val="none"/>
          <w:shd w:val="clear" w:color="auto" w:fill="auto"/>
        </w:rPr>
      </w:pPr>
      <w:r>
        <w:rPr>
          <w:rFonts w:hint="default" w:ascii="黑体" w:hAnsi="黑体" w:eastAsia="黑体" w:cs="黑体"/>
          <w:b w:val="0"/>
          <w:bCs w:val="0"/>
          <w:color w:val="000000"/>
          <w:kern w:val="0"/>
          <w:szCs w:val="21"/>
          <w:highlight w:val="none"/>
          <w:lang w:bidi="ar"/>
        </w:rPr>
        <w:t>表</w:t>
      </w:r>
      <w:r>
        <w:rPr>
          <w:rFonts w:hint="default" w:ascii="黑体" w:hAnsi="黑体" w:eastAsia="黑体" w:cs="黑体"/>
          <w:b w:val="0"/>
          <w:bCs w:val="0"/>
          <w:color w:val="000000"/>
          <w:kern w:val="0"/>
          <w:szCs w:val="21"/>
          <w:highlight w:val="none"/>
          <w:lang w:eastAsia="zh-CN" w:bidi="ar"/>
        </w:rPr>
        <w:t>8</w:t>
      </w:r>
      <w:r>
        <w:rPr>
          <w:rFonts w:hint="default" w:ascii="黑体" w:hAnsi="黑体" w:eastAsia="黑体" w:cs="黑体"/>
          <w:b w:val="0"/>
          <w:bCs w:val="0"/>
          <w:color w:val="000000"/>
          <w:kern w:val="0"/>
          <w:szCs w:val="21"/>
          <w:highlight w:val="none"/>
          <w:lang w:val="en-US" w:eastAsia="zh-CN" w:bidi="ar"/>
        </w:rPr>
        <w:t xml:space="preserve">  </w:t>
      </w:r>
      <w:r>
        <w:rPr>
          <w:rFonts w:hint="default" w:ascii="黑体" w:hAnsi="黑体" w:eastAsia="黑体" w:cs="黑体"/>
          <w:b w:val="0"/>
          <w:bCs w:val="0"/>
          <w:color w:val="000000"/>
          <w:kern w:val="0"/>
          <w:szCs w:val="21"/>
          <w:highlight w:val="none"/>
          <w:lang w:bidi="ar"/>
        </w:rPr>
        <w:t>混合气体绝缘设备气体的检测项目、检测周期和检测方法</w:t>
      </w:r>
    </w:p>
    <w:p w14:paraId="754ADFE4">
      <w:pPr>
        <w:spacing w:line="36" w:lineRule="exact"/>
        <w:rPr>
          <w:rFonts w:hint="default" w:ascii="Times New Roman" w:hAnsi="Times New Roman" w:cs="Times New Roman"/>
        </w:rPr>
      </w:pPr>
    </w:p>
    <w:tbl>
      <w:tblPr>
        <w:tblStyle w:val="25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64"/>
        <w:gridCol w:w="2313"/>
        <w:gridCol w:w="1551"/>
        <w:gridCol w:w="3885"/>
      </w:tblGrid>
      <w:tr w14:paraId="5C15C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4" w:hRule="atLeast"/>
        </w:trPr>
        <w:tc>
          <w:tcPr>
            <w:tcW w:w="339" w:type="pct"/>
            <w:vAlign w:val="top"/>
          </w:tcPr>
          <w:p w14:paraId="3E5F6A19">
            <w:pPr>
              <w:pStyle w:val="255"/>
              <w:spacing w:before="62" w:line="221" w:lineRule="auto"/>
              <w:ind w:left="94"/>
              <w:rPr>
                <w:rFonts w:hint="default" w:ascii="Times New Roman" w:hAnsi="Times New Roman" w:cs="Times New Roman"/>
                <w:sz w:val="18"/>
                <w:szCs w:val="18"/>
              </w:rPr>
            </w:pPr>
            <w:r>
              <w:rPr>
                <w:rFonts w:hint="default" w:ascii="Times New Roman" w:hAnsi="Times New Roman" w:cs="Times New Roman"/>
                <w:spacing w:val="-2"/>
                <w:sz w:val="18"/>
                <w:szCs w:val="18"/>
              </w:rPr>
              <w:t>序号</w:t>
            </w:r>
          </w:p>
        </w:tc>
        <w:tc>
          <w:tcPr>
            <w:tcW w:w="1391" w:type="pct"/>
            <w:vAlign w:val="top"/>
          </w:tcPr>
          <w:p w14:paraId="6E9A91F2">
            <w:pPr>
              <w:pStyle w:val="255"/>
              <w:spacing w:before="61" w:line="219" w:lineRule="auto"/>
              <w:ind w:left="760"/>
              <w:rPr>
                <w:rFonts w:hint="default" w:ascii="Times New Roman" w:hAnsi="Times New Roman" w:cs="Times New Roman"/>
                <w:sz w:val="18"/>
                <w:szCs w:val="18"/>
              </w:rPr>
            </w:pPr>
            <w:r>
              <w:rPr>
                <w:rFonts w:hint="default" w:ascii="Times New Roman" w:hAnsi="Times New Roman" w:cs="Times New Roman"/>
                <w:spacing w:val="7"/>
                <w:sz w:val="18"/>
                <w:szCs w:val="18"/>
              </w:rPr>
              <w:t>检测项目</w:t>
            </w:r>
          </w:p>
        </w:tc>
        <w:tc>
          <w:tcPr>
            <w:tcW w:w="933" w:type="pct"/>
            <w:vAlign w:val="top"/>
          </w:tcPr>
          <w:p w14:paraId="53692213">
            <w:pPr>
              <w:pStyle w:val="255"/>
              <w:spacing w:before="61" w:line="219" w:lineRule="auto"/>
              <w:ind w:left="403"/>
              <w:rPr>
                <w:rFonts w:hint="default" w:ascii="Times New Roman" w:hAnsi="Times New Roman" w:cs="Times New Roman"/>
                <w:sz w:val="18"/>
                <w:szCs w:val="18"/>
              </w:rPr>
            </w:pPr>
            <w:r>
              <w:rPr>
                <w:rFonts w:hint="default" w:ascii="Times New Roman" w:hAnsi="Times New Roman" w:cs="Times New Roman"/>
                <w:spacing w:val="-2"/>
                <w:sz w:val="18"/>
                <w:szCs w:val="18"/>
              </w:rPr>
              <w:t>检测周期</w:t>
            </w:r>
          </w:p>
        </w:tc>
        <w:tc>
          <w:tcPr>
            <w:tcW w:w="2335" w:type="pct"/>
            <w:vAlign w:val="top"/>
          </w:tcPr>
          <w:p w14:paraId="69039398">
            <w:pPr>
              <w:pStyle w:val="255"/>
              <w:spacing w:before="61" w:line="219" w:lineRule="auto"/>
              <w:ind w:left="1515"/>
              <w:rPr>
                <w:rFonts w:hint="default" w:ascii="Times New Roman" w:hAnsi="Times New Roman" w:cs="Times New Roman"/>
                <w:sz w:val="18"/>
                <w:szCs w:val="18"/>
              </w:rPr>
            </w:pPr>
            <w:r>
              <w:rPr>
                <w:rFonts w:hint="default" w:ascii="Times New Roman" w:hAnsi="Times New Roman" w:cs="Times New Roman"/>
                <w:spacing w:val="-2"/>
                <w:sz w:val="18"/>
                <w:szCs w:val="18"/>
              </w:rPr>
              <w:t>检测方法</w:t>
            </w:r>
          </w:p>
        </w:tc>
      </w:tr>
      <w:tr w14:paraId="08CCD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9" w:hRule="atLeast"/>
        </w:trPr>
        <w:tc>
          <w:tcPr>
            <w:tcW w:w="339" w:type="pct"/>
            <w:vAlign w:val="top"/>
          </w:tcPr>
          <w:p w14:paraId="2E1A4029">
            <w:pPr>
              <w:pStyle w:val="255"/>
              <w:spacing w:before="73" w:line="226" w:lineRule="auto"/>
              <w:ind w:left="215"/>
              <w:rPr>
                <w:rFonts w:hint="default" w:ascii="Times New Roman" w:hAnsi="Times New Roman" w:cs="Times New Roman"/>
                <w:sz w:val="18"/>
                <w:szCs w:val="18"/>
              </w:rPr>
            </w:pPr>
            <w:r>
              <w:rPr>
                <w:rFonts w:hint="default" w:ascii="Times New Roman" w:hAnsi="Times New Roman" w:cs="Times New Roman"/>
                <w:sz w:val="18"/>
                <w:szCs w:val="18"/>
              </w:rPr>
              <w:t>1</w:t>
            </w:r>
          </w:p>
        </w:tc>
        <w:tc>
          <w:tcPr>
            <w:tcW w:w="1391" w:type="pct"/>
            <w:vAlign w:val="top"/>
          </w:tcPr>
          <w:p w14:paraId="0CE9F81B">
            <w:pPr>
              <w:pStyle w:val="255"/>
              <w:spacing w:before="58" w:line="221" w:lineRule="auto"/>
              <w:ind w:left="840"/>
              <w:rPr>
                <w:rFonts w:hint="default" w:ascii="Times New Roman" w:hAnsi="Times New Roman" w:cs="Times New Roman"/>
                <w:sz w:val="18"/>
                <w:szCs w:val="18"/>
              </w:rPr>
            </w:pPr>
            <w:r>
              <w:rPr>
                <w:rFonts w:hint="default" w:ascii="Times New Roman" w:hAnsi="Times New Roman" w:cs="Times New Roman"/>
                <w:spacing w:val="-2"/>
                <w:sz w:val="18"/>
                <w:szCs w:val="18"/>
              </w:rPr>
              <w:t>混气比</w:t>
            </w:r>
          </w:p>
        </w:tc>
        <w:tc>
          <w:tcPr>
            <w:tcW w:w="933" w:type="pct"/>
            <w:vAlign w:val="top"/>
          </w:tcPr>
          <w:p w14:paraId="1EC0C859">
            <w:pPr>
              <w:pStyle w:val="255"/>
              <w:spacing w:before="57" w:line="219" w:lineRule="auto"/>
              <w:ind w:left="163"/>
              <w:rPr>
                <w:rFonts w:hint="default" w:ascii="Times New Roman" w:hAnsi="Times New Roman" w:cs="Times New Roman"/>
                <w:sz w:val="18"/>
                <w:szCs w:val="18"/>
              </w:rPr>
            </w:pPr>
            <w:r>
              <w:rPr>
                <w:rFonts w:hint="default" w:ascii="Times New Roman" w:hAnsi="Times New Roman" w:cs="Times New Roman"/>
                <w:spacing w:val="1"/>
                <w:sz w:val="18"/>
                <w:szCs w:val="18"/>
              </w:rPr>
              <w:t>1次/年和必要时</w:t>
            </w:r>
          </w:p>
        </w:tc>
        <w:tc>
          <w:tcPr>
            <w:tcW w:w="2335" w:type="pct"/>
            <w:vAlign w:val="top"/>
          </w:tcPr>
          <w:p w14:paraId="4D351163">
            <w:pPr>
              <w:pStyle w:val="255"/>
              <w:spacing w:before="56" w:line="219" w:lineRule="auto"/>
              <w:ind w:left="195"/>
              <w:rPr>
                <w:rFonts w:hint="default" w:ascii="Times New Roman" w:hAnsi="Times New Roman" w:cs="Times New Roman"/>
                <w:sz w:val="18"/>
                <w:szCs w:val="18"/>
              </w:rPr>
            </w:pPr>
            <w:r>
              <w:rPr>
                <w:rFonts w:hint="default" w:ascii="Times New Roman" w:hAnsi="Times New Roman" w:cs="Times New Roman"/>
                <w:spacing w:val="-1"/>
                <w:sz w:val="18"/>
                <w:szCs w:val="18"/>
              </w:rPr>
              <w:t>传感器法、气相色谱法</w:t>
            </w:r>
          </w:p>
        </w:tc>
      </w:tr>
      <w:tr w14:paraId="4C1D1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trPr>
        <w:tc>
          <w:tcPr>
            <w:tcW w:w="339" w:type="pct"/>
            <w:vAlign w:val="top"/>
          </w:tcPr>
          <w:p w14:paraId="5642A1DE">
            <w:pPr>
              <w:pStyle w:val="255"/>
              <w:spacing w:before="74" w:line="224" w:lineRule="auto"/>
              <w:ind w:left="215"/>
              <w:rPr>
                <w:rFonts w:hint="default" w:ascii="Times New Roman" w:hAnsi="Times New Roman" w:cs="Times New Roman"/>
                <w:sz w:val="18"/>
                <w:szCs w:val="18"/>
              </w:rPr>
            </w:pPr>
            <w:r>
              <w:rPr>
                <w:rFonts w:hint="default" w:ascii="Times New Roman" w:hAnsi="Times New Roman" w:cs="Times New Roman"/>
                <w:sz w:val="18"/>
                <w:szCs w:val="18"/>
              </w:rPr>
              <w:t>2</w:t>
            </w:r>
          </w:p>
        </w:tc>
        <w:tc>
          <w:tcPr>
            <w:tcW w:w="1391" w:type="pct"/>
            <w:vAlign w:val="top"/>
          </w:tcPr>
          <w:p w14:paraId="7E1E341A">
            <w:pPr>
              <w:pStyle w:val="255"/>
              <w:spacing w:before="59" w:line="220" w:lineRule="auto"/>
              <w:ind w:left="920"/>
              <w:rPr>
                <w:rFonts w:hint="default" w:ascii="Times New Roman" w:hAnsi="Times New Roman" w:cs="Times New Roman"/>
                <w:sz w:val="18"/>
                <w:szCs w:val="18"/>
              </w:rPr>
            </w:pPr>
            <w:r>
              <w:rPr>
                <w:rFonts w:hint="default" w:ascii="Times New Roman" w:hAnsi="Times New Roman" w:cs="Times New Roman"/>
                <w:spacing w:val="-2"/>
                <w:sz w:val="18"/>
                <w:szCs w:val="18"/>
              </w:rPr>
              <w:t>湿度</w:t>
            </w:r>
          </w:p>
        </w:tc>
        <w:tc>
          <w:tcPr>
            <w:tcW w:w="933" w:type="pct"/>
            <w:vMerge w:val="restart"/>
            <w:tcBorders>
              <w:bottom w:val="nil"/>
            </w:tcBorders>
            <w:vAlign w:val="top"/>
          </w:tcPr>
          <w:p w14:paraId="524ADD64">
            <w:pPr>
              <w:spacing w:line="248" w:lineRule="auto"/>
              <w:rPr>
                <w:rFonts w:hint="default" w:ascii="Times New Roman" w:hAnsi="Times New Roman" w:cs="Times New Roman"/>
                <w:sz w:val="18"/>
                <w:szCs w:val="18"/>
              </w:rPr>
            </w:pPr>
          </w:p>
          <w:p w14:paraId="0600898E">
            <w:pPr>
              <w:spacing w:line="248" w:lineRule="auto"/>
              <w:rPr>
                <w:rFonts w:hint="default" w:ascii="Times New Roman" w:hAnsi="Times New Roman" w:cs="Times New Roman"/>
                <w:sz w:val="18"/>
                <w:szCs w:val="18"/>
              </w:rPr>
            </w:pPr>
          </w:p>
          <w:p w14:paraId="61449009">
            <w:pPr>
              <w:pStyle w:val="255"/>
              <w:spacing w:before="52" w:line="222" w:lineRule="auto"/>
              <w:ind w:left="0"/>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参照</w:t>
            </w:r>
            <w:r>
              <w:rPr>
                <w:rFonts w:hint="default" w:ascii="Times New Roman" w:hAnsi="Times New Roman" w:cs="Times New Roman"/>
                <w:spacing w:val="-1"/>
                <w:sz w:val="18"/>
                <w:szCs w:val="18"/>
              </w:rPr>
              <w:t>GB/T</w:t>
            </w:r>
            <w:r>
              <w:rPr>
                <w:rFonts w:hint="default" w:ascii="Times New Roman" w:hAnsi="Times New Roman" w:cs="Times New Roman"/>
                <w:spacing w:val="-1"/>
                <w:sz w:val="18"/>
                <w:szCs w:val="18"/>
                <w:lang w:val="en-US" w:eastAsia="zh-CN"/>
              </w:rPr>
              <w:t xml:space="preserve"> </w:t>
            </w:r>
            <w:r>
              <w:rPr>
                <w:rFonts w:hint="default" w:ascii="Times New Roman" w:hAnsi="Times New Roman" w:cs="Times New Roman"/>
                <w:spacing w:val="-1"/>
                <w:sz w:val="18"/>
                <w:szCs w:val="18"/>
              </w:rPr>
              <w:t>8905</w:t>
            </w:r>
          </w:p>
        </w:tc>
        <w:tc>
          <w:tcPr>
            <w:tcW w:w="2335" w:type="pct"/>
            <w:vAlign w:val="top"/>
          </w:tcPr>
          <w:p w14:paraId="17C93570">
            <w:pPr>
              <w:pStyle w:val="255"/>
              <w:spacing w:before="59" w:line="220" w:lineRule="auto"/>
              <w:ind w:left="195"/>
              <w:rPr>
                <w:rFonts w:hint="default" w:ascii="Times New Roman" w:hAnsi="Times New Roman" w:cs="Times New Roman"/>
                <w:sz w:val="18"/>
                <w:szCs w:val="18"/>
              </w:rPr>
            </w:pPr>
            <w:r>
              <w:rPr>
                <w:rFonts w:hint="default" w:ascii="Times New Roman" w:hAnsi="Times New Roman" w:cs="Times New Roman"/>
                <w:spacing w:val="1"/>
                <w:sz w:val="18"/>
                <w:szCs w:val="18"/>
              </w:rPr>
              <w:t>冷凝露点法、电阻电容法</w:t>
            </w:r>
            <w:r>
              <w:rPr>
                <w:rFonts w:hint="default" w:ascii="Times New Roman" w:hAnsi="Times New Roman" w:cs="Times New Roman"/>
                <w:spacing w:val="1"/>
                <w:sz w:val="18"/>
                <w:szCs w:val="18"/>
                <w:lang w:eastAsia="zh-CN"/>
              </w:rPr>
              <w:t>（</w:t>
            </w:r>
            <w:r>
              <w:rPr>
                <w:rFonts w:hint="default" w:ascii="Times New Roman" w:hAnsi="Times New Roman" w:cs="Times New Roman"/>
                <w:sz w:val="18"/>
                <w:szCs w:val="18"/>
              </w:rPr>
              <w:t>DL</w:t>
            </w:r>
            <w:r>
              <w:rPr>
                <w:rFonts w:hint="default" w:ascii="Times New Roman" w:hAnsi="Times New Roman" w:cs="Times New Roman"/>
                <w:spacing w:val="1"/>
                <w:sz w:val="18"/>
                <w:szCs w:val="18"/>
              </w:rPr>
              <w:t>/T 506</w:t>
            </w:r>
            <w:r>
              <w:rPr>
                <w:rFonts w:hint="default" w:ascii="Times New Roman" w:hAnsi="Times New Roman" w:cs="Times New Roman"/>
                <w:spacing w:val="1"/>
                <w:sz w:val="18"/>
                <w:szCs w:val="18"/>
                <w:lang w:eastAsia="zh-CN"/>
              </w:rPr>
              <w:t>）</w:t>
            </w:r>
          </w:p>
        </w:tc>
      </w:tr>
      <w:tr w14:paraId="18302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trPr>
        <w:tc>
          <w:tcPr>
            <w:tcW w:w="339" w:type="pct"/>
            <w:vAlign w:val="top"/>
          </w:tcPr>
          <w:p w14:paraId="395644BB">
            <w:pPr>
              <w:pStyle w:val="255"/>
              <w:spacing w:before="275"/>
              <w:ind w:left="215"/>
              <w:rPr>
                <w:rFonts w:hint="default" w:ascii="Times New Roman" w:hAnsi="Times New Roman" w:cs="Times New Roman"/>
                <w:sz w:val="18"/>
                <w:szCs w:val="18"/>
              </w:rPr>
            </w:pPr>
            <w:r>
              <w:rPr>
                <w:rFonts w:hint="default" w:ascii="Times New Roman" w:hAnsi="Times New Roman" w:cs="Times New Roman"/>
                <w:sz w:val="18"/>
                <w:szCs w:val="18"/>
              </w:rPr>
              <w:t>3</w:t>
            </w:r>
          </w:p>
        </w:tc>
        <w:tc>
          <w:tcPr>
            <w:tcW w:w="1391" w:type="pct"/>
            <w:vAlign w:val="top"/>
          </w:tcPr>
          <w:p w14:paraId="498EFC3F">
            <w:pPr>
              <w:pStyle w:val="255"/>
              <w:spacing w:before="59" w:line="219" w:lineRule="auto"/>
              <w:ind w:left="200"/>
              <w:rPr>
                <w:rFonts w:hint="default" w:ascii="Times New Roman" w:hAnsi="Times New Roman" w:cs="Times New Roman"/>
                <w:sz w:val="18"/>
                <w:szCs w:val="18"/>
              </w:rPr>
            </w:pPr>
            <w:r>
              <w:rPr>
                <w:rFonts w:hint="default" w:ascii="Times New Roman" w:hAnsi="Times New Roman" w:cs="Times New Roman"/>
                <w:spacing w:val="22"/>
                <w:sz w:val="18"/>
                <w:szCs w:val="18"/>
              </w:rPr>
              <w:t>分解产物</w:t>
            </w:r>
            <w:r>
              <w:rPr>
                <w:rFonts w:hint="default" w:ascii="Times New Roman" w:hAnsi="Times New Roman" w:cs="Times New Roman"/>
                <w:spacing w:val="22"/>
                <w:sz w:val="18"/>
                <w:szCs w:val="18"/>
                <w:lang w:eastAsia="zh-CN"/>
              </w:rPr>
              <w:t>（</w:t>
            </w:r>
            <w:r>
              <w:rPr>
                <w:rFonts w:hint="default" w:ascii="Times New Roman" w:hAnsi="Times New Roman" w:cs="Times New Roman"/>
                <w:sz w:val="18"/>
                <w:szCs w:val="18"/>
              </w:rPr>
              <w:t>SO</w:t>
            </w:r>
            <w:r>
              <w:rPr>
                <w:rFonts w:hint="default" w:ascii="Times New Roman" w:hAnsi="Times New Roman" w:cs="Times New Roman"/>
                <w:sz w:val="18"/>
                <w:szCs w:val="18"/>
                <w:vertAlign w:val="subscript"/>
                <w:lang w:val="en-US" w:eastAsia="zh-CN"/>
              </w:rPr>
              <w:t>2</w:t>
            </w:r>
            <w:r>
              <w:rPr>
                <w:rFonts w:hint="default" w:ascii="Times New Roman" w:hAnsi="Times New Roman" w:eastAsia="Calibri" w:cs="Times New Roman"/>
                <w:spacing w:val="-19"/>
                <w:sz w:val="18"/>
                <w:szCs w:val="18"/>
              </w:rPr>
              <w:t xml:space="preserve"> </w:t>
            </w:r>
            <w:r>
              <w:rPr>
                <w:rFonts w:hint="default" w:ascii="Times New Roman" w:hAnsi="Times New Roman" w:cs="Times New Roman"/>
                <w:spacing w:val="22"/>
                <w:sz w:val="18"/>
                <w:szCs w:val="18"/>
              </w:rPr>
              <w:t>、</w:t>
            </w:r>
            <w:r>
              <w:rPr>
                <w:rFonts w:hint="default" w:ascii="Times New Roman" w:hAnsi="Times New Roman" w:cs="Times New Roman"/>
                <w:sz w:val="18"/>
                <w:szCs w:val="18"/>
              </w:rPr>
              <w:t>SOF</w:t>
            </w:r>
            <w:r>
              <w:rPr>
                <w:rFonts w:hint="default" w:ascii="Times New Roman" w:hAnsi="Times New Roman" w:cs="Times New Roman"/>
                <w:spacing w:val="22"/>
                <w:sz w:val="18"/>
                <w:szCs w:val="18"/>
                <w:vertAlign w:val="subscript"/>
                <w:lang w:eastAsia="zh-CN"/>
              </w:rPr>
              <w:t>2</w:t>
            </w:r>
            <w:r>
              <w:rPr>
                <w:rFonts w:hint="default" w:ascii="Times New Roman" w:hAnsi="Times New Roman" w:cs="Times New Roman"/>
                <w:spacing w:val="22"/>
                <w:sz w:val="18"/>
                <w:szCs w:val="18"/>
              </w:rPr>
              <w:t>、</w:t>
            </w:r>
            <w:r>
              <w:rPr>
                <w:rFonts w:hint="default" w:ascii="Times New Roman" w:hAnsi="Times New Roman" w:cs="Times New Roman"/>
                <w:spacing w:val="-2"/>
                <w:sz w:val="18"/>
                <w:szCs w:val="18"/>
              </w:rPr>
              <w:t>SO</w:t>
            </w:r>
            <w:r>
              <w:rPr>
                <w:rFonts w:hint="default" w:ascii="Times New Roman" w:hAnsi="Times New Roman" w:cs="Times New Roman"/>
                <w:spacing w:val="-2"/>
                <w:sz w:val="18"/>
                <w:szCs w:val="18"/>
                <w:vertAlign w:val="subscript"/>
                <w:lang w:eastAsia="zh-CN"/>
              </w:rPr>
              <w:t>2</w:t>
            </w:r>
            <w:r>
              <w:rPr>
                <w:rFonts w:hint="default" w:ascii="Times New Roman" w:hAnsi="Times New Roman" w:cs="Times New Roman"/>
                <w:spacing w:val="-2"/>
                <w:sz w:val="18"/>
                <w:szCs w:val="18"/>
              </w:rPr>
              <w:t>F</w:t>
            </w:r>
            <w:r>
              <w:rPr>
                <w:rFonts w:hint="default" w:ascii="Times New Roman" w:hAnsi="Times New Roman" w:cs="Times New Roman"/>
                <w:spacing w:val="-2"/>
                <w:sz w:val="18"/>
                <w:szCs w:val="18"/>
                <w:vertAlign w:val="subscript"/>
                <w:lang w:eastAsia="zh-CN"/>
              </w:rPr>
              <w:t>2</w:t>
            </w:r>
            <w:r>
              <w:rPr>
                <w:rFonts w:hint="default" w:ascii="Times New Roman" w:hAnsi="Times New Roman" w:cs="Times New Roman"/>
                <w:spacing w:val="-2"/>
                <w:sz w:val="18"/>
                <w:szCs w:val="18"/>
              </w:rPr>
              <w:t>、CO、CO</w:t>
            </w:r>
            <w:r>
              <w:rPr>
                <w:rFonts w:hint="default" w:ascii="Times New Roman" w:hAnsi="Times New Roman" w:cs="Times New Roman"/>
                <w:spacing w:val="-2"/>
                <w:sz w:val="18"/>
                <w:szCs w:val="18"/>
                <w:vertAlign w:val="subscript"/>
                <w:lang w:eastAsia="zh-CN"/>
              </w:rPr>
              <w:t>2</w:t>
            </w:r>
            <w:r>
              <w:rPr>
                <w:rFonts w:hint="default" w:ascii="Times New Roman" w:hAnsi="Times New Roman" w:cs="Times New Roman"/>
                <w:spacing w:val="-2"/>
                <w:sz w:val="18"/>
                <w:szCs w:val="18"/>
              </w:rPr>
              <w:t>、CF</w:t>
            </w:r>
            <w:r>
              <w:rPr>
                <w:rFonts w:hint="default" w:ascii="Times New Roman" w:hAnsi="Times New Roman" w:cs="Times New Roman"/>
                <w:spacing w:val="-2"/>
                <w:sz w:val="18"/>
                <w:szCs w:val="18"/>
                <w:vertAlign w:val="subscript"/>
              </w:rPr>
              <w:t>4</w:t>
            </w:r>
            <w:r>
              <w:rPr>
                <w:rFonts w:hint="default" w:ascii="Times New Roman" w:hAnsi="Times New Roman" w:cs="Times New Roman"/>
                <w:spacing w:val="-2"/>
                <w:sz w:val="18"/>
                <w:szCs w:val="18"/>
              </w:rPr>
              <w:t>、</w:t>
            </w:r>
            <w:r>
              <w:rPr>
                <w:rFonts w:hint="default" w:ascii="Times New Roman" w:hAnsi="Times New Roman" w:cs="Times New Roman"/>
                <w:spacing w:val="-1"/>
                <w:sz w:val="18"/>
                <w:szCs w:val="18"/>
              </w:rPr>
              <w:t>C</w:t>
            </w:r>
            <w:r>
              <w:rPr>
                <w:rFonts w:hint="default" w:ascii="Times New Roman" w:hAnsi="Times New Roman" w:cs="Times New Roman"/>
                <w:spacing w:val="-1"/>
                <w:sz w:val="18"/>
                <w:szCs w:val="18"/>
                <w:vertAlign w:val="subscript"/>
                <w:lang w:eastAsia="zh-CN"/>
              </w:rPr>
              <w:t>2</w:t>
            </w:r>
            <w:r>
              <w:rPr>
                <w:rFonts w:hint="default" w:ascii="Times New Roman" w:hAnsi="Times New Roman" w:cs="Times New Roman"/>
                <w:spacing w:val="-1"/>
                <w:sz w:val="18"/>
                <w:szCs w:val="18"/>
              </w:rPr>
              <w:t>F</w:t>
            </w:r>
            <w:r>
              <w:rPr>
                <w:rFonts w:hint="default" w:ascii="Times New Roman" w:hAnsi="Times New Roman" w:cs="Times New Roman"/>
                <w:spacing w:val="-1"/>
                <w:sz w:val="18"/>
                <w:szCs w:val="18"/>
                <w:vertAlign w:val="subscript"/>
                <w:lang w:eastAsia="zh-CN"/>
              </w:rPr>
              <w:t>6</w:t>
            </w:r>
            <w:r>
              <w:rPr>
                <w:rFonts w:hint="default" w:ascii="Times New Roman" w:hAnsi="Times New Roman" w:cs="Times New Roman"/>
                <w:spacing w:val="-1"/>
                <w:sz w:val="18"/>
                <w:szCs w:val="18"/>
              </w:rPr>
              <w:t>、C</w:t>
            </w:r>
            <w:r>
              <w:rPr>
                <w:rFonts w:hint="default" w:ascii="Times New Roman" w:hAnsi="Times New Roman" w:cs="Times New Roman"/>
                <w:spacing w:val="-1"/>
                <w:sz w:val="18"/>
                <w:szCs w:val="18"/>
                <w:vertAlign w:val="subscript"/>
                <w:lang w:eastAsia="zh-CN"/>
              </w:rPr>
              <w:t>3</w:t>
            </w:r>
            <w:r>
              <w:rPr>
                <w:rFonts w:hint="default" w:ascii="Times New Roman" w:hAnsi="Times New Roman" w:cs="Times New Roman"/>
                <w:spacing w:val="-1"/>
                <w:sz w:val="18"/>
                <w:szCs w:val="18"/>
              </w:rPr>
              <w:t>Fg</w:t>
            </w:r>
            <w:r>
              <w:rPr>
                <w:rFonts w:hint="default" w:ascii="Times New Roman" w:hAnsi="Times New Roman" w:cs="Times New Roman"/>
                <w:spacing w:val="-1"/>
                <w:sz w:val="18"/>
                <w:szCs w:val="18"/>
                <w:lang w:eastAsia="zh-CN"/>
              </w:rPr>
              <w:t>）</w:t>
            </w:r>
          </w:p>
        </w:tc>
        <w:tc>
          <w:tcPr>
            <w:tcW w:w="933" w:type="pct"/>
            <w:vMerge w:val="continue"/>
            <w:tcBorders>
              <w:top w:val="nil"/>
              <w:bottom w:val="nil"/>
            </w:tcBorders>
            <w:vAlign w:val="top"/>
          </w:tcPr>
          <w:p w14:paraId="7D1AFF04">
            <w:pPr>
              <w:rPr>
                <w:rFonts w:hint="default" w:ascii="Times New Roman" w:hAnsi="Times New Roman" w:cs="Times New Roman"/>
                <w:sz w:val="18"/>
                <w:szCs w:val="18"/>
              </w:rPr>
            </w:pPr>
          </w:p>
        </w:tc>
        <w:tc>
          <w:tcPr>
            <w:tcW w:w="2335" w:type="pct"/>
            <w:vAlign w:val="top"/>
          </w:tcPr>
          <w:p w14:paraId="36B5DD2D">
            <w:pPr>
              <w:pStyle w:val="255"/>
              <w:spacing w:before="168" w:line="238" w:lineRule="auto"/>
              <w:ind w:left="195" w:right="258"/>
              <w:rPr>
                <w:rFonts w:hint="default" w:ascii="Times New Roman" w:hAnsi="Times New Roman" w:cs="Times New Roman"/>
                <w:sz w:val="18"/>
                <w:szCs w:val="18"/>
              </w:rPr>
            </w:pPr>
            <w:r>
              <w:rPr>
                <w:rFonts w:hint="default" w:ascii="Times New Roman" w:hAnsi="Times New Roman" w:cs="Times New Roman"/>
                <w:sz w:val="18"/>
                <w:szCs w:val="18"/>
              </w:rPr>
              <w:t>电化学传感器法、气相色谱法、气体检测管法</w:t>
            </w:r>
            <w:r>
              <w:rPr>
                <w:rFonts w:hint="default" w:ascii="Times New Roman" w:hAnsi="Times New Roman" w:cs="Times New Roman"/>
                <w:spacing w:val="4"/>
                <w:sz w:val="18"/>
                <w:szCs w:val="18"/>
              </w:rPr>
              <w:t xml:space="preserve"> </w:t>
            </w:r>
            <w:r>
              <w:rPr>
                <w:rFonts w:hint="default" w:ascii="Times New Roman" w:hAnsi="Times New Roman" w:cs="Times New Roman"/>
                <w:spacing w:val="-5"/>
                <w:sz w:val="18"/>
                <w:szCs w:val="18"/>
              </w:rPr>
              <w:t>(DL/T</w:t>
            </w:r>
            <w:r>
              <w:rPr>
                <w:rFonts w:hint="default" w:ascii="Times New Roman" w:hAnsi="Times New Roman" w:cs="Times New Roman"/>
                <w:spacing w:val="3"/>
                <w:sz w:val="18"/>
                <w:szCs w:val="18"/>
              </w:rPr>
              <w:t xml:space="preserve"> </w:t>
            </w:r>
            <w:r>
              <w:rPr>
                <w:rFonts w:hint="default" w:ascii="Times New Roman" w:hAnsi="Times New Roman" w:cs="Times New Roman"/>
                <w:spacing w:val="-5"/>
                <w:sz w:val="18"/>
                <w:szCs w:val="18"/>
              </w:rPr>
              <w:t>1205)</w:t>
            </w:r>
          </w:p>
        </w:tc>
      </w:tr>
      <w:tr w14:paraId="320B3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 w:hRule="atLeast"/>
        </w:trPr>
        <w:tc>
          <w:tcPr>
            <w:tcW w:w="339" w:type="pct"/>
            <w:vAlign w:val="top"/>
          </w:tcPr>
          <w:p w14:paraId="56F35DA4">
            <w:pPr>
              <w:pStyle w:val="255"/>
              <w:spacing w:before="87" w:line="221" w:lineRule="auto"/>
              <w:ind w:left="215"/>
              <w:rPr>
                <w:rFonts w:hint="default" w:ascii="Times New Roman" w:hAnsi="Times New Roman" w:cs="Times New Roman"/>
                <w:sz w:val="18"/>
                <w:szCs w:val="18"/>
              </w:rPr>
            </w:pPr>
            <w:r>
              <w:rPr>
                <w:rFonts w:hint="default" w:ascii="Times New Roman" w:hAnsi="Times New Roman" w:cs="Times New Roman"/>
                <w:sz w:val="18"/>
                <w:szCs w:val="18"/>
              </w:rPr>
              <w:t>4</w:t>
            </w:r>
          </w:p>
        </w:tc>
        <w:tc>
          <w:tcPr>
            <w:tcW w:w="1391" w:type="pct"/>
            <w:vAlign w:val="top"/>
          </w:tcPr>
          <w:p w14:paraId="066C27EE">
            <w:pPr>
              <w:pStyle w:val="255"/>
              <w:spacing w:before="72" w:line="221" w:lineRule="auto"/>
              <w:ind w:left="920"/>
              <w:rPr>
                <w:rFonts w:hint="default" w:ascii="Times New Roman" w:hAnsi="Times New Roman" w:cs="Times New Roman"/>
                <w:sz w:val="18"/>
                <w:szCs w:val="18"/>
              </w:rPr>
            </w:pPr>
            <w:r>
              <w:rPr>
                <w:rFonts w:hint="default" w:ascii="Times New Roman" w:hAnsi="Times New Roman" w:cs="Times New Roman"/>
                <w:spacing w:val="-3"/>
                <w:sz w:val="18"/>
                <w:szCs w:val="18"/>
              </w:rPr>
              <w:t>泄漏</w:t>
            </w:r>
          </w:p>
        </w:tc>
        <w:tc>
          <w:tcPr>
            <w:tcW w:w="933" w:type="pct"/>
            <w:vMerge w:val="continue"/>
            <w:tcBorders>
              <w:top w:val="nil"/>
            </w:tcBorders>
            <w:vAlign w:val="top"/>
          </w:tcPr>
          <w:p w14:paraId="03F0CE62">
            <w:pPr>
              <w:rPr>
                <w:rFonts w:hint="default" w:ascii="Times New Roman" w:hAnsi="Times New Roman" w:cs="Times New Roman"/>
                <w:sz w:val="18"/>
                <w:szCs w:val="18"/>
              </w:rPr>
            </w:pPr>
          </w:p>
        </w:tc>
        <w:tc>
          <w:tcPr>
            <w:tcW w:w="2335" w:type="pct"/>
            <w:vAlign w:val="top"/>
          </w:tcPr>
          <w:p w14:paraId="351BB510">
            <w:pPr>
              <w:pStyle w:val="255"/>
              <w:spacing w:before="71" w:line="219" w:lineRule="auto"/>
              <w:ind w:left="195"/>
              <w:rPr>
                <w:rFonts w:hint="default" w:ascii="Times New Roman" w:hAnsi="Times New Roman" w:cs="Times New Roman"/>
                <w:sz w:val="18"/>
                <w:szCs w:val="18"/>
              </w:rPr>
            </w:pPr>
            <w:r>
              <w:rPr>
                <w:rFonts w:hint="default" w:ascii="Times New Roman" w:hAnsi="Times New Roman" w:cs="Times New Roman"/>
                <w:sz w:val="18"/>
                <w:szCs w:val="18"/>
              </w:rPr>
              <w:t>定性检漏</w:t>
            </w:r>
            <w:r>
              <w:rPr>
                <w:rFonts w:hint="default" w:ascii="Times New Roman" w:hAnsi="Times New Roman" w:cs="Times New Roman"/>
                <w:sz w:val="18"/>
                <w:szCs w:val="18"/>
                <w:lang w:eastAsia="zh-CN"/>
              </w:rPr>
              <w:t>（</w:t>
            </w:r>
            <w:r>
              <w:rPr>
                <w:rFonts w:hint="default" w:ascii="Times New Roman" w:hAnsi="Times New Roman" w:cs="Times New Roman"/>
                <w:sz w:val="18"/>
                <w:szCs w:val="18"/>
              </w:rPr>
              <w:t>红外成像法</w:t>
            </w:r>
            <w:r>
              <w:rPr>
                <w:rFonts w:hint="default" w:ascii="Times New Roman" w:hAnsi="Times New Roman" w:cs="Times New Roman"/>
                <w:sz w:val="18"/>
                <w:szCs w:val="18"/>
                <w:lang w:eastAsia="zh-CN"/>
              </w:rPr>
              <w:t>）；</w:t>
            </w:r>
            <w:r>
              <w:rPr>
                <w:rFonts w:hint="default" w:ascii="Times New Roman" w:hAnsi="Times New Roman" w:cs="Times New Roman"/>
                <w:sz w:val="18"/>
                <w:szCs w:val="18"/>
              </w:rPr>
              <w:t>定量检漏</w:t>
            </w:r>
            <w:r>
              <w:rPr>
                <w:rFonts w:hint="default" w:ascii="Times New Roman" w:hAnsi="Times New Roman" w:cs="Times New Roman"/>
                <w:sz w:val="18"/>
                <w:szCs w:val="18"/>
                <w:lang w:eastAsia="zh-CN"/>
              </w:rPr>
              <w:t>（</w:t>
            </w:r>
            <w:r>
              <w:rPr>
                <w:rFonts w:hint="default" w:ascii="Times New Roman" w:hAnsi="Times New Roman" w:cs="Times New Roman"/>
                <w:sz w:val="18"/>
                <w:szCs w:val="18"/>
              </w:rPr>
              <w:t>GB/T</w:t>
            </w:r>
            <w:r>
              <w:rPr>
                <w:rFonts w:hint="default" w:ascii="Times New Roman" w:hAnsi="Times New Roman" w:cs="Times New Roman"/>
                <w:sz w:val="18"/>
                <w:szCs w:val="18"/>
                <w:lang w:val="en-US" w:eastAsia="zh-CN"/>
              </w:rPr>
              <w:t xml:space="preserve"> </w:t>
            </w:r>
            <w:r>
              <w:rPr>
                <w:rFonts w:hint="default" w:ascii="Times New Roman" w:hAnsi="Times New Roman" w:cs="Times New Roman"/>
                <w:spacing w:val="35"/>
                <w:w w:val="101"/>
                <w:sz w:val="18"/>
                <w:szCs w:val="18"/>
              </w:rPr>
              <w:t xml:space="preserve"> </w:t>
            </w:r>
            <w:r>
              <w:rPr>
                <w:rFonts w:hint="default" w:ascii="Times New Roman" w:hAnsi="Times New Roman" w:cs="Times New Roman"/>
                <w:sz w:val="18"/>
                <w:szCs w:val="18"/>
              </w:rPr>
              <w:t>11023</w:t>
            </w:r>
            <w:r>
              <w:rPr>
                <w:rFonts w:hint="default" w:ascii="Times New Roman" w:hAnsi="Times New Roman" w:cs="Times New Roman"/>
                <w:sz w:val="18"/>
                <w:szCs w:val="18"/>
                <w:lang w:eastAsia="zh-CN"/>
              </w:rPr>
              <w:t>）</w:t>
            </w:r>
          </w:p>
        </w:tc>
      </w:tr>
      <w:tr w14:paraId="4EA04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trPr>
        <w:tc>
          <w:tcPr>
            <w:tcW w:w="339" w:type="pct"/>
            <w:vAlign w:val="top"/>
          </w:tcPr>
          <w:p w14:paraId="4ECF4416">
            <w:pPr>
              <w:pStyle w:val="255"/>
              <w:spacing w:before="78" w:line="220" w:lineRule="auto"/>
              <w:ind w:left="215"/>
              <w:rPr>
                <w:rFonts w:hint="default" w:ascii="Times New Roman" w:hAnsi="Times New Roman" w:cs="Times New Roman"/>
                <w:sz w:val="18"/>
                <w:szCs w:val="18"/>
              </w:rPr>
            </w:pPr>
            <w:r>
              <w:rPr>
                <w:rFonts w:hint="default" w:ascii="Times New Roman" w:hAnsi="Times New Roman" w:cs="Times New Roman"/>
                <w:sz w:val="18"/>
                <w:szCs w:val="18"/>
              </w:rPr>
              <w:t>5</w:t>
            </w:r>
          </w:p>
        </w:tc>
        <w:tc>
          <w:tcPr>
            <w:tcW w:w="1391" w:type="pct"/>
            <w:vAlign w:val="top"/>
          </w:tcPr>
          <w:p w14:paraId="5DBD8C0B">
            <w:pPr>
              <w:pStyle w:val="255"/>
              <w:spacing w:before="63" w:line="220" w:lineRule="auto"/>
              <w:ind w:left="920"/>
              <w:rPr>
                <w:rFonts w:hint="default" w:ascii="Times New Roman" w:hAnsi="Times New Roman" w:cs="Times New Roman"/>
                <w:sz w:val="18"/>
                <w:szCs w:val="18"/>
              </w:rPr>
            </w:pPr>
            <w:r>
              <w:rPr>
                <w:rFonts w:hint="default" w:ascii="Times New Roman" w:hAnsi="Times New Roman" w:cs="Times New Roman"/>
                <w:spacing w:val="-2"/>
                <w:sz w:val="18"/>
                <w:szCs w:val="18"/>
              </w:rPr>
              <w:t>酸度</w:t>
            </w:r>
          </w:p>
        </w:tc>
        <w:tc>
          <w:tcPr>
            <w:tcW w:w="933" w:type="pct"/>
            <w:vMerge w:val="restart"/>
            <w:tcBorders>
              <w:bottom w:val="nil"/>
            </w:tcBorders>
            <w:vAlign w:val="top"/>
          </w:tcPr>
          <w:p w14:paraId="0E98619F">
            <w:pPr>
              <w:spacing w:line="242" w:lineRule="auto"/>
              <w:rPr>
                <w:rFonts w:hint="default" w:ascii="Times New Roman" w:hAnsi="Times New Roman" w:cs="Times New Roman"/>
                <w:sz w:val="18"/>
                <w:szCs w:val="18"/>
              </w:rPr>
            </w:pPr>
          </w:p>
          <w:p w14:paraId="22619580">
            <w:pPr>
              <w:spacing w:line="243" w:lineRule="auto"/>
              <w:rPr>
                <w:rFonts w:hint="default" w:ascii="Times New Roman" w:hAnsi="Times New Roman" w:cs="Times New Roman"/>
                <w:sz w:val="18"/>
                <w:szCs w:val="18"/>
              </w:rPr>
            </w:pPr>
          </w:p>
          <w:p w14:paraId="485223D7">
            <w:pPr>
              <w:spacing w:line="243" w:lineRule="auto"/>
              <w:rPr>
                <w:rFonts w:hint="default" w:ascii="Times New Roman" w:hAnsi="Times New Roman" w:cs="Times New Roman"/>
                <w:sz w:val="18"/>
                <w:szCs w:val="18"/>
              </w:rPr>
            </w:pPr>
          </w:p>
          <w:p w14:paraId="7DA62BAA">
            <w:pPr>
              <w:pStyle w:val="255"/>
              <w:spacing w:before="52" w:line="221" w:lineRule="auto"/>
              <w:ind w:left="483"/>
              <w:rPr>
                <w:rFonts w:hint="default" w:ascii="Times New Roman" w:hAnsi="Times New Roman" w:cs="Times New Roman"/>
                <w:sz w:val="18"/>
                <w:szCs w:val="18"/>
              </w:rPr>
            </w:pPr>
            <w:r>
              <w:rPr>
                <w:rFonts w:hint="default" w:ascii="Times New Roman" w:hAnsi="Times New Roman" w:cs="Times New Roman"/>
                <w:spacing w:val="-2"/>
                <w:sz w:val="18"/>
                <w:szCs w:val="18"/>
              </w:rPr>
              <w:t>必要时</w:t>
            </w:r>
          </w:p>
        </w:tc>
        <w:tc>
          <w:tcPr>
            <w:tcW w:w="2335" w:type="pct"/>
            <w:vAlign w:val="top"/>
          </w:tcPr>
          <w:p w14:paraId="5F47FDCA">
            <w:pPr>
              <w:pStyle w:val="255"/>
              <w:spacing w:before="63" w:line="220" w:lineRule="auto"/>
              <w:ind w:left="195"/>
              <w:rPr>
                <w:rFonts w:hint="default" w:ascii="Times New Roman" w:hAnsi="Times New Roman" w:cs="Times New Roman"/>
                <w:sz w:val="18"/>
                <w:szCs w:val="18"/>
              </w:rPr>
            </w:pPr>
            <w:r>
              <w:rPr>
                <w:rFonts w:hint="default" w:ascii="Times New Roman" w:hAnsi="Times New Roman" w:cs="Times New Roman"/>
                <w:spacing w:val="3"/>
                <w:sz w:val="18"/>
                <w:szCs w:val="18"/>
              </w:rPr>
              <w:t>酸碱滴定法</w:t>
            </w:r>
            <w:r>
              <w:rPr>
                <w:rFonts w:hint="default" w:ascii="Times New Roman" w:hAnsi="Times New Roman" w:cs="Times New Roman"/>
                <w:spacing w:val="3"/>
                <w:sz w:val="18"/>
                <w:szCs w:val="18"/>
                <w:lang w:eastAsia="zh-CN"/>
              </w:rPr>
              <w:t>（</w:t>
            </w:r>
            <w:r>
              <w:rPr>
                <w:rFonts w:hint="default" w:ascii="Times New Roman" w:hAnsi="Times New Roman" w:cs="Times New Roman"/>
                <w:sz w:val="18"/>
                <w:szCs w:val="18"/>
              </w:rPr>
              <w:t>DL</w:t>
            </w:r>
            <w:r>
              <w:rPr>
                <w:rFonts w:hint="default" w:ascii="Times New Roman" w:hAnsi="Times New Roman" w:cs="Times New Roman"/>
                <w:sz w:val="18"/>
                <w:szCs w:val="18"/>
                <w:lang w:val="en-US" w:eastAsia="zh-CN"/>
              </w:rPr>
              <w:t>/</w:t>
            </w:r>
            <w:r>
              <w:rPr>
                <w:rFonts w:hint="default" w:ascii="Times New Roman" w:hAnsi="Times New Roman" w:cs="Times New Roman"/>
                <w:sz w:val="18"/>
                <w:szCs w:val="18"/>
              </w:rPr>
              <w:t>T</w:t>
            </w:r>
            <w:r>
              <w:rPr>
                <w:rFonts w:hint="default" w:ascii="Times New Roman" w:hAnsi="Times New Roman" w:cs="Times New Roman"/>
                <w:spacing w:val="3"/>
                <w:sz w:val="18"/>
                <w:szCs w:val="18"/>
              </w:rPr>
              <w:t xml:space="preserve"> 916</w:t>
            </w:r>
            <w:r>
              <w:rPr>
                <w:rFonts w:hint="default" w:ascii="Times New Roman" w:hAnsi="Times New Roman" w:cs="Times New Roman"/>
                <w:spacing w:val="3"/>
                <w:sz w:val="18"/>
                <w:szCs w:val="18"/>
                <w:lang w:eastAsia="zh-CN"/>
              </w:rPr>
              <w:t>）</w:t>
            </w:r>
          </w:p>
        </w:tc>
      </w:tr>
      <w:tr w14:paraId="1426A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trPr>
        <w:tc>
          <w:tcPr>
            <w:tcW w:w="339" w:type="pct"/>
            <w:vAlign w:val="top"/>
          </w:tcPr>
          <w:p w14:paraId="068B35DE">
            <w:pPr>
              <w:pStyle w:val="255"/>
              <w:spacing w:before="79" w:line="219" w:lineRule="auto"/>
              <w:ind w:left="215"/>
              <w:rPr>
                <w:rFonts w:hint="default" w:ascii="Times New Roman" w:hAnsi="Times New Roman" w:cs="Times New Roman"/>
                <w:sz w:val="18"/>
                <w:szCs w:val="18"/>
              </w:rPr>
            </w:pPr>
            <w:r>
              <w:rPr>
                <w:rFonts w:hint="default" w:ascii="Times New Roman" w:hAnsi="Times New Roman" w:cs="Times New Roman"/>
                <w:sz w:val="18"/>
                <w:szCs w:val="18"/>
              </w:rPr>
              <w:t>6</w:t>
            </w:r>
          </w:p>
        </w:tc>
        <w:tc>
          <w:tcPr>
            <w:tcW w:w="1391" w:type="pct"/>
            <w:vAlign w:val="top"/>
          </w:tcPr>
          <w:p w14:paraId="6A8CA945">
            <w:pPr>
              <w:pStyle w:val="255"/>
              <w:spacing w:before="63" w:line="219" w:lineRule="auto"/>
              <w:ind w:left="600"/>
              <w:rPr>
                <w:rFonts w:hint="default" w:ascii="Times New Roman" w:hAnsi="Times New Roman" w:cs="Times New Roman"/>
                <w:sz w:val="18"/>
                <w:szCs w:val="18"/>
              </w:rPr>
            </w:pPr>
            <w:r>
              <w:rPr>
                <w:rFonts w:hint="default" w:ascii="Times New Roman" w:hAnsi="Times New Roman" w:cs="Times New Roman"/>
                <w:spacing w:val="-2"/>
                <w:sz w:val="18"/>
                <w:szCs w:val="18"/>
              </w:rPr>
              <w:t>可水解氟化物</w:t>
            </w:r>
          </w:p>
        </w:tc>
        <w:tc>
          <w:tcPr>
            <w:tcW w:w="933" w:type="pct"/>
            <w:vMerge w:val="continue"/>
            <w:tcBorders>
              <w:top w:val="nil"/>
              <w:bottom w:val="nil"/>
            </w:tcBorders>
            <w:vAlign w:val="top"/>
          </w:tcPr>
          <w:p w14:paraId="36C5A243">
            <w:pPr>
              <w:rPr>
                <w:rFonts w:hint="default" w:ascii="Times New Roman" w:hAnsi="Times New Roman" w:cs="Times New Roman"/>
                <w:sz w:val="18"/>
                <w:szCs w:val="18"/>
              </w:rPr>
            </w:pPr>
          </w:p>
        </w:tc>
        <w:tc>
          <w:tcPr>
            <w:tcW w:w="2335" w:type="pct"/>
            <w:vAlign w:val="top"/>
          </w:tcPr>
          <w:p w14:paraId="770AB3B8">
            <w:pPr>
              <w:pStyle w:val="255"/>
              <w:spacing w:before="63" w:line="219" w:lineRule="auto"/>
              <w:ind w:left="195"/>
              <w:rPr>
                <w:rFonts w:hint="default" w:ascii="Times New Roman" w:hAnsi="Times New Roman" w:cs="Times New Roman"/>
                <w:sz w:val="18"/>
                <w:szCs w:val="18"/>
              </w:rPr>
            </w:pPr>
            <w:r>
              <w:rPr>
                <w:rFonts w:hint="default" w:ascii="Times New Roman" w:hAnsi="Times New Roman" w:cs="Times New Roman"/>
                <w:spacing w:val="1"/>
                <w:sz w:val="18"/>
                <w:szCs w:val="18"/>
              </w:rPr>
              <w:t>比色法、氟离子选择性电极法</w:t>
            </w:r>
            <w:r>
              <w:rPr>
                <w:rFonts w:hint="default" w:ascii="Times New Roman" w:hAnsi="Times New Roman" w:cs="Times New Roman"/>
                <w:spacing w:val="1"/>
                <w:sz w:val="18"/>
                <w:szCs w:val="18"/>
                <w:lang w:eastAsia="zh-CN"/>
              </w:rPr>
              <w:t>（</w:t>
            </w:r>
            <w:r>
              <w:rPr>
                <w:rFonts w:hint="default" w:ascii="Times New Roman" w:hAnsi="Times New Roman" w:cs="Times New Roman"/>
                <w:sz w:val="18"/>
                <w:szCs w:val="18"/>
              </w:rPr>
              <w:t>DL</w:t>
            </w:r>
            <w:r>
              <w:rPr>
                <w:rFonts w:hint="default" w:ascii="Times New Roman" w:hAnsi="Times New Roman" w:cs="Times New Roman"/>
                <w:spacing w:val="1"/>
                <w:sz w:val="18"/>
                <w:szCs w:val="18"/>
              </w:rPr>
              <w:t>/T</w:t>
            </w:r>
            <w:r>
              <w:rPr>
                <w:rFonts w:hint="default" w:ascii="Times New Roman" w:hAnsi="Times New Roman" w:cs="Times New Roman"/>
                <w:spacing w:val="1"/>
                <w:sz w:val="18"/>
                <w:szCs w:val="18"/>
                <w:lang w:val="en-US" w:eastAsia="zh-CN"/>
              </w:rPr>
              <w:t xml:space="preserve"> </w:t>
            </w:r>
            <w:r>
              <w:rPr>
                <w:rFonts w:hint="default" w:ascii="Times New Roman" w:hAnsi="Times New Roman" w:cs="Times New Roman"/>
                <w:spacing w:val="1"/>
                <w:sz w:val="18"/>
                <w:szCs w:val="18"/>
              </w:rPr>
              <w:t>918</w:t>
            </w:r>
            <w:r>
              <w:rPr>
                <w:rFonts w:hint="default" w:ascii="Times New Roman" w:hAnsi="Times New Roman" w:cs="Times New Roman"/>
                <w:spacing w:val="1"/>
                <w:sz w:val="18"/>
                <w:szCs w:val="18"/>
                <w:lang w:eastAsia="zh-CN"/>
              </w:rPr>
              <w:t>）</w:t>
            </w:r>
          </w:p>
        </w:tc>
      </w:tr>
      <w:tr w14:paraId="0BC6EF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339" w:type="pct"/>
            <w:vAlign w:val="top"/>
          </w:tcPr>
          <w:p w14:paraId="35D791AC">
            <w:pPr>
              <w:pStyle w:val="255"/>
              <w:spacing w:before="80" w:line="219" w:lineRule="auto"/>
              <w:ind w:left="215"/>
              <w:rPr>
                <w:rFonts w:hint="default" w:ascii="Times New Roman" w:hAnsi="Times New Roman" w:cs="Times New Roman"/>
                <w:sz w:val="18"/>
                <w:szCs w:val="18"/>
              </w:rPr>
            </w:pPr>
            <w:r>
              <w:rPr>
                <w:rFonts w:hint="default" w:ascii="Times New Roman" w:hAnsi="Times New Roman" w:cs="Times New Roman"/>
                <w:sz w:val="18"/>
                <w:szCs w:val="18"/>
              </w:rPr>
              <w:t>7</w:t>
            </w:r>
          </w:p>
        </w:tc>
        <w:tc>
          <w:tcPr>
            <w:tcW w:w="1391" w:type="pct"/>
            <w:vAlign w:val="top"/>
          </w:tcPr>
          <w:p w14:paraId="0D03532A">
            <w:pPr>
              <w:pStyle w:val="255"/>
              <w:spacing w:before="64" w:line="219" w:lineRule="auto"/>
              <w:ind w:left="840"/>
              <w:rPr>
                <w:rFonts w:hint="default" w:ascii="Times New Roman" w:hAnsi="Times New Roman" w:cs="Times New Roman"/>
                <w:sz w:val="18"/>
                <w:szCs w:val="18"/>
              </w:rPr>
            </w:pPr>
            <w:r>
              <w:rPr>
                <w:rFonts w:hint="default" w:ascii="Times New Roman" w:hAnsi="Times New Roman" w:cs="Times New Roman"/>
                <w:spacing w:val="5"/>
                <w:sz w:val="18"/>
                <w:szCs w:val="18"/>
              </w:rPr>
              <w:t>矿物油</w:t>
            </w:r>
          </w:p>
        </w:tc>
        <w:tc>
          <w:tcPr>
            <w:tcW w:w="933" w:type="pct"/>
            <w:vMerge w:val="continue"/>
            <w:tcBorders>
              <w:top w:val="nil"/>
              <w:bottom w:val="nil"/>
            </w:tcBorders>
            <w:vAlign w:val="top"/>
          </w:tcPr>
          <w:p w14:paraId="5AA9D334">
            <w:pPr>
              <w:rPr>
                <w:rFonts w:hint="default" w:ascii="Times New Roman" w:hAnsi="Times New Roman" w:cs="Times New Roman"/>
                <w:sz w:val="18"/>
                <w:szCs w:val="18"/>
              </w:rPr>
            </w:pPr>
          </w:p>
        </w:tc>
        <w:tc>
          <w:tcPr>
            <w:tcW w:w="2335" w:type="pct"/>
            <w:vAlign w:val="top"/>
          </w:tcPr>
          <w:p w14:paraId="0DA51D01">
            <w:pPr>
              <w:pStyle w:val="255"/>
              <w:spacing w:before="64" w:line="219" w:lineRule="auto"/>
              <w:ind w:left="195"/>
              <w:rPr>
                <w:rFonts w:hint="default" w:ascii="Times New Roman" w:hAnsi="Times New Roman" w:cs="Times New Roman"/>
                <w:sz w:val="18"/>
                <w:szCs w:val="18"/>
              </w:rPr>
            </w:pPr>
            <w:r>
              <w:rPr>
                <w:rFonts w:hint="default" w:ascii="Times New Roman" w:hAnsi="Times New Roman" w:cs="Times New Roman"/>
                <w:spacing w:val="2"/>
                <w:sz w:val="18"/>
                <w:szCs w:val="18"/>
              </w:rPr>
              <w:t>红外光谱分析法</w:t>
            </w:r>
            <w:r>
              <w:rPr>
                <w:rFonts w:hint="default" w:ascii="Times New Roman" w:hAnsi="Times New Roman" w:cs="Times New Roman"/>
                <w:spacing w:val="2"/>
                <w:sz w:val="18"/>
                <w:szCs w:val="18"/>
                <w:lang w:eastAsia="zh-CN"/>
              </w:rPr>
              <w:t>（</w:t>
            </w:r>
            <w:r>
              <w:rPr>
                <w:rFonts w:hint="default" w:ascii="Times New Roman" w:hAnsi="Times New Roman" w:cs="Times New Roman"/>
                <w:sz w:val="18"/>
                <w:szCs w:val="18"/>
              </w:rPr>
              <w:t>DL</w:t>
            </w:r>
            <w:r>
              <w:rPr>
                <w:rFonts w:hint="default" w:ascii="Times New Roman" w:hAnsi="Times New Roman" w:cs="Times New Roman"/>
                <w:spacing w:val="2"/>
                <w:sz w:val="18"/>
                <w:szCs w:val="18"/>
              </w:rPr>
              <w:t>/T 919</w:t>
            </w:r>
            <w:r>
              <w:rPr>
                <w:rFonts w:hint="default" w:ascii="Times New Roman" w:hAnsi="Times New Roman" w:cs="Times New Roman"/>
                <w:spacing w:val="2"/>
                <w:sz w:val="18"/>
                <w:szCs w:val="18"/>
                <w:lang w:eastAsia="zh-CN"/>
              </w:rPr>
              <w:t>）</w:t>
            </w:r>
          </w:p>
        </w:tc>
      </w:tr>
      <w:tr w14:paraId="3F2E5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trPr>
        <w:tc>
          <w:tcPr>
            <w:tcW w:w="339" w:type="pct"/>
            <w:vAlign w:val="top"/>
          </w:tcPr>
          <w:p w14:paraId="2E3F5DA3">
            <w:pPr>
              <w:pStyle w:val="255"/>
              <w:spacing w:before="80" w:line="217" w:lineRule="auto"/>
              <w:ind w:left="215"/>
              <w:rPr>
                <w:rFonts w:hint="default" w:ascii="Times New Roman" w:hAnsi="Times New Roman" w:cs="Times New Roman"/>
                <w:sz w:val="18"/>
                <w:szCs w:val="18"/>
              </w:rPr>
            </w:pPr>
            <w:r>
              <w:rPr>
                <w:rFonts w:hint="default" w:ascii="Times New Roman" w:hAnsi="Times New Roman" w:cs="Times New Roman"/>
                <w:sz w:val="18"/>
                <w:szCs w:val="18"/>
              </w:rPr>
              <w:t>8</w:t>
            </w:r>
          </w:p>
        </w:tc>
        <w:tc>
          <w:tcPr>
            <w:tcW w:w="1391" w:type="pct"/>
            <w:vAlign w:val="top"/>
          </w:tcPr>
          <w:p w14:paraId="28CD3EA1">
            <w:pPr>
              <w:pStyle w:val="255"/>
              <w:spacing w:before="64" w:line="219" w:lineRule="auto"/>
              <w:ind w:left="760"/>
              <w:rPr>
                <w:rFonts w:hint="default" w:ascii="Times New Roman" w:hAnsi="Times New Roman" w:cs="Times New Roman"/>
                <w:sz w:val="18"/>
                <w:szCs w:val="18"/>
              </w:rPr>
            </w:pPr>
            <w:r>
              <w:rPr>
                <w:rFonts w:hint="default" w:ascii="Times New Roman" w:hAnsi="Times New Roman" w:cs="Times New Roman"/>
                <w:spacing w:val="-2"/>
                <w:sz w:val="18"/>
                <w:szCs w:val="18"/>
              </w:rPr>
              <w:t>生物毒性</w:t>
            </w:r>
          </w:p>
        </w:tc>
        <w:tc>
          <w:tcPr>
            <w:tcW w:w="933" w:type="pct"/>
            <w:vMerge w:val="continue"/>
            <w:tcBorders>
              <w:top w:val="nil"/>
              <w:bottom w:val="nil"/>
            </w:tcBorders>
            <w:vAlign w:val="top"/>
          </w:tcPr>
          <w:p w14:paraId="76638B08">
            <w:pPr>
              <w:rPr>
                <w:rFonts w:hint="default" w:ascii="Times New Roman" w:hAnsi="Times New Roman" w:cs="Times New Roman"/>
                <w:sz w:val="18"/>
                <w:szCs w:val="18"/>
              </w:rPr>
            </w:pPr>
          </w:p>
        </w:tc>
        <w:tc>
          <w:tcPr>
            <w:tcW w:w="2335" w:type="pct"/>
            <w:vAlign w:val="top"/>
          </w:tcPr>
          <w:p w14:paraId="502E954A">
            <w:pPr>
              <w:pStyle w:val="255"/>
              <w:spacing w:before="65" w:line="221" w:lineRule="auto"/>
              <w:ind w:left="195"/>
              <w:rPr>
                <w:rFonts w:hint="default" w:ascii="Times New Roman" w:hAnsi="Times New Roman" w:cs="Times New Roman"/>
                <w:sz w:val="18"/>
                <w:szCs w:val="18"/>
              </w:rPr>
            </w:pPr>
            <w:r>
              <w:rPr>
                <w:rFonts w:hint="default" w:ascii="Times New Roman" w:hAnsi="Times New Roman" w:cs="Times New Roman"/>
                <w:spacing w:val="2"/>
                <w:sz w:val="18"/>
                <w:szCs w:val="18"/>
              </w:rPr>
              <w:t>生物试验方法</w:t>
            </w:r>
            <w:r>
              <w:rPr>
                <w:rFonts w:hint="default" w:ascii="Times New Roman" w:hAnsi="Times New Roman" w:cs="Times New Roman"/>
                <w:spacing w:val="2"/>
                <w:sz w:val="18"/>
                <w:szCs w:val="18"/>
                <w:lang w:eastAsia="zh-CN"/>
              </w:rPr>
              <w:t>（</w:t>
            </w:r>
            <w:r>
              <w:rPr>
                <w:rFonts w:hint="default" w:ascii="Times New Roman" w:hAnsi="Times New Roman" w:cs="Times New Roman"/>
                <w:sz w:val="18"/>
                <w:szCs w:val="18"/>
              </w:rPr>
              <w:t>DL</w:t>
            </w:r>
            <w:r>
              <w:rPr>
                <w:rFonts w:hint="default" w:ascii="Times New Roman" w:hAnsi="Times New Roman" w:cs="Times New Roman"/>
                <w:spacing w:val="2"/>
                <w:sz w:val="18"/>
                <w:szCs w:val="18"/>
              </w:rPr>
              <w:t>/T</w:t>
            </w:r>
            <w:r>
              <w:rPr>
                <w:rFonts w:hint="default" w:ascii="Times New Roman" w:hAnsi="Times New Roman" w:cs="Times New Roman"/>
                <w:spacing w:val="2"/>
                <w:sz w:val="18"/>
                <w:szCs w:val="18"/>
                <w:lang w:val="en-US" w:eastAsia="zh-CN"/>
              </w:rPr>
              <w:t xml:space="preserve"> </w:t>
            </w:r>
            <w:r>
              <w:rPr>
                <w:rFonts w:hint="default" w:ascii="Times New Roman" w:hAnsi="Times New Roman" w:cs="Times New Roman"/>
                <w:spacing w:val="2"/>
                <w:sz w:val="18"/>
                <w:szCs w:val="18"/>
              </w:rPr>
              <w:t>921</w:t>
            </w:r>
            <w:r>
              <w:rPr>
                <w:rFonts w:hint="default" w:ascii="Times New Roman" w:hAnsi="Times New Roman" w:cs="Times New Roman"/>
                <w:spacing w:val="2"/>
                <w:sz w:val="18"/>
                <w:szCs w:val="18"/>
                <w:lang w:eastAsia="zh-CN"/>
              </w:rPr>
              <w:t>）</w:t>
            </w:r>
          </w:p>
        </w:tc>
      </w:tr>
      <w:tr w14:paraId="3A857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trPr>
        <w:tc>
          <w:tcPr>
            <w:tcW w:w="339" w:type="pct"/>
            <w:vAlign w:val="top"/>
          </w:tcPr>
          <w:p w14:paraId="4A71543D">
            <w:pPr>
              <w:pStyle w:val="255"/>
              <w:spacing w:before="81" w:line="216" w:lineRule="auto"/>
              <w:ind w:left="215"/>
              <w:rPr>
                <w:rFonts w:hint="default" w:ascii="Times New Roman" w:hAnsi="Times New Roman" w:cs="Times New Roman"/>
                <w:sz w:val="18"/>
                <w:szCs w:val="18"/>
              </w:rPr>
            </w:pPr>
            <w:r>
              <w:rPr>
                <w:rFonts w:hint="default" w:ascii="Times New Roman" w:hAnsi="Times New Roman" w:cs="Times New Roman"/>
                <w:sz w:val="18"/>
                <w:szCs w:val="18"/>
              </w:rPr>
              <w:t>9</w:t>
            </w:r>
          </w:p>
        </w:tc>
        <w:tc>
          <w:tcPr>
            <w:tcW w:w="1391" w:type="pct"/>
            <w:vAlign w:val="top"/>
          </w:tcPr>
          <w:p w14:paraId="4CF1490B">
            <w:pPr>
              <w:pStyle w:val="255"/>
              <w:spacing w:before="64" w:line="219" w:lineRule="auto"/>
              <w:ind w:left="200"/>
              <w:rPr>
                <w:rFonts w:hint="default" w:ascii="Times New Roman" w:hAnsi="Times New Roman" w:cs="Times New Roman"/>
                <w:sz w:val="18"/>
                <w:szCs w:val="18"/>
              </w:rPr>
            </w:pPr>
            <w:r>
              <w:rPr>
                <w:rFonts w:hint="default" w:ascii="Times New Roman" w:hAnsi="Times New Roman" w:cs="Times New Roman"/>
                <w:spacing w:val="16"/>
                <w:sz w:val="18"/>
                <w:szCs w:val="18"/>
              </w:rPr>
              <w:t>空气</w:t>
            </w:r>
            <w:r>
              <w:rPr>
                <w:rFonts w:hint="default" w:ascii="Times New Roman" w:hAnsi="Times New Roman" w:cs="Times New Roman"/>
                <w:spacing w:val="16"/>
                <w:sz w:val="18"/>
                <w:szCs w:val="18"/>
                <w:lang w:eastAsia="zh-CN"/>
              </w:rPr>
              <w:t>（</w:t>
            </w:r>
            <w:r>
              <w:rPr>
                <w:rFonts w:hint="default" w:ascii="Times New Roman" w:hAnsi="Times New Roman" w:cs="Times New Roman"/>
                <w:sz w:val="18"/>
                <w:szCs w:val="18"/>
              </w:rPr>
              <w:t>SF</w:t>
            </w:r>
            <w:r>
              <w:rPr>
                <w:rFonts w:hint="default" w:ascii="Times New Roman" w:hAnsi="Times New Roman" w:cs="Times New Roman"/>
                <w:sz w:val="18"/>
                <w:szCs w:val="18"/>
                <w:vertAlign w:val="subscript"/>
                <w:lang w:val="en-US" w:eastAsia="zh-CN"/>
              </w:rPr>
              <w:t>6</w:t>
            </w:r>
            <w:r>
              <w:rPr>
                <w:rFonts w:hint="default" w:ascii="Times New Roman" w:hAnsi="Times New Roman" w:cs="Times New Roman"/>
                <w:sz w:val="18"/>
                <w:szCs w:val="18"/>
              </w:rPr>
              <w:t>CF</w:t>
            </w:r>
            <w:r>
              <w:rPr>
                <w:rFonts w:hint="default" w:ascii="Times New Roman" w:hAnsi="Times New Roman" w:cs="Times New Roman"/>
                <w:spacing w:val="16"/>
                <w:sz w:val="18"/>
                <w:szCs w:val="18"/>
                <w:vertAlign w:val="subscript"/>
                <w:lang w:eastAsia="zh-CN"/>
              </w:rPr>
              <w:t>4</w:t>
            </w:r>
            <w:r>
              <w:rPr>
                <w:rFonts w:hint="default" w:ascii="Times New Roman" w:hAnsi="Times New Roman" w:cs="Times New Roman"/>
                <w:spacing w:val="16"/>
                <w:sz w:val="18"/>
                <w:szCs w:val="18"/>
              </w:rPr>
              <w:t>混合气体</w:t>
            </w:r>
            <w:r>
              <w:rPr>
                <w:rFonts w:hint="default" w:ascii="Times New Roman" w:hAnsi="Times New Roman" w:cs="Times New Roman"/>
                <w:spacing w:val="16"/>
                <w:sz w:val="18"/>
                <w:szCs w:val="18"/>
                <w:lang w:eastAsia="zh-CN"/>
              </w:rPr>
              <w:t>）</w:t>
            </w:r>
          </w:p>
        </w:tc>
        <w:tc>
          <w:tcPr>
            <w:tcW w:w="933" w:type="pct"/>
            <w:vMerge w:val="continue"/>
            <w:tcBorders>
              <w:top w:val="nil"/>
              <w:bottom w:val="nil"/>
            </w:tcBorders>
            <w:vAlign w:val="top"/>
          </w:tcPr>
          <w:p w14:paraId="62DE6BF5">
            <w:pPr>
              <w:rPr>
                <w:rFonts w:hint="default" w:ascii="Times New Roman" w:hAnsi="Times New Roman" w:cs="Times New Roman"/>
                <w:sz w:val="18"/>
                <w:szCs w:val="18"/>
              </w:rPr>
            </w:pPr>
          </w:p>
        </w:tc>
        <w:tc>
          <w:tcPr>
            <w:tcW w:w="2335" w:type="pct"/>
            <w:vAlign w:val="top"/>
          </w:tcPr>
          <w:p w14:paraId="5EA42A8D">
            <w:pPr>
              <w:pStyle w:val="255"/>
              <w:spacing w:before="66" w:line="221" w:lineRule="auto"/>
              <w:ind w:left="195"/>
              <w:rPr>
                <w:rFonts w:hint="default" w:ascii="Times New Roman" w:hAnsi="Times New Roman" w:cs="Times New Roman"/>
                <w:sz w:val="18"/>
                <w:szCs w:val="18"/>
              </w:rPr>
            </w:pPr>
            <w:r>
              <w:rPr>
                <w:rFonts w:hint="default" w:ascii="Times New Roman" w:hAnsi="Times New Roman" w:cs="Times New Roman"/>
                <w:spacing w:val="-2"/>
                <w:sz w:val="18"/>
                <w:szCs w:val="18"/>
              </w:rPr>
              <w:t>气相色谱法</w:t>
            </w:r>
          </w:p>
        </w:tc>
      </w:tr>
      <w:tr w14:paraId="5F061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339" w:type="pct"/>
            <w:vAlign w:val="top"/>
          </w:tcPr>
          <w:p w14:paraId="26940772">
            <w:pPr>
              <w:pStyle w:val="255"/>
              <w:spacing w:before="82" w:line="205" w:lineRule="auto"/>
              <w:ind w:left="174"/>
              <w:rPr>
                <w:rFonts w:hint="default" w:ascii="Times New Roman" w:hAnsi="Times New Roman" w:cs="Times New Roman"/>
                <w:sz w:val="18"/>
                <w:szCs w:val="18"/>
              </w:rPr>
            </w:pPr>
            <w:r>
              <w:rPr>
                <w:rFonts w:hint="default" w:ascii="Times New Roman" w:hAnsi="Times New Roman" w:cs="Times New Roman"/>
                <w:spacing w:val="-5"/>
                <w:sz w:val="18"/>
                <w:szCs w:val="18"/>
              </w:rPr>
              <w:t>10</w:t>
            </w:r>
          </w:p>
        </w:tc>
        <w:tc>
          <w:tcPr>
            <w:tcW w:w="1391" w:type="pct"/>
            <w:vAlign w:val="top"/>
          </w:tcPr>
          <w:p w14:paraId="1651199F">
            <w:pPr>
              <w:pStyle w:val="255"/>
              <w:spacing w:before="65" w:line="219" w:lineRule="auto"/>
              <w:ind w:left="241"/>
              <w:rPr>
                <w:rFonts w:hint="default" w:ascii="Times New Roman" w:hAnsi="Times New Roman" w:cs="Times New Roman"/>
                <w:sz w:val="18"/>
                <w:szCs w:val="18"/>
              </w:rPr>
            </w:pPr>
            <w:r>
              <w:rPr>
                <w:rFonts w:hint="default" w:ascii="Times New Roman" w:hAnsi="Times New Roman" w:cs="Times New Roman"/>
                <w:spacing w:val="14"/>
                <w:sz w:val="18"/>
                <w:szCs w:val="18"/>
              </w:rPr>
              <w:t>氧气</w:t>
            </w:r>
            <w:r>
              <w:rPr>
                <w:rFonts w:hint="default" w:ascii="Times New Roman" w:hAnsi="Times New Roman" w:cs="Times New Roman"/>
                <w:spacing w:val="14"/>
                <w:sz w:val="18"/>
                <w:szCs w:val="18"/>
                <w:lang w:eastAsia="zh-CN"/>
              </w:rPr>
              <w:t>（</w:t>
            </w:r>
            <w:r>
              <w:rPr>
                <w:rFonts w:hint="default" w:ascii="Times New Roman" w:hAnsi="Times New Roman" w:cs="Times New Roman"/>
                <w:sz w:val="18"/>
                <w:szCs w:val="18"/>
              </w:rPr>
              <w:t>SF</w:t>
            </w:r>
            <w:r>
              <w:rPr>
                <w:rFonts w:hint="default" w:ascii="Times New Roman" w:hAnsi="Times New Roman" w:cs="Times New Roman"/>
                <w:spacing w:val="14"/>
                <w:sz w:val="18"/>
                <w:szCs w:val="18"/>
                <w:vertAlign w:val="subscript"/>
                <w:lang w:eastAsia="zh-CN"/>
              </w:rPr>
              <w:t>6</w:t>
            </w:r>
            <w:r>
              <w:rPr>
                <w:rFonts w:hint="default" w:ascii="Times New Roman" w:hAnsi="Times New Roman" w:cs="Times New Roman"/>
                <w:spacing w:val="14"/>
                <w:sz w:val="18"/>
                <w:szCs w:val="18"/>
              </w:rPr>
              <w:t>N</w:t>
            </w:r>
            <w:r>
              <w:rPr>
                <w:rFonts w:hint="default" w:ascii="Times New Roman" w:hAnsi="Times New Roman" w:cs="Times New Roman"/>
                <w:spacing w:val="14"/>
                <w:sz w:val="18"/>
                <w:szCs w:val="18"/>
                <w:vertAlign w:val="subscript"/>
                <w:lang w:eastAsia="zh-CN"/>
              </w:rPr>
              <w:t>2</w:t>
            </w:r>
            <w:r>
              <w:rPr>
                <w:rFonts w:hint="default" w:ascii="Times New Roman" w:hAnsi="Times New Roman" w:cs="Times New Roman"/>
                <w:spacing w:val="14"/>
                <w:sz w:val="18"/>
                <w:szCs w:val="18"/>
              </w:rPr>
              <w:t>混合气体</w:t>
            </w:r>
            <w:r>
              <w:rPr>
                <w:rFonts w:hint="default" w:ascii="Times New Roman" w:hAnsi="Times New Roman" w:cs="Times New Roman"/>
                <w:spacing w:val="14"/>
                <w:sz w:val="18"/>
                <w:szCs w:val="18"/>
                <w:lang w:eastAsia="zh-CN"/>
              </w:rPr>
              <w:t>）</w:t>
            </w:r>
          </w:p>
        </w:tc>
        <w:tc>
          <w:tcPr>
            <w:tcW w:w="933" w:type="pct"/>
            <w:vMerge w:val="continue"/>
            <w:tcBorders>
              <w:top w:val="nil"/>
            </w:tcBorders>
            <w:vAlign w:val="top"/>
          </w:tcPr>
          <w:p w14:paraId="647AAEF1">
            <w:pPr>
              <w:rPr>
                <w:rFonts w:hint="default" w:ascii="Times New Roman" w:hAnsi="Times New Roman" w:cs="Times New Roman"/>
                <w:sz w:val="18"/>
                <w:szCs w:val="18"/>
              </w:rPr>
            </w:pPr>
          </w:p>
        </w:tc>
        <w:tc>
          <w:tcPr>
            <w:tcW w:w="2335" w:type="pct"/>
            <w:vAlign w:val="top"/>
          </w:tcPr>
          <w:p w14:paraId="1814EC27">
            <w:pPr>
              <w:pStyle w:val="255"/>
              <w:spacing w:before="67" w:line="221" w:lineRule="auto"/>
              <w:ind w:left="195"/>
              <w:rPr>
                <w:rFonts w:hint="default" w:ascii="Times New Roman" w:hAnsi="Times New Roman" w:cs="Times New Roman"/>
                <w:sz w:val="18"/>
                <w:szCs w:val="18"/>
              </w:rPr>
            </w:pPr>
            <w:r>
              <w:rPr>
                <w:rFonts w:hint="default" w:ascii="Times New Roman" w:hAnsi="Times New Roman" w:cs="Times New Roman"/>
                <w:spacing w:val="-2"/>
                <w:sz w:val="18"/>
                <w:szCs w:val="18"/>
              </w:rPr>
              <w:t>气相色谱法</w:t>
            </w:r>
          </w:p>
        </w:tc>
      </w:tr>
      <w:tr w14:paraId="50D5F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5000" w:type="pct"/>
            <w:gridSpan w:val="4"/>
            <w:vAlign w:val="top"/>
          </w:tcPr>
          <w:p w14:paraId="2BD63989">
            <w:pPr>
              <w:pStyle w:val="255"/>
              <w:spacing w:before="75" w:line="219" w:lineRule="auto"/>
              <w:ind w:left="324"/>
              <w:rPr>
                <w:rFonts w:hint="default" w:ascii="Times New Roman" w:hAnsi="Times New Roman" w:cs="Times New Roman"/>
                <w:sz w:val="18"/>
                <w:szCs w:val="18"/>
              </w:rPr>
            </w:pPr>
            <w:r>
              <w:rPr>
                <w:rFonts w:hint="default" w:ascii="Times New Roman" w:hAnsi="Times New Roman" w:cs="Times New Roman"/>
                <w:sz w:val="18"/>
                <w:szCs w:val="18"/>
              </w:rPr>
              <w:t>注：混合气体酸度、可水解氟化物、矿物油含量检测也可依据DL/T 1823的规定进行。</w:t>
            </w:r>
          </w:p>
        </w:tc>
      </w:tr>
      <w:bookmarkEnd w:id="46"/>
    </w:tbl>
    <w:p w14:paraId="3618D81C">
      <w:pPr>
        <w:pStyle w:val="110"/>
        <w:spacing w:before="240" w:after="240" w:line="360" w:lineRule="auto"/>
        <w:rPr>
          <w:rFonts w:hint="default" w:ascii="Times New Roman" w:hAnsi="Times New Roman" w:cs="Times New Roman"/>
          <w:color w:val="000000"/>
          <w:lang w:val="en-US" w:eastAsia="zh-CN"/>
        </w:rPr>
      </w:pPr>
      <w:bookmarkStart w:id="48" w:name="_Toc4199"/>
      <w:bookmarkStart w:id="49" w:name="_Toc20125"/>
      <w:r>
        <w:rPr>
          <w:rFonts w:hint="default" w:ascii="Times New Roman" w:hAnsi="Times New Roman" w:cs="Times New Roman"/>
          <w:color w:val="000000"/>
          <w:lang w:val="en-US" w:eastAsia="zh-CN"/>
        </w:rPr>
        <w:t>保护调试</w:t>
      </w:r>
      <w:bookmarkEnd w:id="48"/>
    </w:p>
    <w:p w14:paraId="6211E29E">
      <w:pPr>
        <w:pStyle w:val="246"/>
        <w:numPr>
          <w:ilvl w:val="1"/>
          <w:numId w:val="0"/>
        </w:numPr>
        <w:tabs>
          <w:tab w:val="left" w:pos="0"/>
        </w:tabs>
        <w:rPr>
          <w:rFonts w:hint="default" w:ascii="黑体" w:hAnsi="黑体" w:eastAsia="黑体" w:cs="黑体"/>
          <w:b w:val="0"/>
          <w:bCs w:val="0"/>
          <w:lang w:val="en-US" w:eastAsia="zh-CN"/>
        </w:rPr>
      </w:pPr>
      <w:r>
        <w:rPr>
          <w:rFonts w:hint="default" w:ascii="黑体" w:hAnsi="黑体" w:eastAsia="黑体" w:cs="黑体"/>
          <w:b w:val="0"/>
          <w:bCs w:val="0"/>
          <w:lang w:val="en-US" w:eastAsia="zh-CN"/>
        </w:rPr>
        <w:t>9.1  屏柜及装置检验</w:t>
      </w:r>
    </w:p>
    <w:p w14:paraId="5A470F5D">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9.1.1 屏柜</w:t>
      </w:r>
      <w:r>
        <w:rPr>
          <w:rFonts w:hint="default" w:ascii="Times New Roman" w:hAnsi="Times New Roman" w:cs="Times New Roman"/>
          <w:highlight w:val="none"/>
          <w:lang w:val="en-US" w:eastAsia="zh-CN"/>
        </w:rPr>
        <w:t>应</w:t>
      </w:r>
      <w:r>
        <w:rPr>
          <w:rFonts w:hint="default" w:ascii="Times New Roman" w:hAnsi="Times New Roman" w:eastAsia="宋体" w:cs="Times New Roman"/>
          <w:color w:val="auto"/>
          <w:highlight w:val="none"/>
          <w:shd w:val="clear" w:color="auto" w:fill="auto"/>
          <w:lang w:val="en-US" w:eastAsia="zh-CN"/>
        </w:rPr>
        <w:t>符合</w:t>
      </w:r>
      <w:r>
        <w:rPr>
          <w:rFonts w:hint="default" w:ascii="Times New Roman" w:hAnsi="Times New Roman" w:cs="Times New Roman"/>
          <w:highlight w:val="none"/>
          <w:lang w:val="en-US" w:eastAsia="zh-CN"/>
        </w:rPr>
        <w:t>以下规定：</w:t>
      </w:r>
    </w:p>
    <w:p w14:paraId="11CB8387">
      <w:pPr>
        <w:numPr>
          <w:ilvl w:val="0"/>
          <w:numId w:val="97"/>
        </w:numPr>
        <w:snapToGrid w:val="0"/>
        <w:ind w:left="14" w:leftChars="0" w:firstLine="406" w:firstLineChars="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highlight w:val="none"/>
          <w:lang w:val="en-US" w:eastAsia="zh-CN"/>
        </w:rPr>
        <w:t>屏柜</w:t>
      </w:r>
      <w:r>
        <w:rPr>
          <w:rFonts w:hint="default" w:ascii="Times New Roman" w:hAnsi="Times New Roman" w:eastAsia="宋体" w:cs="Times New Roman"/>
          <w:color w:val="auto"/>
          <w:highlight w:val="none"/>
          <w:lang w:val="en-US" w:eastAsia="zh-CN"/>
        </w:rPr>
        <w:t>漆层完好，屏体、内部装置及附件固定可靠、外表清洁，装置及附件无损坏，屏上按钮、切换手把、空开等元器件操作灵活，安装质量应符合GB 50171要求</w:t>
      </w:r>
      <w:r>
        <w:rPr>
          <w:rFonts w:hint="eastAsia" w:ascii="Times New Roman" w:hAnsi="Times New Roman" w:cs="Times New Roman"/>
          <w:color w:val="auto"/>
          <w:highlight w:val="none"/>
          <w:lang w:val="en-US" w:eastAsia="zh-CN"/>
        </w:rPr>
        <w:t>；</w:t>
      </w:r>
    </w:p>
    <w:p w14:paraId="08BE38F6">
      <w:pPr>
        <w:numPr>
          <w:ilvl w:val="0"/>
          <w:numId w:val="97"/>
        </w:numPr>
        <w:snapToGrid w:val="0"/>
        <w:ind w:left="14" w:leftChars="0" w:firstLine="406" w:firstLineChars="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屏柜门开闭应灵活、上锁方便，前后活动门及可拆卸侧门应使用截面面积不小于4mm2的多股软铜线与屏体可靠连接</w:t>
      </w:r>
      <w:r>
        <w:rPr>
          <w:rFonts w:hint="eastAsia" w:ascii="Times New Roman" w:hAnsi="Times New Roman" w:cs="Times New Roman"/>
          <w:color w:val="auto"/>
          <w:highlight w:val="none"/>
          <w:lang w:val="en-US" w:eastAsia="zh-CN"/>
        </w:rPr>
        <w:t>；</w:t>
      </w:r>
    </w:p>
    <w:p w14:paraId="04EF633D">
      <w:pPr>
        <w:numPr>
          <w:ilvl w:val="0"/>
          <w:numId w:val="97"/>
        </w:numPr>
        <w:snapToGrid w:val="0"/>
        <w:ind w:left="14" w:leftChars="0" w:firstLine="406" w:firstLineChars="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在屏柜内底部不小于100mm高度位置应设置截面面积不小于100mm2的裸铜排，多个铜排之间应使用等截面面积的铜排或铜缆进行级联，并应使用截面面积不小于100mm2的铜缆与电缆沟道内的等电位接地网可靠连接，连接位置处再使用截面面积不小于100mm2的铜缆与主地网可靠连接</w:t>
      </w:r>
      <w:r>
        <w:rPr>
          <w:rFonts w:hint="eastAsia" w:ascii="Times New Roman" w:hAnsi="Times New Roman" w:cs="Times New Roman"/>
          <w:color w:val="auto"/>
          <w:highlight w:val="none"/>
          <w:lang w:val="en-US" w:eastAsia="zh-CN"/>
        </w:rPr>
        <w:t>；</w:t>
      </w:r>
    </w:p>
    <w:p w14:paraId="66D76BAB">
      <w:pPr>
        <w:numPr>
          <w:ilvl w:val="0"/>
          <w:numId w:val="9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color w:val="auto"/>
          <w:highlight w:val="none"/>
          <w:lang w:val="en-US" w:eastAsia="zh-CN"/>
        </w:rPr>
        <w:t>智能控制柜应具</w:t>
      </w:r>
      <w:r>
        <w:rPr>
          <w:rFonts w:hint="default" w:ascii="Times New Roman" w:hAnsi="Times New Roman" w:cs="Times New Roman"/>
          <w:highlight w:val="none"/>
          <w:lang w:val="en-US" w:eastAsia="zh-CN"/>
        </w:rPr>
        <w:t>有</w:t>
      </w:r>
      <w:r>
        <w:rPr>
          <w:rFonts w:hint="default" w:ascii="Times New Roman" w:hAnsi="Times New Roman" w:eastAsia="宋体" w:cs="Times New Roman"/>
          <w:highlight w:val="none"/>
          <w:lang w:val="en-US" w:eastAsia="zh-CN"/>
        </w:rPr>
        <w:t>温湿度</w:t>
      </w:r>
      <w:r>
        <w:rPr>
          <w:rFonts w:hint="default" w:ascii="Times New Roman" w:hAnsi="Times New Roman" w:cs="Times New Roman"/>
          <w:highlight w:val="none"/>
          <w:lang w:val="en-US" w:eastAsia="zh-CN"/>
        </w:rPr>
        <w:t>自动</w:t>
      </w:r>
      <w:r>
        <w:rPr>
          <w:rFonts w:hint="default" w:ascii="Times New Roman" w:hAnsi="Times New Roman" w:eastAsia="宋体" w:cs="Times New Roman"/>
          <w:highlight w:val="none"/>
          <w:lang w:val="en-US" w:eastAsia="zh-CN"/>
        </w:rPr>
        <w:t>调节功能，柜内湿度应</w:t>
      </w:r>
      <w:r>
        <w:rPr>
          <w:rFonts w:hint="default" w:ascii="Times New Roman" w:hAnsi="Times New Roman" w:cs="Times New Roman"/>
          <w:highlight w:val="none"/>
          <w:lang w:val="en-US" w:eastAsia="zh-CN"/>
        </w:rPr>
        <w:t>控制在</w:t>
      </w:r>
      <w:r>
        <w:rPr>
          <w:rFonts w:hint="default" w:ascii="Times New Roman" w:hAnsi="Times New Roman" w:eastAsia="宋体" w:cs="Times New Roman"/>
          <w:highlight w:val="none"/>
          <w:lang w:val="en-US" w:eastAsia="zh-CN"/>
        </w:rPr>
        <w:t>90％</w:t>
      </w:r>
      <w:r>
        <w:rPr>
          <w:rFonts w:hint="default" w:ascii="Times New Roman" w:hAnsi="Times New Roman" w:cs="Times New Roman"/>
          <w:highlight w:val="none"/>
          <w:lang w:val="en-US" w:eastAsia="zh-CN"/>
        </w:rPr>
        <w:t>以下</w:t>
      </w:r>
      <w:r>
        <w:rPr>
          <w:rFonts w:hint="default" w:ascii="Times New Roman" w:hAnsi="Times New Roman" w:eastAsia="宋体" w:cs="Times New Roman"/>
          <w:highlight w:val="none"/>
          <w:lang w:val="en-US" w:eastAsia="zh-CN"/>
        </w:rPr>
        <w:t>，温度应</w:t>
      </w:r>
      <w:r>
        <w:rPr>
          <w:rFonts w:hint="default" w:ascii="Times New Roman" w:hAnsi="Times New Roman" w:cs="Times New Roman"/>
          <w:highlight w:val="none"/>
          <w:lang w:val="en-US" w:eastAsia="zh-CN"/>
        </w:rPr>
        <w:t>控制</w:t>
      </w:r>
      <w:r>
        <w:rPr>
          <w:rFonts w:hint="default" w:ascii="Times New Roman" w:hAnsi="Times New Roman" w:eastAsia="宋体" w:cs="Times New Roman"/>
          <w:highlight w:val="none"/>
          <w:lang w:val="en-US" w:eastAsia="zh-CN"/>
        </w:rPr>
        <w:t>在＋5℃~+55℃</w:t>
      </w:r>
      <w:r>
        <w:rPr>
          <w:rFonts w:hint="default" w:ascii="Times New Roman" w:hAnsi="Times New Roman" w:cs="Times New Roman"/>
          <w:highlight w:val="none"/>
          <w:lang w:val="en-US" w:eastAsia="zh-CN"/>
        </w:rPr>
        <w:t>范围内</w:t>
      </w:r>
      <w:r>
        <w:rPr>
          <w:rFonts w:hint="default" w:ascii="Times New Roman" w:hAnsi="Times New Roman" w:eastAsia="宋体" w:cs="Times New Roman"/>
          <w:highlight w:val="none"/>
          <w:lang w:val="en-US" w:eastAsia="zh-CN"/>
        </w:rPr>
        <w:t>。</w:t>
      </w:r>
    </w:p>
    <w:p w14:paraId="541B4242">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9.1.2 装置</w:t>
      </w:r>
      <w:r>
        <w:rPr>
          <w:rFonts w:hint="default" w:ascii="Times New Roman" w:hAnsi="Times New Roman" w:cs="Times New Roman"/>
          <w:highlight w:val="none"/>
          <w:lang w:val="en-US" w:eastAsia="zh-CN"/>
        </w:rPr>
        <w:t>应符合以下规定：</w:t>
      </w:r>
    </w:p>
    <w:p w14:paraId="3D53455C">
      <w:pPr>
        <w:numPr>
          <w:ilvl w:val="0"/>
          <w:numId w:val="98"/>
        </w:numPr>
        <w:snapToGrid w:val="0"/>
        <w:ind w:left="14" w:leftChars="0" w:firstLine="406" w:firstLineChars="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highlight w:val="none"/>
          <w:lang w:val="en-US" w:eastAsia="zh-CN"/>
        </w:rPr>
        <w:t>装置</w:t>
      </w:r>
      <w:r>
        <w:rPr>
          <w:rFonts w:hint="default" w:ascii="Times New Roman" w:hAnsi="Times New Roman" w:eastAsia="宋体" w:cs="Times New Roman"/>
          <w:color w:val="auto"/>
          <w:highlight w:val="none"/>
          <w:lang w:val="en-US" w:eastAsia="zh-CN"/>
        </w:rPr>
        <w:t>的配置、型号、交直流额定电压电流等参数应与设计相符</w:t>
      </w:r>
      <w:r>
        <w:rPr>
          <w:rFonts w:hint="eastAsia" w:ascii="Times New Roman" w:hAnsi="Times New Roman" w:cs="Times New Roman"/>
          <w:color w:val="auto"/>
          <w:highlight w:val="none"/>
          <w:lang w:val="en-US" w:eastAsia="zh-CN"/>
        </w:rPr>
        <w:t>；</w:t>
      </w:r>
    </w:p>
    <w:p w14:paraId="1310A479">
      <w:pPr>
        <w:numPr>
          <w:ilvl w:val="0"/>
          <w:numId w:val="98"/>
        </w:numPr>
        <w:snapToGrid w:val="0"/>
        <w:ind w:left="14" w:leftChars="0" w:firstLine="406" w:firstLineChars="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装置的小开关、拨轮及按钮应良好。内部各插件印刷电路板应无损伤或变形，连线连接牢固；元件焊接良好，芯片插紧；变换器、继电器固定牢固，无松动</w:t>
      </w:r>
      <w:r>
        <w:rPr>
          <w:rFonts w:hint="eastAsia" w:ascii="Times New Roman" w:hAnsi="Times New Roman" w:cs="Times New Roman"/>
          <w:color w:val="auto"/>
          <w:highlight w:val="none"/>
          <w:lang w:val="en-US" w:eastAsia="zh-CN"/>
        </w:rPr>
        <w:t>；</w:t>
      </w:r>
    </w:p>
    <w:p w14:paraId="3D8D2E0F">
      <w:pPr>
        <w:numPr>
          <w:ilvl w:val="0"/>
          <w:numId w:val="98"/>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color w:val="auto"/>
          <w:highlight w:val="none"/>
          <w:lang w:val="en-US" w:eastAsia="zh-CN"/>
        </w:rPr>
        <w:t>装置插</w:t>
      </w:r>
      <w:r>
        <w:rPr>
          <w:rFonts w:hint="default" w:ascii="Times New Roman" w:hAnsi="Times New Roman" w:eastAsia="宋体" w:cs="Times New Roman"/>
          <w:highlight w:val="none"/>
          <w:lang w:val="en-US" w:eastAsia="zh-CN"/>
        </w:rPr>
        <w:t>件内的选择跳线和拨动开关位置应符合技术说明书</w:t>
      </w:r>
      <w:r>
        <w:rPr>
          <w:rFonts w:hint="default" w:ascii="Times New Roman" w:hAnsi="Times New Roman" w:cs="Times New Roman"/>
          <w:highlight w:val="none"/>
          <w:lang w:val="en-US" w:eastAsia="zh-CN"/>
        </w:rPr>
        <w:t>和设计</w:t>
      </w:r>
      <w:r>
        <w:rPr>
          <w:rFonts w:hint="default" w:ascii="Times New Roman" w:hAnsi="Times New Roman" w:eastAsia="宋体" w:cs="Times New Roman"/>
          <w:highlight w:val="none"/>
          <w:lang w:val="en-US" w:eastAsia="zh-CN"/>
        </w:rPr>
        <w:t>要求</w:t>
      </w:r>
      <w:r>
        <w:rPr>
          <w:rFonts w:hint="eastAsia" w:ascii="Times New Roman" w:hAnsi="Times New Roman" w:cs="Times New Roman"/>
          <w:highlight w:val="none"/>
          <w:lang w:val="en-US" w:eastAsia="zh-CN"/>
        </w:rPr>
        <w:t>；</w:t>
      </w:r>
    </w:p>
    <w:p w14:paraId="158B09D4">
      <w:pPr>
        <w:numPr>
          <w:ilvl w:val="0"/>
          <w:numId w:val="98"/>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装置端子排螺丝应拧紧，后板配线连接良好</w:t>
      </w:r>
      <w:r>
        <w:rPr>
          <w:rFonts w:hint="default" w:ascii="Times New Roman" w:hAnsi="Times New Roman" w:cs="Times New Roman"/>
          <w:highlight w:val="none"/>
          <w:lang w:val="en-US" w:eastAsia="zh-CN"/>
        </w:rPr>
        <w:t>、固定牢固</w:t>
      </w:r>
      <w:r>
        <w:rPr>
          <w:rFonts w:hint="default" w:ascii="Times New Roman" w:hAnsi="Times New Roman" w:eastAsia="宋体" w:cs="Times New Roman"/>
          <w:highlight w:val="none"/>
          <w:lang w:val="en-US" w:eastAsia="zh-CN"/>
        </w:rPr>
        <w:t>。</w:t>
      </w:r>
    </w:p>
    <w:p w14:paraId="014BA3BF">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9.1.3 </w:t>
      </w:r>
      <w:r>
        <w:rPr>
          <w:rFonts w:hint="default" w:ascii="Times New Roman" w:hAnsi="Times New Roman" w:cs="Times New Roman"/>
          <w:highlight w:val="none"/>
          <w:lang w:val="en-US" w:eastAsia="zh-CN"/>
        </w:rPr>
        <w:t>装置</w:t>
      </w:r>
      <w:r>
        <w:rPr>
          <w:rFonts w:hint="default" w:ascii="Times New Roman" w:hAnsi="Times New Roman" w:eastAsia="宋体" w:cs="Times New Roman"/>
          <w:highlight w:val="none"/>
          <w:lang w:val="en-US" w:eastAsia="zh-CN"/>
        </w:rPr>
        <w:t>通电</w:t>
      </w:r>
      <w:r>
        <w:rPr>
          <w:rFonts w:hint="default" w:ascii="Times New Roman" w:hAnsi="Times New Roman" w:cs="Times New Roman"/>
          <w:highlight w:val="none"/>
          <w:lang w:val="en-US" w:eastAsia="zh-CN"/>
        </w:rPr>
        <w:t>后应符合以下规定：</w:t>
      </w:r>
    </w:p>
    <w:p w14:paraId="4A285EC0">
      <w:pPr>
        <w:numPr>
          <w:ilvl w:val="0"/>
          <w:numId w:val="99"/>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装置上电后应能正常工作，运行灯指示正常，无异常告警；显示屏清晰、文字清楚</w:t>
      </w:r>
      <w:r>
        <w:rPr>
          <w:rFonts w:hint="eastAsia" w:ascii="Times New Roman" w:hAnsi="Times New Roman" w:cs="Times New Roman"/>
          <w:highlight w:val="none"/>
          <w:lang w:val="en-US" w:eastAsia="zh-CN"/>
        </w:rPr>
        <w:t>，</w:t>
      </w:r>
      <w:r>
        <w:rPr>
          <w:rFonts w:hint="default" w:ascii="Times New Roman" w:hAnsi="Times New Roman" w:eastAsia="宋体" w:cs="Times New Roman"/>
          <w:highlight w:val="none"/>
          <w:lang w:val="en-US" w:eastAsia="zh-CN"/>
        </w:rPr>
        <w:t>装置的硬件和软件版本号、校验码等信息应符合设计、运规要求</w:t>
      </w:r>
      <w:r>
        <w:rPr>
          <w:rFonts w:hint="eastAsia" w:ascii="Times New Roman" w:hAnsi="Times New Roman" w:cs="Times New Roman"/>
          <w:highlight w:val="none"/>
          <w:lang w:val="en-US" w:eastAsia="zh-CN"/>
        </w:rPr>
        <w:t>；</w:t>
      </w:r>
    </w:p>
    <w:p w14:paraId="57A7E8D9">
      <w:pPr>
        <w:numPr>
          <w:ilvl w:val="0"/>
          <w:numId w:val="99"/>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时钟同步应校对准确</w:t>
      </w:r>
      <w:r>
        <w:rPr>
          <w:rFonts w:hint="eastAsia" w:ascii="Times New Roman" w:hAnsi="Times New Roman" w:cs="Times New Roman"/>
          <w:highlight w:val="none"/>
          <w:lang w:val="en-US" w:eastAsia="zh-CN"/>
        </w:rPr>
        <w:t>；</w:t>
      </w:r>
    </w:p>
    <w:p w14:paraId="6AE46C06">
      <w:pPr>
        <w:numPr>
          <w:ilvl w:val="0"/>
          <w:numId w:val="0"/>
        </w:numPr>
        <w:tabs>
          <w:tab w:val="left" w:pos="0"/>
        </w:tabs>
        <w:snapToGrid w:val="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9.1.4 开关量输入输出回路检验应符合以下规定：</w:t>
      </w:r>
    </w:p>
    <w:p w14:paraId="5894980F">
      <w:pPr>
        <w:numPr>
          <w:ilvl w:val="0"/>
          <w:numId w:val="100"/>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在屏柜端子排处对所有引入端子排的开关量输入回路依次加入激励量，装置应能正确反映状态变化</w:t>
      </w:r>
      <w:r>
        <w:rPr>
          <w:rFonts w:hint="eastAsia" w:ascii="Times New Roman" w:hAnsi="Times New Roman" w:cs="Times New Roman"/>
          <w:highlight w:val="none"/>
          <w:lang w:val="en-US" w:eastAsia="zh-CN"/>
        </w:rPr>
        <w:t>；</w:t>
      </w:r>
    </w:p>
    <w:p w14:paraId="7372CE33">
      <w:pPr>
        <w:numPr>
          <w:ilvl w:val="0"/>
          <w:numId w:val="100"/>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分别接通、断开功能压板、复归按钮及转动手把，装置开入变位应正确</w:t>
      </w:r>
      <w:r>
        <w:rPr>
          <w:rFonts w:hint="eastAsia" w:ascii="Times New Roman" w:hAnsi="Times New Roman" w:cs="Times New Roman"/>
          <w:highlight w:val="none"/>
          <w:lang w:val="en-US" w:eastAsia="zh-CN"/>
        </w:rPr>
        <w:t>；</w:t>
      </w:r>
    </w:p>
    <w:p w14:paraId="33E9C715">
      <w:pPr>
        <w:numPr>
          <w:ilvl w:val="0"/>
          <w:numId w:val="100"/>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所有输出接点及输出信号的通、断状态，应符合装置的动作逻辑</w:t>
      </w:r>
      <w:r>
        <w:rPr>
          <w:rFonts w:hint="eastAsia" w:ascii="Times New Roman" w:hAnsi="Times New Roman" w:cs="Times New Roman"/>
          <w:highlight w:val="none"/>
          <w:lang w:val="en-US" w:eastAsia="zh-CN"/>
        </w:rPr>
        <w:t>；</w:t>
      </w:r>
    </w:p>
    <w:p w14:paraId="50B8FC35">
      <w:pPr>
        <w:numPr>
          <w:ilvl w:val="0"/>
          <w:numId w:val="100"/>
        </w:numPr>
        <w:snapToGrid w:val="0"/>
        <w:ind w:left="14" w:leftChars="0" w:firstLine="406" w:firstLineChars="0"/>
        <w:rPr>
          <w:rFonts w:hint="default" w:ascii="Times New Roman" w:hAnsi="Times New Roman" w:cs="Times New Roman"/>
          <w:highlight w:val="none"/>
          <w:lang w:val="en-US" w:eastAsia="zh-CN"/>
        </w:rPr>
      </w:pPr>
      <w:r>
        <w:rPr>
          <w:rFonts w:hint="default" w:ascii="Times New Roman" w:hAnsi="Times New Roman" w:eastAsia="宋体" w:cs="Times New Roman"/>
          <w:highlight w:val="none"/>
          <w:lang w:val="en-US" w:eastAsia="zh-CN"/>
        </w:rPr>
        <w:t>通过光纤传输</w:t>
      </w:r>
      <w:r>
        <w:rPr>
          <w:rFonts w:hint="default" w:ascii="Times New Roman" w:hAnsi="Times New Roman" w:cs="Times New Roman"/>
          <w:highlight w:val="none"/>
          <w:lang w:val="en-US" w:eastAsia="zh-CN"/>
        </w:rPr>
        <w:t>的Goose输入、输出信息应正确，符合设计要求。</w:t>
      </w:r>
    </w:p>
    <w:p w14:paraId="2394BAF1">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9.1.</w:t>
      </w:r>
      <w:r>
        <w:rPr>
          <w:rFonts w:hint="default" w:ascii="Times New Roman" w:hAnsi="Times New Roman" w:cs="Times New Roman"/>
          <w:highlight w:val="none"/>
          <w:lang w:val="en-US" w:eastAsia="zh-CN"/>
        </w:rPr>
        <w:t>5</w:t>
      </w:r>
      <w:r>
        <w:rPr>
          <w:rFonts w:hint="default" w:ascii="Times New Roman" w:hAnsi="Times New Roman" w:eastAsia="宋体" w:cs="Times New Roman"/>
          <w:highlight w:val="none"/>
          <w:lang w:val="en-US" w:eastAsia="zh-CN"/>
        </w:rPr>
        <w:t xml:space="preserve"> 采样精度检验</w:t>
      </w:r>
      <w:r>
        <w:rPr>
          <w:rFonts w:hint="default" w:ascii="Times New Roman" w:hAnsi="Times New Roman" w:cs="Times New Roman"/>
          <w:highlight w:val="none"/>
          <w:lang w:val="en-US" w:eastAsia="zh-CN"/>
        </w:rPr>
        <w:t>应符合以下规定：</w:t>
      </w:r>
    </w:p>
    <w:p w14:paraId="3B234DCE">
      <w:pPr>
        <w:numPr>
          <w:ilvl w:val="0"/>
          <w:numId w:val="101"/>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rPr>
        <w:t>零点漂</w:t>
      </w:r>
      <w:r>
        <w:rPr>
          <w:rFonts w:hint="default" w:ascii="Times New Roman" w:hAnsi="Times New Roman" w:eastAsia="宋体" w:cs="Times New Roman"/>
          <w:highlight w:val="none"/>
          <w:lang w:val="en-US" w:eastAsia="zh-CN"/>
        </w:rPr>
        <w:t>移值应符合装置技术条件规定</w:t>
      </w:r>
      <w:r>
        <w:rPr>
          <w:rFonts w:hint="eastAsia" w:ascii="Times New Roman" w:hAnsi="Times New Roman" w:cs="Times New Roman"/>
          <w:highlight w:val="none"/>
          <w:lang w:val="en-US" w:eastAsia="zh-CN"/>
        </w:rPr>
        <w:t>；</w:t>
      </w:r>
    </w:p>
    <w:p w14:paraId="3AAEBE86">
      <w:pPr>
        <w:numPr>
          <w:ilvl w:val="0"/>
          <w:numId w:val="101"/>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交流电流、电压输入的幅值和相位精度应符合装置技术条件规定，但交流电流绝对误差不应大于0.01倍额定电流，交流电压绝对误差不应大于0.002倍额定电压</w:t>
      </w:r>
      <w:r>
        <w:rPr>
          <w:rFonts w:hint="eastAsia" w:ascii="Times New Roman" w:hAnsi="Times New Roman" w:cs="Times New Roman"/>
          <w:highlight w:val="none"/>
          <w:lang w:val="en-US" w:eastAsia="zh-CN"/>
        </w:rPr>
        <w:t>；</w:t>
      </w:r>
    </w:p>
    <w:p w14:paraId="0FBE85FD">
      <w:pPr>
        <w:numPr>
          <w:ilvl w:val="0"/>
          <w:numId w:val="101"/>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智能站应分别从</w:t>
      </w:r>
      <w:r>
        <w:rPr>
          <w:rFonts w:hint="default" w:ascii="Times New Roman" w:hAnsi="Times New Roman" w:cs="Times New Roman"/>
          <w:highlight w:val="none"/>
          <w:lang w:val="en-US" w:eastAsia="zh-CN"/>
        </w:rPr>
        <w:t>装置和合并单元通入电流、电压检验采样正确性，智能装置内的SV投入软压板应与输入的电流、电压间隔对应</w:t>
      </w:r>
      <w:r>
        <w:rPr>
          <w:rFonts w:hint="eastAsia" w:ascii="Times New Roman" w:hAnsi="Times New Roman" w:cs="Times New Roman"/>
          <w:highlight w:val="none"/>
          <w:lang w:val="en-US" w:eastAsia="zh-CN"/>
        </w:rPr>
        <w:t>。</w:t>
      </w:r>
    </w:p>
    <w:p w14:paraId="2A4AF395">
      <w:pPr>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val="en-US" w:eastAsia="zh-CN"/>
        </w:rPr>
        <w:t>9.1.</w:t>
      </w:r>
      <w:r>
        <w:rPr>
          <w:rFonts w:hint="default" w:ascii="Times New Roman" w:hAnsi="Times New Roman" w:cs="Times New Roman"/>
          <w:highlight w:val="none"/>
          <w:lang w:val="en-US" w:eastAsia="zh-CN"/>
        </w:rPr>
        <w:t>6</w:t>
      </w:r>
      <w:r>
        <w:rPr>
          <w:rFonts w:hint="default" w:ascii="Times New Roman" w:hAnsi="Times New Roman" w:eastAsia="宋体" w:cs="Times New Roman"/>
          <w:highlight w:val="none"/>
          <w:lang w:val="en-US" w:eastAsia="zh-CN"/>
        </w:rPr>
        <w:t xml:space="preserve"> </w:t>
      </w:r>
      <w:r>
        <w:rPr>
          <w:rFonts w:hint="default" w:ascii="Times New Roman" w:hAnsi="Times New Roman" w:eastAsia="宋体" w:cs="Times New Roman"/>
          <w:highlight w:val="none"/>
        </w:rPr>
        <w:t>定值的整定</w:t>
      </w:r>
      <w:r>
        <w:rPr>
          <w:rFonts w:hint="default" w:ascii="Times New Roman" w:hAnsi="Times New Roman" w:eastAsia="宋体" w:cs="Times New Roman"/>
          <w:highlight w:val="none"/>
          <w:lang w:val="en-US" w:eastAsia="zh-CN"/>
        </w:rPr>
        <w:t>及</w:t>
      </w:r>
      <w:r>
        <w:rPr>
          <w:rFonts w:hint="default" w:ascii="Times New Roman" w:hAnsi="Times New Roman" w:eastAsia="宋体" w:cs="Times New Roman"/>
          <w:highlight w:val="none"/>
        </w:rPr>
        <w:t>检验</w:t>
      </w:r>
      <w:r>
        <w:rPr>
          <w:rFonts w:hint="default" w:ascii="Times New Roman" w:hAnsi="Times New Roman" w:eastAsia="宋体" w:cs="Times New Roman"/>
          <w:highlight w:val="none"/>
          <w:lang w:val="en-US" w:eastAsia="zh-CN"/>
        </w:rPr>
        <w:t>应</w:t>
      </w:r>
      <w:r>
        <w:rPr>
          <w:rFonts w:hint="default" w:ascii="Times New Roman" w:hAnsi="Times New Roman" w:eastAsia="宋体" w:cs="Times New Roman"/>
          <w:highlight w:val="none"/>
        </w:rPr>
        <w:t>在屏柜上所有元件检验完毕</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rPr>
        <w:t>按照定值通知单</w:t>
      </w:r>
      <w:r>
        <w:rPr>
          <w:rFonts w:hint="default" w:ascii="Times New Roman" w:hAnsi="Times New Roman" w:eastAsia="宋体" w:cs="Times New Roman"/>
          <w:highlight w:val="none"/>
          <w:lang w:val="en-US" w:eastAsia="zh-CN"/>
        </w:rPr>
        <w:t>或试验定值单</w:t>
      </w:r>
      <w:r>
        <w:rPr>
          <w:rFonts w:hint="default" w:ascii="Times New Roman" w:hAnsi="Times New Roman" w:eastAsia="宋体" w:cs="Times New Roman"/>
          <w:highlight w:val="none"/>
        </w:rPr>
        <w:t>整定后进行</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lang w:val="en-US" w:eastAsia="zh-CN"/>
        </w:rPr>
        <w:t>检验</w:t>
      </w:r>
      <w:r>
        <w:rPr>
          <w:rFonts w:hint="default" w:ascii="Times New Roman" w:hAnsi="Times New Roman" w:cs="Times New Roman"/>
          <w:highlight w:val="none"/>
          <w:lang w:val="en-US" w:eastAsia="zh-CN"/>
        </w:rPr>
        <w:t>内容</w:t>
      </w:r>
      <w:r>
        <w:rPr>
          <w:rFonts w:hint="default" w:ascii="Times New Roman" w:hAnsi="Times New Roman" w:eastAsia="宋体" w:cs="Times New Roman"/>
          <w:highlight w:val="none"/>
        </w:rPr>
        <w:t>、方法</w:t>
      </w:r>
      <w:r>
        <w:rPr>
          <w:rFonts w:hint="default" w:ascii="Times New Roman" w:hAnsi="Times New Roman" w:eastAsia="宋体" w:cs="Times New Roman"/>
          <w:highlight w:val="none"/>
          <w:lang w:val="en-US" w:eastAsia="zh-CN"/>
        </w:rPr>
        <w:t>应</w:t>
      </w:r>
      <w:r>
        <w:rPr>
          <w:rFonts w:hint="default" w:ascii="Times New Roman" w:hAnsi="Times New Roman" w:cs="Times New Roman"/>
          <w:highlight w:val="none"/>
          <w:lang w:val="en-US" w:eastAsia="zh-CN"/>
        </w:rPr>
        <w:t>符合</w:t>
      </w:r>
      <w:r>
        <w:rPr>
          <w:rFonts w:hint="default" w:ascii="Times New Roman" w:hAnsi="Times New Roman" w:eastAsia="宋体" w:cs="Times New Roman"/>
          <w:highlight w:val="none"/>
        </w:rPr>
        <w:t>如下</w:t>
      </w:r>
      <w:r>
        <w:rPr>
          <w:rFonts w:hint="default" w:ascii="Times New Roman" w:hAnsi="Times New Roman" w:cs="Times New Roman"/>
          <w:highlight w:val="none"/>
          <w:lang w:val="en-US" w:eastAsia="zh-CN"/>
        </w:rPr>
        <w:t>规定</w:t>
      </w:r>
      <w:r>
        <w:rPr>
          <w:rFonts w:hint="default" w:ascii="Times New Roman" w:hAnsi="Times New Roman" w:eastAsia="宋体" w:cs="Times New Roman"/>
          <w:highlight w:val="none"/>
        </w:rPr>
        <w:t>：</w:t>
      </w:r>
    </w:p>
    <w:p w14:paraId="14DAB0BE">
      <w:pPr>
        <w:numPr>
          <w:ilvl w:val="0"/>
          <w:numId w:val="102"/>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rPr>
        <w:t>每套保</w:t>
      </w:r>
      <w:r>
        <w:rPr>
          <w:rFonts w:hint="default" w:ascii="Times New Roman" w:hAnsi="Times New Roman" w:eastAsia="宋体" w:cs="Times New Roman"/>
          <w:highlight w:val="none"/>
          <w:lang w:val="en-US" w:eastAsia="zh-CN"/>
        </w:rPr>
        <w:t>护应单独进行整定检验，定值区应实际运行一致。交流电流、电压和动作时间的试验接线均应直接接到被试装置屏柜端子排上。交流电流、电压试验接线的相对极性、相位关系应与实际运行情况完全一致</w:t>
      </w:r>
      <w:r>
        <w:rPr>
          <w:rFonts w:hint="eastAsia" w:ascii="Times New Roman" w:hAnsi="Times New Roman" w:cs="Times New Roman"/>
          <w:highlight w:val="none"/>
          <w:lang w:val="en-US" w:eastAsia="zh-CN"/>
        </w:rPr>
        <w:t>；</w:t>
      </w:r>
    </w:p>
    <w:p w14:paraId="74EC22A4">
      <w:pPr>
        <w:numPr>
          <w:ilvl w:val="0"/>
          <w:numId w:val="102"/>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在定值检验时，除所通入的交流电压、电流为模拟故障量外，整套装置的定值、功能压板投退、断路器和刀闸位置等应处于与实际运行情况完全一致的条件下</w:t>
      </w:r>
      <w:r>
        <w:rPr>
          <w:rFonts w:hint="eastAsia" w:ascii="Times New Roman" w:hAnsi="Times New Roman" w:cs="Times New Roman"/>
          <w:highlight w:val="none"/>
          <w:lang w:val="en-US" w:eastAsia="zh-CN"/>
        </w:rPr>
        <w:t>；</w:t>
      </w:r>
    </w:p>
    <w:p w14:paraId="390B1433">
      <w:pPr>
        <w:numPr>
          <w:ilvl w:val="0"/>
          <w:numId w:val="102"/>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模拟各种类型故障，检查装置保护动作逻辑功能，其动作行为应正确。依据给定的整定值对继电保护装置各有关元件的动作值及动作时间进行试验，其误差应在规定的范围内</w:t>
      </w:r>
      <w:r>
        <w:rPr>
          <w:rFonts w:hint="eastAsia" w:ascii="Times New Roman" w:hAnsi="Times New Roman" w:cs="Times New Roman"/>
          <w:highlight w:val="none"/>
          <w:lang w:val="en-US" w:eastAsia="zh-CN"/>
        </w:rPr>
        <w:t>；</w:t>
      </w:r>
    </w:p>
    <w:p w14:paraId="602CADAE">
      <w:pPr>
        <w:numPr>
          <w:ilvl w:val="0"/>
          <w:numId w:val="102"/>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整组动作时间应为自向保护装置通入模拟故障量至保护动作向断路器发出跳、合闸脉冲或向智能终端发出跳、合闸信号后在跳、合闸出口硬压板处所测得的全部时间</w:t>
      </w:r>
      <w:r>
        <w:rPr>
          <w:rFonts w:hint="eastAsia" w:ascii="Times New Roman" w:hAnsi="Times New Roman" w:cs="Times New Roman"/>
          <w:highlight w:val="none"/>
          <w:lang w:val="en-US" w:eastAsia="zh-CN"/>
        </w:rPr>
        <w:t>；</w:t>
      </w:r>
    </w:p>
    <w:p w14:paraId="166856AF">
      <w:pPr>
        <w:numPr>
          <w:ilvl w:val="0"/>
          <w:numId w:val="102"/>
        </w:numPr>
        <w:snapToGrid w:val="0"/>
        <w:ind w:left="14" w:leftChars="0" w:firstLine="406" w:firstLineChars="0"/>
        <w:rPr>
          <w:rFonts w:hint="default" w:ascii="Times New Roman" w:hAnsi="Times New Roman" w:cs="Times New Roman"/>
          <w:highlight w:val="none"/>
          <w:lang w:val="en-US" w:eastAsia="zh-CN"/>
        </w:rPr>
      </w:pPr>
      <w:r>
        <w:rPr>
          <w:rFonts w:hint="default" w:ascii="Times New Roman" w:hAnsi="Times New Roman" w:eastAsia="宋体" w:cs="Times New Roman"/>
          <w:highlight w:val="none"/>
          <w:lang w:val="en-US" w:eastAsia="zh-CN"/>
        </w:rPr>
        <w:t>双重化配置的保护装置跳合闸回</w:t>
      </w:r>
      <w:r>
        <w:rPr>
          <w:rFonts w:hint="default" w:ascii="Times New Roman" w:hAnsi="Times New Roman" w:cs="Times New Roman"/>
          <w:highlight w:val="none"/>
          <w:lang w:val="en-US" w:eastAsia="zh-CN"/>
        </w:rPr>
        <w:t>路与断路器的跳合闸线圈对应关系应符合设计要求。</w:t>
      </w:r>
    </w:p>
    <w:p w14:paraId="7066E8DE">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9.1.</w:t>
      </w:r>
      <w:r>
        <w:rPr>
          <w:rFonts w:hint="default" w:ascii="Times New Roman" w:hAnsi="Times New Roman" w:cs="Times New Roman"/>
          <w:highlight w:val="none"/>
          <w:lang w:val="en-US" w:eastAsia="zh-CN"/>
        </w:rPr>
        <w:t>7</w:t>
      </w:r>
      <w:r>
        <w:rPr>
          <w:rFonts w:hint="default" w:ascii="Times New Roman" w:hAnsi="Times New Roman" w:eastAsia="宋体" w:cs="Times New Roman"/>
          <w:highlight w:val="none"/>
          <w:lang w:val="en-US" w:eastAsia="zh-CN"/>
        </w:rPr>
        <w:t xml:space="preserve"> 合并单元检验</w:t>
      </w:r>
      <w:r>
        <w:rPr>
          <w:rFonts w:hint="default" w:ascii="Times New Roman" w:hAnsi="Times New Roman" w:cs="Times New Roman"/>
          <w:highlight w:val="none"/>
          <w:lang w:val="en-US" w:eastAsia="zh-CN"/>
        </w:rPr>
        <w:t>应符合以下规定：</w:t>
      </w:r>
    </w:p>
    <w:p w14:paraId="2A734DDB">
      <w:pPr>
        <w:numPr>
          <w:ilvl w:val="0"/>
          <w:numId w:val="10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装置外观应清洁完整，装置带电启动后无异常信号，设备运行正常。电缆、光缆编号及连接标牌标识、光纤主芯、备用芯标识正确齐全、清晰</w:t>
      </w:r>
      <w:r>
        <w:rPr>
          <w:rFonts w:hint="eastAsia" w:ascii="Times New Roman" w:hAnsi="Times New Roman" w:cs="Times New Roman"/>
          <w:highlight w:val="none"/>
          <w:lang w:val="en-US" w:eastAsia="zh-CN"/>
        </w:rPr>
        <w:t>；</w:t>
      </w:r>
    </w:p>
    <w:p w14:paraId="69C62D08">
      <w:pPr>
        <w:numPr>
          <w:ilvl w:val="0"/>
          <w:numId w:val="10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合并单元与采集器、合并单元和保护、测控、智能终端等有关装置通信正常。合并单元各相电流、电压幅值精度和相位应测试正确，SV采样、报文输出正确</w:t>
      </w:r>
      <w:r>
        <w:rPr>
          <w:rFonts w:hint="eastAsia" w:ascii="Times New Roman" w:hAnsi="Times New Roman" w:cs="Times New Roman"/>
          <w:highlight w:val="none"/>
          <w:lang w:val="en-US" w:eastAsia="zh-CN"/>
        </w:rPr>
        <w:t>；</w:t>
      </w:r>
    </w:p>
    <w:p w14:paraId="2CAC4709">
      <w:pPr>
        <w:numPr>
          <w:ilvl w:val="0"/>
          <w:numId w:val="10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合并单元同步精度、守时功能、额定延时功能、电压切换、并列功能、检修状态功能等应测试合格，额定延时测试值与厂家提供额定延时数据误差不应大于20μs</w:t>
      </w:r>
      <w:r>
        <w:rPr>
          <w:rFonts w:hint="eastAsia" w:ascii="Times New Roman" w:hAnsi="Times New Roman" w:cs="Times New Roman"/>
          <w:highlight w:val="none"/>
          <w:lang w:val="en-US" w:eastAsia="zh-CN"/>
        </w:rPr>
        <w:t>；</w:t>
      </w:r>
    </w:p>
    <w:p w14:paraId="7DBDDE21">
      <w:pPr>
        <w:numPr>
          <w:ilvl w:val="0"/>
          <w:numId w:val="10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合并单元接收、发送光功率</w:t>
      </w:r>
      <w:r>
        <w:rPr>
          <w:rFonts w:hint="default" w:ascii="Times New Roman" w:hAnsi="Times New Roman" w:cs="Times New Roman"/>
          <w:highlight w:val="none"/>
          <w:lang w:val="en-US" w:eastAsia="zh-CN"/>
        </w:rPr>
        <w:t>灵敏度</w:t>
      </w:r>
      <w:r>
        <w:rPr>
          <w:rFonts w:hint="default" w:ascii="Times New Roman" w:hAnsi="Times New Roman" w:eastAsia="宋体" w:cs="Times New Roman"/>
          <w:highlight w:val="none"/>
          <w:lang w:val="en-US" w:eastAsia="zh-CN"/>
        </w:rPr>
        <w:t>测试</w:t>
      </w:r>
      <w:r>
        <w:rPr>
          <w:rFonts w:hint="default" w:ascii="Times New Roman" w:hAnsi="Times New Roman" w:cs="Times New Roman"/>
          <w:highlight w:val="none"/>
          <w:lang w:val="en-US" w:eastAsia="zh-CN"/>
        </w:rPr>
        <w:t>应</w:t>
      </w:r>
      <w:r>
        <w:rPr>
          <w:rFonts w:hint="default" w:ascii="Times New Roman" w:hAnsi="Times New Roman" w:eastAsia="宋体" w:cs="Times New Roman"/>
          <w:highlight w:val="none"/>
          <w:lang w:val="en-US" w:eastAsia="zh-CN"/>
        </w:rPr>
        <w:t>满足</w:t>
      </w:r>
      <w:r>
        <w:rPr>
          <w:rFonts w:hint="default" w:ascii="Times New Roman" w:hAnsi="Times New Roman" w:cs="Times New Roman"/>
          <w:highlight w:val="none"/>
          <w:lang w:val="en-US" w:eastAsia="zh-CN"/>
        </w:rPr>
        <w:t>GB/T 34871</w:t>
      </w:r>
      <w:r>
        <w:rPr>
          <w:rFonts w:hint="default" w:ascii="Times New Roman" w:hAnsi="Times New Roman" w:eastAsia="宋体" w:cs="Times New Roman"/>
          <w:highlight w:val="none"/>
          <w:lang w:val="en-US" w:eastAsia="zh-CN"/>
        </w:rPr>
        <w:t>要求。</w:t>
      </w:r>
    </w:p>
    <w:p w14:paraId="183222D6">
      <w:pPr>
        <w:pStyle w:val="245"/>
        <w:ind w:left="0" w:leftChars="0" w:firstLine="0"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9.1.</w:t>
      </w:r>
      <w:r>
        <w:rPr>
          <w:rFonts w:hint="default" w:ascii="Times New Roman" w:hAnsi="Times New Roman" w:cs="Times New Roman"/>
          <w:highlight w:val="none"/>
          <w:lang w:val="en-US" w:eastAsia="zh-CN"/>
        </w:rPr>
        <w:t>8</w:t>
      </w:r>
      <w:r>
        <w:rPr>
          <w:rFonts w:hint="default" w:ascii="Times New Roman" w:hAnsi="Times New Roman" w:eastAsia="宋体" w:cs="Times New Roman"/>
          <w:highlight w:val="none"/>
          <w:lang w:val="en-US" w:eastAsia="zh-CN"/>
        </w:rPr>
        <w:t xml:space="preserve"> 智能终端检验</w:t>
      </w:r>
      <w:r>
        <w:rPr>
          <w:rFonts w:hint="default" w:ascii="Times New Roman" w:hAnsi="Times New Roman" w:cs="Times New Roman"/>
          <w:highlight w:val="none"/>
          <w:lang w:val="en-US" w:eastAsia="zh-CN"/>
        </w:rPr>
        <w:t>应符合以下规定：</w:t>
      </w:r>
    </w:p>
    <w:p w14:paraId="567C2D39">
      <w:pPr>
        <w:numPr>
          <w:ilvl w:val="0"/>
          <w:numId w:val="10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装置外观应清洁完整，装置带电启动后无异常信号，设备运行正常。电缆、光缆编号及连接标牌标识、光纤主芯、备用芯标识正确齐全、清晰</w:t>
      </w:r>
      <w:r>
        <w:rPr>
          <w:rFonts w:hint="eastAsia" w:ascii="Times New Roman" w:hAnsi="Times New Roman" w:cs="Times New Roman"/>
          <w:highlight w:val="none"/>
          <w:lang w:val="en-US" w:eastAsia="zh-CN"/>
        </w:rPr>
        <w:t>；</w:t>
      </w:r>
    </w:p>
    <w:p w14:paraId="70D403BE">
      <w:pPr>
        <w:numPr>
          <w:ilvl w:val="0"/>
          <w:numId w:val="10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智能终端与保护、测控装置通信正常，反应断路器、刀闸、主变档位等位置及相关告警、闭锁等硬接点开入正确，装置面板指示灯和相关GOOSE报文输出正确</w:t>
      </w:r>
      <w:r>
        <w:rPr>
          <w:rFonts w:hint="eastAsia" w:ascii="Times New Roman" w:hAnsi="Times New Roman" w:cs="Times New Roman"/>
          <w:highlight w:val="none"/>
          <w:lang w:val="en-US" w:eastAsia="zh-CN"/>
        </w:rPr>
        <w:t>；</w:t>
      </w:r>
    </w:p>
    <w:p w14:paraId="2B4675AD">
      <w:pPr>
        <w:numPr>
          <w:ilvl w:val="0"/>
          <w:numId w:val="10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智能终端跳位、合位、遥控、手跳、手合、防跳等功能正确、跳合闸电流满足要求。智能终端检修状态功能正确</w:t>
      </w:r>
      <w:r>
        <w:rPr>
          <w:rFonts w:hint="eastAsia" w:ascii="Times New Roman" w:hAnsi="Times New Roman" w:cs="Times New Roman"/>
          <w:highlight w:val="none"/>
          <w:lang w:val="en-US" w:eastAsia="zh-CN"/>
        </w:rPr>
        <w:t>；</w:t>
      </w:r>
    </w:p>
    <w:p w14:paraId="5D2A46DC">
      <w:pPr>
        <w:numPr>
          <w:ilvl w:val="0"/>
          <w:numId w:val="10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智能终端接收、发送光功率</w:t>
      </w:r>
      <w:r>
        <w:rPr>
          <w:rFonts w:hint="default" w:ascii="Times New Roman" w:hAnsi="Times New Roman" w:cs="Times New Roman"/>
          <w:highlight w:val="none"/>
          <w:lang w:val="en-US" w:eastAsia="zh-CN"/>
        </w:rPr>
        <w:t>灵敏度</w:t>
      </w:r>
      <w:r>
        <w:rPr>
          <w:rFonts w:hint="default" w:ascii="Times New Roman" w:hAnsi="Times New Roman" w:eastAsia="宋体" w:cs="Times New Roman"/>
          <w:highlight w:val="none"/>
          <w:lang w:val="en-US" w:eastAsia="zh-CN"/>
        </w:rPr>
        <w:t>测试</w:t>
      </w:r>
      <w:r>
        <w:rPr>
          <w:rFonts w:hint="default" w:ascii="Times New Roman" w:hAnsi="Times New Roman" w:cs="Times New Roman"/>
          <w:highlight w:val="none"/>
          <w:lang w:val="en-US" w:eastAsia="zh-CN"/>
        </w:rPr>
        <w:t>应</w:t>
      </w:r>
      <w:r>
        <w:rPr>
          <w:rFonts w:hint="default" w:ascii="Times New Roman" w:hAnsi="Times New Roman" w:eastAsia="宋体" w:cs="Times New Roman"/>
          <w:highlight w:val="none"/>
          <w:lang w:val="en-US" w:eastAsia="zh-CN"/>
        </w:rPr>
        <w:t>满足</w:t>
      </w:r>
      <w:r>
        <w:rPr>
          <w:rFonts w:hint="default" w:ascii="Times New Roman" w:hAnsi="Times New Roman" w:cs="Times New Roman"/>
          <w:highlight w:val="none"/>
          <w:lang w:val="en-US" w:eastAsia="zh-CN"/>
        </w:rPr>
        <w:t>GB/T 34871</w:t>
      </w:r>
      <w:r>
        <w:rPr>
          <w:rFonts w:hint="default" w:ascii="Times New Roman" w:hAnsi="Times New Roman" w:eastAsia="宋体" w:cs="Times New Roman"/>
          <w:highlight w:val="none"/>
          <w:lang w:val="en-US" w:eastAsia="zh-CN"/>
        </w:rPr>
        <w:t>要求。</w:t>
      </w:r>
    </w:p>
    <w:p w14:paraId="61F93755">
      <w:pPr>
        <w:pStyle w:val="246"/>
        <w:numPr>
          <w:ilvl w:val="1"/>
          <w:numId w:val="0"/>
        </w:numPr>
        <w:tabs>
          <w:tab w:val="left" w:pos="0"/>
        </w:tabs>
        <w:rPr>
          <w:rFonts w:hint="default" w:ascii="黑体" w:hAnsi="黑体" w:eastAsia="黑体" w:cs="黑体"/>
          <w:b w:val="0"/>
          <w:bCs w:val="0"/>
          <w:lang w:val="en-US" w:eastAsia="zh-CN"/>
        </w:rPr>
      </w:pPr>
      <w:r>
        <w:rPr>
          <w:rFonts w:hint="default" w:ascii="黑体" w:hAnsi="黑体" w:eastAsia="黑体" w:cs="黑体"/>
          <w:b w:val="0"/>
          <w:bCs w:val="0"/>
          <w:lang w:val="en-US" w:eastAsia="zh-CN"/>
        </w:rPr>
        <w:t>9.2  二次回路检验</w:t>
      </w:r>
    </w:p>
    <w:p w14:paraId="1A06BAFF">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9.2.1 在被</w:t>
      </w:r>
      <w:r>
        <w:rPr>
          <w:rFonts w:hint="default" w:ascii="Times New Roman" w:hAnsi="Times New Roman" w:cs="Times New Roman"/>
          <w:highlight w:val="none"/>
          <w:lang w:val="en-US" w:eastAsia="zh-CN"/>
        </w:rPr>
        <w:t>调试</w:t>
      </w:r>
      <w:r>
        <w:rPr>
          <w:rFonts w:hint="default" w:ascii="Times New Roman" w:hAnsi="Times New Roman" w:eastAsia="宋体" w:cs="Times New Roman"/>
          <w:highlight w:val="none"/>
          <w:lang w:val="en-US" w:eastAsia="zh-CN"/>
        </w:rPr>
        <w:t>设备的断路器、电流电压互感器回路与其他单元设备的回路完全断开后方可进行</w:t>
      </w:r>
      <w:r>
        <w:rPr>
          <w:rFonts w:hint="default" w:ascii="Times New Roman" w:hAnsi="Times New Roman" w:cs="Times New Roman"/>
          <w:highlight w:val="none"/>
          <w:lang w:val="en-US" w:eastAsia="zh-CN"/>
        </w:rPr>
        <w:t>，检验方法执行DL/T 995要求</w:t>
      </w:r>
      <w:r>
        <w:rPr>
          <w:rFonts w:hint="default" w:ascii="Times New Roman" w:hAnsi="Times New Roman" w:eastAsia="宋体" w:cs="Times New Roman"/>
          <w:highlight w:val="none"/>
          <w:lang w:val="en-US" w:eastAsia="zh-CN"/>
        </w:rPr>
        <w:t>。</w:t>
      </w:r>
    </w:p>
    <w:p w14:paraId="1C1924FB">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9.2.2 电流</w:t>
      </w:r>
      <w:r>
        <w:rPr>
          <w:rFonts w:hint="default" w:ascii="Times New Roman" w:hAnsi="Times New Roman" w:eastAsia="宋体" w:cs="Times New Roman"/>
          <w:color w:val="auto"/>
          <w:highlight w:val="none"/>
          <w:shd w:val="clear" w:color="auto" w:fill="auto"/>
          <w:lang w:val="en-US" w:eastAsia="zh-CN"/>
        </w:rPr>
        <w:t>互感器</w:t>
      </w:r>
      <w:r>
        <w:rPr>
          <w:rFonts w:hint="default" w:ascii="Times New Roman" w:hAnsi="Times New Roman" w:eastAsia="宋体" w:cs="Times New Roman"/>
          <w:highlight w:val="none"/>
          <w:lang w:val="en-US" w:eastAsia="zh-CN"/>
        </w:rPr>
        <w:t>二次回路</w:t>
      </w:r>
      <w:r>
        <w:rPr>
          <w:rFonts w:hint="default" w:ascii="Times New Roman" w:hAnsi="Times New Roman" w:cs="Times New Roman"/>
          <w:highlight w:val="none"/>
          <w:lang w:val="en-US" w:eastAsia="zh-CN"/>
        </w:rPr>
        <w:t>应符合以下规定：</w:t>
      </w:r>
    </w:p>
    <w:p w14:paraId="42FAFF76">
      <w:pPr>
        <w:numPr>
          <w:ilvl w:val="0"/>
          <w:numId w:val="105"/>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电流互感器二次绕组所有二次接线应正确，各绕组抽头引线在端子排上的相别、相序布置应便于在调试、检修时进行短接，并应使用可开断端子，端子排接线压接应牢固可靠</w:t>
      </w:r>
      <w:r>
        <w:rPr>
          <w:rFonts w:hint="eastAsia" w:ascii="Times New Roman" w:hAnsi="Times New Roman" w:cs="Times New Roman"/>
          <w:highlight w:val="none"/>
          <w:lang w:val="en-US" w:eastAsia="zh-CN"/>
        </w:rPr>
        <w:t>；</w:t>
      </w:r>
    </w:p>
    <w:p w14:paraId="71152DA5">
      <w:pPr>
        <w:numPr>
          <w:ilvl w:val="0"/>
          <w:numId w:val="105"/>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电流互感器各绕组的接线、极性及与装置的对应关系应与设计相符合，相别标识应正确</w:t>
      </w:r>
      <w:r>
        <w:rPr>
          <w:rFonts w:hint="eastAsia" w:ascii="Times New Roman" w:hAnsi="Times New Roman" w:cs="Times New Roman"/>
          <w:highlight w:val="none"/>
          <w:lang w:val="en-US" w:eastAsia="zh-CN"/>
        </w:rPr>
        <w:t>；</w:t>
      </w:r>
    </w:p>
    <w:p w14:paraId="085D6099">
      <w:pPr>
        <w:numPr>
          <w:ilvl w:val="0"/>
          <w:numId w:val="105"/>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电流互感器的二次回路应有且只有一点接地，接地点应设置在就地屏柜内；由多组电流互感器二次组合的电流回路，应在有直接电气连接处的屏柜内一点接地。备用绕组应引接到就地屏柜内短接后接地</w:t>
      </w:r>
      <w:r>
        <w:rPr>
          <w:rFonts w:hint="eastAsia" w:ascii="Times New Roman" w:hAnsi="Times New Roman" w:cs="Times New Roman"/>
          <w:highlight w:val="none"/>
          <w:lang w:val="en-US" w:eastAsia="zh-CN"/>
        </w:rPr>
        <w:t>；</w:t>
      </w:r>
    </w:p>
    <w:p w14:paraId="64F9C6F4">
      <w:pPr>
        <w:numPr>
          <w:ilvl w:val="0"/>
          <w:numId w:val="105"/>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电流互感器二次电缆的屏蔽接</w:t>
      </w:r>
      <w:r>
        <w:rPr>
          <w:rFonts w:hint="default" w:ascii="Times New Roman" w:hAnsi="Times New Roman" w:cs="Times New Roman"/>
          <w:highlight w:val="none"/>
          <w:lang w:val="en-US" w:eastAsia="zh-CN"/>
        </w:rPr>
        <w:t>地线应单独压接线鼻子，并在单独螺孔上接地。屏蔽线应使用截面面积不小于4</w:t>
      </w:r>
      <w:r>
        <w:rPr>
          <w:rFonts w:hint="default" w:ascii="Times New Roman" w:hAnsi="Times New Roman" w:eastAsia="宋体" w:cs="Times New Roman"/>
          <w:highlight w:val="none"/>
          <w:lang w:val="en-US" w:eastAsia="zh-CN"/>
        </w:rPr>
        <w:t>mm</w:t>
      </w:r>
      <w:r>
        <w:rPr>
          <w:rFonts w:hint="default" w:ascii="Times New Roman" w:hAnsi="Times New Roman" w:eastAsia="宋体" w:cs="Times New Roman"/>
          <w:highlight w:val="none"/>
          <w:vertAlign w:val="superscript"/>
          <w:lang w:val="en-US" w:eastAsia="zh-CN"/>
        </w:rPr>
        <w:t>2</w:t>
      </w:r>
      <w:r>
        <w:rPr>
          <w:rFonts w:hint="default" w:ascii="Times New Roman" w:hAnsi="Times New Roman" w:cs="Times New Roman"/>
          <w:highlight w:val="none"/>
          <w:lang w:val="en-US" w:eastAsia="zh-CN"/>
        </w:rPr>
        <w:t>的多股软铜线。</w:t>
      </w:r>
    </w:p>
    <w:p w14:paraId="640926B9">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9.2.3 电压互感器二次回路</w:t>
      </w:r>
      <w:r>
        <w:rPr>
          <w:rFonts w:hint="default" w:ascii="Times New Roman" w:hAnsi="Times New Roman" w:cs="Times New Roman"/>
          <w:highlight w:val="none"/>
          <w:lang w:val="en-US" w:eastAsia="zh-CN"/>
        </w:rPr>
        <w:t>应符合以下规定：</w:t>
      </w:r>
    </w:p>
    <w:p w14:paraId="0E456913">
      <w:pPr>
        <w:numPr>
          <w:ilvl w:val="0"/>
          <w:numId w:val="10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电压互感器各次绕组的所有二次回路接线应正确，端子排接线压接应牢固可靠</w:t>
      </w:r>
      <w:r>
        <w:rPr>
          <w:rFonts w:hint="eastAsia" w:ascii="Times New Roman" w:hAnsi="Times New Roman" w:cs="Times New Roman"/>
          <w:highlight w:val="none"/>
          <w:lang w:val="en-US" w:eastAsia="zh-CN"/>
        </w:rPr>
        <w:t>；</w:t>
      </w:r>
    </w:p>
    <w:p w14:paraId="76AEB456">
      <w:pPr>
        <w:numPr>
          <w:ilvl w:val="0"/>
          <w:numId w:val="10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独立的、与其它互感器二次回路没有直接电气联系的二次回路，可在控制室也可在就地屏柜内实现一点接地。几组电压互感器二次回路在控制室经零相小母线（N600）连通的，只应在控制室将N600一点接地，取消各电压互感器二次中性点在就地屏柜内接地线。各电压互感器的中性线回路不得接有可能断开的断路器或接触器等</w:t>
      </w:r>
      <w:r>
        <w:rPr>
          <w:rFonts w:hint="eastAsia" w:ascii="Times New Roman" w:hAnsi="Times New Roman" w:cs="Times New Roman"/>
          <w:highlight w:val="none"/>
          <w:lang w:val="en-US" w:eastAsia="zh-CN"/>
        </w:rPr>
        <w:t>；</w:t>
      </w:r>
    </w:p>
    <w:p w14:paraId="35C925DA">
      <w:pPr>
        <w:numPr>
          <w:ilvl w:val="0"/>
          <w:numId w:val="10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电压互感器二次中性点在就地汇控柜内的金属氧化物避雷器的安装应符合规程规定</w:t>
      </w:r>
      <w:r>
        <w:rPr>
          <w:rFonts w:hint="eastAsia" w:ascii="Times New Roman" w:hAnsi="Times New Roman" w:cs="Times New Roman"/>
          <w:highlight w:val="none"/>
          <w:lang w:val="en-US" w:eastAsia="zh-CN"/>
        </w:rPr>
        <w:t>；</w:t>
      </w:r>
    </w:p>
    <w:p w14:paraId="72662396">
      <w:pPr>
        <w:numPr>
          <w:ilvl w:val="0"/>
          <w:numId w:val="10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电压互感器二次回路中所有熔断器、自动开关的装设地点、熔断（脱扣）电流应符合设计要求，自动开关的电压短路试验应合格</w:t>
      </w:r>
      <w:r>
        <w:rPr>
          <w:rFonts w:hint="eastAsia" w:ascii="Times New Roman" w:hAnsi="Times New Roman" w:cs="Times New Roman"/>
          <w:highlight w:val="none"/>
          <w:lang w:val="en-US" w:eastAsia="zh-CN"/>
        </w:rPr>
        <w:t>；</w:t>
      </w:r>
    </w:p>
    <w:p w14:paraId="1D51CE4D">
      <w:pPr>
        <w:numPr>
          <w:ilvl w:val="0"/>
          <w:numId w:val="10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电压互感器二次电缆</w:t>
      </w:r>
      <w:r>
        <w:rPr>
          <w:rFonts w:hint="default" w:ascii="Times New Roman" w:hAnsi="Times New Roman" w:cs="Times New Roman"/>
          <w:highlight w:val="none"/>
          <w:lang w:val="en-US" w:eastAsia="zh-CN"/>
        </w:rPr>
        <w:t>的屏蔽接地线应单独压接线鼻子，并在单独螺孔上接地</w:t>
      </w:r>
      <w:r>
        <w:rPr>
          <w:rFonts w:hint="default" w:ascii="Times New Roman" w:hAnsi="Times New Roman" w:eastAsia="宋体" w:cs="Times New Roman"/>
          <w:highlight w:val="none"/>
          <w:lang w:val="en-US" w:eastAsia="zh-CN"/>
        </w:rPr>
        <w:t>。</w:t>
      </w:r>
      <w:r>
        <w:rPr>
          <w:rFonts w:hint="default" w:ascii="Times New Roman" w:hAnsi="Times New Roman" w:cs="Times New Roman"/>
          <w:highlight w:val="none"/>
          <w:lang w:val="en-US" w:eastAsia="zh-CN"/>
        </w:rPr>
        <w:t>屏蔽线应使用截面面积不小于4</w:t>
      </w:r>
      <w:r>
        <w:rPr>
          <w:rFonts w:hint="default" w:ascii="Times New Roman" w:hAnsi="Times New Roman" w:eastAsia="宋体" w:cs="Times New Roman"/>
          <w:highlight w:val="none"/>
          <w:lang w:val="en-US" w:eastAsia="zh-CN"/>
        </w:rPr>
        <w:t>mm</w:t>
      </w:r>
      <w:r>
        <w:rPr>
          <w:rFonts w:hint="default" w:ascii="Times New Roman" w:hAnsi="Times New Roman" w:eastAsia="宋体" w:cs="Times New Roman"/>
          <w:highlight w:val="none"/>
          <w:vertAlign w:val="superscript"/>
          <w:lang w:val="en-US" w:eastAsia="zh-CN"/>
        </w:rPr>
        <w:t>2</w:t>
      </w:r>
      <w:r>
        <w:rPr>
          <w:rFonts w:hint="default" w:ascii="Times New Roman" w:hAnsi="Times New Roman" w:cs="Times New Roman"/>
          <w:highlight w:val="none"/>
          <w:lang w:val="en-US" w:eastAsia="zh-CN"/>
        </w:rPr>
        <w:t>的多股软铜线。</w:t>
      </w:r>
    </w:p>
    <w:p w14:paraId="6356CD0A">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9.2.4 二次</w:t>
      </w:r>
      <w:r>
        <w:rPr>
          <w:rFonts w:hint="default" w:ascii="Times New Roman" w:hAnsi="Times New Roman" w:eastAsia="宋体" w:cs="Times New Roman"/>
          <w:color w:val="auto"/>
          <w:highlight w:val="none"/>
          <w:shd w:val="clear" w:color="auto" w:fill="auto"/>
          <w:lang w:val="en-US" w:eastAsia="zh-CN"/>
        </w:rPr>
        <w:t>回路</w:t>
      </w:r>
      <w:r>
        <w:rPr>
          <w:rFonts w:hint="default" w:ascii="Times New Roman" w:hAnsi="Times New Roman" w:eastAsia="宋体" w:cs="Times New Roman"/>
          <w:highlight w:val="none"/>
          <w:lang w:val="en-US" w:eastAsia="zh-CN"/>
        </w:rPr>
        <w:t>绝缘检查</w:t>
      </w:r>
      <w:r>
        <w:rPr>
          <w:rFonts w:hint="default" w:ascii="Times New Roman" w:hAnsi="Times New Roman" w:cs="Times New Roman"/>
          <w:highlight w:val="none"/>
          <w:lang w:val="en-US" w:eastAsia="zh-CN"/>
        </w:rPr>
        <w:t>应符合以下规定：</w:t>
      </w:r>
    </w:p>
    <w:p w14:paraId="04DC4C17">
      <w:pPr>
        <w:numPr>
          <w:ilvl w:val="0"/>
          <w:numId w:val="10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在对二次回路进行绝缘检查前，应确认被保护设备的断路器、电流互感器已全部停电，交流电压回路已在电压切换把手或分线箱处与其他单元设备的回路断开，并与其他回路已完全隔离</w:t>
      </w:r>
      <w:r>
        <w:rPr>
          <w:rFonts w:hint="eastAsia" w:ascii="Times New Roman" w:hAnsi="Times New Roman" w:cs="Times New Roman"/>
          <w:highlight w:val="none"/>
          <w:lang w:val="en-US" w:eastAsia="zh-CN"/>
        </w:rPr>
        <w:t>；</w:t>
      </w:r>
    </w:p>
    <w:p w14:paraId="27F3EFAC">
      <w:pPr>
        <w:numPr>
          <w:ilvl w:val="0"/>
          <w:numId w:val="10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从屏柜的端子排处将所有外部引入的回路接线全部断开，分别将电流、电压、直流控制、信号回路的所有端子各自连接在一起，用兆欧表测量各回路对地和各回路相互间绝缘电阻，用1000V兆欧表时，其阻值均应大于10MΩ；用500V兆欧表时，其阻值均应大于20MΩ</w:t>
      </w:r>
      <w:r>
        <w:rPr>
          <w:rFonts w:hint="eastAsia" w:ascii="Times New Roman" w:hAnsi="Times New Roman" w:cs="Times New Roman"/>
          <w:highlight w:val="none"/>
          <w:lang w:val="en-US" w:eastAsia="zh-CN"/>
        </w:rPr>
        <w:t>；</w:t>
      </w:r>
    </w:p>
    <w:p w14:paraId="200C6CD1">
      <w:pPr>
        <w:numPr>
          <w:ilvl w:val="0"/>
          <w:numId w:val="10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对使用触点输出的信号回路，用1000V兆欧表测量电缆每芯对地及对其他各芯间的绝缘电阻，其绝缘电阻应不小于1MΩ</w:t>
      </w:r>
      <w:r>
        <w:rPr>
          <w:rFonts w:hint="eastAsia" w:ascii="Times New Roman" w:hAnsi="Times New Roman" w:cs="Times New Roman"/>
          <w:highlight w:val="none"/>
          <w:lang w:val="en-US" w:eastAsia="zh-CN"/>
        </w:rPr>
        <w:t>；</w:t>
      </w:r>
    </w:p>
    <w:p w14:paraId="019EA270">
      <w:pPr>
        <w:numPr>
          <w:ilvl w:val="0"/>
          <w:numId w:val="10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绝缘试验时，测试线连接要紧固；每</w:t>
      </w:r>
      <w:r>
        <w:rPr>
          <w:rFonts w:hint="default" w:ascii="Times New Roman" w:hAnsi="Times New Roman" w:cs="Times New Roman"/>
          <w:highlight w:val="none"/>
          <w:lang w:val="en-US" w:eastAsia="zh-CN"/>
        </w:rPr>
        <w:t>次</w:t>
      </w:r>
      <w:r>
        <w:rPr>
          <w:rFonts w:hint="default" w:ascii="Times New Roman" w:hAnsi="Times New Roman" w:eastAsia="宋体" w:cs="Times New Roman"/>
          <w:highlight w:val="none"/>
          <w:lang w:val="en-US" w:eastAsia="zh-CN"/>
        </w:rPr>
        <w:t>绝缘试验后，应将</w:t>
      </w:r>
      <w:r>
        <w:rPr>
          <w:rFonts w:hint="default" w:ascii="Times New Roman" w:hAnsi="Times New Roman" w:cs="Times New Roman"/>
          <w:highlight w:val="none"/>
          <w:lang w:val="en-US" w:eastAsia="zh-CN"/>
        </w:rPr>
        <w:t>测试</w:t>
      </w:r>
      <w:r>
        <w:rPr>
          <w:rFonts w:hint="default" w:ascii="Times New Roman" w:hAnsi="Times New Roman" w:eastAsia="宋体" w:cs="Times New Roman"/>
          <w:highlight w:val="none"/>
          <w:lang w:val="en-US" w:eastAsia="zh-CN"/>
        </w:rPr>
        <w:t>回路对地放电。</w:t>
      </w:r>
    </w:p>
    <w:p w14:paraId="6271551A">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9.2.5 二次</w:t>
      </w:r>
      <w:r>
        <w:rPr>
          <w:rFonts w:hint="default" w:ascii="Times New Roman" w:hAnsi="Times New Roman" w:eastAsia="宋体" w:cs="Times New Roman"/>
          <w:color w:val="auto"/>
          <w:highlight w:val="none"/>
          <w:shd w:val="clear" w:color="auto" w:fill="auto"/>
          <w:lang w:val="en-US" w:eastAsia="zh-CN"/>
        </w:rPr>
        <w:t>回路</w:t>
      </w:r>
      <w:r>
        <w:rPr>
          <w:rFonts w:hint="default" w:ascii="Times New Roman" w:hAnsi="Times New Roman" w:cs="Times New Roman"/>
          <w:highlight w:val="none"/>
          <w:lang w:val="en-US" w:eastAsia="zh-CN"/>
        </w:rPr>
        <w:t>及元器件检查应符合以下规定：</w:t>
      </w:r>
    </w:p>
    <w:p w14:paraId="7765CB59">
      <w:pPr>
        <w:numPr>
          <w:ilvl w:val="0"/>
          <w:numId w:val="108"/>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屏柜</w:t>
      </w:r>
      <w:r>
        <w:rPr>
          <w:rFonts w:hint="default" w:ascii="Times New Roman" w:hAnsi="Times New Roman" w:cs="Times New Roman"/>
          <w:highlight w:val="none"/>
          <w:lang w:val="en-US" w:eastAsia="zh-CN"/>
        </w:rPr>
        <w:t>上</w:t>
      </w:r>
      <w:r>
        <w:rPr>
          <w:rFonts w:hint="default" w:ascii="Times New Roman" w:hAnsi="Times New Roman" w:eastAsia="宋体" w:cs="Times New Roman"/>
          <w:highlight w:val="none"/>
          <w:lang w:val="en-US" w:eastAsia="zh-CN"/>
        </w:rPr>
        <w:t>操作把手、按钮、插头、灯座、位置指示继电器、告警信号装置及这些部件回路中端子排、电缆、空气开关等所有部件外观应良好，中文标识清晰正确</w:t>
      </w:r>
      <w:r>
        <w:rPr>
          <w:rFonts w:hint="eastAsia" w:ascii="Times New Roman" w:hAnsi="Times New Roman" w:cs="Times New Roman"/>
          <w:highlight w:val="none"/>
          <w:lang w:val="en-US" w:eastAsia="zh-CN"/>
        </w:rPr>
        <w:t>；</w:t>
      </w:r>
    </w:p>
    <w:p w14:paraId="6729071A">
      <w:pPr>
        <w:numPr>
          <w:ilvl w:val="0"/>
          <w:numId w:val="108"/>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屏柜上的设备及端子排上内部、外部连线应接触牢靠，线号标识完整正确，符合图纸和运行规程要求；电缆标牌应完整正确，编号应与设计相符</w:t>
      </w:r>
      <w:r>
        <w:rPr>
          <w:rFonts w:hint="eastAsia" w:ascii="Times New Roman" w:hAnsi="Times New Roman" w:cs="Times New Roman"/>
          <w:highlight w:val="none"/>
          <w:lang w:val="en-US" w:eastAsia="zh-CN"/>
        </w:rPr>
        <w:t>；</w:t>
      </w:r>
    </w:p>
    <w:p w14:paraId="389A37BB">
      <w:pPr>
        <w:numPr>
          <w:ilvl w:val="0"/>
          <w:numId w:val="108"/>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屏柜上功能、出口、备用硬压板安装规范，颜色应符合规程要求；不参与正常运行的连片应取下，或采取其他防止误投的措施</w:t>
      </w:r>
      <w:r>
        <w:rPr>
          <w:rFonts w:hint="eastAsia" w:ascii="Times New Roman" w:hAnsi="Times New Roman" w:cs="Times New Roman"/>
          <w:highlight w:val="none"/>
          <w:lang w:val="en-US" w:eastAsia="zh-CN"/>
        </w:rPr>
        <w:t>；</w:t>
      </w:r>
    </w:p>
    <w:p w14:paraId="2D1D7CBE">
      <w:pPr>
        <w:numPr>
          <w:ilvl w:val="0"/>
          <w:numId w:val="108"/>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新投入设备或接入新回路的空气开关，额定电流应与设计相符，并与所接入的负荷相适应，满足上下级配合关系</w:t>
      </w:r>
      <w:r>
        <w:rPr>
          <w:rFonts w:hint="eastAsia" w:ascii="Times New Roman" w:hAnsi="Times New Roman" w:cs="Times New Roman"/>
          <w:highlight w:val="none"/>
          <w:lang w:val="en-US" w:eastAsia="zh-CN"/>
        </w:rPr>
        <w:t>；</w:t>
      </w:r>
    </w:p>
    <w:p w14:paraId="6BB521EE">
      <w:pPr>
        <w:numPr>
          <w:ilvl w:val="0"/>
          <w:numId w:val="108"/>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直流回路应无寄生回路存在。</w:t>
      </w:r>
    </w:p>
    <w:p w14:paraId="2B8A396D">
      <w:pPr>
        <w:pStyle w:val="246"/>
        <w:numPr>
          <w:ilvl w:val="1"/>
          <w:numId w:val="0"/>
        </w:numPr>
        <w:tabs>
          <w:tab w:val="left" w:pos="0"/>
        </w:tabs>
        <w:rPr>
          <w:rFonts w:hint="default" w:ascii="黑体" w:hAnsi="黑体" w:eastAsia="黑体" w:cs="黑体"/>
          <w:b w:val="0"/>
          <w:bCs w:val="0"/>
          <w:lang w:val="en-US" w:eastAsia="zh-CN"/>
        </w:rPr>
      </w:pPr>
      <w:r>
        <w:rPr>
          <w:rFonts w:hint="default" w:ascii="黑体" w:hAnsi="黑体" w:eastAsia="黑体" w:cs="黑体"/>
          <w:b w:val="0"/>
          <w:bCs w:val="0"/>
          <w:lang w:val="en-US" w:eastAsia="zh-CN"/>
        </w:rPr>
        <w:t>9.3  一次设备调试</w:t>
      </w:r>
    </w:p>
    <w:p w14:paraId="61CE0681">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9.3.1 断路器调试</w:t>
      </w:r>
      <w:r>
        <w:rPr>
          <w:rFonts w:hint="default" w:ascii="Times New Roman" w:hAnsi="Times New Roman" w:cs="Times New Roman"/>
          <w:highlight w:val="none"/>
          <w:lang w:val="en-US" w:eastAsia="zh-CN"/>
        </w:rPr>
        <w:t>应符合以下规定：</w:t>
      </w:r>
    </w:p>
    <w:p w14:paraId="273C65F8">
      <w:pPr>
        <w:numPr>
          <w:ilvl w:val="0"/>
          <w:numId w:val="109"/>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就地分合闸功能正确，机构动作正确，分合闸、计数器指示正确，操作箱指示正确</w:t>
      </w:r>
      <w:r>
        <w:rPr>
          <w:rFonts w:hint="eastAsia" w:ascii="Times New Roman" w:hAnsi="Times New Roman" w:cs="Times New Roman"/>
          <w:highlight w:val="none"/>
          <w:lang w:val="en-US" w:eastAsia="zh-CN"/>
        </w:rPr>
        <w:t>；</w:t>
      </w:r>
    </w:p>
    <w:p w14:paraId="5EE43F1D">
      <w:pPr>
        <w:numPr>
          <w:ilvl w:val="0"/>
          <w:numId w:val="109"/>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测试气压、油压、弹簧压力报警和闭锁功能完好、正确</w:t>
      </w:r>
      <w:r>
        <w:rPr>
          <w:rFonts w:hint="eastAsia" w:ascii="Times New Roman" w:hAnsi="Times New Roman" w:cs="Times New Roman"/>
          <w:highlight w:val="none"/>
          <w:lang w:val="en-US" w:eastAsia="zh-CN"/>
        </w:rPr>
        <w:t>；</w:t>
      </w:r>
    </w:p>
    <w:p w14:paraId="2DDC3749">
      <w:pPr>
        <w:numPr>
          <w:ilvl w:val="0"/>
          <w:numId w:val="109"/>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测试断路器防跳功能、三相不一致功能正确</w:t>
      </w:r>
      <w:r>
        <w:rPr>
          <w:rFonts w:hint="eastAsia" w:ascii="Times New Roman" w:hAnsi="Times New Roman" w:cs="Times New Roman"/>
          <w:highlight w:val="none"/>
          <w:lang w:val="en-US" w:eastAsia="zh-CN"/>
        </w:rPr>
        <w:t>；</w:t>
      </w:r>
    </w:p>
    <w:p w14:paraId="2D95EF15">
      <w:pPr>
        <w:numPr>
          <w:ilvl w:val="0"/>
          <w:numId w:val="109"/>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操作箱跳合闸保持电流整定正确。</w:t>
      </w:r>
    </w:p>
    <w:p w14:paraId="18206DB1">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9.3.2 隔离开关</w:t>
      </w:r>
      <w:r>
        <w:rPr>
          <w:rFonts w:hint="default" w:ascii="Times New Roman" w:hAnsi="Times New Roman" w:cs="Times New Roman"/>
          <w:highlight w:val="none"/>
          <w:lang w:val="en-US" w:eastAsia="zh-CN"/>
        </w:rPr>
        <w:t>和接地开关</w:t>
      </w:r>
      <w:r>
        <w:rPr>
          <w:rFonts w:hint="default" w:ascii="Times New Roman" w:hAnsi="Times New Roman" w:eastAsia="宋体" w:cs="Times New Roman"/>
          <w:highlight w:val="none"/>
          <w:lang w:val="en-US" w:eastAsia="zh-CN"/>
        </w:rPr>
        <w:t>调试</w:t>
      </w:r>
      <w:r>
        <w:rPr>
          <w:rFonts w:hint="default" w:ascii="Times New Roman" w:hAnsi="Times New Roman" w:cs="Times New Roman"/>
          <w:highlight w:val="none"/>
          <w:lang w:val="en-US" w:eastAsia="zh-CN"/>
        </w:rPr>
        <w:t>应符合以下规定：</w:t>
      </w:r>
    </w:p>
    <w:p w14:paraId="7C39C808">
      <w:pPr>
        <w:numPr>
          <w:ilvl w:val="0"/>
          <w:numId w:val="110"/>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电源相序测量正确</w:t>
      </w:r>
      <w:r>
        <w:rPr>
          <w:rFonts w:hint="eastAsia" w:ascii="Times New Roman" w:hAnsi="Times New Roman" w:cs="Times New Roman"/>
          <w:highlight w:val="none"/>
          <w:lang w:val="en-US" w:eastAsia="zh-CN"/>
        </w:rPr>
        <w:t>；</w:t>
      </w:r>
    </w:p>
    <w:p w14:paraId="2DA0CA42">
      <w:pPr>
        <w:numPr>
          <w:ilvl w:val="0"/>
          <w:numId w:val="110"/>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就地分合闸功能正确，机构动作正确，分合闸指示正确</w:t>
      </w:r>
      <w:r>
        <w:rPr>
          <w:rFonts w:hint="eastAsia" w:ascii="Times New Roman" w:hAnsi="Times New Roman" w:cs="Times New Roman"/>
          <w:highlight w:val="none"/>
          <w:lang w:val="en-US" w:eastAsia="zh-CN"/>
        </w:rPr>
        <w:t>；</w:t>
      </w:r>
    </w:p>
    <w:p w14:paraId="4A500C1F">
      <w:pPr>
        <w:numPr>
          <w:ilvl w:val="0"/>
          <w:numId w:val="110"/>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联锁逻辑测试正确。</w:t>
      </w:r>
    </w:p>
    <w:p w14:paraId="4BE9EB27">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9.3.3 变压器</w:t>
      </w:r>
      <w:r>
        <w:rPr>
          <w:rFonts w:hint="default" w:ascii="Times New Roman" w:hAnsi="Times New Roman" w:eastAsia="宋体" w:cs="Times New Roman"/>
          <w:color w:val="auto"/>
          <w:highlight w:val="none"/>
          <w:shd w:val="clear" w:color="auto" w:fill="auto"/>
          <w:lang w:val="en-US" w:eastAsia="zh-CN"/>
        </w:rPr>
        <w:t>调试</w:t>
      </w:r>
      <w:r>
        <w:rPr>
          <w:rFonts w:hint="default" w:ascii="Times New Roman" w:hAnsi="Times New Roman" w:cs="Times New Roman"/>
          <w:highlight w:val="none"/>
          <w:lang w:val="en-US" w:eastAsia="zh-CN"/>
        </w:rPr>
        <w:t>应符合以下规定：</w:t>
      </w:r>
    </w:p>
    <w:p w14:paraId="55B54E5C">
      <w:pPr>
        <w:numPr>
          <w:ilvl w:val="0"/>
          <w:numId w:val="111"/>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风冷装置控制功能、信号指示正确</w:t>
      </w:r>
      <w:r>
        <w:rPr>
          <w:rFonts w:hint="eastAsia" w:ascii="Times New Roman" w:hAnsi="Times New Roman" w:cs="Times New Roman"/>
          <w:highlight w:val="none"/>
          <w:lang w:val="en-US" w:eastAsia="zh-CN"/>
        </w:rPr>
        <w:t>；</w:t>
      </w:r>
    </w:p>
    <w:p w14:paraId="097B1CE4">
      <w:pPr>
        <w:numPr>
          <w:ilvl w:val="0"/>
          <w:numId w:val="111"/>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非电量跳闸、报警回路传动正确，信号上传正确</w:t>
      </w:r>
      <w:r>
        <w:rPr>
          <w:rFonts w:hint="eastAsia" w:ascii="Times New Roman" w:hAnsi="Times New Roman" w:cs="Times New Roman"/>
          <w:highlight w:val="none"/>
          <w:lang w:val="en-US" w:eastAsia="zh-CN"/>
        </w:rPr>
        <w:t>；</w:t>
      </w:r>
    </w:p>
    <w:p w14:paraId="621E7028">
      <w:pPr>
        <w:numPr>
          <w:ilvl w:val="0"/>
          <w:numId w:val="111"/>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有载开关位置、油温、绕温指示正确，监控后台温度、档位显示正确；油色谱在线监测装置工作正常，数据上传正确。</w:t>
      </w:r>
    </w:p>
    <w:p w14:paraId="3598AED8">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9.3.4 </w:t>
      </w:r>
      <w:r>
        <w:rPr>
          <w:rFonts w:hint="default" w:ascii="Times New Roman" w:hAnsi="Times New Roman" w:cs="Times New Roman"/>
          <w:highlight w:val="none"/>
          <w:lang w:val="en-US" w:eastAsia="zh-CN"/>
        </w:rPr>
        <w:t>避雷器</w:t>
      </w:r>
      <w:r>
        <w:rPr>
          <w:rFonts w:hint="default" w:ascii="Times New Roman" w:hAnsi="Times New Roman" w:eastAsia="宋体" w:cs="Times New Roman"/>
          <w:highlight w:val="none"/>
          <w:lang w:val="en-US" w:eastAsia="zh-CN"/>
        </w:rPr>
        <w:t>调试应符合以下规定：</w:t>
      </w:r>
    </w:p>
    <w:p w14:paraId="1E1A424F">
      <w:pPr>
        <w:numPr>
          <w:ilvl w:val="0"/>
          <w:numId w:val="112"/>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避雷器带电计数器指示正确，监控后台计数器数值应与实际一致</w:t>
      </w:r>
      <w:r>
        <w:rPr>
          <w:rFonts w:hint="eastAsia" w:ascii="Times New Roman" w:hAnsi="Times New Roman" w:cs="Times New Roman"/>
          <w:highlight w:val="none"/>
          <w:lang w:val="en-US" w:eastAsia="zh-CN"/>
        </w:rPr>
        <w:t>；</w:t>
      </w:r>
    </w:p>
    <w:p w14:paraId="69C3459E">
      <w:pPr>
        <w:numPr>
          <w:ilvl w:val="0"/>
          <w:numId w:val="112"/>
        </w:numPr>
        <w:snapToGrid w:val="0"/>
        <w:ind w:left="14" w:leftChars="0" w:firstLine="406" w:firstLineChars="0"/>
        <w:rPr>
          <w:rFonts w:hint="default" w:ascii="Times New Roman" w:hAnsi="Times New Roman" w:cs="Times New Roman"/>
          <w:highlight w:val="none"/>
          <w:lang w:val="en-US" w:eastAsia="zh-CN"/>
        </w:rPr>
      </w:pPr>
      <w:r>
        <w:rPr>
          <w:rFonts w:hint="default" w:ascii="Times New Roman" w:hAnsi="Times New Roman" w:eastAsia="宋体" w:cs="Times New Roman"/>
          <w:highlight w:val="none"/>
          <w:lang w:val="en-US" w:eastAsia="zh-CN"/>
        </w:rPr>
        <w:t>对采用金属氧化物避雷器接地的电压互感器的二次回路，金属氧化物避雷器应接线正确。工频放电电压绝缘测试应合格，采用绝缘摇表对金属氧化物避雷器进行绝缘测试，1000V不应击穿，2500V应可靠击穿。</w:t>
      </w:r>
    </w:p>
    <w:bookmarkEnd w:id="49"/>
    <w:p w14:paraId="261EA2E6">
      <w:pPr>
        <w:pStyle w:val="110"/>
        <w:spacing w:before="240" w:after="240" w:line="360" w:lineRule="auto"/>
        <w:rPr>
          <w:rFonts w:hint="default" w:ascii="Times New Roman" w:hAnsi="Times New Roman" w:cs="Times New Roman"/>
          <w:color w:val="000000"/>
          <w:lang w:val="en-US" w:eastAsia="zh-CN"/>
        </w:rPr>
      </w:pPr>
      <w:bookmarkStart w:id="50" w:name="_Toc5242"/>
      <w:bookmarkStart w:id="51" w:name="_Toc19996"/>
      <w:r>
        <w:rPr>
          <w:rFonts w:hint="default" w:ascii="Times New Roman" w:hAnsi="Times New Roman" w:cs="Times New Roman"/>
          <w:color w:val="000000"/>
          <w:lang w:val="en-US" w:eastAsia="zh-CN"/>
        </w:rPr>
        <w:t>工程验收</w:t>
      </w:r>
      <w:bookmarkEnd w:id="50"/>
      <w:bookmarkEnd w:id="51"/>
    </w:p>
    <w:p w14:paraId="1E20203E">
      <w:pPr>
        <w:pStyle w:val="246"/>
        <w:numPr>
          <w:ilvl w:val="1"/>
          <w:numId w:val="0"/>
        </w:numPr>
        <w:tabs>
          <w:tab w:val="left" w:pos="0"/>
        </w:tabs>
        <w:rPr>
          <w:rFonts w:hint="default" w:ascii="黑体" w:hAnsi="黑体" w:eastAsia="黑体" w:cs="黑体"/>
          <w:b w:val="0"/>
          <w:bCs w:val="0"/>
          <w:lang w:val="en-US" w:eastAsia="zh-CN"/>
        </w:rPr>
      </w:pPr>
      <w:r>
        <w:rPr>
          <w:rFonts w:hint="default" w:ascii="黑体" w:hAnsi="黑体" w:eastAsia="黑体" w:cs="黑体"/>
          <w:b w:val="0"/>
          <w:bCs w:val="0"/>
          <w:lang w:val="en-US" w:eastAsia="zh-CN"/>
        </w:rPr>
        <w:t>10.1  变压器</w:t>
      </w:r>
    </w:p>
    <w:p w14:paraId="65C6CE93">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10.1.1 变压器在</w:t>
      </w:r>
      <w:r>
        <w:rPr>
          <w:rFonts w:hint="default" w:ascii="Times New Roman" w:hAnsi="Times New Roman" w:eastAsia="宋体" w:cs="Times New Roman"/>
          <w:color w:val="auto"/>
          <w:highlight w:val="none"/>
          <w:shd w:val="clear" w:color="auto" w:fill="auto"/>
          <w:lang w:val="en-US" w:eastAsia="zh-CN"/>
        </w:rPr>
        <w:t>试运行</w:t>
      </w:r>
      <w:r>
        <w:rPr>
          <w:rFonts w:hint="default" w:ascii="Times New Roman" w:hAnsi="Times New Roman" w:eastAsia="宋体" w:cs="Times New Roman"/>
          <w:highlight w:val="none"/>
          <w:lang w:val="en-US" w:eastAsia="zh-CN"/>
        </w:rPr>
        <w:t>前</w:t>
      </w:r>
      <w:r>
        <w:rPr>
          <w:rFonts w:hint="default" w:ascii="Times New Roman" w:hAnsi="Times New Roman" w:cs="Times New Roman"/>
          <w:highlight w:val="none"/>
          <w:lang w:val="en-US" w:eastAsia="zh-CN"/>
        </w:rPr>
        <w:t>，</w:t>
      </w:r>
      <w:r>
        <w:rPr>
          <w:rFonts w:hint="default" w:ascii="Times New Roman" w:hAnsi="Times New Roman" w:eastAsia="宋体" w:cs="Times New Roman"/>
          <w:highlight w:val="none"/>
          <w:lang w:val="en-US" w:eastAsia="zh-CN"/>
        </w:rPr>
        <w:t>应</w:t>
      </w:r>
      <w:r>
        <w:rPr>
          <w:rFonts w:hint="default" w:ascii="Times New Roman" w:hAnsi="Times New Roman" w:cs="Times New Roman"/>
          <w:highlight w:val="none"/>
          <w:lang w:val="en-US" w:eastAsia="zh-CN"/>
        </w:rPr>
        <w:t>检查确认</w:t>
      </w:r>
      <w:r>
        <w:rPr>
          <w:rFonts w:hint="default" w:ascii="Times New Roman" w:hAnsi="Times New Roman" w:eastAsia="宋体" w:cs="Times New Roman"/>
          <w:highlight w:val="none"/>
          <w:lang w:val="en-US" w:eastAsia="zh-CN"/>
        </w:rPr>
        <w:t>以下</w:t>
      </w:r>
      <w:r>
        <w:rPr>
          <w:rFonts w:hint="default" w:ascii="Times New Roman" w:hAnsi="Times New Roman" w:cs="Times New Roman"/>
          <w:highlight w:val="none"/>
          <w:lang w:val="en-US" w:eastAsia="zh-CN"/>
        </w:rPr>
        <w:t>项目</w:t>
      </w:r>
      <w:r>
        <w:rPr>
          <w:rFonts w:hint="default" w:ascii="Times New Roman" w:hAnsi="Times New Roman" w:eastAsia="宋体" w:cs="Times New Roman"/>
          <w:highlight w:val="none"/>
          <w:lang w:val="en-US" w:eastAsia="zh-CN"/>
        </w:rPr>
        <w:t>符合运行条件</w:t>
      </w:r>
      <w:r>
        <w:rPr>
          <w:rFonts w:hint="default" w:ascii="Times New Roman" w:hAnsi="Times New Roman" w:cs="Times New Roman"/>
          <w:highlight w:val="none"/>
          <w:lang w:val="en-US" w:eastAsia="zh-CN"/>
        </w:rPr>
        <w:t>：</w:t>
      </w:r>
    </w:p>
    <w:p w14:paraId="4E41C0B4">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本体、冷却装置及所有附件应无缺陷，且不渗油</w:t>
      </w:r>
      <w:r>
        <w:rPr>
          <w:rFonts w:hint="eastAsia" w:ascii="Times New Roman" w:hAnsi="Times New Roman" w:cs="Times New Roman"/>
          <w:highlight w:val="none"/>
          <w:lang w:val="en-US" w:eastAsia="zh-CN"/>
        </w:rPr>
        <w:t>；</w:t>
      </w:r>
    </w:p>
    <w:p w14:paraId="621359C6">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设备出厂铭牌齐全、参数正确</w:t>
      </w:r>
      <w:r>
        <w:rPr>
          <w:rFonts w:hint="eastAsia" w:ascii="Times New Roman" w:hAnsi="Times New Roman" w:cs="Times New Roman"/>
          <w:highlight w:val="none"/>
          <w:lang w:val="en-US" w:eastAsia="zh-CN"/>
        </w:rPr>
        <w:t>；</w:t>
      </w:r>
    </w:p>
    <w:p w14:paraId="236C85EB">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设备上应无遗留杂物</w:t>
      </w:r>
      <w:r>
        <w:rPr>
          <w:rFonts w:hint="eastAsia" w:ascii="Times New Roman" w:hAnsi="Times New Roman" w:cs="Times New Roman"/>
          <w:highlight w:val="none"/>
          <w:lang w:val="en-US" w:eastAsia="zh-CN"/>
        </w:rPr>
        <w:t>；</w:t>
      </w:r>
    </w:p>
    <w:p w14:paraId="3D8E69F1">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事故排油设施应完好、通畅，消防设施应齐全、完好，符合设计或厂家标准</w:t>
      </w:r>
      <w:r>
        <w:rPr>
          <w:rFonts w:hint="eastAsia" w:ascii="Times New Roman" w:hAnsi="Times New Roman" w:cs="Times New Roman"/>
          <w:highlight w:val="none"/>
          <w:lang w:val="en-US" w:eastAsia="zh-CN"/>
        </w:rPr>
        <w:t>；</w:t>
      </w:r>
    </w:p>
    <w:p w14:paraId="15164832">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本体与附件上的所有阀门操作灵活、位置核对正确</w:t>
      </w:r>
      <w:r>
        <w:rPr>
          <w:rFonts w:hint="eastAsia" w:ascii="Times New Roman" w:hAnsi="Times New Roman" w:cs="Times New Roman"/>
          <w:highlight w:val="none"/>
          <w:lang w:val="en-US" w:eastAsia="zh-CN"/>
        </w:rPr>
        <w:t>；</w:t>
      </w:r>
    </w:p>
    <w:p w14:paraId="1F0DB352">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应确保已从变压器、电抗器的套管、升高座、冷却装置、气体继电器及压力释放装置等有关部位进行多次放气，并启动潜油泵，直至残余气体排尽，调整油位至相应环境温度时的位置</w:t>
      </w:r>
      <w:r>
        <w:rPr>
          <w:rFonts w:hint="eastAsia" w:ascii="Times New Roman" w:hAnsi="Times New Roman" w:cs="Times New Roman"/>
          <w:highlight w:val="none"/>
          <w:lang w:val="en-US" w:eastAsia="zh-CN"/>
        </w:rPr>
        <w:t>；</w:t>
      </w:r>
    </w:p>
    <w:p w14:paraId="52913841">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变压器本体应两点以上与不同主地网格接地。中性点接地引出后，应有两根接地引线与主接地网的不同干线连接，其规格应满足设计要求</w:t>
      </w:r>
      <w:r>
        <w:rPr>
          <w:rFonts w:hint="eastAsia" w:ascii="Times New Roman" w:hAnsi="Times New Roman" w:cs="Times New Roman"/>
          <w:highlight w:val="none"/>
          <w:lang w:val="en-US" w:eastAsia="zh-CN"/>
        </w:rPr>
        <w:t>；</w:t>
      </w:r>
    </w:p>
    <w:p w14:paraId="3AD05501">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铁芯和夹件的接地，引出套管、套管的末屏接地应符合产品技术文件的要求；电流互感器备用二次线圈端子应短接接地；套管顶部结构的接触及密封应符合产品技术文件的要求</w:t>
      </w:r>
      <w:r>
        <w:rPr>
          <w:rFonts w:hint="eastAsia" w:ascii="Times New Roman" w:hAnsi="Times New Roman" w:cs="Times New Roman"/>
          <w:highlight w:val="none"/>
          <w:lang w:val="en-US" w:eastAsia="zh-CN"/>
        </w:rPr>
        <w:t>；</w:t>
      </w:r>
    </w:p>
    <w:p w14:paraId="13E7055C">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储油柜和充油套管的油位应正常，储油柜胶囊呼吸通畅</w:t>
      </w:r>
      <w:r>
        <w:rPr>
          <w:rFonts w:hint="eastAsia" w:ascii="Times New Roman" w:hAnsi="Times New Roman" w:cs="Times New Roman"/>
          <w:highlight w:val="none"/>
          <w:lang w:val="en-US" w:eastAsia="zh-CN"/>
        </w:rPr>
        <w:t>；</w:t>
      </w:r>
    </w:p>
    <w:p w14:paraId="4BDEF96B">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分接头的位置应符合运行要求，且本体指示、操作机构指示以及远方指示应一致</w:t>
      </w:r>
      <w:r>
        <w:rPr>
          <w:rFonts w:hint="eastAsia" w:ascii="Times New Roman" w:hAnsi="Times New Roman" w:cs="Times New Roman"/>
          <w:highlight w:val="none"/>
          <w:lang w:val="en-US" w:eastAsia="zh-CN"/>
        </w:rPr>
        <w:t>；</w:t>
      </w:r>
    </w:p>
    <w:p w14:paraId="3FBD0D69">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变压器的相位及绕组的接线组别应符合并列运行要求，相序标志清晰正确</w:t>
      </w:r>
      <w:r>
        <w:rPr>
          <w:rFonts w:hint="eastAsia" w:ascii="Times New Roman" w:hAnsi="Times New Roman" w:cs="Times New Roman"/>
          <w:highlight w:val="none"/>
          <w:lang w:val="en-US" w:eastAsia="zh-CN"/>
        </w:rPr>
        <w:t>；</w:t>
      </w:r>
    </w:p>
    <w:p w14:paraId="56B8B185">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测温装置指示应正确，定值符合要求，密封良好，具备良好的防雨措施</w:t>
      </w:r>
      <w:r>
        <w:rPr>
          <w:rFonts w:hint="eastAsia" w:ascii="Times New Roman" w:hAnsi="Times New Roman" w:cs="Times New Roman"/>
          <w:highlight w:val="none"/>
          <w:lang w:val="en-US" w:eastAsia="zh-CN"/>
        </w:rPr>
        <w:t>；</w:t>
      </w:r>
    </w:p>
    <w:p w14:paraId="33C587A1">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冷却装置应无变形、渗漏；外接管路清洁、无锈蚀，流向标志正确，安装位置偏差符合要求；试运行正常、联动正确；强迫油循环的变压器应启动全部冷却装置，循环4h以上、并应排完残留空气；油流继电器指针指向正确，无抖动，接点动作正确，无凝露；冷却器应有两路电源相互独立、互为备用</w:t>
      </w:r>
      <w:r>
        <w:rPr>
          <w:rFonts w:hint="eastAsia" w:ascii="Times New Roman" w:hAnsi="Times New Roman" w:cs="Times New Roman"/>
          <w:highlight w:val="none"/>
          <w:lang w:val="en-US" w:eastAsia="zh-CN"/>
        </w:rPr>
        <w:t>；</w:t>
      </w:r>
    </w:p>
    <w:p w14:paraId="18F368F7">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变压器的全部电气试验应合格；保护装置整定值应符合规定；操作及联动试验应正确</w:t>
      </w:r>
      <w:r>
        <w:rPr>
          <w:rFonts w:hint="eastAsia" w:ascii="Times New Roman" w:hAnsi="Times New Roman" w:cs="Times New Roman"/>
          <w:highlight w:val="none"/>
          <w:lang w:val="en-US" w:eastAsia="zh-CN"/>
        </w:rPr>
        <w:t>；</w:t>
      </w:r>
    </w:p>
    <w:p w14:paraId="06421640">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局部放电测量前后，本体绝缘油色谱试验比对结果应合格</w:t>
      </w:r>
      <w:r>
        <w:rPr>
          <w:rFonts w:hint="eastAsia" w:ascii="Times New Roman" w:hAnsi="Times New Roman" w:cs="Times New Roman"/>
          <w:highlight w:val="none"/>
          <w:lang w:val="en-US" w:eastAsia="zh-CN"/>
        </w:rPr>
        <w:t>；</w:t>
      </w:r>
    </w:p>
    <w:p w14:paraId="18CC9379">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套管瓷套表面干净无脱漆锈蚀，无变形，密封良好，无渗漏，标志正确、完整，放气塞紧固</w:t>
      </w:r>
      <w:r>
        <w:rPr>
          <w:rFonts w:hint="eastAsia" w:ascii="Times New Roman" w:hAnsi="Times New Roman" w:cs="Times New Roman"/>
          <w:highlight w:val="none"/>
          <w:lang w:val="en-US" w:eastAsia="zh-CN"/>
        </w:rPr>
        <w:t>；</w:t>
      </w:r>
    </w:p>
    <w:p w14:paraId="4E3FF043">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压力释放阀接点动作准确，绝缘良好，安全管道布置合理</w:t>
      </w:r>
      <w:r>
        <w:rPr>
          <w:rFonts w:hint="eastAsia" w:ascii="Times New Roman" w:hAnsi="Times New Roman" w:cs="Times New Roman"/>
          <w:highlight w:val="none"/>
          <w:lang w:val="en-US" w:eastAsia="zh-CN"/>
        </w:rPr>
        <w:t>；</w:t>
      </w:r>
      <w:r>
        <w:rPr>
          <w:rFonts w:hint="default" w:ascii="Times New Roman" w:hAnsi="Times New Roman" w:eastAsia="宋体" w:cs="Times New Roman"/>
          <w:highlight w:val="none"/>
          <w:lang w:val="en-US" w:eastAsia="zh-CN"/>
        </w:rPr>
        <w:t xml:space="preserve"> </w:t>
      </w:r>
    </w:p>
    <w:p w14:paraId="5429562D">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气体继电器上的箭头标志应指向储油柜，无渗漏；防潮防雨措施完善；集气盒应引下便于取气</w:t>
      </w:r>
      <w:r>
        <w:rPr>
          <w:rFonts w:hint="eastAsia" w:ascii="Times New Roman" w:hAnsi="Times New Roman" w:cs="Times New Roman"/>
          <w:highlight w:val="none"/>
          <w:lang w:val="en-US" w:eastAsia="zh-CN"/>
        </w:rPr>
        <w:t>；</w:t>
      </w:r>
    </w:p>
    <w:p w14:paraId="0DECC2AA">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控制箱、端子箱安装牢固，密封、封堵、接地良好；防潮措施完善且加热装置与各元件、二次电缆的距离应大于50mm；箱内各空开、继电器标志正确、齐全</w:t>
      </w:r>
      <w:r>
        <w:rPr>
          <w:rFonts w:hint="eastAsia" w:ascii="Times New Roman" w:hAnsi="Times New Roman" w:cs="Times New Roman"/>
          <w:highlight w:val="none"/>
          <w:lang w:val="en-US" w:eastAsia="zh-CN"/>
        </w:rPr>
        <w:t>；</w:t>
      </w:r>
    </w:p>
    <w:p w14:paraId="7DA338F2">
      <w:pPr>
        <w:numPr>
          <w:ilvl w:val="0"/>
          <w:numId w:val="113"/>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二次电缆走线槽应固定牢固，排列整齐，封盖良好并不易积水；保护管无破损锈蚀；必要时应有滴水孔</w:t>
      </w:r>
      <w:r>
        <w:rPr>
          <w:rFonts w:hint="default" w:ascii="Times New Roman" w:hAnsi="Times New Roman" w:cs="Times New Roman"/>
          <w:highlight w:val="none"/>
          <w:lang w:val="en-US" w:eastAsia="zh-CN"/>
        </w:rPr>
        <w:t>。</w:t>
      </w:r>
    </w:p>
    <w:p w14:paraId="3889FF15">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10.1.2 </w:t>
      </w:r>
      <w:r>
        <w:rPr>
          <w:rFonts w:hint="default" w:ascii="Times New Roman" w:hAnsi="Times New Roman" w:cs="Times New Roman"/>
          <w:highlight w:val="none"/>
          <w:lang w:val="en-US" w:eastAsia="zh-CN"/>
        </w:rPr>
        <w:t xml:space="preserve"> </w:t>
      </w:r>
      <w:r>
        <w:rPr>
          <w:rFonts w:hint="default" w:ascii="Times New Roman" w:hAnsi="Times New Roman" w:eastAsia="宋体" w:cs="Times New Roman"/>
          <w:highlight w:val="none"/>
          <w:lang w:val="en-US" w:eastAsia="zh-CN"/>
        </w:rPr>
        <w:t>变压器</w:t>
      </w:r>
      <w:r>
        <w:rPr>
          <w:rFonts w:hint="default" w:ascii="Times New Roman" w:hAnsi="Times New Roman" w:eastAsia="宋体" w:cs="Times New Roman"/>
          <w:color w:val="auto"/>
          <w:highlight w:val="none"/>
          <w:shd w:val="clear" w:color="auto" w:fill="auto"/>
          <w:lang w:val="en-US" w:eastAsia="zh-CN"/>
        </w:rPr>
        <w:t>试运行</w:t>
      </w:r>
      <w:r>
        <w:rPr>
          <w:rFonts w:hint="default" w:ascii="Times New Roman" w:hAnsi="Times New Roman" w:eastAsia="宋体" w:cs="Times New Roman"/>
          <w:highlight w:val="none"/>
          <w:lang w:val="en-US" w:eastAsia="zh-CN"/>
        </w:rPr>
        <w:t>时</w:t>
      </w:r>
      <w:r>
        <w:rPr>
          <w:rFonts w:hint="default" w:ascii="Times New Roman" w:hAnsi="Times New Roman" w:cs="Times New Roman"/>
          <w:highlight w:val="none"/>
          <w:lang w:val="en-US" w:eastAsia="zh-CN"/>
        </w:rPr>
        <w:t>，检查项目应符合以下规定</w:t>
      </w:r>
      <w:r>
        <w:rPr>
          <w:rFonts w:hint="default" w:ascii="Times New Roman" w:hAnsi="Times New Roman" w:eastAsia="宋体" w:cs="Times New Roman"/>
          <w:highlight w:val="none"/>
          <w:lang w:val="en-US" w:eastAsia="zh-CN"/>
        </w:rPr>
        <w:t>：</w:t>
      </w:r>
    </w:p>
    <w:p w14:paraId="7C554E14">
      <w:pPr>
        <w:numPr>
          <w:ilvl w:val="0"/>
          <w:numId w:val="11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中性点接地系统的变压器，在进行冲击合闸时，其中性点必须接地</w:t>
      </w:r>
      <w:r>
        <w:rPr>
          <w:rFonts w:hint="eastAsia" w:ascii="Times New Roman" w:hAnsi="Times New Roman" w:cs="Times New Roman"/>
          <w:highlight w:val="none"/>
          <w:lang w:val="en-US" w:eastAsia="zh-CN"/>
        </w:rPr>
        <w:t>；</w:t>
      </w:r>
    </w:p>
    <w:p w14:paraId="089143B6">
      <w:pPr>
        <w:numPr>
          <w:ilvl w:val="0"/>
          <w:numId w:val="11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变压器第一次投入时，可全电压冲击合闸。冲击合闸时，变压器宜由高压侧投入；对发电机变压器组接线的变压器，当发电机与变压器间无操作断开点时，可不做全电压冲击合闸，只作零起升压</w:t>
      </w:r>
      <w:r>
        <w:rPr>
          <w:rFonts w:hint="eastAsia" w:ascii="Times New Roman" w:hAnsi="Times New Roman" w:cs="Times New Roman"/>
          <w:highlight w:val="none"/>
          <w:lang w:val="en-US" w:eastAsia="zh-CN"/>
        </w:rPr>
        <w:t>；</w:t>
      </w:r>
    </w:p>
    <w:p w14:paraId="229DB5BC">
      <w:pPr>
        <w:numPr>
          <w:ilvl w:val="0"/>
          <w:numId w:val="11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变压器、电抗器应进行5次额定电压冲击合闸，每次间隔时间宜为5min，无电流差动保护的干式变压器可进行3次空载全电压冲击合闸，应无异常情况。第一次带电试运时间不应少于10min，其中750kV及以上变压器在额定电压下，第一次冲击合闸后的带电试运时间不应少于30min，其后每次合闸后带电运行时间可逐次缩短，但不应小于5min，冲击合闸时，保护装置不应动作</w:t>
      </w:r>
      <w:r>
        <w:rPr>
          <w:rFonts w:hint="eastAsia" w:ascii="Times New Roman" w:hAnsi="Times New Roman" w:cs="Times New Roman"/>
          <w:highlight w:val="none"/>
          <w:lang w:val="en-US" w:eastAsia="zh-CN"/>
        </w:rPr>
        <w:t>；</w:t>
      </w:r>
    </w:p>
    <w:p w14:paraId="0C0586F1">
      <w:pPr>
        <w:numPr>
          <w:ilvl w:val="0"/>
          <w:numId w:val="11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变压器并列前，应核对相位</w:t>
      </w:r>
      <w:r>
        <w:rPr>
          <w:rFonts w:hint="eastAsia" w:ascii="Times New Roman" w:hAnsi="Times New Roman" w:cs="Times New Roman"/>
          <w:highlight w:val="none"/>
          <w:lang w:val="en-US" w:eastAsia="zh-CN"/>
        </w:rPr>
        <w:t>；</w:t>
      </w:r>
    </w:p>
    <w:p w14:paraId="5D4862A2">
      <w:pPr>
        <w:numPr>
          <w:ilvl w:val="0"/>
          <w:numId w:val="11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本体、有载开关及套管油位无异常变化</w:t>
      </w:r>
      <w:r>
        <w:rPr>
          <w:rFonts w:hint="eastAsia" w:ascii="Times New Roman" w:hAnsi="Times New Roman" w:cs="Times New Roman"/>
          <w:highlight w:val="none"/>
          <w:lang w:val="en-US" w:eastAsia="zh-CN"/>
        </w:rPr>
        <w:t>；</w:t>
      </w:r>
    </w:p>
    <w:p w14:paraId="249DE131">
      <w:pPr>
        <w:numPr>
          <w:ilvl w:val="0"/>
          <w:numId w:val="11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瓦斯继电器无轻重瓦斯信号，瓦斯内无集气现象</w:t>
      </w:r>
      <w:r>
        <w:rPr>
          <w:rFonts w:hint="eastAsia" w:ascii="Times New Roman" w:hAnsi="Times New Roman" w:cs="Times New Roman"/>
          <w:highlight w:val="none"/>
          <w:lang w:val="en-US" w:eastAsia="zh-CN"/>
        </w:rPr>
        <w:t>；</w:t>
      </w:r>
    </w:p>
    <w:p w14:paraId="6AC32BAB">
      <w:pPr>
        <w:numPr>
          <w:ilvl w:val="0"/>
          <w:numId w:val="11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压力释放阀无压力释放信号，无异常</w:t>
      </w:r>
      <w:r>
        <w:rPr>
          <w:rFonts w:hint="eastAsia" w:ascii="Times New Roman" w:hAnsi="Times New Roman" w:cs="Times New Roman"/>
          <w:highlight w:val="none"/>
          <w:lang w:val="en-US" w:eastAsia="zh-CN"/>
        </w:rPr>
        <w:t>；</w:t>
      </w:r>
    </w:p>
    <w:p w14:paraId="76D89EEC">
      <w:pPr>
        <w:numPr>
          <w:ilvl w:val="0"/>
          <w:numId w:val="11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带电后，检查本体及附件所有焊缝和连接面，不应有渗油现象</w:t>
      </w:r>
      <w:r>
        <w:rPr>
          <w:rFonts w:hint="eastAsia" w:ascii="Times New Roman" w:hAnsi="Times New Roman" w:cs="Times New Roman"/>
          <w:highlight w:val="none"/>
          <w:lang w:val="en-US" w:eastAsia="zh-CN"/>
        </w:rPr>
        <w:t>；</w:t>
      </w:r>
    </w:p>
    <w:p w14:paraId="4D4902FA">
      <w:pPr>
        <w:numPr>
          <w:ilvl w:val="0"/>
          <w:numId w:val="114"/>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冲击合闸及额定电压运行24小时后油色谱无异常变化，红外测温无异常发热点。</w:t>
      </w:r>
    </w:p>
    <w:p w14:paraId="62150549">
      <w:pPr>
        <w:pStyle w:val="245"/>
        <w:spacing w:line="360" w:lineRule="auto"/>
        <w:ind w:firstLine="0"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10.1.3 </w:t>
      </w:r>
      <w:r>
        <w:rPr>
          <w:rFonts w:hint="default" w:ascii="Times New Roman" w:hAnsi="Times New Roman" w:cs="Times New Roman"/>
          <w:highlight w:val="none"/>
          <w:lang w:val="en-US" w:eastAsia="zh-CN"/>
        </w:rPr>
        <w:t>变压器</w:t>
      </w:r>
      <w:r>
        <w:rPr>
          <w:rFonts w:hint="default" w:ascii="Times New Roman" w:hAnsi="Times New Roman" w:eastAsia="宋体" w:cs="Times New Roman"/>
          <w:highlight w:val="none"/>
          <w:lang w:val="en-US" w:eastAsia="zh-CN"/>
        </w:rPr>
        <w:t>验收时，</w:t>
      </w:r>
      <w:r>
        <w:rPr>
          <w:rFonts w:hint="default" w:ascii="Times New Roman" w:hAnsi="Times New Roman" w:cs="Times New Roman"/>
          <w:highlight w:val="none"/>
          <w:lang w:val="en-US" w:eastAsia="zh-CN"/>
        </w:rPr>
        <w:t>以下文件</w:t>
      </w:r>
      <w:r>
        <w:rPr>
          <w:rFonts w:hint="default" w:ascii="Times New Roman" w:hAnsi="Times New Roman" w:eastAsia="宋体" w:cs="Times New Roman"/>
          <w:highlight w:val="none"/>
          <w:lang w:val="en-US" w:eastAsia="zh-CN"/>
        </w:rPr>
        <w:t>资料</w:t>
      </w:r>
      <w:r>
        <w:rPr>
          <w:rFonts w:hint="default" w:ascii="Times New Roman" w:hAnsi="Times New Roman" w:cs="Times New Roman"/>
          <w:highlight w:val="none"/>
          <w:lang w:val="en-US" w:eastAsia="zh-CN"/>
        </w:rPr>
        <w:t>应规范齐全</w:t>
      </w:r>
      <w:r>
        <w:rPr>
          <w:rFonts w:hint="default" w:ascii="Times New Roman" w:hAnsi="Times New Roman" w:eastAsia="宋体" w:cs="Times New Roman"/>
          <w:highlight w:val="none"/>
          <w:lang w:val="en-US" w:eastAsia="zh-CN"/>
        </w:rPr>
        <w:t>：</w:t>
      </w:r>
    </w:p>
    <w:p w14:paraId="3BDA2881">
      <w:pPr>
        <w:numPr>
          <w:ilvl w:val="0"/>
          <w:numId w:val="115"/>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安装技术记录、器身检查记录、干燥记录、质量检验及评定资料、电气交接试验报告等应符合DL/T 5161.1</w:t>
      </w:r>
      <w:r>
        <w:rPr>
          <w:rFonts w:hint="eastAsia" w:ascii="Times New Roman" w:hAnsi="Times New Roman" w:cs="Times New Roman"/>
          <w:highlight w:val="none"/>
          <w:lang w:val="en-US" w:eastAsia="zh-CN"/>
        </w:rPr>
        <w:t>；</w:t>
      </w:r>
    </w:p>
    <w:p w14:paraId="15465B03">
      <w:pPr>
        <w:numPr>
          <w:ilvl w:val="0"/>
          <w:numId w:val="115"/>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施工图纸及设计变更说明文件</w:t>
      </w:r>
      <w:r>
        <w:rPr>
          <w:rFonts w:hint="eastAsia" w:ascii="Times New Roman" w:hAnsi="Times New Roman" w:cs="Times New Roman"/>
          <w:highlight w:val="none"/>
          <w:lang w:val="en-US" w:eastAsia="zh-CN"/>
        </w:rPr>
        <w:t>；</w:t>
      </w:r>
    </w:p>
    <w:p w14:paraId="162AFD6F">
      <w:pPr>
        <w:numPr>
          <w:ilvl w:val="0"/>
          <w:numId w:val="115"/>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制造厂的产品说明书、试验记录、合格证件及安装图纸等技术文件</w:t>
      </w:r>
      <w:r>
        <w:rPr>
          <w:rFonts w:hint="eastAsia" w:ascii="Times New Roman" w:hAnsi="Times New Roman" w:cs="Times New Roman"/>
          <w:highlight w:val="none"/>
          <w:lang w:val="en-US" w:eastAsia="zh-CN"/>
        </w:rPr>
        <w:t>；</w:t>
      </w:r>
    </w:p>
    <w:p w14:paraId="219D51AD">
      <w:pPr>
        <w:numPr>
          <w:ilvl w:val="0"/>
          <w:numId w:val="115"/>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备品、备件、专用工具及测试仪器清单。</w:t>
      </w:r>
    </w:p>
    <w:p w14:paraId="5870EEF3">
      <w:pPr>
        <w:pStyle w:val="246"/>
        <w:numPr>
          <w:ilvl w:val="1"/>
          <w:numId w:val="0"/>
        </w:numPr>
        <w:tabs>
          <w:tab w:val="left" w:pos="0"/>
        </w:tabs>
        <w:rPr>
          <w:rFonts w:hint="default" w:ascii="黑体" w:hAnsi="黑体" w:eastAsia="黑体" w:cs="黑体"/>
          <w:b w:val="0"/>
          <w:bCs w:val="0"/>
          <w:lang w:val="en-US" w:eastAsia="zh-CN"/>
        </w:rPr>
      </w:pPr>
      <w:r>
        <w:rPr>
          <w:rFonts w:hint="default" w:ascii="黑体" w:hAnsi="黑体" w:eastAsia="黑体" w:cs="黑体"/>
          <w:b w:val="0"/>
          <w:bCs w:val="0"/>
          <w:lang w:val="en-US" w:eastAsia="zh-CN"/>
        </w:rPr>
        <w:t>10.2  气体绝缘金属封闭开关设备</w:t>
      </w:r>
    </w:p>
    <w:p w14:paraId="6A561542">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10.2.1 </w:t>
      </w:r>
      <w:r>
        <w:rPr>
          <w:rFonts w:hint="default" w:ascii="Times New Roman" w:hAnsi="Times New Roman" w:cs="Times New Roman"/>
          <w:highlight w:val="none"/>
          <w:lang w:val="en-US" w:eastAsia="zh-CN"/>
        </w:rPr>
        <w:t xml:space="preserve"> GIS</w:t>
      </w:r>
      <w:r>
        <w:rPr>
          <w:rFonts w:hint="default" w:ascii="Times New Roman" w:hAnsi="Times New Roman" w:eastAsia="宋体" w:cs="Times New Roman"/>
          <w:highlight w:val="none"/>
          <w:lang w:val="en-US" w:eastAsia="zh-CN"/>
        </w:rPr>
        <w:t>验收时，</w:t>
      </w:r>
      <w:r>
        <w:rPr>
          <w:rFonts w:hint="default" w:ascii="Times New Roman" w:hAnsi="Times New Roman" w:cs="Times New Roman"/>
          <w:highlight w:val="none"/>
          <w:lang w:val="en-US" w:eastAsia="zh-CN"/>
        </w:rPr>
        <w:t>以下检查应符合规定：</w:t>
      </w:r>
    </w:p>
    <w:p w14:paraId="74D9C880">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安装</w:t>
      </w:r>
      <w:r>
        <w:rPr>
          <w:rFonts w:hint="default" w:ascii="Times New Roman" w:hAnsi="Times New Roman" w:cs="Times New Roman"/>
          <w:highlight w:val="none"/>
          <w:lang w:val="en-US" w:eastAsia="zh-CN"/>
        </w:rPr>
        <w:t>应</w:t>
      </w:r>
      <w:r>
        <w:rPr>
          <w:rFonts w:hint="default" w:ascii="Times New Roman" w:hAnsi="Times New Roman" w:eastAsia="宋体" w:cs="Times New Roman"/>
          <w:highlight w:val="none"/>
          <w:lang w:val="en-US" w:eastAsia="zh-CN"/>
        </w:rPr>
        <w:t>牢固、外表应清洁完整，支架及接地引线无锈蚀和损伤，动作性能应符合产品技术文件要求</w:t>
      </w:r>
      <w:r>
        <w:rPr>
          <w:rFonts w:hint="eastAsia" w:ascii="Times New Roman" w:hAnsi="Times New Roman" w:cs="Times New Roman"/>
          <w:highlight w:val="none"/>
          <w:lang w:val="en-US" w:eastAsia="zh-CN"/>
        </w:rPr>
        <w:t>；</w:t>
      </w:r>
    </w:p>
    <w:p w14:paraId="79DB0772">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螺栓紧固力矩值应符合产品技术文件的要求</w:t>
      </w:r>
      <w:r>
        <w:rPr>
          <w:rFonts w:hint="eastAsia" w:ascii="Times New Roman" w:hAnsi="Times New Roman" w:cs="Times New Roman"/>
          <w:highlight w:val="none"/>
          <w:lang w:val="en-US" w:eastAsia="zh-CN"/>
        </w:rPr>
        <w:t>；</w:t>
      </w:r>
    </w:p>
    <w:p w14:paraId="3CDEB5A2">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电气连接应可靠，且接触应良好</w:t>
      </w:r>
      <w:r>
        <w:rPr>
          <w:rFonts w:hint="eastAsia" w:ascii="Times New Roman" w:hAnsi="Times New Roman" w:cs="Times New Roman"/>
          <w:highlight w:val="none"/>
          <w:lang w:val="en-US" w:eastAsia="zh-CN"/>
        </w:rPr>
        <w:t>；</w:t>
      </w:r>
    </w:p>
    <w:p w14:paraId="3EBCAA4C">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断路器、隔离开关、接地开关及其传动机构的联动应正常，无卡阻；分、合闸指示应正确；满足“五防”且联闭锁功能正确；辅助开关及闭锁动作应正确、可靠</w:t>
      </w:r>
      <w:r>
        <w:rPr>
          <w:rFonts w:hint="eastAsia" w:ascii="Times New Roman" w:hAnsi="Times New Roman" w:cs="Times New Roman"/>
          <w:highlight w:val="none"/>
          <w:lang w:val="en-US" w:eastAsia="zh-CN"/>
        </w:rPr>
        <w:t>；</w:t>
      </w:r>
    </w:p>
    <w:p w14:paraId="4333F4C0">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密度继电器的报警闭锁定值应符合产品技术文件规定，电气回路传动应正确；应朝向巡视主道路，前方不应有遮挡物，满足机器人巡检要求，便于检查巡视记录</w:t>
      </w:r>
      <w:r>
        <w:rPr>
          <w:rFonts w:hint="eastAsia" w:ascii="Times New Roman" w:hAnsi="Times New Roman" w:cs="Times New Roman"/>
          <w:highlight w:val="none"/>
          <w:lang w:val="en-US" w:eastAsia="zh-CN"/>
        </w:rPr>
        <w:t>；</w:t>
      </w:r>
    </w:p>
    <w:p w14:paraId="4BDD171F">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设备内六氟化硫气体含水量应符合现行行业标准DL/T 618的有关规定和产品技术文件要求</w:t>
      </w:r>
      <w:r>
        <w:rPr>
          <w:rFonts w:hint="eastAsia" w:ascii="Times New Roman" w:hAnsi="Times New Roman" w:cs="Times New Roman"/>
          <w:highlight w:val="none"/>
          <w:lang w:val="en-US" w:eastAsia="zh-CN"/>
        </w:rPr>
        <w:t>；</w:t>
      </w:r>
    </w:p>
    <w:p w14:paraId="7C71E35C">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带电显示装置应显示正确，</w:t>
      </w:r>
      <w:r>
        <w:rPr>
          <w:rFonts w:hint="default" w:ascii="Times New Roman" w:hAnsi="Times New Roman" w:eastAsia="宋体" w:cs="Times New Roman"/>
          <w:highlight w:val="none"/>
          <w:lang w:val="zh-CN" w:eastAsia="zh-CN"/>
        </w:rPr>
        <w:t>自检正常、闭锁可靠</w:t>
      </w:r>
      <w:r>
        <w:rPr>
          <w:rFonts w:hint="eastAsia" w:ascii="Times New Roman" w:hAnsi="Times New Roman" w:cs="Times New Roman"/>
          <w:highlight w:val="none"/>
          <w:lang w:val="en-US" w:eastAsia="zh-CN"/>
        </w:rPr>
        <w:t>；</w:t>
      </w:r>
    </w:p>
    <w:p w14:paraId="6F771761">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户外GIS本体接线盒防雨、防潮效果应良好，本体电缆防护应良好</w:t>
      </w:r>
      <w:r>
        <w:rPr>
          <w:rFonts w:hint="eastAsia" w:ascii="Times New Roman" w:hAnsi="Times New Roman" w:cs="Times New Roman"/>
          <w:highlight w:val="none"/>
          <w:lang w:val="en-US" w:eastAsia="zh-CN"/>
        </w:rPr>
        <w:t>；</w:t>
      </w:r>
    </w:p>
    <w:p w14:paraId="0C2CD579">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 GIS底座、机构箱和检修平台等应可靠接地；外接等电位连接必须可靠，并标识清晰；内接等电位连接必须可靠，并有隐蔽工程验收记录；接地排应直接连接到地网，电压互感器、避雷器、快速接地开关应采用专用接地线直接连接到地网，不应通过外壳和支架接地</w:t>
      </w:r>
      <w:r>
        <w:rPr>
          <w:rFonts w:hint="eastAsia" w:ascii="Times New Roman" w:hAnsi="Times New Roman" w:cs="Times New Roman"/>
          <w:highlight w:val="none"/>
          <w:lang w:val="en-US" w:eastAsia="zh-CN"/>
        </w:rPr>
        <w:t>；</w:t>
      </w:r>
    </w:p>
    <w:p w14:paraId="490823EF">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交接试验应合格</w:t>
      </w:r>
      <w:r>
        <w:rPr>
          <w:rFonts w:hint="eastAsia" w:ascii="Times New Roman" w:hAnsi="Times New Roman" w:cs="Times New Roman"/>
          <w:highlight w:val="none"/>
          <w:lang w:val="en-US" w:eastAsia="zh-CN"/>
        </w:rPr>
        <w:t>；</w:t>
      </w:r>
    </w:p>
    <w:p w14:paraId="44C3B305">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设备出厂铭牌齐全、参数正确；油漆应完整，相色标识清晰正确</w:t>
      </w:r>
      <w:r>
        <w:rPr>
          <w:rFonts w:hint="eastAsia" w:ascii="Times New Roman" w:hAnsi="Times New Roman" w:cs="Times New Roman"/>
          <w:highlight w:val="none"/>
          <w:lang w:val="en-US" w:eastAsia="zh-CN"/>
        </w:rPr>
        <w:t>；</w:t>
      </w:r>
    </w:p>
    <w:p w14:paraId="63786015">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zh-CN" w:eastAsia="zh-CN"/>
        </w:rPr>
        <w:t>连接可靠且接触良好并满足通流要求；接地良好，接地</w:t>
      </w:r>
      <w:r>
        <w:rPr>
          <w:rFonts w:hint="default" w:ascii="Times New Roman" w:hAnsi="Times New Roman" w:eastAsia="宋体" w:cs="Times New Roman"/>
          <w:highlight w:val="none"/>
          <w:lang w:val="en-US" w:eastAsia="zh-CN"/>
        </w:rPr>
        <w:t>排</w:t>
      </w:r>
      <w:r>
        <w:rPr>
          <w:rFonts w:hint="default" w:ascii="Times New Roman" w:hAnsi="Times New Roman" w:eastAsia="宋体" w:cs="Times New Roman"/>
          <w:highlight w:val="none"/>
          <w:lang w:val="zh-CN" w:eastAsia="zh-CN"/>
        </w:rPr>
        <w:t>有接地标志</w:t>
      </w:r>
      <w:r>
        <w:rPr>
          <w:rFonts w:hint="eastAsia" w:ascii="Times New Roman" w:hAnsi="Times New Roman" w:cs="Times New Roman"/>
          <w:highlight w:val="none"/>
          <w:lang w:val="zh-CN" w:eastAsia="zh-CN"/>
        </w:rPr>
        <w:t>；</w:t>
      </w:r>
    </w:p>
    <w:p w14:paraId="262AAB0B">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伸缩节调整螺栓间隙应符合厂家技术文件；伸缩节跨接接地排的安装配合应满足伸缩节调整要求；温度补偿装置完好；接地排与法兰的固定部位应涂抹防水胶；应对起调节作用的伸缩节进行明确标志</w:t>
      </w:r>
      <w:r>
        <w:rPr>
          <w:rFonts w:hint="eastAsia" w:ascii="Times New Roman" w:hAnsi="Times New Roman" w:cs="Times New Roman"/>
          <w:highlight w:val="none"/>
          <w:lang w:val="en-US" w:eastAsia="zh-CN"/>
        </w:rPr>
        <w:t>；</w:t>
      </w:r>
    </w:p>
    <w:p w14:paraId="5A3B512E">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导线金具、均压环、电缆槽盒等位置必要时需设置滴水孔，位置及孔径应合理</w:t>
      </w:r>
      <w:r>
        <w:rPr>
          <w:rFonts w:hint="eastAsia" w:ascii="Times New Roman" w:hAnsi="Times New Roman" w:cs="Times New Roman"/>
          <w:highlight w:val="none"/>
          <w:lang w:val="en-US" w:eastAsia="zh-CN"/>
        </w:rPr>
        <w:t>；</w:t>
      </w:r>
    </w:p>
    <w:p w14:paraId="6D7919A4">
      <w:pPr>
        <w:numPr>
          <w:ilvl w:val="0"/>
          <w:numId w:val="116"/>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汇控柜安装牢固、外表清洁完整，无锈蚀和损伤、接地可靠；底面及引出、引入线孔和吊装孔，封堵严密可靠；二次引线连接紧固、可靠，内部清洁；防潮措施完善；光字牌指示正确与后台指示一致。</w:t>
      </w:r>
    </w:p>
    <w:p w14:paraId="14A0EB6D">
      <w:pP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10.2.2 </w:t>
      </w:r>
      <w:r>
        <w:rPr>
          <w:rFonts w:hint="default" w:ascii="Times New Roman" w:hAnsi="Times New Roman" w:cs="Times New Roman"/>
          <w:highlight w:val="none"/>
          <w:lang w:val="en-US" w:eastAsia="zh-CN"/>
        </w:rPr>
        <w:t xml:space="preserve"> GIS</w:t>
      </w:r>
      <w:r>
        <w:rPr>
          <w:rFonts w:hint="default" w:ascii="Times New Roman" w:hAnsi="Times New Roman" w:eastAsia="宋体" w:cs="Times New Roman"/>
          <w:color w:val="auto"/>
          <w:highlight w:val="none"/>
          <w:shd w:val="clear" w:color="auto" w:fill="auto"/>
          <w:lang w:val="en-US" w:eastAsia="zh-CN"/>
        </w:rPr>
        <w:t>验收</w:t>
      </w:r>
      <w:r>
        <w:rPr>
          <w:rFonts w:hint="default" w:ascii="Times New Roman" w:hAnsi="Times New Roman" w:eastAsia="宋体" w:cs="Times New Roman"/>
          <w:highlight w:val="none"/>
          <w:lang w:val="en-US" w:eastAsia="zh-CN"/>
        </w:rPr>
        <w:t>时，</w:t>
      </w:r>
      <w:r>
        <w:rPr>
          <w:rFonts w:hint="default" w:ascii="Times New Roman" w:hAnsi="Times New Roman" w:cs="Times New Roman"/>
          <w:highlight w:val="none"/>
          <w:lang w:val="en-US" w:eastAsia="zh-CN"/>
        </w:rPr>
        <w:t>以下文件</w:t>
      </w:r>
      <w:r>
        <w:rPr>
          <w:rFonts w:hint="default" w:ascii="Times New Roman" w:hAnsi="Times New Roman" w:eastAsia="宋体" w:cs="Times New Roman"/>
          <w:highlight w:val="none"/>
          <w:lang w:val="en-US" w:eastAsia="zh-CN"/>
        </w:rPr>
        <w:t>资料</w:t>
      </w:r>
      <w:r>
        <w:rPr>
          <w:rFonts w:hint="default" w:ascii="Times New Roman" w:hAnsi="Times New Roman" w:cs="Times New Roman"/>
          <w:highlight w:val="none"/>
          <w:lang w:val="en-US" w:eastAsia="zh-CN"/>
        </w:rPr>
        <w:t>应规范齐全</w:t>
      </w:r>
      <w:r>
        <w:rPr>
          <w:rFonts w:hint="default" w:ascii="Times New Roman" w:hAnsi="Times New Roman" w:eastAsia="宋体" w:cs="Times New Roman"/>
          <w:highlight w:val="none"/>
          <w:lang w:val="en-US" w:eastAsia="zh-CN"/>
        </w:rPr>
        <w:t>：</w:t>
      </w:r>
    </w:p>
    <w:p w14:paraId="0714F844">
      <w:pPr>
        <w:numPr>
          <w:ilvl w:val="0"/>
          <w:numId w:val="11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施工图纸及设计变更文件</w:t>
      </w:r>
      <w:r>
        <w:rPr>
          <w:rFonts w:hint="eastAsia" w:ascii="Times New Roman" w:hAnsi="Times New Roman" w:cs="Times New Roman"/>
          <w:highlight w:val="none"/>
          <w:lang w:val="en-US" w:eastAsia="zh-CN"/>
        </w:rPr>
        <w:t>；</w:t>
      </w:r>
    </w:p>
    <w:p w14:paraId="4C54E55B">
      <w:pPr>
        <w:numPr>
          <w:ilvl w:val="0"/>
          <w:numId w:val="11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制造厂提供的产品说明书、试验记录、装箱单、合格证明文件及安装图纸等技术文件</w:t>
      </w:r>
      <w:r>
        <w:rPr>
          <w:rFonts w:hint="eastAsia" w:ascii="Times New Roman" w:hAnsi="Times New Roman" w:cs="Times New Roman"/>
          <w:highlight w:val="none"/>
          <w:lang w:val="en-US" w:eastAsia="zh-CN"/>
        </w:rPr>
        <w:t>；</w:t>
      </w:r>
    </w:p>
    <w:p w14:paraId="3ED10A01">
      <w:pPr>
        <w:numPr>
          <w:ilvl w:val="0"/>
          <w:numId w:val="11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传感器布点报告及气室分割图</w:t>
      </w:r>
      <w:r>
        <w:rPr>
          <w:rFonts w:hint="eastAsia" w:ascii="Times New Roman" w:hAnsi="Times New Roman" w:cs="Times New Roman"/>
          <w:highlight w:val="none"/>
          <w:lang w:val="en-US" w:eastAsia="zh-CN"/>
        </w:rPr>
        <w:t>；</w:t>
      </w:r>
    </w:p>
    <w:p w14:paraId="595087BF">
      <w:pPr>
        <w:numPr>
          <w:ilvl w:val="0"/>
          <w:numId w:val="11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安装过程技术记录、缺陷处理情况、安装质量监督检查报告及交接试验报告应符合DL/T 5161.1</w:t>
      </w:r>
      <w:r>
        <w:rPr>
          <w:rFonts w:hint="eastAsia" w:ascii="Times New Roman" w:hAnsi="Times New Roman" w:cs="Times New Roman"/>
          <w:highlight w:val="none"/>
          <w:lang w:val="en-US" w:eastAsia="zh-CN"/>
        </w:rPr>
        <w:t>；</w:t>
      </w:r>
    </w:p>
    <w:p w14:paraId="65BB0A6F">
      <w:pPr>
        <w:numPr>
          <w:ilvl w:val="0"/>
          <w:numId w:val="117"/>
        </w:numPr>
        <w:snapToGrid w:val="0"/>
        <w:ind w:left="14" w:leftChars="0" w:firstLine="406"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备品、备件、专用工具及测试仪器清单。</w:t>
      </w:r>
    </w:p>
    <w:sectPr>
      <w:headerReference r:id="rId8" w:type="default"/>
      <w:footerReference r:id="rId9" w:type="default"/>
      <w:pgSz w:w="11906" w:h="16838"/>
      <w:pgMar w:top="1440" w:right="1800" w:bottom="1440" w:left="1800" w:header="1134" w:footer="1134" w:gutter="0"/>
      <w:pgBorders>
        <w:top w:val="none" w:sz="0" w:space="0"/>
        <w:left w:val="none" w:sz="0" w:space="0"/>
        <w:bottom w:val="none" w:sz="0" w:space="0"/>
        <w:right w:val="none" w:sz="0" w:space="0"/>
      </w:pgBorders>
      <w:pgNumType w:fmt="decimal" w:start="1"/>
      <w:cols w:space="0" w:num="1"/>
      <w:formProt w:val="0"/>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22FACE-C811-4697-8EF8-282C4DA679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54041E7-2A98-42B7-B7C8-C75EAFC55373}"/>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A00002BF" w:usb1="38CF7CFA" w:usb2="00082016" w:usb3="00000000" w:csb0="00040001" w:csb1="00000000"/>
    <w:embedRegular r:id="rId3" w:fontKey="{805AC21A-A511-4087-A035-78857703C923}"/>
  </w:font>
  <w:font w:name="Malgun Gothic">
    <w:panose1 w:val="020B0503020000020004"/>
    <w:charset w:val="81"/>
    <w:family w:val="swiss"/>
    <w:pitch w:val="default"/>
    <w:sig w:usb0="9000002F" w:usb1="29D77CFB" w:usb2="00000012" w:usb3="00000000" w:csb0="00080001" w:csb1="00000000"/>
    <w:embedRegular r:id="rId4" w:fontKey="{F23FADB3-8640-4F3F-83C0-59CD5CABAE98}"/>
  </w:font>
  <w:font w:name="方正公文小标宋">
    <w:altName w:val="宋体"/>
    <w:panose1 w:val="00000000000000000000"/>
    <w:charset w:val="86"/>
    <w:family w:val="auto"/>
    <w:pitch w:val="default"/>
    <w:sig w:usb0="00000000" w:usb1="00000000" w:usb2="00000016" w:usb3="00000000" w:csb0="00040001" w:csb1="00000000"/>
    <w:embedRegular r:id="rId5" w:fontKey="{0E87E3A3-3910-4610-8C5D-57CA5606BDBC}"/>
  </w:font>
  <w:font w:name="方正小标宋简体">
    <w:panose1 w:val="02000000000000000000"/>
    <w:charset w:val="86"/>
    <w:family w:val="script"/>
    <w:pitch w:val="default"/>
    <w:sig w:usb0="00000001" w:usb1="08000000" w:usb2="00000000" w:usb3="00000000" w:csb0="00040000" w:csb1="00000000"/>
    <w:embedRegular r:id="rId6" w:fontKey="{0FB32B31-B197-4115-B687-144E32AD65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5B57B">
    <w:pPr>
      <w:pStyle w:val="58"/>
    </w:pPr>
    <w:r>
      <w:fldChar w:fldCharType="begin"/>
    </w:r>
    <w:r>
      <w:instrText xml:space="preserve">PAGE   \* MERGEFORMAT</w:instrText>
    </w:r>
    <w:r>
      <w:fldChar w:fldCharType="separate"/>
    </w:r>
    <w:r>
      <w:rPr>
        <w:lang w:val="zh-CN"/>
      </w:rPr>
      <w:t>IV</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52538">
    <w:pPr>
      <w:pStyle w:val="19"/>
      <w:ind w:right="210"/>
      <w:jc w:val="right"/>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A2F315">
                          <w:pPr>
                            <w:pStyle w:val="19"/>
                            <w:ind w:right="210"/>
                            <w:jc w:val="right"/>
                          </w:pPr>
                          <w:r>
                            <w:fldChar w:fldCharType="begin"/>
                          </w:r>
                          <w:r>
                            <w:instrText xml:space="preserve">PAGE   \* MERGEFORMAT</w:instrText>
                          </w:r>
                          <w:r>
                            <w:fldChar w:fldCharType="separate"/>
                          </w:r>
                          <w:r>
                            <w:rPr>
                              <w:lang w:val="zh-CN"/>
                            </w:rP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38A2F315">
                    <w:pPr>
                      <w:pStyle w:val="19"/>
                      <w:ind w:right="210"/>
                      <w:jc w:val="right"/>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83546">
    <w:pPr>
      <w:pStyle w:val="2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007DE">
    <w:pPr>
      <w:pStyle w:val="20"/>
      <w:jc w:val="right"/>
    </w:pPr>
    <w:r>
      <w:fldChar w:fldCharType="begin"/>
    </w:r>
    <w:r>
      <w:instrText xml:space="preserve"> STYLEREF  标准文件_文件编号  \* MERGEFORMAT </w:instrText>
    </w:r>
    <w:r>
      <w:fldChar w:fldCharType="separate"/>
    </w:r>
    <w:r>
      <w:t>T/CEPCA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211AD">
    <w:pPr>
      <w:pStyle w:val="20"/>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DEC01"/>
    <w:multiLevelType w:val="singleLevel"/>
    <w:tmpl w:val="852DEC01"/>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
    <w:nsid w:val="86576895"/>
    <w:multiLevelType w:val="singleLevel"/>
    <w:tmpl w:val="86576895"/>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2">
    <w:nsid w:val="9184876C"/>
    <w:multiLevelType w:val="singleLevel"/>
    <w:tmpl w:val="9184876C"/>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
    <w:nsid w:val="9390500C"/>
    <w:multiLevelType w:val="singleLevel"/>
    <w:tmpl w:val="9390500C"/>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4">
    <w:nsid w:val="93B4EFD7"/>
    <w:multiLevelType w:val="singleLevel"/>
    <w:tmpl w:val="93B4EFD7"/>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5">
    <w:nsid w:val="94809890"/>
    <w:multiLevelType w:val="singleLevel"/>
    <w:tmpl w:val="9480989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6">
    <w:nsid w:val="9645C744"/>
    <w:multiLevelType w:val="singleLevel"/>
    <w:tmpl w:val="9645C744"/>
    <w:lvl w:ilvl="0" w:tentative="0">
      <w:start w:val="1"/>
      <w:numFmt w:val="decimal"/>
      <w:suff w:val="nothing"/>
      <w:lvlText w:val="%1)"/>
      <w:lvlJc w:val="left"/>
      <w:pPr>
        <w:tabs>
          <w:tab w:val="left" w:pos="153"/>
        </w:tabs>
        <w:ind w:firstLine="327"/>
      </w:pPr>
      <w:rPr>
        <w:rFonts w:hint="default" w:ascii="宋体" w:hAnsi="宋体" w:eastAsia="宋体" w:cs="宋体"/>
      </w:rPr>
    </w:lvl>
  </w:abstractNum>
  <w:abstractNum w:abstractNumId="7">
    <w:nsid w:val="9AED1BCA"/>
    <w:multiLevelType w:val="singleLevel"/>
    <w:tmpl w:val="9AED1BCA"/>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8">
    <w:nsid w:val="9FE7636A"/>
    <w:multiLevelType w:val="singleLevel"/>
    <w:tmpl w:val="9FE7636A"/>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9">
    <w:nsid w:val="A402B406"/>
    <w:multiLevelType w:val="singleLevel"/>
    <w:tmpl w:val="A402B406"/>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0">
    <w:nsid w:val="A65FC94D"/>
    <w:multiLevelType w:val="singleLevel"/>
    <w:tmpl w:val="A65FC94D"/>
    <w:lvl w:ilvl="0" w:tentative="0">
      <w:start w:val="1"/>
      <w:numFmt w:val="decimal"/>
      <w:suff w:val="nothing"/>
      <w:lvlText w:val="%1)"/>
      <w:lvlJc w:val="left"/>
      <w:pPr>
        <w:tabs>
          <w:tab w:val="left" w:pos="153"/>
        </w:tabs>
        <w:ind w:firstLine="327"/>
      </w:pPr>
      <w:rPr>
        <w:rFonts w:hint="default" w:ascii="宋体" w:hAnsi="宋体" w:eastAsia="宋体" w:cs="宋体"/>
      </w:rPr>
    </w:lvl>
  </w:abstractNum>
  <w:abstractNum w:abstractNumId="11">
    <w:nsid w:val="A6E2484E"/>
    <w:multiLevelType w:val="singleLevel"/>
    <w:tmpl w:val="A6E2484E"/>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2">
    <w:nsid w:val="A7BAF817"/>
    <w:multiLevelType w:val="singleLevel"/>
    <w:tmpl w:val="A7BAF817"/>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3">
    <w:nsid w:val="A82B94C6"/>
    <w:multiLevelType w:val="singleLevel"/>
    <w:tmpl w:val="A82B94C6"/>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4">
    <w:nsid w:val="AA5C90C0"/>
    <w:multiLevelType w:val="singleLevel"/>
    <w:tmpl w:val="AA5C90C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5">
    <w:nsid w:val="B001022B"/>
    <w:multiLevelType w:val="singleLevel"/>
    <w:tmpl w:val="B001022B"/>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6">
    <w:nsid w:val="B196062A"/>
    <w:multiLevelType w:val="singleLevel"/>
    <w:tmpl w:val="B196062A"/>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7">
    <w:nsid w:val="B46E584E"/>
    <w:multiLevelType w:val="singleLevel"/>
    <w:tmpl w:val="B46E584E"/>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8">
    <w:nsid w:val="B5C26CA3"/>
    <w:multiLevelType w:val="singleLevel"/>
    <w:tmpl w:val="B5C26CA3"/>
    <w:lvl w:ilvl="0" w:tentative="0">
      <w:start w:val="1"/>
      <w:numFmt w:val="lowerLetter"/>
      <w:suff w:val="nothing"/>
      <w:lvlText w:val="%1）"/>
      <w:lvlJc w:val="left"/>
      <w:pPr>
        <w:tabs>
          <w:tab w:val="left" w:pos="397"/>
        </w:tabs>
        <w:ind w:left="454" w:hanging="454"/>
      </w:pPr>
      <w:rPr>
        <w:rFonts w:hint="default" w:ascii="宋体" w:hAnsi="宋体" w:eastAsia="宋体" w:cs="宋体"/>
      </w:rPr>
    </w:lvl>
  </w:abstractNum>
  <w:abstractNum w:abstractNumId="19">
    <w:nsid w:val="BA64C46A"/>
    <w:multiLevelType w:val="singleLevel"/>
    <w:tmpl w:val="BA64C46A"/>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20">
    <w:nsid w:val="BBD521CE"/>
    <w:multiLevelType w:val="singleLevel"/>
    <w:tmpl w:val="BBD521CE"/>
    <w:lvl w:ilvl="0" w:tentative="0">
      <w:start w:val="1"/>
      <w:numFmt w:val="lowerLetter"/>
      <w:suff w:val="nothing"/>
      <w:lvlText w:val="%1）"/>
      <w:lvlJc w:val="left"/>
      <w:pPr>
        <w:tabs>
          <w:tab w:val="left" w:pos="397"/>
        </w:tabs>
        <w:ind w:left="454" w:hanging="454"/>
      </w:pPr>
      <w:rPr>
        <w:rFonts w:hint="default" w:ascii="宋体" w:hAnsi="宋体" w:eastAsia="宋体" w:cs="宋体"/>
      </w:rPr>
    </w:lvl>
  </w:abstractNum>
  <w:abstractNum w:abstractNumId="21">
    <w:nsid w:val="BC2C1600"/>
    <w:multiLevelType w:val="singleLevel"/>
    <w:tmpl w:val="BC2C160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22">
    <w:nsid w:val="C52607E2"/>
    <w:multiLevelType w:val="singleLevel"/>
    <w:tmpl w:val="C52607E2"/>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23">
    <w:nsid w:val="C59ADEB2"/>
    <w:multiLevelType w:val="singleLevel"/>
    <w:tmpl w:val="C59ADEB2"/>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24">
    <w:nsid w:val="C814A992"/>
    <w:multiLevelType w:val="singleLevel"/>
    <w:tmpl w:val="C814A992"/>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25">
    <w:nsid w:val="CD072A92"/>
    <w:multiLevelType w:val="singleLevel"/>
    <w:tmpl w:val="CD072A92"/>
    <w:lvl w:ilvl="0" w:tentative="0">
      <w:start w:val="1"/>
      <w:numFmt w:val="lowerLetter"/>
      <w:suff w:val="nothing"/>
      <w:lvlText w:val="%1）"/>
      <w:lvlJc w:val="left"/>
      <w:pPr>
        <w:tabs>
          <w:tab w:val="left" w:pos="397"/>
        </w:tabs>
        <w:ind w:left="454" w:hanging="454"/>
      </w:pPr>
      <w:rPr>
        <w:rFonts w:hint="default" w:ascii="宋体" w:hAnsi="宋体" w:eastAsia="宋体" w:cs="宋体"/>
      </w:rPr>
    </w:lvl>
  </w:abstractNum>
  <w:abstractNum w:abstractNumId="26">
    <w:nsid w:val="CE3AB07A"/>
    <w:multiLevelType w:val="singleLevel"/>
    <w:tmpl w:val="CE3AB07A"/>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27">
    <w:nsid w:val="D1EBAA53"/>
    <w:multiLevelType w:val="singleLevel"/>
    <w:tmpl w:val="D1EBAA53"/>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28">
    <w:nsid w:val="DAF34F4D"/>
    <w:multiLevelType w:val="singleLevel"/>
    <w:tmpl w:val="DAF34F4D"/>
    <w:lvl w:ilvl="0" w:tentative="0">
      <w:start w:val="1"/>
      <w:numFmt w:val="decimal"/>
      <w:suff w:val="nothing"/>
      <w:lvlText w:val="%1)"/>
      <w:lvlJc w:val="left"/>
      <w:pPr>
        <w:tabs>
          <w:tab w:val="left" w:pos="153"/>
        </w:tabs>
        <w:ind w:firstLine="327"/>
      </w:pPr>
      <w:rPr>
        <w:rFonts w:hint="default" w:ascii="宋体" w:hAnsi="宋体" w:eastAsia="宋体" w:cs="宋体"/>
      </w:rPr>
    </w:lvl>
  </w:abstractNum>
  <w:abstractNum w:abstractNumId="29">
    <w:nsid w:val="DC530D42"/>
    <w:multiLevelType w:val="singleLevel"/>
    <w:tmpl w:val="DC530D42"/>
    <w:lvl w:ilvl="0" w:tentative="0">
      <w:start w:val="1"/>
      <w:numFmt w:val="lowerLetter"/>
      <w:suff w:val="nothing"/>
      <w:lvlText w:val="%1）"/>
      <w:lvlJc w:val="left"/>
      <w:pPr>
        <w:tabs>
          <w:tab w:val="left" w:pos="397"/>
        </w:tabs>
        <w:ind w:left="454" w:hanging="454"/>
      </w:pPr>
      <w:rPr>
        <w:rFonts w:hint="default" w:ascii="宋体" w:hAnsi="宋体" w:eastAsia="宋体" w:cs="宋体"/>
      </w:rPr>
    </w:lvl>
  </w:abstractNum>
  <w:abstractNum w:abstractNumId="30">
    <w:nsid w:val="DD41A8D5"/>
    <w:multiLevelType w:val="singleLevel"/>
    <w:tmpl w:val="DD41A8D5"/>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1">
    <w:nsid w:val="E708847E"/>
    <w:multiLevelType w:val="singleLevel"/>
    <w:tmpl w:val="E708847E"/>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2">
    <w:nsid w:val="EBBA3267"/>
    <w:multiLevelType w:val="singleLevel"/>
    <w:tmpl w:val="EBBA3267"/>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3">
    <w:nsid w:val="EEF1C748"/>
    <w:multiLevelType w:val="singleLevel"/>
    <w:tmpl w:val="EEF1C748"/>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4">
    <w:nsid w:val="F8E7DDD3"/>
    <w:multiLevelType w:val="singleLevel"/>
    <w:tmpl w:val="F8E7DDD3"/>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5">
    <w:nsid w:val="FFAF3136"/>
    <w:multiLevelType w:val="singleLevel"/>
    <w:tmpl w:val="FFAF3136"/>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6">
    <w:nsid w:val="0030AD32"/>
    <w:multiLevelType w:val="singleLevel"/>
    <w:tmpl w:val="0030AD32"/>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7">
    <w:nsid w:val="00838E20"/>
    <w:multiLevelType w:val="singleLevel"/>
    <w:tmpl w:val="00838E2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8">
    <w:nsid w:val="01A2B522"/>
    <w:multiLevelType w:val="singleLevel"/>
    <w:tmpl w:val="01A2B522"/>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39">
    <w:nsid w:val="02837933"/>
    <w:multiLevelType w:val="multilevel"/>
    <w:tmpl w:val="02837933"/>
    <w:lvl w:ilvl="0" w:tentative="0">
      <w:start w:val="1"/>
      <w:numFmt w:val="decimal"/>
      <w:pStyle w:val="70"/>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0">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5"/>
      <w:suff w:val="nothing"/>
      <w:lvlText w:val="%1%2.%3　"/>
      <w:lvlJc w:val="left"/>
      <w:pPr>
        <w:ind w:left="0" w:firstLine="0"/>
      </w:pPr>
    </w:lvl>
    <w:lvl w:ilvl="3" w:tentative="0">
      <w:start w:val="1"/>
      <w:numFmt w:val="decimal"/>
      <w:pStyle w:val="124"/>
      <w:suff w:val="nothing"/>
      <w:lvlText w:val="%1%2.%3.%4　"/>
      <w:lvlJc w:val="left"/>
      <w:pPr>
        <w:ind w:left="0" w:firstLine="0"/>
      </w:pPr>
    </w:lvl>
    <w:lvl w:ilvl="4" w:tentative="0">
      <w:start w:val="1"/>
      <w:numFmt w:val="decimal"/>
      <w:pStyle w:val="159"/>
      <w:suff w:val="nothing"/>
      <w:lvlText w:val="%1%2.%3.%4.%5　"/>
      <w:lvlJc w:val="left"/>
      <w:pPr>
        <w:ind w:left="0" w:firstLine="0"/>
      </w:pPr>
    </w:lvl>
    <w:lvl w:ilvl="5" w:tentative="0">
      <w:start w:val="1"/>
      <w:numFmt w:val="decimal"/>
      <w:pStyle w:val="161"/>
      <w:suff w:val="nothing"/>
      <w:lvlText w:val="%1%2.%3.%4.%5.%6　"/>
      <w:lvlJc w:val="left"/>
      <w:pPr>
        <w:ind w:left="0" w:firstLine="0"/>
      </w:pPr>
    </w:lvl>
    <w:lvl w:ilvl="6" w:tentative="0">
      <w:start w:val="1"/>
      <w:numFmt w:val="decimal"/>
      <w:pStyle w:val="164"/>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1">
    <w:nsid w:val="05873664"/>
    <w:multiLevelType w:val="singleLevel"/>
    <w:tmpl w:val="05873664"/>
    <w:lvl w:ilvl="0" w:tentative="0">
      <w:start w:val="1"/>
      <w:numFmt w:val="decimal"/>
      <w:suff w:val="nothing"/>
      <w:lvlText w:val="%1)"/>
      <w:lvlJc w:val="left"/>
      <w:pPr>
        <w:tabs>
          <w:tab w:val="left" w:pos="153"/>
        </w:tabs>
        <w:ind w:firstLine="327"/>
      </w:pPr>
      <w:rPr>
        <w:rFonts w:hint="default" w:ascii="宋体" w:hAnsi="宋体" w:eastAsia="宋体" w:cs="宋体"/>
      </w:rPr>
    </w:lvl>
  </w:abstractNum>
  <w:abstractNum w:abstractNumId="42">
    <w:nsid w:val="079102AD"/>
    <w:multiLevelType w:val="multilevel"/>
    <w:tmpl w:val="079102AD"/>
    <w:lvl w:ilvl="0" w:tentative="0">
      <w:start w:val="1"/>
      <w:numFmt w:val="decimal"/>
      <w:pStyle w:val="18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3">
    <w:nsid w:val="07ED3FEA"/>
    <w:multiLevelType w:val="multilevel"/>
    <w:tmpl w:val="07ED3FEA"/>
    <w:lvl w:ilvl="0" w:tentative="0">
      <w:start w:val="1"/>
      <w:numFmt w:val="none"/>
      <w:pStyle w:val="95"/>
      <w:lvlText w:val="%1"/>
      <w:lvlJc w:val="left"/>
      <w:pPr>
        <w:ind w:left="425" w:hanging="425"/>
      </w:pPr>
      <w:rPr>
        <w:rFonts w:hint="eastAsia"/>
      </w:rPr>
    </w:lvl>
    <w:lvl w:ilvl="1" w:tentative="0">
      <w:start w:val="1"/>
      <w:numFmt w:val="decimal"/>
      <w:pStyle w:val="206"/>
      <w:suff w:val="nothing"/>
      <w:lvlText w:val="%10.%2 "/>
      <w:lvlJc w:val="left"/>
      <w:pPr>
        <w:ind w:left="0" w:firstLine="0"/>
      </w:pPr>
      <w:rPr>
        <w:rFonts w:hint="eastAsia" w:ascii="黑体" w:eastAsia="黑体" w:hAnsiTheme="minorHAnsi"/>
        <w:b w:val="0"/>
        <w:i w:val="0"/>
        <w:sz w:val="21"/>
      </w:rPr>
    </w:lvl>
    <w:lvl w:ilvl="2" w:tentative="0">
      <w:start w:val="1"/>
      <w:numFmt w:val="decimal"/>
      <w:pStyle w:val="207"/>
      <w:suff w:val="nothing"/>
      <w:lvlText w:val="%10.%2.%3 "/>
      <w:lvlJc w:val="left"/>
      <w:pPr>
        <w:ind w:left="0" w:firstLine="0"/>
      </w:pPr>
      <w:rPr>
        <w:rFonts w:hint="eastAsia" w:ascii="黑体" w:eastAsia="黑体" w:hAnsiTheme="minorHAnsi"/>
        <w:b w:val="0"/>
        <w:i w:val="0"/>
        <w:sz w:val="21"/>
      </w:rPr>
    </w:lvl>
    <w:lvl w:ilvl="3" w:tentative="0">
      <w:start w:val="1"/>
      <w:numFmt w:val="decimal"/>
      <w:pStyle w:val="208"/>
      <w:suff w:val="nothing"/>
      <w:lvlText w:val="%10.%2.%3.%4 "/>
      <w:lvlJc w:val="left"/>
      <w:pPr>
        <w:ind w:left="0" w:firstLine="0"/>
      </w:pPr>
      <w:rPr>
        <w:rFonts w:hint="eastAsia" w:ascii="黑体" w:eastAsia="黑体" w:hAnsiTheme="minorHAnsi"/>
        <w:b w:val="0"/>
        <w:i w:val="0"/>
        <w:sz w:val="21"/>
      </w:rPr>
    </w:lvl>
    <w:lvl w:ilvl="4" w:tentative="0">
      <w:start w:val="1"/>
      <w:numFmt w:val="decimal"/>
      <w:pStyle w:val="209"/>
      <w:suff w:val="nothing"/>
      <w:lvlText w:val="%10.%2.%3.%4.%5 "/>
      <w:lvlJc w:val="left"/>
      <w:pPr>
        <w:ind w:left="0" w:firstLine="0"/>
      </w:pPr>
      <w:rPr>
        <w:rFonts w:hint="eastAsia" w:ascii="黑体" w:eastAsia="黑体" w:hAnsiTheme="minorHAnsi"/>
        <w:b w:val="0"/>
        <w:i w:val="0"/>
        <w:sz w:val="21"/>
      </w:rPr>
    </w:lvl>
    <w:lvl w:ilvl="5" w:tentative="0">
      <w:start w:val="1"/>
      <w:numFmt w:val="decimal"/>
      <w:pStyle w:val="210"/>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4">
    <w:nsid w:val="0900D26E"/>
    <w:multiLevelType w:val="singleLevel"/>
    <w:tmpl w:val="0900D26E"/>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45">
    <w:nsid w:val="0911F627"/>
    <w:multiLevelType w:val="singleLevel"/>
    <w:tmpl w:val="0911F627"/>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46">
    <w:nsid w:val="0AE367E9"/>
    <w:multiLevelType w:val="multilevel"/>
    <w:tmpl w:val="0AE367E9"/>
    <w:lvl w:ilvl="0" w:tentative="0">
      <w:start w:val="1"/>
      <w:numFmt w:val="none"/>
      <w:pStyle w:val="187"/>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7">
    <w:nsid w:val="0BDC1670"/>
    <w:multiLevelType w:val="multilevel"/>
    <w:tmpl w:val="0BDC1670"/>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8">
    <w:nsid w:val="0C3DB013"/>
    <w:multiLevelType w:val="singleLevel"/>
    <w:tmpl w:val="0C3DB013"/>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49">
    <w:nsid w:val="0D051F45"/>
    <w:multiLevelType w:val="multilevel"/>
    <w:tmpl w:val="0D051F45"/>
    <w:lvl w:ilvl="0" w:tentative="0">
      <w:start w:val="1"/>
      <w:numFmt w:val="low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50">
    <w:nsid w:val="0D152EBD"/>
    <w:multiLevelType w:val="singleLevel"/>
    <w:tmpl w:val="0D152EBD"/>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51">
    <w:nsid w:val="10376F83"/>
    <w:multiLevelType w:val="singleLevel"/>
    <w:tmpl w:val="10376F83"/>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52">
    <w:nsid w:val="18A9C133"/>
    <w:multiLevelType w:val="singleLevel"/>
    <w:tmpl w:val="18A9C133"/>
    <w:lvl w:ilvl="0" w:tentative="0">
      <w:start w:val="1"/>
      <w:numFmt w:val="decimal"/>
      <w:suff w:val="nothing"/>
      <w:lvlText w:val="%1)"/>
      <w:lvlJc w:val="left"/>
      <w:pPr>
        <w:tabs>
          <w:tab w:val="left" w:pos="153"/>
        </w:tabs>
        <w:ind w:firstLine="327"/>
      </w:pPr>
      <w:rPr>
        <w:rFonts w:hint="default" w:ascii="宋体" w:hAnsi="宋体" w:eastAsia="宋体" w:cs="宋体"/>
      </w:rPr>
    </w:lvl>
  </w:abstractNum>
  <w:abstractNum w:abstractNumId="53">
    <w:nsid w:val="1A631CE5"/>
    <w:multiLevelType w:val="singleLevel"/>
    <w:tmpl w:val="1A631CE5"/>
    <w:lvl w:ilvl="0" w:tentative="0">
      <w:start w:val="1"/>
      <w:numFmt w:val="decimal"/>
      <w:suff w:val="nothing"/>
      <w:lvlText w:val="%1)"/>
      <w:lvlJc w:val="left"/>
      <w:pPr>
        <w:tabs>
          <w:tab w:val="left" w:pos="153"/>
        </w:tabs>
        <w:ind w:firstLine="327"/>
      </w:pPr>
      <w:rPr>
        <w:rFonts w:hint="default" w:ascii="宋体" w:hAnsi="宋体" w:eastAsia="宋体" w:cs="宋体"/>
      </w:rPr>
    </w:lvl>
  </w:abstractNum>
  <w:abstractNum w:abstractNumId="54">
    <w:nsid w:val="1AD20F90"/>
    <w:multiLevelType w:val="multilevel"/>
    <w:tmpl w:val="1AD20F90"/>
    <w:lvl w:ilvl="0" w:tentative="0">
      <w:start w:val="1"/>
      <w:numFmt w:val="none"/>
      <w:pStyle w:val="11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5">
    <w:nsid w:val="1AF15012"/>
    <w:multiLevelType w:val="multilevel"/>
    <w:tmpl w:val="1AF15012"/>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6">
    <w:nsid w:val="1C53331D"/>
    <w:multiLevelType w:val="singleLevel"/>
    <w:tmpl w:val="1C53331D"/>
    <w:lvl w:ilvl="0" w:tentative="0">
      <w:start w:val="1"/>
      <w:numFmt w:val="decimal"/>
      <w:suff w:val="nothing"/>
      <w:lvlText w:val="%1)"/>
      <w:lvlJc w:val="left"/>
      <w:pPr>
        <w:tabs>
          <w:tab w:val="left" w:pos="153"/>
        </w:tabs>
        <w:ind w:firstLine="327"/>
      </w:pPr>
      <w:rPr>
        <w:rFonts w:hint="default" w:ascii="宋体" w:hAnsi="宋体" w:eastAsia="宋体" w:cs="宋体"/>
      </w:rPr>
    </w:lvl>
  </w:abstractNum>
  <w:abstractNum w:abstractNumId="57">
    <w:nsid w:val="1DDC7EF2"/>
    <w:multiLevelType w:val="singleLevel"/>
    <w:tmpl w:val="1DDC7EF2"/>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58">
    <w:nsid w:val="1EAA1992"/>
    <w:multiLevelType w:val="multilevel"/>
    <w:tmpl w:val="1EAA1992"/>
    <w:lvl w:ilvl="0" w:tentative="0">
      <w:start w:val="1"/>
      <w:numFmt w:val="none"/>
      <w:pStyle w:val="98"/>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59">
    <w:nsid w:val="1FC91163"/>
    <w:multiLevelType w:val="multilevel"/>
    <w:tmpl w:val="1FC91163"/>
    <w:lvl w:ilvl="0" w:tentative="0">
      <w:start w:val="1"/>
      <w:numFmt w:val="decimal"/>
      <w:pStyle w:val="2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6"/>
      <w:suff w:val="nothing"/>
      <w:lvlText w:val="%1.%2　"/>
      <w:lvlJc w:val="left"/>
      <w:pPr>
        <w:ind w:left="851"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568"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0">
    <w:nsid w:val="22E41726"/>
    <w:multiLevelType w:val="singleLevel"/>
    <w:tmpl w:val="22E41726"/>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61">
    <w:nsid w:val="25974FF0"/>
    <w:multiLevelType w:val="singleLevel"/>
    <w:tmpl w:val="25974FF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62">
    <w:nsid w:val="25E08846"/>
    <w:multiLevelType w:val="singleLevel"/>
    <w:tmpl w:val="25E08846"/>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63">
    <w:nsid w:val="2621955B"/>
    <w:multiLevelType w:val="singleLevel"/>
    <w:tmpl w:val="2621955B"/>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64">
    <w:nsid w:val="2743B4EE"/>
    <w:multiLevelType w:val="singleLevel"/>
    <w:tmpl w:val="2743B4EE"/>
    <w:lvl w:ilvl="0" w:tentative="0">
      <w:start w:val="1"/>
      <w:numFmt w:val="decimal"/>
      <w:suff w:val="nothing"/>
      <w:lvlText w:val="%1)"/>
      <w:lvlJc w:val="left"/>
      <w:pPr>
        <w:tabs>
          <w:tab w:val="left" w:pos="153"/>
        </w:tabs>
        <w:ind w:firstLine="327"/>
      </w:pPr>
      <w:rPr>
        <w:rFonts w:hint="default" w:ascii="宋体" w:hAnsi="宋体" w:eastAsia="宋体" w:cs="宋体"/>
      </w:rPr>
    </w:lvl>
  </w:abstractNum>
  <w:abstractNum w:abstractNumId="65">
    <w:nsid w:val="29C7A950"/>
    <w:multiLevelType w:val="singleLevel"/>
    <w:tmpl w:val="29C7A95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66">
    <w:nsid w:val="2BE8D080"/>
    <w:multiLevelType w:val="singleLevel"/>
    <w:tmpl w:val="2BE8D08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67">
    <w:nsid w:val="2C556C87"/>
    <w:multiLevelType w:val="singleLevel"/>
    <w:tmpl w:val="2C556C87"/>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68">
    <w:nsid w:val="2C5917C3"/>
    <w:multiLevelType w:val="multilevel"/>
    <w:tmpl w:val="2C5917C3"/>
    <w:lvl w:ilvl="0" w:tentative="0">
      <w:start w:val="1"/>
      <w:numFmt w:val="none"/>
      <w:pStyle w:val="138"/>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3"/>
      <w:lvlText w:val=""/>
      <w:lvlJc w:val="left"/>
      <w:pPr>
        <w:ind w:left="851" w:hanging="431"/>
      </w:pPr>
      <w:rPr>
        <w:rFonts w:hint="default" w:ascii="Symbol" w:hAnsi="Symbol"/>
        <w:sz w:val="21"/>
      </w:rPr>
    </w:lvl>
    <w:lvl w:ilvl="2" w:tentative="0">
      <w:start w:val="1"/>
      <w:numFmt w:val="bullet"/>
      <w:pStyle w:val="178"/>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9">
    <w:nsid w:val="2E2493ED"/>
    <w:multiLevelType w:val="singleLevel"/>
    <w:tmpl w:val="2E2493ED"/>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70">
    <w:nsid w:val="305B25E0"/>
    <w:multiLevelType w:val="singleLevel"/>
    <w:tmpl w:val="305B25E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71">
    <w:nsid w:val="32F04FB2"/>
    <w:multiLevelType w:val="multilevel"/>
    <w:tmpl w:val="32F04FB2"/>
    <w:lvl w:ilvl="0" w:tentative="0">
      <w:start w:val="1"/>
      <w:numFmt w:val="lowerLetter"/>
      <w:pStyle w:val="107"/>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72">
    <w:nsid w:val="33BCE59C"/>
    <w:multiLevelType w:val="singleLevel"/>
    <w:tmpl w:val="33BCE59C"/>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73">
    <w:nsid w:val="346F3F5C"/>
    <w:multiLevelType w:val="singleLevel"/>
    <w:tmpl w:val="346F3F5C"/>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74">
    <w:nsid w:val="410CD706"/>
    <w:multiLevelType w:val="singleLevel"/>
    <w:tmpl w:val="410CD706"/>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75">
    <w:nsid w:val="41AD0E35"/>
    <w:multiLevelType w:val="singleLevel"/>
    <w:tmpl w:val="41AD0E35"/>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76">
    <w:nsid w:val="44C50F90"/>
    <w:multiLevelType w:val="multilevel"/>
    <w:tmpl w:val="44C50F90"/>
    <w:lvl w:ilvl="0" w:tentative="0">
      <w:start w:val="1"/>
      <w:numFmt w:val="lowerLetter"/>
      <w:pStyle w:val="180"/>
      <w:lvlText w:val="%1)"/>
      <w:lvlJc w:val="left"/>
      <w:pPr>
        <w:tabs>
          <w:tab w:val="left" w:pos="851"/>
        </w:tabs>
        <w:ind w:left="851" w:hanging="426"/>
      </w:pPr>
      <w:rPr>
        <w:rFonts w:hint="eastAsia" w:ascii="宋体" w:hAnsi="Times New Roman" w:eastAsia="宋体"/>
        <w:sz w:val="21"/>
      </w:rPr>
    </w:lvl>
    <w:lvl w:ilvl="1" w:tentative="0">
      <w:start w:val="1"/>
      <w:numFmt w:val="decimal"/>
      <w:pStyle w:val="115"/>
      <w:lvlText w:val="%2)"/>
      <w:lvlJc w:val="left"/>
      <w:pPr>
        <w:tabs>
          <w:tab w:val="left" w:pos="1276"/>
        </w:tabs>
        <w:ind w:left="1276" w:hanging="425"/>
      </w:pPr>
      <w:rPr>
        <w:rFonts w:hint="eastAsia" w:ascii="宋体" w:hAnsi="Times New Roman" w:eastAsia="宋体"/>
        <w:sz w:val="21"/>
      </w:rPr>
    </w:lvl>
    <w:lvl w:ilvl="2" w:tentative="0">
      <w:start w:val="1"/>
      <w:numFmt w:val="decimal"/>
      <w:pStyle w:val="12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7">
    <w:nsid w:val="48802D1C"/>
    <w:multiLevelType w:val="multilevel"/>
    <w:tmpl w:val="48802D1C"/>
    <w:lvl w:ilvl="0" w:tentative="0">
      <w:start w:val="1"/>
      <w:numFmt w:val="upperLetter"/>
      <w:pStyle w:val="204"/>
      <w:lvlText w:val="%1"/>
      <w:lvlJc w:val="left"/>
      <w:pPr>
        <w:ind w:left="420" w:hanging="420"/>
      </w:pPr>
      <w:rPr>
        <w:rFonts w:hint="eastAsia"/>
      </w:rPr>
    </w:lvl>
    <w:lvl w:ilvl="1" w:tentative="0">
      <w:start w:val="1"/>
      <w:numFmt w:val="decimal"/>
      <w:pStyle w:val="89"/>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8">
    <w:nsid w:val="4B0DA8FA"/>
    <w:multiLevelType w:val="singleLevel"/>
    <w:tmpl w:val="4B0DA8FA"/>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79">
    <w:nsid w:val="4B20C68C"/>
    <w:multiLevelType w:val="singleLevel"/>
    <w:tmpl w:val="4B20C68C"/>
    <w:lvl w:ilvl="0" w:tentative="0">
      <w:start w:val="1"/>
      <w:numFmt w:val="lowerLetter"/>
      <w:suff w:val="nothing"/>
      <w:lvlText w:val="%1）"/>
      <w:lvlJc w:val="left"/>
      <w:pPr>
        <w:tabs>
          <w:tab w:val="left" w:pos="397"/>
        </w:tabs>
        <w:ind w:left="454" w:hanging="454"/>
      </w:pPr>
      <w:rPr>
        <w:rFonts w:hint="default" w:ascii="宋体" w:hAnsi="宋体" w:eastAsia="宋体" w:cs="宋体"/>
      </w:rPr>
    </w:lvl>
  </w:abstractNum>
  <w:abstractNum w:abstractNumId="80">
    <w:nsid w:val="4B733A5F"/>
    <w:multiLevelType w:val="multilevel"/>
    <w:tmpl w:val="4B733A5F"/>
    <w:lvl w:ilvl="0" w:tentative="0">
      <w:start w:val="1"/>
      <w:numFmt w:val="decimal"/>
      <w:pStyle w:val="18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1">
    <w:nsid w:val="4E2A3F49"/>
    <w:multiLevelType w:val="singleLevel"/>
    <w:tmpl w:val="4E2A3F49"/>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82">
    <w:nsid w:val="4E5D0534"/>
    <w:multiLevelType w:val="multilevel"/>
    <w:tmpl w:val="4E5D0534"/>
    <w:lvl w:ilvl="0" w:tentative="0">
      <w:start w:val="1"/>
      <w:numFmt w:val="decimal"/>
      <w:pStyle w:val="122"/>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3">
    <w:nsid w:val="54632751"/>
    <w:multiLevelType w:val="multilevel"/>
    <w:tmpl w:val="54632751"/>
    <w:lvl w:ilvl="0" w:tentative="0">
      <w:start w:val="1"/>
      <w:numFmt w:val="none"/>
      <w:pStyle w:val="99"/>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84">
    <w:nsid w:val="557C2AF5"/>
    <w:multiLevelType w:val="multilevel"/>
    <w:tmpl w:val="557C2AF5"/>
    <w:lvl w:ilvl="0" w:tentative="0">
      <w:start w:val="1"/>
      <w:numFmt w:val="decimal"/>
      <w:pStyle w:val="120"/>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5">
    <w:nsid w:val="55F0DFC1"/>
    <w:multiLevelType w:val="singleLevel"/>
    <w:tmpl w:val="55F0DFC1"/>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86">
    <w:nsid w:val="5603797C"/>
    <w:multiLevelType w:val="multilevel"/>
    <w:tmpl w:val="5603797C"/>
    <w:lvl w:ilvl="0" w:tentative="0">
      <w:start w:val="1"/>
      <w:numFmt w:val="upperLetter"/>
      <w:pStyle w:val="205"/>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7">
    <w:nsid w:val="564D2089"/>
    <w:multiLevelType w:val="multilevel"/>
    <w:tmpl w:val="564D2089"/>
    <w:lvl w:ilvl="0" w:tentative="0">
      <w:start w:val="1"/>
      <w:numFmt w:val="none"/>
      <w:pStyle w:val="117"/>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8">
    <w:nsid w:val="56988410"/>
    <w:multiLevelType w:val="singleLevel"/>
    <w:tmpl w:val="5698841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89">
    <w:nsid w:val="5C698C6C"/>
    <w:multiLevelType w:val="singleLevel"/>
    <w:tmpl w:val="5C698C6C"/>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90">
    <w:nsid w:val="5E06A07F"/>
    <w:multiLevelType w:val="singleLevel"/>
    <w:tmpl w:val="5E06A07F"/>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91">
    <w:nsid w:val="6066FCBD"/>
    <w:multiLevelType w:val="singleLevel"/>
    <w:tmpl w:val="6066FCBD"/>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92">
    <w:nsid w:val="6107BE17"/>
    <w:multiLevelType w:val="singleLevel"/>
    <w:tmpl w:val="6107BE17"/>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93">
    <w:nsid w:val="615E4B6C"/>
    <w:multiLevelType w:val="singleLevel"/>
    <w:tmpl w:val="615E4B6C"/>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94">
    <w:nsid w:val="6196E324"/>
    <w:multiLevelType w:val="singleLevel"/>
    <w:tmpl w:val="6196E324"/>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95">
    <w:nsid w:val="63176219"/>
    <w:multiLevelType w:val="singleLevel"/>
    <w:tmpl w:val="63176219"/>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96">
    <w:nsid w:val="644622F9"/>
    <w:multiLevelType w:val="multilevel"/>
    <w:tmpl w:val="644622F9"/>
    <w:lvl w:ilvl="0" w:tentative="0">
      <w:start w:val="1"/>
      <w:numFmt w:val="upp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97">
    <w:nsid w:val="646260FA"/>
    <w:multiLevelType w:val="multilevel"/>
    <w:tmpl w:val="646260FA"/>
    <w:lvl w:ilvl="0" w:tentative="0">
      <w:start w:val="1"/>
      <w:numFmt w:val="decimal"/>
      <w:pStyle w:val="11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8">
    <w:nsid w:val="654A26C9"/>
    <w:multiLevelType w:val="multilevel"/>
    <w:tmpl w:val="654A26C9"/>
    <w:lvl w:ilvl="0" w:tentative="0">
      <w:start w:val="1"/>
      <w:numFmt w:val="none"/>
      <w:pStyle w:val="195"/>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99">
    <w:nsid w:val="657D3FBC"/>
    <w:multiLevelType w:val="multilevel"/>
    <w:tmpl w:val="657D3FBC"/>
    <w:lvl w:ilvl="0" w:tentative="0">
      <w:start w:val="1"/>
      <w:numFmt w:val="upperLetter"/>
      <w:pStyle w:val="82"/>
      <w:suff w:val="nothing"/>
      <w:lvlText w:val="附录%1"/>
      <w:lvlJc w:val="left"/>
      <w:pPr>
        <w:ind w:left="5103" w:firstLine="0"/>
      </w:pPr>
      <w:rPr>
        <w:rFonts w:hint="eastAsia"/>
        <w:spacing w:val="100"/>
        <w:lang w:val="en-US"/>
      </w:rPr>
    </w:lvl>
    <w:lvl w:ilvl="1" w:tentative="0">
      <w:start w:val="1"/>
      <w:numFmt w:val="decimal"/>
      <w:pStyle w:val="84"/>
      <w:suff w:val="nothing"/>
      <w:lvlText w:val="%1.%2　"/>
      <w:lvlJc w:val="left"/>
      <w:pPr>
        <w:ind w:left="0"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0">
    <w:nsid w:val="69506ABF"/>
    <w:multiLevelType w:val="multilevel"/>
    <w:tmpl w:val="69506ABF"/>
    <w:lvl w:ilvl="0" w:tentative="0">
      <w:start w:val="1"/>
      <w:numFmt w:val="bullet"/>
      <w:pStyle w:val="194"/>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01">
    <w:nsid w:val="6CA41985"/>
    <w:multiLevelType w:val="multilevel"/>
    <w:tmpl w:val="6CA41985"/>
    <w:lvl w:ilvl="0" w:tentative="0">
      <w:start w:val="1"/>
      <w:numFmt w:val="decimal"/>
      <w:pStyle w:val="103"/>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2">
    <w:nsid w:val="6CE42AC1"/>
    <w:multiLevelType w:val="multilevel"/>
    <w:tmpl w:val="6CE42AC1"/>
    <w:lvl w:ilvl="0" w:tentative="0">
      <w:start w:val="1"/>
      <w:numFmt w:val="lowerLetter"/>
      <w:pStyle w:val="17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6CEA2025"/>
    <w:multiLevelType w:val="multilevel"/>
    <w:tmpl w:val="6CEA2025"/>
    <w:lvl w:ilvl="0" w:tentative="0">
      <w:start w:val="1"/>
      <w:numFmt w:val="none"/>
      <w:pStyle w:val="158"/>
      <w:suff w:val="nothing"/>
      <w:lvlText w:val="%1"/>
      <w:lvlJc w:val="left"/>
      <w:pPr>
        <w:ind w:left="0" w:firstLine="0"/>
      </w:pPr>
      <w:rPr>
        <w:rFonts w:hint="eastAsia"/>
      </w:rPr>
    </w:lvl>
    <w:lvl w:ilvl="1" w:tentative="0">
      <w:start w:val="1"/>
      <w:numFmt w:val="decimal"/>
      <w:pStyle w:val="110"/>
      <w:suff w:val="nothing"/>
      <w:lvlText w:val="%1%2　"/>
      <w:lvlJc w:val="left"/>
      <w:pPr>
        <w:ind w:left="0" w:firstLine="0"/>
      </w:pPr>
      <w:rPr>
        <w:rFonts w:hint="eastAsia" w:ascii="黑体" w:eastAsia="黑体"/>
        <w:b w:val="0"/>
        <w:i w:val="0"/>
        <w:sz w:val="21"/>
      </w:rPr>
    </w:lvl>
    <w:lvl w:ilvl="2" w:tentative="0">
      <w:start w:val="1"/>
      <w:numFmt w:val="decimal"/>
      <w:pStyle w:val="11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1"/>
      <w:suff w:val="nothing"/>
      <w:lvlText w:val="%1%2.%3.%4　"/>
      <w:lvlJc w:val="left"/>
      <w:pPr>
        <w:ind w:left="0" w:firstLine="0"/>
      </w:pPr>
      <w:rPr>
        <w:rFonts w:hint="eastAsia" w:ascii="黑体" w:eastAsia="黑体"/>
        <w:b w:val="0"/>
        <w:i w:val="0"/>
        <w:sz w:val="21"/>
      </w:rPr>
    </w:lvl>
    <w:lvl w:ilvl="4" w:tentative="0">
      <w:start w:val="1"/>
      <w:numFmt w:val="decimal"/>
      <w:pStyle w:val="100"/>
      <w:suff w:val="nothing"/>
      <w:lvlText w:val="%1%2.%3.%4.%5　"/>
      <w:lvlJc w:val="left"/>
      <w:pPr>
        <w:ind w:left="0" w:firstLine="0"/>
      </w:pPr>
      <w:rPr>
        <w:rFonts w:hint="eastAsia" w:ascii="黑体" w:eastAsia="黑体"/>
        <w:b w:val="0"/>
        <w:i w:val="0"/>
        <w:sz w:val="21"/>
      </w:rPr>
    </w:lvl>
    <w:lvl w:ilvl="5" w:tentative="0">
      <w:start w:val="1"/>
      <w:numFmt w:val="decimal"/>
      <w:pStyle w:val="104"/>
      <w:suff w:val="nothing"/>
      <w:lvlText w:val="%1%2.%3.%4.%5.%6　"/>
      <w:lvlJc w:val="left"/>
      <w:pPr>
        <w:ind w:left="0" w:firstLine="0"/>
      </w:pPr>
      <w:rPr>
        <w:rFonts w:hint="eastAsia" w:ascii="黑体" w:eastAsia="黑体"/>
        <w:b w:val="0"/>
        <w:i w:val="0"/>
        <w:sz w:val="21"/>
      </w:rPr>
    </w:lvl>
    <w:lvl w:ilvl="6" w:tentative="0">
      <w:start w:val="1"/>
      <w:numFmt w:val="decimal"/>
      <w:pStyle w:val="10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4">
    <w:nsid w:val="6DBF04F4"/>
    <w:multiLevelType w:val="multilevel"/>
    <w:tmpl w:val="6DBF04F4"/>
    <w:lvl w:ilvl="0" w:tentative="0">
      <w:start w:val="1"/>
      <w:numFmt w:val="none"/>
      <w:pStyle w:val="185"/>
      <w:lvlText w:val="%1注："/>
      <w:lvlJc w:val="left"/>
      <w:pPr>
        <w:ind w:left="374"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05">
    <w:nsid w:val="6DCA4074"/>
    <w:multiLevelType w:val="multilevel"/>
    <w:tmpl w:val="6DCA4074"/>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5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6">
    <w:nsid w:val="6DF35F19"/>
    <w:multiLevelType w:val="multilevel"/>
    <w:tmpl w:val="6DF35F19"/>
    <w:lvl w:ilvl="0" w:tentative="0">
      <w:start w:val="1"/>
      <w:numFmt w:val="decimal"/>
      <w:pStyle w:val="121"/>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07">
    <w:nsid w:val="7130CEF9"/>
    <w:multiLevelType w:val="singleLevel"/>
    <w:tmpl w:val="7130CEF9"/>
    <w:lvl w:ilvl="0" w:tentative="0">
      <w:start w:val="1"/>
      <w:numFmt w:val="lowerLetter"/>
      <w:suff w:val="nothing"/>
      <w:lvlText w:val="%1）"/>
      <w:lvlJc w:val="left"/>
      <w:pPr>
        <w:tabs>
          <w:tab w:val="left" w:pos="397"/>
        </w:tabs>
        <w:ind w:left="454" w:hanging="454"/>
      </w:pPr>
      <w:rPr>
        <w:rFonts w:hint="default" w:ascii="宋体" w:hAnsi="宋体" w:eastAsia="宋体" w:cs="宋体"/>
      </w:rPr>
    </w:lvl>
  </w:abstractNum>
  <w:abstractNum w:abstractNumId="108">
    <w:nsid w:val="73F279B2"/>
    <w:multiLevelType w:val="singleLevel"/>
    <w:tmpl w:val="73F279B2"/>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09">
    <w:nsid w:val="76417DBF"/>
    <w:multiLevelType w:val="singleLevel"/>
    <w:tmpl w:val="76417DBF"/>
    <w:lvl w:ilvl="0" w:tentative="0">
      <w:start w:val="1"/>
      <w:numFmt w:val="lowerLetter"/>
      <w:suff w:val="nothing"/>
      <w:lvlText w:val="%1）"/>
      <w:lvlJc w:val="left"/>
      <w:pPr>
        <w:tabs>
          <w:tab w:val="left" w:pos="397"/>
        </w:tabs>
        <w:ind w:left="454" w:hanging="454"/>
      </w:pPr>
      <w:rPr>
        <w:rFonts w:hint="default" w:ascii="宋体" w:hAnsi="宋体" w:eastAsia="宋体" w:cs="宋体"/>
      </w:rPr>
    </w:lvl>
  </w:abstractNum>
  <w:abstractNum w:abstractNumId="110">
    <w:nsid w:val="76933334"/>
    <w:multiLevelType w:val="multilevel"/>
    <w:tmpl w:val="76933334"/>
    <w:lvl w:ilvl="0" w:tentative="0">
      <w:start w:val="1"/>
      <w:numFmt w:val="none"/>
      <w:pStyle w:val="145"/>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1">
    <w:nsid w:val="76FD591C"/>
    <w:multiLevelType w:val="singleLevel"/>
    <w:tmpl w:val="76FD591C"/>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12">
    <w:nsid w:val="7D7DA581"/>
    <w:multiLevelType w:val="singleLevel"/>
    <w:tmpl w:val="7D7DA581"/>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13">
    <w:nsid w:val="7EF33100"/>
    <w:multiLevelType w:val="singleLevel"/>
    <w:tmpl w:val="7EF33100"/>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14">
    <w:nsid w:val="7F34FAAC"/>
    <w:multiLevelType w:val="singleLevel"/>
    <w:tmpl w:val="7F34FAAC"/>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15">
    <w:nsid w:val="7F583BCA"/>
    <w:multiLevelType w:val="singleLevel"/>
    <w:tmpl w:val="7F583BCA"/>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abstractNum w:abstractNumId="116">
    <w:nsid w:val="7F805669"/>
    <w:multiLevelType w:val="singleLevel"/>
    <w:tmpl w:val="7F805669"/>
    <w:lvl w:ilvl="0" w:tentative="0">
      <w:start w:val="1"/>
      <w:numFmt w:val="lowerLetter"/>
      <w:suff w:val="nothing"/>
      <w:lvlText w:val="%1）"/>
      <w:lvlJc w:val="left"/>
      <w:pPr>
        <w:tabs>
          <w:tab w:val="left" w:pos="0"/>
        </w:tabs>
        <w:ind w:left="454" w:hanging="454"/>
      </w:pPr>
      <w:rPr>
        <w:rFonts w:hint="default" w:ascii="宋体" w:hAnsi="宋体" w:eastAsia="宋体" w:cs="宋体"/>
      </w:rPr>
    </w:lvl>
  </w:abstractNum>
  <w:num w:numId="1">
    <w:abstractNumId w:val="39"/>
  </w:num>
  <w:num w:numId="2">
    <w:abstractNumId w:val="103"/>
  </w:num>
  <w:num w:numId="3">
    <w:abstractNumId w:val="47"/>
  </w:num>
  <w:num w:numId="4">
    <w:abstractNumId w:val="99"/>
  </w:num>
  <w:num w:numId="5">
    <w:abstractNumId w:val="86"/>
  </w:num>
  <w:num w:numId="6">
    <w:abstractNumId w:val="77"/>
  </w:num>
  <w:num w:numId="7">
    <w:abstractNumId w:val="55"/>
  </w:num>
  <w:num w:numId="8">
    <w:abstractNumId w:val="43"/>
  </w:num>
  <w:num w:numId="9">
    <w:abstractNumId w:val="58"/>
  </w:num>
  <w:num w:numId="10">
    <w:abstractNumId w:val="83"/>
  </w:num>
  <w:num w:numId="11">
    <w:abstractNumId w:val="101"/>
  </w:num>
  <w:num w:numId="12">
    <w:abstractNumId w:val="71"/>
  </w:num>
  <w:num w:numId="13">
    <w:abstractNumId w:val="76"/>
  </w:num>
  <w:num w:numId="14">
    <w:abstractNumId w:val="54"/>
  </w:num>
  <w:num w:numId="15">
    <w:abstractNumId w:val="87"/>
  </w:num>
  <w:num w:numId="16">
    <w:abstractNumId w:val="97"/>
  </w:num>
  <w:num w:numId="17">
    <w:abstractNumId w:val="84"/>
  </w:num>
  <w:num w:numId="18">
    <w:abstractNumId w:val="106"/>
  </w:num>
  <w:num w:numId="19">
    <w:abstractNumId w:val="82"/>
  </w:num>
  <w:num w:numId="20">
    <w:abstractNumId w:val="40"/>
  </w:num>
  <w:num w:numId="21">
    <w:abstractNumId w:val="68"/>
  </w:num>
  <w:num w:numId="22">
    <w:abstractNumId w:val="110"/>
  </w:num>
  <w:num w:numId="23">
    <w:abstractNumId w:val="96"/>
  </w:num>
  <w:num w:numId="24">
    <w:abstractNumId w:val="49"/>
  </w:num>
  <w:num w:numId="25">
    <w:abstractNumId w:val="102"/>
  </w:num>
  <w:num w:numId="26">
    <w:abstractNumId w:val="104"/>
  </w:num>
  <w:num w:numId="27">
    <w:abstractNumId w:val="42"/>
  </w:num>
  <w:num w:numId="28">
    <w:abstractNumId w:val="46"/>
  </w:num>
  <w:num w:numId="29">
    <w:abstractNumId w:val="80"/>
  </w:num>
  <w:num w:numId="30">
    <w:abstractNumId w:val="100"/>
  </w:num>
  <w:num w:numId="31">
    <w:abstractNumId w:val="98"/>
  </w:num>
  <w:num w:numId="32">
    <w:abstractNumId w:val="59"/>
  </w:num>
  <w:num w:numId="33">
    <w:abstractNumId w:val="105"/>
  </w:num>
  <w:num w:numId="34">
    <w:abstractNumId w:val="107"/>
  </w:num>
  <w:num w:numId="35">
    <w:abstractNumId w:val="79"/>
  </w:num>
  <w:num w:numId="36">
    <w:abstractNumId w:val="29"/>
  </w:num>
  <w:num w:numId="37">
    <w:abstractNumId w:val="108"/>
  </w:num>
  <w:num w:numId="38">
    <w:abstractNumId w:val="62"/>
  </w:num>
  <w:num w:numId="39">
    <w:abstractNumId w:val="9"/>
  </w:num>
  <w:num w:numId="40">
    <w:abstractNumId w:val="21"/>
  </w:num>
  <w:num w:numId="41">
    <w:abstractNumId w:val="93"/>
  </w:num>
  <w:num w:numId="42">
    <w:abstractNumId w:val="36"/>
  </w:num>
  <w:num w:numId="43">
    <w:abstractNumId w:val="27"/>
  </w:num>
  <w:num w:numId="44">
    <w:abstractNumId w:val="41"/>
  </w:num>
  <w:num w:numId="45">
    <w:abstractNumId w:val="56"/>
  </w:num>
  <w:num w:numId="46">
    <w:abstractNumId w:val="60"/>
  </w:num>
  <w:num w:numId="47">
    <w:abstractNumId w:val="19"/>
  </w:num>
  <w:num w:numId="48">
    <w:abstractNumId w:val="35"/>
  </w:num>
  <w:num w:numId="49">
    <w:abstractNumId w:val="13"/>
  </w:num>
  <w:num w:numId="50">
    <w:abstractNumId w:val="114"/>
  </w:num>
  <w:num w:numId="51">
    <w:abstractNumId w:val="6"/>
  </w:num>
  <w:num w:numId="52">
    <w:abstractNumId w:val="64"/>
  </w:num>
  <w:num w:numId="53">
    <w:abstractNumId w:val="8"/>
  </w:num>
  <w:num w:numId="54">
    <w:abstractNumId w:val="53"/>
  </w:num>
  <w:num w:numId="55">
    <w:abstractNumId w:val="10"/>
  </w:num>
  <w:num w:numId="56">
    <w:abstractNumId w:val="69"/>
  </w:num>
  <w:num w:numId="57">
    <w:abstractNumId w:val="74"/>
  </w:num>
  <w:num w:numId="58">
    <w:abstractNumId w:val="94"/>
  </w:num>
  <w:num w:numId="59">
    <w:abstractNumId w:val="116"/>
  </w:num>
  <w:num w:numId="60">
    <w:abstractNumId w:val="52"/>
  </w:num>
  <w:num w:numId="61">
    <w:abstractNumId w:val="115"/>
  </w:num>
  <w:num w:numId="62">
    <w:abstractNumId w:val="14"/>
  </w:num>
  <w:num w:numId="63">
    <w:abstractNumId w:val="70"/>
  </w:num>
  <w:num w:numId="64">
    <w:abstractNumId w:val="30"/>
  </w:num>
  <w:num w:numId="65">
    <w:abstractNumId w:val="51"/>
  </w:num>
  <w:num w:numId="66">
    <w:abstractNumId w:val="44"/>
  </w:num>
  <w:num w:numId="67">
    <w:abstractNumId w:val="90"/>
  </w:num>
  <w:num w:numId="68">
    <w:abstractNumId w:val="28"/>
  </w:num>
  <w:num w:numId="69">
    <w:abstractNumId w:val="37"/>
  </w:num>
  <w:num w:numId="70">
    <w:abstractNumId w:val="72"/>
  </w:num>
  <w:num w:numId="71">
    <w:abstractNumId w:val="4"/>
  </w:num>
  <w:num w:numId="72">
    <w:abstractNumId w:val="65"/>
  </w:num>
  <w:num w:numId="73">
    <w:abstractNumId w:val="78"/>
  </w:num>
  <w:num w:numId="74">
    <w:abstractNumId w:val="50"/>
  </w:num>
  <w:num w:numId="75">
    <w:abstractNumId w:val="73"/>
  </w:num>
  <w:num w:numId="76">
    <w:abstractNumId w:val="63"/>
  </w:num>
  <w:num w:numId="77">
    <w:abstractNumId w:val="45"/>
  </w:num>
  <w:num w:numId="78">
    <w:abstractNumId w:val="38"/>
  </w:num>
  <w:num w:numId="79">
    <w:abstractNumId w:val="33"/>
  </w:num>
  <w:num w:numId="80">
    <w:abstractNumId w:val="31"/>
  </w:num>
  <w:num w:numId="81">
    <w:abstractNumId w:val="92"/>
  </w:num>
  <w:num w:numId="82">
    <w:abstractNumId w:val="112"/>
  </w:num>
  <w:num w:numId="83">
    <w:abstractNumId w:val="95"/>
  </w:num>
  <w:num w:numId="84">
    <w:abstractNumId w:val="11"/>
  </w:num>
  <w:num w:numId="85">
    <w:abstractNumId w:val="15"/>
  </w:num>
  <w:num w:numId="86">
    <w:abstractNumId w:val="81"/>
  </w:num>
  <w:num w:numId="87">
    <w:abstractNumId w:val="91"/>
  </w:num>
  <w:num w:numId="88">
    <w:abstractNumId w:val="57"/>
  </w:num>
  <w:num w:numId="89">
    <w:abstractNumId w:val="48"/>
  </w:num>
  <w:num w:numId="90">
    <w:abstractNumId w:val="16"/>
  </w:num>
  <w:num w:numId="91">
    <w:abstractNumId w:val="5"/>
  </w:num>
  <w:num w:numId="92">
    <w:abstractNumId w:val="25"/>
  </w:num>
  <w:num w:numId="93">
    <w:abstractNumId w:val="18"/>
  </w:num>
  <w:num w:numId="94">
    <w:abstractNumId w:val="20"/>
  </w:num>
  <w:num w:numId="95">
    <w:abstractNumId w:val="109"/>
  </w:num>
  <w:num w:numId="96">
    <w:abstractNumId w:val="23"/>
  </w:num>
  <w:num w:numId="97">
    <w:abstractNumId w:val="12"/>
  </w:num>
  <w:num w:numId="98">
    <w:abstractNumId w:val="85"/>
  </w:num>
  <w:num w:numId="99">
    <w:abstractNumId w:val="66"/>
  </w:num>
  <w:num w:numId="100">
    <w:abstractNumId w:val="111"/>
  </w:num>
  <w:num w:numId="101">
    <w:abstractNumId w:val="2"/>
  </w:num>
  <w:num w:numId="102">
    <w:abstractNumId w:val="61"/>
  </w:num>
  <w:num w:numId="103">
    <w:abstractNumId w:val="88"/>
  </w:num>
  <w:num w:numId="104">
    <w:abstractNumId w:val="7"/>
  </w:num>
  <w:num w:numId="105">
    <w:abstractNumId w:val="67"/>
  </w:num>
  <w:num w:numId="106">
    <w:abstractNumId w:val="0"/>
  </w:num>
  <w:num w:numId="107">
    <w:abstractNumId w:val="3"/>
  </w:num>
  <w:num w:numId="108">
    <w:abstractNumId w:val="24"/>
  </w:num>
  <w:num w:numId="109">
    <w:abstractNumId w:val="32"/>
  </w:num>
  <w:num w:numId="110">
    <w:abstractNumId w:val="34"/>
  </w:num>
  <w:num w:numId="111">
    <w:abstractNumId w:val="26"/>
  </w:num>
  <w:num w:numId="112">
    <w:abstractNumId w:val="1"/>
  </w:num>
  <w:num w:numId="113">
    <w:abstractNumId w:val="75"/>
  </w:num>
  <w:num w:numId="114">
    <w:abstractNumId w:val="89"/>
  </w:num>
  <w:num w:numId="115">
    <w:abstractNumId w:val="22"/>
  </w:num>
  <w:num w:numId="116">
    <w:abstractNumId w:val="17"/>
  </w:num>
  <w:num w:numId="117">
    <w:abstractNumId w:val="1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trackedChanges"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0ODg1NGU0N2I0N2Q2NmJlY2MyN2VhYzc2OWFiYjQifQ=="/>
  </w:docVars>
  <w:rsids>
    <w:rsidRoot w:val="00172A27"/>
    <w:rsid w:val="0000040A"/>
    <w:rsid w:val="00000A94"/>
    <w:rsid w:val="000010DE"/>
    <w:rsid w:val="0000139D"/>
    <w:rsid w:val="00001972"/>
    <w:rsid w:val="00001AE8"/>
    <w:rsid w:val="00001D9A"/>
    <w:rsid w:val="0000438F"/>
    <w:rsid w:val="00004800"/>
    <w:rsid w:val="00005059"/>
    <w:rsid w:val="000063FF"/>
    <w:rsid w:val="00007B3A"/>
    <w:rsid w:val="000107E0"/>
    <w:rsid w:val="0001132E"/>
    <w:rsid w:val="00011C57"/>
    <w:rsid w:val="00011FDE"/>
    <w:rsid w:val="00012FFD"/>
    <w:rsid w:val="000139B4"/>
    <w:rsid w:val="00014162"/>
    <w:rsid w:val="00014340"/>
    <w:rsid w:val="00014D89"/>
    <w:rsid w:val="00014FE6"/>
    <w:rsid w:val="000153FB"/>
    <w:rsid w:val="00016A9C"/>
    <w:rsid w:val="00017944"/>
    <w:rsid w:val="00017C7E"/>
    <w:rsid w:val="0002126F"/>
    <w:rsid w:val="0002159B"/>
    <w:rsid w:val="00022184"/>
    <w:rsid w:val="00022288"/>
    <w:rsid w:val="000223FA"/>
    <w:rsid w:val="00022762"/>
    <w:rsid w:val="00022E1C"/>
    <w:rsid w:val="000238E0"/>
    <w:rsid w:val="000249DB"/>
    <w:rsid w:val="0002595E"/>
    <w:rsid w:val="00025EEF"/>
    <w:rsid w:val="00026ED5"/>
    <w:rsid w:val="00027221"/>
    <w:rsid w:val="000273F6"/>
    <w:rsid w:val="00027A90"/>
    <w:rsid w:val="00030240"/>
    <w:rsid w:val="000303B3"/>
    <w:rsid w:val="000303C3"/>
    <w:rsid w:val="00030DE8"/>
    <w:rsid w:val="00030E58"/>
    <w:rsid w:val="00032AF6"/>
    <w:rsid w:val="000331D3"/>
    <w:rsid w:val="000335CE"/>
    <w:rsid w:val="00033D8D"/>
    <w:rsid w:val="00034134"/>
    <w:rsid w:val="000346A5"/>
    <w:rsid w:val="000359C3"/>
    <w:rsid w:val="00035A7D"/>
    <w:rsid w:val="0003625C"/>
    <w:rsid w:val="000365ED"/>
    <w:rsid w:val="00037CB2"/>
    <w:rsid w:val="00037E44"/>
    <w:rsid w:val="00037E6F"/>
    <w:rsid w:val="0004024B"/>
    <w:rsid w:val="000409FE"/>
    <w:rsid w:val="0004125C"/>
    <w:rsid w:val="00041812"/>
    <w:rsid w:val="0004249A"/>
    <w:rsid w:val="00042755"/>
    <w:rsid w:val="00043282"/>
    <w:rsid w:val="00043593"/>
    <w:rsid w:val="00044286"/>
    <w:rsid w:val="00044BD5"/>
    <w:rsid w:val="00044D3E"/>
    <w:rsid w:val="000455E4"/>
    <w:rsid w:val="000462E8"/>
    <w:rsid w:val="00046477"/>
    <w:rsid w:val="00046492"/>
    <w:rsid w:val="0004659A"/>
    <w:rsid w:val="0004779D"/>
    <w:rsid w:val="00047F28"/>
    <w:rsid w:val="000503AA"/>
    <w:rsid w:val="00050604"/>
    <w:rsid w:val="000506A1"/>
    <w:rsid w:val="000513F5"/>
    <w:rsid w:val="000515DD"/>
    <w:rsid w:val="0005265A"/>
    <w:rsid w:val="000539B6"/>
    <w:rsid w:val="000539DD"/>
    <w:rsid w:val="00053BD3"/>
    <w:rsid w:val="000544B7"/>
    <w:rsid w:val="00054AEA"/>
    <w:rsid w:val="000550BB"/>
    <w:rsid w:val="000556ED"/>
    <w:rsid w:val="00055A03"/>
    <w:rsid w:val="00055FE2"/>
    <w:rsid w:val="0005616F"/>
    <w:rsid w:val="00057818"/>
    <w:rsid w:val="00060228"/>
    <w:rsid w:val="00060C2E"/>
    <w:rsid w:val="00061033"/>
    <w:rsid w:val="0006123A"/>
    <w:rsid w:val="00061747"/>
    <w:rsid w:val="000619E9"/>
    <w:rsid w:val="000622D4"/>
    <w:rsid w:val="00062A3E"/>
    <w:rsid w:val="0006357D"/>
    <w:rsid w:val="000667A0"/>
    <w:rsid w:val="00067764"/>
    <w:rsid w:val="00067991"/>
    <w:rsid w:val="00067B25"/>
    <w:rsid w:val="00067F1E"/>
    <w:rsid w:val="00071B74"/>
    <w:rsid w:val="00071CC0"/>
    <w:rsid w:val="00071CFC"/>
    <w:rsid w:val="00073C8C"/>
    <w:rsid w:val="00074F42"/>
    <w:rsid w:val="00075CBA"/>
    <w:rsid w:val="000761E5"/>
    <w:rsid w:val="00076EE6"/>
    <w:rsid w:val="00076F1F"/>
    <w:rsid w:val="000772BE"/>
    <w:rsid w:val="00077B64"/>
    <w:rsid w:val="00080A1C"/>
    <w:rsid w:val="00080EA3"/>
    <w:rsid w:val="0008131B"/>
    <w:rsid w:val="00082317"/>
    <w:rsid w:val="00082929"/>
    <w:rsid w:val="00082DE4"/>
    <w:rsid w:val="00083D2C"/>
    <w:rsid w:val="00083D3A"/>
    <w:rsid w:val="00085A83"/>
    <w:rsid w:val="00085ABA"/>
    <w:rsid w:val="00086AA1"/>
    <w:rsid w:val="000873D7"/>
    <w:rsid w:val="00087A77"/>
    <w:rsid w:val="00087BE0"/>
    <w:rsid w:val="0009097F"/>
    <w:rsid w:val="00090CA6"/>
    <w:rsid w:val="000912BE"/>
    <w:rsid w:val="00091E6F"/>
    <w:rsid w:val="00091F2E"/>
    <w:rsid w:val="000925A7"/>
    <w:rsid w:val="00092B8A"/>
    <w:rsid w:val="00092FB0"/>
    <w:rsid w:val="00092FCD"/>
    <w:rsid w:val="000934C5"/>
    <w:rsid w:val="00093D25"/>
    <w:rsid w:val="00093DAB"/>
    <w:rsid w:val="00094392"/>
    <w:rsid w:val="00094437"/>
    <w:rsid w:val="00094D73"/>
    <w:rsid w:val="00095494"/>
    <w:rsid w:val="00096D05"/>
    <w:rsid w:val="00096D63"/>
    <w:rsid w:val="000977DA"/>
    <w:rsid w:val="000A0585"/>
    <w:rsid w:val="000A08FB"/>
    <w:rsid w:val="000A0B60"/>
    <w:rsid w:val="000A0EB8"/>
    <w:rsid w:val="000A14E4"/>
    <w:rsid w:val="000A19FC"/>
    <w:rsid w:val="000A1A53"/>
    <w:rsid w:val="000A1DCC"/>
    <w:rsid w:val="000A296B"/>
    <w:rsid w:val="000A2AA8"/>
    <w:rsid w:val="000A2E69"/>
    <w:rsid w:val="000A3D70"/>
    <w:rsid w:val="000A481C"/>
    <w:rsid w:val="000A5351"/>
    <w:rsid w:val="000A53BA"/>
    <w:rsid w:val="000A64AF"/>
    <w:rsid w:val="000A7311"/>
    <w:rsid w:val="000A7F5C"/>
    <w:rsid w:val="000B060F"/>
    <w:rsid w:val="000B0A55"/>
    <w:rsid w:val="000B1399"/>
    <w:rsid w:val="000B1592"/>
    <w:rsid w:val="000B1FF2"/>
    <w:rsid w:val="000B212F"/>
    <w:rsid w:val="000B3914"/>
    <w:rsid w:val="000B3CDA"/>
    <w:rsid w:val="000B3DAE"/>
    <w:rsid w:val="000B4E52"/>
    <w:rsid w:val="000B5AAD"/>
    <w:rsid w:val="000B5EFA"/>
    <w:rsid w:val="000B604C"/>
    <w:rsid w:val="000B6A0B"/>
    <w:rsid w:val="000C0426"/>
    <w:rsid w:val="000C0F6C"/>
    <w:rsid w:val="000C11DB"/>
    <w:rsid w:val="000C1492"/>
    <w:rsid w:val="000C1BFB"/>
    <w:rsid w:val="000C2189"/>
    <w:rsid w:val="000C2DC6"/>
    <w:rsid w:val="000C2FBD"/>
    <w:rsid w:val="000C312C"/>
    <w:rsid w:val="000C333F"/>
    <w:rsid w:val="000C33B2"/>
    <w:rsid w:val="000C4880"/>
    <w:rsid w:val="000C4B41"/>
    <w:rsid w:val="000C57D6"/>
    <w:rsid w:val="000C6362"/>
    <w:rsid w:val="000C7666"/>
    <w:rsid w:val="000C77B8"/>
    <w:rsid w:val="000D03BB"/>
    <w:rsid w:val="000D0A9C"/>
    <w:rsid w:val="000D1795"/>
    <w:rsid w:val="000D18A7"/>
    <w:rsid w:val="000D329A"/>
    <w:rsid w:val="000D3732"/>
    <w:rsid w:val="000D41E1"/>
    <w:rsid w:val="000D4B9C"/>
    <w:rsid w:val="000D4EB6"/>
    <w:rsid w:val="000D4EB8"/>
    <w:rsid w:val="000D4F5A"/>
    <w:rsid w:val="000D53C1"/>
    <w:rsid w:val="000D6426"/>
    <w:rsid w:val="000D6828"/>
    <w:rsid w:val="000D753B"/>
    <w:rsid w:val="000E1B57"/>
    <w:rsid w:val="000E2B2F"/>
    <w:rsid w:val="000E30B3"/>
    <w:rsid w:val="000E3B2A"/>
    <w:rsid w:val="000E4191"/>
    <w:rsid w:val="000E4C9E"/>
    <w:rsid w:val="000E58C5"/>
    <w:rsid w:val="000E6E80"/>
    <w:rsid w:val="000E6FD7"/>
    <w:rsid w:val="000E7144"/>
    <w:rsid w:val="000E7867"/>
    <w:rsid w:val="000F01B9"/>
    <w:rsid w:val="000F06E1"/>
    <w:rsid w:val="000F0718"/>
    <w:rsid w:val="000F09F9"/>
    <w:rsid w:val="000F0E3C"/>
    <w:rsid w:val="000F19D5"/>
    <w:rsid w:val="000F27A7"/>
    <w:rsid w:val="000F29C1"/>
    <w:rsid w:val="000F3B9D"/>
    <w:rsid w:val="000F3D5A"/>
    <w:rsid w:val="000F4050"/>
    <w:rsid w:val="000F4286"/>
    <w:rsid w:val="000F4969"/>
    <w:rsid w:val="000F4AEA"/>
    <w:rsid w:val="000F592B"/>
    <w:rsid w:val="000F5984"/>
    <w:rsid w:val="000F59E6"/>
    <w:rsid w:val="000F5E86"/>
    <w:rsid w:val="000F67E9"/>
    <w:rsid w:val="000F73FE"/>
    <w:rsid w:val="000F78CA"/>
    <w:rsid w:val="0010346C"/>
    <w:rsid w:val="00104926"/>
    <w:rsid w:val="00106074"/>
    <w:rsid w:val="00106747"/>
    <w:rsid w:val="0011117D"/>
    <w:rsid w:val="00111390"/>
    <w:rsid w:val="00112E37"/>
    <w:rsid w:val="00112F47"/>
    <w:rsid w:val="00113058"/>
    <w:rsid w:val="00113B1E"/>
    <w:rsid w:val="00115A4D"/>
    <w:rsid w:val="00115B16"/>
    <w:rsid w:val="0011711C"/>
    <w:rsid w:val="001210C1"/>
    <w:rsid w:val="00121FA7"/>
    <w:rsid w:val="00122AF1"/>
    <w:rsid w:val="00123765"/>
    <w:rsid w:val="00123A82"/>
    <w:rsid w:val="001242B8"/>
    <w:rsid w:val="00124E4F"/>
    <w:rsid w:val="00125E76"/>
    <w:rsid w:val="001260B7"/>
    <w:rsid w:val="00126573"/>
    <w:rsid w:val="001265CB"/>
    <w:rsid w:val="00126E22"/>
    <w:rsid w:val="001272BE"/>
    <w:rsid w:val="00127D79"/>
    <w:rsid w:val="00127E73"/>
    <w:rsid w:val="00130E52"/>
    <w:rsid w:val="00131672"/>
    <w:rsid w:val="001321C6"/>
    <w:rsid w:val="0013223F"/>
    <w:rsid w:val="0013243C"/>
    <w:rsid w:val="001325C4"/>
    <w:rsid w:val="00133010"/>
    <w:rsid w:val="001338EE"/>
    <w:rsid w:val="00133A60"/>
    <w:rsid w:val="00133AAE"/>
    <w:rsid w:val="00133C94"/>
    <w:rsid w:val="00134E47"/>
    <w:rsid w:val="00135323"/>
    <w:rsid w:val="001356C4"/>
    <w:rsid w:val="00136A66"/>
    <w:rsid w:val="00136AA8"/>
    <w:rsid w:val="00137565"/>
    <w:rsid w:val="00137DA7"/>
    <w:rsid w:val="00140020"/>
    <w:rsid w:val="00141114"/>
    <w:rsid w:val="00141776"/>
    <w:rsid w:val="001418BA"/>
    <w:rsid w:val="00142969"/>
    <w:rsid w:val="00143BD6"/>
    <w:rsid w:val="00144631"/>
    <w:rsid w:val="001446C2"/>
    <w:rsid w:val="001457E7"/>
    <w:rsid w:val="001459BD"/>
    <w:rsid w:val="00145D9D"/>
    <w:rsid w:val="001460A7"/>
    <w:rsid w:val="00146136"/>
    <w:rsid w:val="00146388"/>
    <w:rsid w:val="001529E5"/>
    <w:rsid w:val="00152E83"/>
    <w:rsid w:val="00152FB3"/>
    <w:rsid w:val="0015329B"/>
    <w:rsid w:val="0015395A"/>
    <w:rsid w:val="00153C7E"/>
    <w:rsid w:val="00155765"/>
    <w:rsid w:val="001557DD"/>
    <w:rsid w:val="00156B25"/>
    <w:rsid w:val="00156E1A"/>
    <w:rsid w:val="00157894"/>
    <w:rsid w:val="00157B55"/>
    <w:rsid w:val="0016019D"/>
    <w:rsid w:val="00160CC8"/>
    <w:rsid w:val="00161390"/>
    <w:rsid w:val="00162710"/>
    <w:rsid w:val="00162D2C"/>
    <w:rsid w:val="0016308B"/>
    <w:rsid w:val="001642FA"/>
    <w:rsid w:val="001649EB"/>
    <w:rsid w:val="00164BAF"/>
    <w:rsid w:val="00164FA8"/>
    <w:rsid w:val="00165065"/>
    <w:rsid w:val="00165434"/>
    <w:rsid w:val="00165666"/>
    <w:rsid w:val="0016580B"/>
    <w:rsid w:val="00165F49"/>
    <w:rsid w:val="00166B88"/>
    <w:rsid w:val="0016770A"/>
    <w:rsid w:val="00170078"/>
    <w:rsid w:val="001704C9"/>
    <w:rsid w:val="00170804"/>
    <w:rsid w:val="001708E9"/>
    <w:rsid w:val="00170F99"/>
    <w:rsid w:val="001713DA"/>
    <w:rsid w:val="00171BEC"/>
    <w:rsid w:val="00171DF5"/>
    <w:rsid w:val="00171F9D"/>
    <w:rsid w:val="0017340B"/>
    <w:rsid w:val="0017371A"/>
    <w:rsid w:val="00173FB1"/>
    <w:rsid w:val="00174C6B"/>
    <w:rsid w:val="00176481"/>
    <w:rsid w:val="00176B37"/>
    <w:rsid w:val="00176DFD"/>
    <w:rsid w:val="00177805"/>
    <w:rsid w:val="001801CD"/>
    <w:rsid w:val="001813C8"/>
    <w:rsid w:val="00181632"/>
    <w:rsid w:val="001852C9"/>
    <w:rsid w:val="00185EB4"/>
    <w:rsid w:val="00186761"/>
    <w:rsid w:val="0018688B"/>
    <w:rsid w:val="00187509"/>
    <w:rsid w:val="00187577"/>
    <w:rsid w:val="00187A0B"/>
    <w:rsid w:val="0019006D"/>
    <w:rsid w:val="00190087"/>
    <w:rsid w:val="001913C4"/>
    <w:rsid w:val="0019348F"/>
    <w:rsid w:val="00193A07"/>
    <w:rsid w:val="00193AC5"/>
    <w:rsid w:val="00193C52"/>
    <w:rsid w:val="00194C95"/>
    <w:rsid w:val="00194F15"/>
    <w:rsid w:val="00195242"/>
    <w:rsid w:val="00195854"/>
    <w:rsid w:val="00195C34"/>
    <w:rsid w:val="00196EF5"/>
    <w:rsid w:val="001A05BC"/>
    <w:rsid w:val="001A14E3"/>
    <w:rsid w:val="001A199E"/>
    <w:rsid w:val="001A1A53"/>
    <w:rsid w:val="001A2189"/>
    <w:rsid w:val="001A234A"/>
    <w:rsid w:val="001A244E"/>
    <w:rsid w:val="001A2AE1"/>
    <w:rsid w:val="001A31ED"/>
    <w:rsid w:val="001A385D"/>
    <w:rsid w:val="001A3E93"/>
    <w:rsid w:val="001A4CF3"/>
    <w:rsid w:val="001A522F"/>
    <w:rsid w:val="001A5238"/>
    <w:rsid w:val="001A5DC2"/>
    <w:rsid w:val="001A6696"/>
    <w:rsid w:val="001A7C61"/>
    <w:rsid w:val="001B06E8"/>
    <w:rsid w:val="001B0E36"/>
    <w:rsid w:val="001B2638"/>
    <w:rsid w:val="001B3202"/>
    <w:rsid w:val="001B48CB"/>
    <w:rsid w:val="001B55A1"/>
    <w:rsid w:val="001B6212"/>
    <w:rsid w:val="001B6F61"/>
    <w:rsid w:val="001B71D0"/>
    <w:rsid w:val="001B71EE"/>
    <w:rsid w:val="001C04A8"/>
    <w:rsid w:val="001C04C2"/>
    <w:rsid w:val="001C0D47"/>
    <w:rsid w:val="001C1E52"/>
    <w:rsid w:val="001C1ED6"/>
    <w:rsid w:val="001C1F88"/>
    <w:rsid w:val="001C2C03"/>
    <w:rsid w:val="001C3015"/>
    <w:rsid w:val="001C427D"/>
    <w:rsid w:val="001C42F7"/>
    <w:rsid w:val="001C49E5"/>
    <w:rsid w:val="001C64D2"/>
    <w:rsid w:val="001C680C"/>
    <w:rsid w:val="001C780E"/>
    <w:rsid w:val="001C7FEA"/>
    <w:rsid w:val="001D0130"/>
    <w:rsid w:val="001D0499"/>
    <w:rsid w:val="001D08CB"/>
    <w:rsid w:val="001D0BBE"/>
    <w:rsid w:val="001D0ED4"/>
    <w:rsid w:val="001D210E"/>
    <w:rsid w:val="001D212F"/>
    <w:rsid w:val="001D29D7"/>
    <w:rsid w:val="001D2DE7"/>
    <w:rsid w:val="001D411C"/>
    <w:rsid w:val="001D5324"/>
    <w:rsid w:val="001D6349"/>
    <w:rsid w:val="001E051E"/>
    <w:rsid w:val="001E1466"/>
    <w:rsid w:val="001E1B6A"/>
    <w:rsid w:val="001E2484"/>
    <w:rsid w:val="001E2F34"/>
    <w:rsid w:val="001E303A"/>
    <w:rsid w:val="001E306C"/>
    <w:rsid w:val="001E3083"/>
    <w:rsid w:val="001E3CC4"/>
    <w:rsid w:val="001E4499"/>
    <w:rsid w:val="001E4882"/>
    <w:rsid w:val="001E4979"/>
    <w:rsid w:val="001E6076"/>
    <w:rsid w:val="001E73AB"/>
    <w:rsid w:val="001E7833"/>
    <w:rsid w:val="001E7C0E"/>
    <w:rsid w:val="001E7F5E"/>
    <w:rsid w:val="001F092D"/>
    <w:rsid w:val="001F0AFD"/>
    <w:rsid w:val="001F143A"/>
    <w:rsid w:val="001F1605"/>
    <w:rsid w:val="001F2508"/>
    <w:rsid w:val="001F25A8"/>
    <w:rsid w:val="001F29B7"/>
    <w:rsid w:val="001F307C"/>
    <w:rsid w:val="001F4816"/>
    <w:rsid w:val="001F4D3D"/>
    <w:rsid w:val="001F4D7A"/>
    <w:rsid w:val="001F523E"/>
    <w:rsid w:val="001F5C88"/>
    <w:rsid w:val="001F6211"/>
    <w:rsid w:val="001F62CE"/>
    <w:rsid w:val="001F6725"/>
    <w:rsid w:val="001F69B4"/>
    <w:rsid w:val="001F75FB"/>
    <w:rsid w:val="001F77C7"/>
    <w:rsid w:val="00200183"/>
    <w:rsid w:val="00200333"/>
    <w:rsid w:val="0020107D"/>
    <w:rsid w:val="002020AA"/>
    <w:rsid w:val="00202AA4"/>
    <w:rsid w:val="002031F7"/>
    <w:rsid w:val="00203CE8"/>
    <w:rsid w:val="002040E6"/>
    <w:rsid w:val="00204291"/>
    <w:rsid w:val="002044A5"/>
    <w:rsid w:val="00205172"/>
    <w:rsid w:val="0020527B"/>
    <w:rsid w:val="002056EB"/>
    <w:rsid w:val="00205F2C"/>
    <w:rsid w:val="00210996"/>
    <w:rsid w:val="00210B15"/>
    <w:rsid w:val="00210B83"/>
    <w:rsid w:val="00212221"/>
    <w:rsid w:val="00212F4B"/>
    <w:rsid w:val="0021384B"/>
    <w:rsid w:val="00213F6C"/>
    <w:rsid w:val="002142EA"/>
    <w:rsid w:val="0021493B"/>
    <w:rsid w:val="00215ADD"/>
    <w:rsid w:val="002162E7"/>
    <w:rsid w:val="00217446"/>
    <w:rsid w:val="002204BB"/>
    <w:rsid w:val="00221B79"/>
    <w:rsid w:val="00221C6B"/>
    <w:rsid w:val="00223D9D"/>
    <w:rsid w:val="002244DC"/>
    <w:rsid w:val="00225143"/>
    <w:rsid w:val="002253A1"/>
    <w:rsid w:val="00225CF8"/>
    <w:rsid w:val="00227319"/>
    <w:rsid w:val="0022794E"/>
    <w:rsid w:val="00227F02"/>
    <w:rsid w:val="0023182B"/>
    <w:rsid w:val="00231928"/>
    <w:rsid w:val="0023306E"/>
    <w:rsid w:val="00233D64"/>
    <w:rsid w:val="0023482A"/>
    <w:rsid w:val="00234A82"/>
    <w:rsid w:val="0023517D"/>
    <w:rsid w:val="00235881"/>
    <w:rsid w:val="002359CB"/>
    <w:rsid w:val="00235F62"/>
    <w:rsid w:val="00237A6E"/>
    <w:rsid w:val="00240F4B"/>
    <w:rsid w:val="00243540"/>
    <w:rsid w:val="0024497B"/>
    <w:rsid w:val="0024515B"/>
    <w:rsid w:val="00246021"/>
    <w:rsid w:val="002462C3"/>
    <w:rsid w:val="0024666E"/>
    <w:rsid w:val="00246E17"/>
    <w:rsid w:val="0024704F"/>
    <w:rsid w:val="00247B54"/>
    <w:rsid w:val="00247F52"/>
    <w:rsid w:val="00250B25"/>
    <w:rsid w:val="00250BBE"/>
    <w:rsid w:val="002515C2"/>
    <w:rsid w:val="0025194F"/>
    <w:rsid w:val="00251D2B"/>
    <w:rsid w:val="00251E8D"/>
    <w:rsid w:val="00253FD6"/>
    <w:rsid w:val="002568B0"/>
    <w:rsid w:val="00256EA6"/>
    <w:rsid w:val="00260A56"/>
    <w:rsid w:val="002613B0"/>
    <w:rsid w:val="0026148A"/>
    <w:rsid w:val="00261658"/>
    <w:rsid w:val="00262696"/>
    <w:rsid w:val="00262C2C"/>
    <w:rsid w:val="00262EAD"/>
    <w:rsid w:val="00262ED2"/>
    <w:rsid w:val="00263942"/>
    <w:rsid w:val="00263A63"/>
    <w:rsid w:val="00263D25"/>
    <w:rsid w:val="002643C3"/>
    <w:rsid w:val="00264A0C"/>
    <w:rsid w:val="00265AAF"/>
    <w:rsid w:val="00266705"/>
    <w:rsid w:val="00266BA4"/>
    <w:rsid w:val="00266EEB"/>
    <w:rsid w:val="0026772F"/>
    <w:rsid w:val="00267EF4"/>
    <w:rsid w:val="00267F26"/>
    <w:rsid w:val="00270A11"/>
    <w:rsid w:val="00270CB8"/>
    <w:rsid w:val="00272B08"/>
    <w:rsid w:val="0027332E"/>
    <w:rsid w:val="0027362A"/>
    <w:rsid w:val="00274A94"/>
    <w:rsid w:val="00275AEC"/>
    <w:rsid w:val="002766EB"/>
    <w:rsid w:val="00276A03"/>
    <w:rsid w:val="00276A19"/>
    <w:rsid w:val="00277891"/>
    <w:rsid w:val="002808BD"/>
    <w:rsid w:val="00280C2A"/>
    <w:rsid w:val="00281BB8"/>
    <w:rsid w:val="00281E9E"/>
    <w:rsid w:val="00282405"/>
    <w:rsid w:val="002825BF"/>
    <w:rsid w:val="00283EEA"/>
    <w:rsid w:val="00284FE6"/>
    <w:rsid w:val="00285170"/>
    <w:rsid w:val="00285361"/>
    <w:rsid w:val="0028570C"/>
    <w:rsid w:val="00285D11"/>
    <w:rsid w:val="0028780D"/>
    <w:rsid w:val="00287BD7"/>
    <w:rsid w:val="0029121F"/>
    <w:rsid w:val="002912E5"/>
    <w:rsid w:val="00291533"/>
    <w:rsid w:val="0029160A"/>
    <w:rsid w:val="00291B8F"/>
    <w:rsid w:val="00292D60"/>
    <w:rsid w:val="00293B30"/>
    <w:rsid w:val="00294677"/>
    <w:rsid w:val="00294D34"/>
    <w:rsid w:val="00294E3B"/>
    <w:rsid w:val="002958EB"/>
    <w:rsid w:val="00295ADB"/>
    <w:rsid w:val="00296193"/>
    <w:rsid w:val="002966BF"/>
    <w:rsid w:val="002968DE"/>
    <w:rsid w:val="00296C66"/>
    <w:rsid w:val="00296E9F"/>
    <w:rsid w:val="00296EBE"/>
    <w:rsid w:val="002974E3"/>
    <w:rsid w:val="002A00F0"/>
    <w:rsid w:val="002A084B"/>
    <w:rsid w:val="002A0AE7"/>
    <w:rsid w:val="002A0F41"/>
    <w:rsid w:val="002A1260"/>
    <w:rsid w:val="002A1589"/>
    <w:rsid w:val="002A1608"/>
    <w:rsid w:val="002A23EC"/>
    <w:rsid w:val="002A25DC"/>
    <w:rsid w:val="002A2723"/>
    <w:rsid w:val="002A3AAB"/>
    <w:rsid w:val="002A47DF"/>
    <w:rsid w:val="002A4CEA"/>
    <w:rsid w:val="002A4DE7"/>
    <w:rsid w:val="002A5327"/>
    <w:rsid w:val="002A57E8"/>
    <w:rsid w:val="002A5977"/>
    <w:rsid w:val="002A5A13"/>
    <w:rsid w:val="002A5EFB"/>
    <w:rsid w:val="002A6004"/>
    <w:rsid w:val="002A757F"/>
    <w:rsid w:val="002A7F44"/>
    <w:rsid w:val="002B0C40"/>
    <w:rsid w:val="002B1966"/>
    <w:rsid w:val="002B4167"/>
    <w:rsid w:val="002B4508"/>
    <w:rsid w:val="002B4C74"/>
    <w:rsid w:val="002B573C"/>
    <w:rsid w:val="002B5779"/>
    <w:rsid w:val="002B5812"/>
    <w:rsid w:val="002B5A62"/>
    <w:rsid w:val="002B7332"/>
    <w:rsid w:val="002B7F51"/>
    <w:rsid w:val="002C081D"/>
    <w:rsid w:val="002C0993"/>
    <w:rsid w:val="002C09E7"/>
    <w:rsid w:val="002C0F66"/>
    <w:rsid w:val="002C1E06"/>
    <w:rsid w:val="002C2892"/>
    <w:rsid w:val="002C2A7A"/>
    <w:rsid w:val="002C3D99"/>
    <w:rsid w:val="002C3F07"/>
    <w:rsid w:val="002C4350"/>
    <w:rsid w:val="002C4879"/>
    <w:rsid w:val="002C51AE"/>
    <w:rsid w:val="002C5278"/>
    <w:rsid w:val="002C5636"/>
    <w:rsid w:val="002C7EBB"/>
    <w:rsid w:val="002C7EE1"/>
    <w:rsid w:val="002D06C1"/>
    <w:rsid w:val="002D0D09"/>
    <w:rsid w:val="002D0E58"/>
    <w:rsid w:val="002D0F93"/>
    <w:rsid w:val="002D1404"/>
    <w:rsid w:val="002D2631"/>
    <w:rsid w:val="002D2957"/>
    <w:rsid w:val="002D2A59"/>
    <w:rsid w:val="002D42B5"/>
    <w:rsid w:val="002D4F1A"/>
    <w:rsid w:val="002D5767"/>
    <w:rsid w:val="002D6EC6"/>
    <w:rsid w:val="002D79AC"/>
    <w:rsid w:val="002E039D"/>
    <w:rsid w:val="002E03F9"/>
    <w:rsid w:val="002E076A"/>
    <w:rsid w:val="002E1E43"/>
    <w:rsid w:val="002E40F0"/>
    <w:rsid w:val="002E4B65"/>
    <w:rsid w:val="002E4D5A"/>
    <w:rsid w:val="002E54D4"/>
    <w:rsid w:val="002E57FD"/>
    <w:rsid w:val="002E6326"/>
    <w:rsid w:val="002E66D0"/>
    <w:rsid w:val="002E679D"/>
    <w:rsid w:val="002F021C"/>
    <w:rsid w:val="002F0F1C"/>
    <w:rsid w:val="002F30E0"/>
    <w:rsid w:val="002F320E"/>
    <w:rsid w:val="002F35E4"/>
    <w:rsid w:val="002F3730"/>
    <w:rsid w:val="002F38E1"/>
    <w:rsid w:val="002F3B38"/>
    <w:rsid w:val="002F6160"/>
    <w:rsid w:val="002F7AF6"/>
    <w:rsid w:val="002F7DC5"/>
    <w:rsid w:val="00300011"/>
    <w:rsid w:val="00300DBA"/>
    <w:rsid w:val="00300DEB"/>
    <w:rsid w:val="00300E63"/>
    <w:rsid w:val="003013DB"/>
    <w:rsid w:val="003017FE"/>
    <w:rsid w:val="00302E35"/>
    <w:rsid w:val="00302F5F"/>
    <w:rsid w:val="00303277"/>
    <w:rsid w:val="0030331B"/>
    <w:rsid w:val="0030441D"/>
    <w:rsid w:val="00305809"/>
    <w:rsid w:val="00306063"/>
    <w:rsid w:val="003066C6"/>
    <w:rsid w:val="00306DEF"/>
    <w:rsid w:val="0031070E"/>
    <w:rsid w:val="003109E1"/>
    <w:rsid w:val="003119D0"/>
    <w:rsid w:val="00312603"/>
    <w:rsid w:val="00313618"/>
    <w:rsid w:val="00313B85"/>
    <w:rsid w:val="003149D0"/>
    <w:rsid w:val="00314E5F"/>
    <w:rsid w:val="00316B2F"/>
    <w:rsid w:val="00316DC7"/>
    <w:rsid w:val="00316E8D"/>
    <w:rsid w:val="00317154"/>
    <w:rsid w:val="003171B8"/>
    <w:rsid w:val="00317241"/>
    <w:rsid w:val="00317988"/>
    <w:rsid w:val="003211DC"/>
    <w:rsid w:val="003221B4"/>
    <w:rsid w:val="0032258D"/>
    <w:rsid w:val="00322C19"/>
    <w:rsid w:val="00322E62"/>
    <w:rsid w:val="00322FD2"/>
    <w:rsid w:val="00323835"/>
    <w:rsid w:val="00323F1F"/>
    <w:rsid w:val="00324D13"/>
    <w:rsid w:val="00324EDD"/>
    <w:rsid w:val="003268CE"/>
    <w:rsid w:val="00326E54"/>
    <w:rsid w:val="00330760"/>
    <w:rsid w:val="0033131A"/>
    <w:rsid w:val="003331E4"/>
    <w:rsid w:val="003337E1"/>
    <w:rsid w:val="00333D86"/>
    <w:rsid w:val="00334397"/>
    <w:rsid w:val="0033516E"/>
    <w:rsid w:val="00336C64"/>
    <w:rsid w:val="00337162"/>
    <w:rsid w:val="003403A7"/>
    <w:rsid w:val="00340D4B"/>
    <w:rsid w:val="0034194F"/>
    <w:rsid w:val="00341AFE"/>
    <w:rsid w:val="00342063"/>
    <w:rsid w:val="003426B8"/>
    <w:rsid w:val="00343DCE"/>
    <w:rsid w:val="00344605"/>
    <w:rsid w:val="0034514C"/>
    <w:rsid w:val="00345372"/>
    <w:rsid w:val="00345E3B"/>
    <w:rsid w:val="00346471"/>
    <w:rsid w:val="0034669E"/>
    <w:rsid w:val="003474AA"/>
    <w:rsid w:val="00350D1D"/>
    <w:rsid w:val="00351D58"/>
    <w:rsid w:val="00351FE2"/>
    <w:rsid w:val="00352C83"/>
    <w:rsid w:val="00352F1A"/>
    <w:rsid w:val="00353357"/>
    <w:rsid w:val="0035389F"/>
    <w:rsid w:val="00355032"/>
    <w:rsid w:val="00355C47"/>
    <w:rsid w:val="00355FD9"/>
    <w:rsid w:val="00356FEF"/>
    <w:rsid w:val="00357061"/>
    <w:rsid w:val="0036107C"/>
    <w:rsid w:val="003615D2"/>
    <w:rsid w:val="00363F48"/>
    <w:rsid w:val="0036429C"/>
    <w:rsid w:val="003643FC"/>
    <w:rsid w:val="003649CF"/>
    <w:rsid w:val="00364A53"/>
    <w:rsid w:val="003654CB"/>
    <w:rsid w:val="00365AA9"/>
    <w:rsid w:val="00365F86"/>
    <w:rsid w:val="00365F87"/>
    <w:rsid w:val="00366670"/>
    <w:rsid w:val="00366E89"/>
    <w:rsid w:val="00367D81"/>
    <w:rsid w:val="003705F4"/>
    <w:rsid w:val="003709B3"/>
    <w:rsid w:val="00370D58"/>
    <w:rsid w:val="00371316"/>
    <w:rsid w:val="00373D2C"/>
    <w:rsid w:val="00375CA4"/>
    <w:rsid w:val="00376713"/>
    <w:rsid w:val="00377A57"/>
    <w:rsid w:val="003810AD"/>
    <w:rsid w:val="00381815"/>
    <w:rsid w:val="003819AF"/>
    <w:rsid w:val="003820E9"/>
    <w:rsid w:val="00382DE7"/>
    <w:rsid w:val="003830EA"/>
    <w:rsid w:val="003839DB"/>
    <w:rsid w:val="00384FFC"/>
    <w:rsid w:val="0038630A"/>
    <w:rsid w:val="003872FC"/>
    <w:rsid w:val="0038784E"/>
    <w:rsid w:val="003878F6"/>
    <w:rsid w:val="00387ADC"/>
    <w:rsid w:val="00387B08"/>
    <w:rsid w:val="00390020"/>
    <w:rsid w:val="003903D6"/>
    <w:rsid w:val="00390EE6"/>
    <w:rsid w:val="0039118F"/>
    <w:rsid w:val="00391A96"/>
    <w:rsid w:val="00392AD7"/>
    <w:rsid w:val="003932F3"/>
    <w:rsid w:val="003936F8"/>
    <w:rsid w:val="003938D9"/>
    <w:rsid w:val="00394376"/>
    <w:rsid w:val="003943FF"/>
    <w:rsid w:val="00395F97"/>
    <w:rsid w:val="003974EB"/>
    <w:rsid w:val="00397951"/>
    <w:rsid w:val="00397B69"/>
    <w:rsid w:val="00397CC5"/>
    <w:rsid w:val="00397FB7"/>
    <w:rsid w:val="003A10FB"/>
    <w:rsid w:val="003A11D1"/>
    <w:rsid w:val="003A14E5"/>
    <w:rsid w:val="003A1582"/>
    <w:rsid w:val="003A347D"/>
    <w:rsid w:val="003A3D9C"/>
    <w:rsid w:val="003A4077"/>
    <w:rsid w:val="003A4362"/>
    <w:rsid w:val="003A4AA7"/>
    <w:rsid w:val="003A597B"/>
    <w:rsid w:val="003A5B98"/>
    <w:rsid w:val="003A5D71"/>
    <w:rsid w:val="003A66D6"/>
    <w:rsid w:val="003A6DB5"/>
    <w:rsid w:val="003B09AD"/>
    <w:rsid w:val="003B1F18"/>
    <w:rsid w:val="003B3B6F"/>
    <w:rsid w:val="003B4E38"/>
    <w:rsid w:val="003B4ED3"/>
    <w:rsid w:val="003B51FB"/>
    <w:rsid w:val="003B5BF0"/>
    <w:rsid w:val="003B60BF"/>
    <w:rsid w:val="003B69ED"/>
    <w:rsid w:val="003B6BE3"/>
    <w:rsid w:val="003C010C"/>
    <w:rsid w:val="003C0A6C"/>
    <w:rsid w:val="003C0ECF"/>
    <w:rsid w:val="003C14F8"/>
    <w:rsid w:val="003C26ED"/>
    <w:rsid w:val="003C308E"/>
    <w:rsid w:val="003C5A43"/>
    <w:rsid w:val="003C6D7B"/>
    <w:rsid w:val="003C7E5F"/>
    <w:rsid w:val="003D0519"/>
    <w:rsid w:val="003D0FF6"/>
    <w:rsid w:val="003D2438"/>
    <w:rsid w:val="003D262C"/>
    <w:rsid w:val="003D3B28"/>
    <w:rsid w:val="003D477F"/>
    <w:rsid w:val="003D5902"/>
    <w:rsid w:val="003D6D61"/>
    <w:rsid w:val="003D79E3"/>
    <w:rsid w:val="003E019F"/>
    <w:rsid w:val="003E091D"/>
    <w:rsid w:val="003E1C53"/>
    <w:rsid w:val="003E2337"/>
    <w:rsid w:val="003E2A69"/>
    <w:rsid w:val="003E2D49"/>
    <w:rsid w:val="003E2E9B"/>
    <w:rsid w:val="003E2FD4"/>
    <w:rsid w:val="003E4429"/>
    <w:rsid w:val="003E49F6"/>
    <w:rsid w:val="003E5092"/>
    <w:rsid w:val="003E660F"/>
    <w:rsid w:val="003F0841"/>
    <w:rsid w:val="003F15C1"/>
    <w:rsid w:val="003F23D3"/>
    <w:rsid w:val="003F325B"/>
    <w:rsid w:val="003F3345"/>
    <w:rsid w:val="003F3F08"/>
    <w:rsid w:val="003F4413"/>
    <w:rsid w:val="003F49F1"/>
    <w:rsid w:val="003F6272"/>
    <w:rsid w:val="003F7827"/>
    <w:rsid w:val="003F7AD2"/>
    <w:rsid w:val="004000B8"/>
    <w:rsid w:val="00400CC8"/>
    <w:rsid w:val="00400E17"/>
    <w:rsid w:val="00400E72"/>
    <w:rsid w:val="00400F48"/>
    <w:rsid w:val="00401400"/>
    <w:rsid w:val="00401637"/>
    <w:rsid w:val="004027DF"/>
    <w:rsid w:val="004035C8"/>
    <w:rsid w:val="004039EF"/>
    <w:rsid w:val="00404869"/>
    <w:rsid w:val="00405884"/>
    <w:rsid w:val="004063D8"/>
    <w:rsid w:val="00406C14"/>
    <w:rsid w:val="004079D7"/>
    <w:rsid w:val="00407C0B"/>
    <w:rsid w:val="00407D39"/>
    <w:rsid w:val="0041477A"/>
    <w:rsid w:val="004160CB"/>
    <w:rsid w:val="004160F7"/>
    <w:rsid w:val="004167A3"/>
    <w:rsid w:val="004207D8"/>
    <w:rsid w:val="004214BD"/>
    <w:rsid w:val="0042281D"/>
    <w:rsid w:val="0042353D"/>
    <w:rsid w:val="004236EC"/>
    <w:rsid w:val="00423CD9"/>
    <w:rsid w:val="00424730"/>
    <w:rsid w:val="004252B6"/>
    <w:rsid w:val="0043054B"/>
    <w:rsid w:val="004323F1"/>
    <w:rsid w:val="00432DAA"/>
    <w:rsid w:val="00432F8B"/>
    <w:rsid w:val="004331BF"/>
    <w:rsid w:val="00434305"/>
    <w:rsid w:val="00434AC6"/>
    <w:rsid w:val="0043564A"/>
    <w:rsid w:val="00435DF7"/>
    <w:rsid w:val="00435EA4"/>
    <w:rsid w:val="00435FEC"/>
    <w:rsid w:val="0043741A"/>
    <w:rsid w:val="0043774E"/>
    <w:rsid w:val="0043787D"/>
    <w:rsid w:val="00437CC7"/>
    <w:rsid w:val="00440333"/>
    <w:rsid w:val="0044083F"/>
    <w:rsid w:val="00440F34"/>
    <w:rsid w:val="00441AE7"/>
    <w:rsid w:val="00442FDC"/>
    <w:rsid w:val="00445574"/>
    <w:rsid w:val="004455B2"/>
    <w:rsid w:val="004467FB"/>
    <w:rsid w:val="00447ED4"/>
    <w:rsid w:val="00450211"/>
    <w:rsid w:val="00450394"/>
    <w:rsid w:val="004507BE"/>
    <w:rsid w:val="00452D6B"/>
    <w:rsid w:val="00453A2B"/>
    <w:rsid w:val="00454484"/>
    <w:rsid w:val="0045517B"/>
    <w:rsid w:val="00455612"/>
    <w:rsid w:val="00455802"/>
    <w:rsid w:val="0045758A"/>
    <w:rsid w:val="00457649"/>
    <w:rsid w:val="00457BD7"/>
    <w:rsid w:val="00463407"/>
    <w:rsid w:val="00463B77"/>
    <w:rsid w:val="00463C7B"/>
    <w:rsid w:val="004644A6"/>
    <w:rsid w:val="00464FA2"/>
    <w:rsid w:val="00465058"/>
    <w:rsid w:val="004659BD"/>
    <w:rsid w:val="00466531"/>
    <w:rsid w:val="004667F3"/>
    <w:rsid w:val="00467076"/>
    <w:rsid w:val="00470443"/>
    <w:rsid w:val="00470775"/>
    <w:rsid w:val="00470D9B"/>
    <w:rsid w:val="00472ACF"/>
    <w:rsid w:val="00472CF8"/>
    <w:rsid w:val="00472F75"/>
    <w:rsid w:val="004746B1"/>
    <w:rsid w:val="0047583F"/>
    <w:rsid w:val="00475DE8"/>
    <w:rsid w:val="00476357"/>
    <w:rsid w:val="004771E4"/>
    <w:rsid w:val="00481C44"/>
    <w:rsid w:val="0048224C"/>
    <w:rsid w:val="004827C0"/>
    <w:rsid w:val="00482D9D"/>
    <w:rsid w:val="00483B41"/>
    <w:rsid w:val="00484936"/>
    <w:rsid w:val="00484FBB"/>
    <w:rsid w:val="004856AE"/>
    <w:rsid w:val="00485C89"/>
    <w:rsid w:val="00486403"/>
    <w:rsid w:val="00486759"/>
    <w:rsid w:val="004869DE"/>
    <w:rsid w:val="00486BE3"/>
    <w:rsid w:val="004901D2"/>
    <w:rsid w:val="004905E4"/>
    <w:rsid w:val="00490A89"/>
    <w:rsid w:val="00490AB4"/>
    <w:rsid w:val="004916D0"/>
    <w:rsid w:val="00492F02"/>
    <w:rsid w:val="0049318E"/>
    <w:rsid w:val="004936A6"/>
    <w:rsid w:val="004939AE"/>
    <w:rsid w:val="00493BB2"/>
    <w:rsid w:val="00493DB1"/>
    <w:rsid w:val="00497AB5"/>
    <w:rsid w:val="00497B73"/>
    <w:rsid w:val="004A12DF"/>
    <w:rsid w:val="004A1BA8"/>
    <w:rsid w:val="004A1D61"/>
    <w:rsid w:val="004A2572"/>
    <w:rsid w:val="004A4B57"/>
    <w:rsid w:val="004A4ED1"/>
    <w:rsid w:val="004A526A"/>
    <w:rsid w:val="004A585A"/>
    <w:rsid w:val="004A6177"/>
    <w:rsid w:val="004A63FA"/>
    <w:rsid w:val="004A68E7"/>
    <w:rsid w:val="004A6A3D"/>
    <w:rsid w:val="004A7CDF"/>
    <w:rsid w:val="004B0272"/>
    <w:rsid w:val="004B1562"/>
    <w:rsid w:val="004B2701"/>
    <w:rsid w:val="004B2E1B"/>
    <w:rsid w:val="004B3AA8"/>
    <w:rsid w:val="004B3E93"/>
    <w:rsid w:val="004B3FB5"/>
    <w:rsid w:val="004B5D97"/>
    <w:rsid w:val="004B683B"/>
    <w:rsid w:val="004C1FBC"/>
    <w:rsid w:val="004C2524"/>
    <w:rsid w:val="004C256E"/>
    <w:rsid w:val="004C25A2"/>
    <w:rsid w:val="004C3F1D"/>
    <w:rsid w:val="004C458D"/>
    <w:rsid w:val="004C47D1"/>
    <w:rsid w:val="004C664B"/>
    <w:rsid w:val="004C6976"/>
    <w:rsid w:val="004C7556"/>
    <w:rsid w:val="004C7E8B"/>
    <w:rsid w:val="004C7E9D"/>
    <w:rsid w:val="004C7F67"/>
    <w:rsid w:val="004D076D"/>
    <w:rsid w:val="004D0EF1"/>
    <w:rsid w:val="004D1AF7"/>
    <w:rsid w:val="004D1D16"/>
    <w:rsid w:val="004D2253"/>
    <w:rsid w:val="004D299E"/>
    <w:rsid w:val="004D4406"/>
    <w:rsid w:val="004D45AF"/>
    <w:rsid w:val="004D496E"/>
    <w:rsid w:val="004D534D"/>
    <w:rsid w:val="004D54FF"/>
    <w:rsid w:val="004D76B2"/>
    <w:rsid w:val="004D7C42"/>
    <w:rsid w:val="004E0021"/>
    <w:rsid w:val="004E0347"/>
    <w:rsid w:val="004E0465"/>
    <w:rsid w:val="004E0611"/>
    <w:rsid w:val="004E127B"/>
    <w:rsid w:val="004E1C0A"/>
    <w:rsid w:val="004E1E8E"/>
    <w:rsid w:val="004E1F32"/>
    <w:rsid w:val="004E2E2C"/>
    <w:rsid w:val="004E30C5"/>
    <w:rsid w:val="004E3228"/>
    <w:rsid w:val="004E3375"/>
    <w:rsid w:val="004E37CC"/>
    <w:rsid w:val="004E398F"/>
    <w:rsid w:val="004E4AA5"/>
    <w:rsid w:val="004E4AEE"/>
    <w:rsid w:val="004E4D8F"/>
    <w:rsid w:val="004E571A"/>
    <w:rsid w:val="004E59E3"/>
    <w:rsid w:val="004E5AAD"/>
    <w:rsid w:val="004E5BE2"/>
    <w:rsid w:val="004E67C0"/>
    <w:rsid w:val="004E6C9D"/>
    <w:rsid w:val="004E7684"/>
    <w:rsid w:val="004F000B"/>
    <w:rsid w:val="004F0C0F"/>
    <w:rsid w:val="004F3884"/>
    <w:rsid w:val="004F391A"/>
    <w:rsid w:val="004F3CFB"/>
    <w:rsid w:val="004F4CAE"/>
    <w:rsid w:val="004F5335"/>
    <w:rsid w:val="004F6456"/>
    <w:rsid w:val="004F696E"/>
    <w:rsid w:val="004F6C71"/>
    <w:rsid w:val="004F74C6"/>
    <w:rsid w:val="0050063E"/>
    <w:rsid w:val="00500AD5"/>
    <w:rsid w:val="00500C9D"/>
    <w:rsid w:val="00501139"/>
    <w:rsid w:val="00501229"/>
    <w:rsid w:val="00501EE5"/>
    <w:rsid w:val="00502DB8"/>
    <w:rsid w:val="00502F37"/>
    <w:rsid w:val="0050363E"/>
    <w:rsid w:val="005039BC"/>
    <w:rsid w:val="00503E8F"/>
    <w:rsid w:val="005043BB"/>
    <w:rsid w:val="0050454D"/>
    <w:rsid w:val="0050491A"/>
    <w:rsid w:val="00504A3D"/>
    <w:rsid w:val="00505767"/>
    <w:rsid w:val="005058F8"/>
    <w:rsid w:val="005073BB"/>
    <w:rsid w:val="005073F0"/>
    <w:rsid w:val="00510397"/>
    <w:rsid w:val="0051054F"/>
    <w:rsid w:val="00510A7B"/>
    <w:rsid w:val="00511C44"/>
    <w:rsid w:val="00512F6E"/>
    <w:rsid w:val="00513038"/>
    <w:rsid w:val="005131CE"/>
    <w:rsid w:val="00514174"/>
    <w:rsid w:val="00514C0E"/>
    <w:rsid w:val="00516088"/>
    <w:rsid w:val="00516B0B"/>
    <w:rsid w:val="00516EEC"/>
    <w:rsid w:val="0051762C"/>
    <w:rsid w:val="00517D09"/>
    <w:rsid w:val="00517D14"/>
    <w:rsid w:val="005208B4"/>
    <w:rsid w:val="00520A12"/>
    <w:rsid w:val="00520C63"/>
    <w:rsid w:val="005217F8"/>
    <w:rsid w:val="005220EC"/>
    <w:rsid w:val="00522107"/>
    <w:rsid w:val="00523F11"/>
    <w:rsid w:val="00523F95"/>
    <w:rsid w:val="00524D65"/>
    <w:rsid w:val="00525315"/>
    <w:rsid w:val="005254AB"/>
    <w:rsid w:val="00525B16"/>
    <w:rsid w:val="0052654B"/>
    <w:rsid w:val="00526A1E"/>
    <w:rsid w:val="00527B5B"/>
    <w:rsid w:val="005305BF"/>
    <w:rsid w:val="00531B36"/>
    <w:rsid w:val="00533D04"/>
    <w:rsid w:val="00534804"/>
    <w:rsid w:val="00534BDF"/>
    <w:rsid w:val="0053503C"/>
    <w:rsid w:val="00535475"/>
    <w:rsid w:val="005354EA"/>
    <w:rsid w:val="0053585F"/>
    <w:rsid w:val="00535932"/>
    <w:rsid w:val="00535EC4"/>
    <w:rsid w:val="00535ED9"/>
    <w:rsid w:val="005368B6"/>
    <w:rsid w:val="0053692B"/>
    <w:rsid w:val="0053721D"/>
    <w:rsid w:val="00541853"/>
    <w:rsid w:val="00542710"/>
    <w:rsid w:val="00543BDA"/>
    <w:rsid w:val="00543F6E"/>
    <w:rsid w:val="00543F71"/>
    <w:rsid w:val="005441CC"/>
    <w:rsid w:val="00545369"/>
    <w:rsid w:val="005454E1"/>
    <w:rsid w:val="005479DA"/>
    <w:rsid w:val="00547BCC"/>
    <w:rsid w:val="0055013B"/>
    <w:rsid w:val="00550F1D"/>
    <w:rsid w:val="00551F6F"/>
    <w:rsid w:val="00553682"/>
    <w:rsid w:val="00555044"/>
    <w:rsid w:val="00556A27"/>
    <w:rsid w:val="00557318"/>
    <w:rsid w:val="00561475"/>
    <w:rsid w:val="00561B61"/>
    <w:rsid w:val="00562308"/>
    <w:rsid w:val="00564046"/>
    <w:rsid w:val="0056404E"/>
    <w:rsid w:val="00564560"/>
    <w:rsid w:val="0056487B"/>
    <w:rsid w:val="00564FB9"/>
    <w:rsid w:val="00565A66"/>
    <w:rsid w:val="0056640D"/>
    <w:rsid w:val="00567433"/>
    <w:rsid w:val="005700AA"/>
    <w:rsid w:val="00570552"/>
    <w:rsid w:val="005730F4"/>
    <w:rsid w:val="00573AAC"/>
    <w:rsid w:val="00573D9E"/>
    <w:rsid w:val="005745E0"/>
    <w:rsid w:val="0057635F"/>
    <w:rsid w:val="005771D3"/>
    <w:rsid w:val="00577558"/>
    <w:rsid w:val="005801E3"/>
    <w:rsid w:val="00580CC3"/>
    <w:rsid w:val="00581802"/>
    <w:rsid w:val="00582831"/>
    <w:rsid w:val="005836A8"/>
    <w:rsid w:val="0058409C"/>
    <w:rsid w:val="00584262"/>
    <w:rsid w:val="00584B62"/>
    <w:rsid w:val="00586630"/>
    <w:rsid w:val="00586720"/>
    <w:rsid w:val="00587890"/>
    <w:rsid w:val="00587ADD"/>
    <w:rsid w:val="0059068B"/>
    <w:rsid w:val="005906A3"/>
    <w:rsid w:val="0059071E"/>
    <w:rsid w:val="0059155C"/>
    <w:rsid w:val="005916C7"/>
    <w:rsid w:val="00591FA3"/>
    <w:rsid w:val="00593A49"/>
    <w:rsid w:val="00594505"/>
    <w:rsid w:val="00594711"/>
    <w:rsid w:val="00594FF7"/>
    <w:rsid w:val="00596160"/>
    <w:rsid w:val="005961D3"/>
    <w:rsid w:val="005966E2"/>
    <w:rsid w:val="005968B3"/>
    <w:rsid w:val="00597007"/>
    <w:rsid w:val="005A0966"/>
    <w:rsid w:val="005A0E4F"/>
    <w:rsid w:val="005A11B7"/>
    <w:rsid w:val="005A260B"/>
    <w:rsid w:val="005A4A1B"/>
    <w:rsid w:val="005A56D9"/>
    <w:rsid w:val="005A623C"/>
    <w:rsid w:val="005A62CE"/>
    <w:rsid w:val="005A630E"/>
    <w:rsid w:val="005A65BD"/>
    <w:rsid w:val="005A7234"/>
    <w:rsid w:val="005A75BA"/>
    <w:rsid w:val="005A7830"/>
    <w:rsid w:val="005A7FCE"/>
    <w:rsid w:val="005B0F3F"/>
    <w:rsid w:val="005B191C"/>
    <w:rsid w:val="005B19A3"/>
    <w:rsid w:val="005B2D68"/>
    <w:rsid w:val="005B3CD8"/>
    <w:rsid w:val="005B4903"/>
    <w:rsid w:val="005B4FA9"/>
    <w:rsid w:val="005B51CE"/>
    <w:rsid w:val="005B525F"/>
    <w:rsid w:val="005B5416"/>
    <w:rsid w:val="005B5885"/>
    <w:rsid w:val="005B5CD7"/>
    <w:rsid w:val="005B6CF6"/>
    <w:rsid w:val="005B6FB8"/>
    <w:rsid w:val="005B7422"/>
    <w:rsid w:val="005B7F9E"/>
    <w:rsid w:val="005B7FFA"/>
    <w:rsid w:val="005C09A7"/>
    <w:rsid w:val="005C1A72"/>
    <w:rsid w:val="005C1EF4"/>
    <w:rsid w:val="005C22F8"/>
    <w:rsid w:val="005C29B8"/>
    <w:rsid w:val="005C2FFA"/>
    <w:rsid w:val="005C3095"/>
    <w:rsid w:val="005C462D"/>
    <w:rsid w:val="005C4C9A"/>
    <w:rsid w:val="005C5BC0"/>
    <w:rsid w:val="005C5F21"/>
    <w:rsid w:val="005C6637"/>
    <w:rsid w:val="005C7156"/>
    <w:rsid w:val="005D0C75"/>
    <w:rsid w:val="005D11AB"/>
    <w:rsid w:val="005D13DA"/>
    <w:rsid w:val="005D1E0F"/>
    <w:rsid w:val="005D4171"/>
    <w:rsid w:val="005D5B5C"/>
    <w:rsid w:val="005D643F"/>
    <w:rsid w:val="005D6A95"/>
    <w:rsid w:val="005D6B2C"/>
    <w:rsid w:val="005D6D9C"/>
    <w:rsid w:val="005D720E"/>
    <w:rsid w:val="005D7BB8"/>
    <w:rsid w:val="005E04CB"/>
    <w:rsid w:val="005E0A75"/>
    <w:rsid w:val="005E0DB5"/>
    <w:rsid w:val="005E0DCB"/>
    <w:rsid w:val="005E18E8"/>
    <w:rsid w:val="005E2335"/>
    <w:rsid w:val="005E34CA"/>
    <w:rsid w:val="005E3C18"/>
    <w:rsid w:val="005E4168"/>
    <w:rsid w:val="005E4250"/>
    <w:rsid w:val="005E5D36"/>
    <w:rsid w:val="005E616C"/>
    <w:rsid w:val="005E6812"/>
    <w:rsid w:val="005E6994"/>
    <w:rsid w:val="005E6C9B"/>
    <w:rsid w:val="005E6CAC"/>
    <w:rsid w:val="005E7747"/>
    <w:rsid w:val="005E7881"/>
    <w:rsid w:val="005E78E0"/>
    <w:rsid w:val="005E7902"/>
    <w:rsid w:val="005E7B2A"/>
    <w:rsid w:val="005F012E"/>
    <w:rsid w:val="005F0D9C"/>
    <w:rsid w:val="005F2037"/>
    <w:rsid w:val="005F284E"/>
    <w:rsid w:val="005F3B30"/>
    <w:rsid w:val="005F4965"/>
    <w:rsid w:val="005F5A39"/>
    <w:rsid w:val="005F6863"/>
    <w:rsid w:val="005F69C9"/>
    <w:rsid w:val="005F6EDF"/>
    <w:rsid w:val="005F716C"/>
    <w:rsid w:val="005F75A6"/>
    <w:rsid w:val="005F7A9B"/>
    <w:rsid w:val="00600543"/>
    <w:rsid w:val="006015CE"/>
    <w:rsid w:val="00602B0B"/>
    <w:rsid w:val="00604784"/>
    <w:rsid w:val="00606419"/>
    <w:rsid w:val="00606E6B"/>
    <w:rsid w:val="006079DA"/>
    <w:rsid w:val="00607A68"/>
    <w:rsid w:val="00607D29"/>
    <w:rsid w:val="00611B87"/>
    <w:rsid w:val="006124AA"/>
    <w:rsid w:val="00612952"/>
    <w:rsid w:val="0061327F"/>
    <w:rsid w:val="006134D8"/>
    <w:rsid w:val="00613EA2"/>
    <w:rsid w:val="00614C56"/>
    <w:rsid w:val="00614CC1"/>
    <w:rsid w:val="006153E0"/>
    <w:rsid w:val="00615A9D"/>
    <w:rsid w:val="00615E57"/>
    <w:rsid w:val="00617387"/>
    <w:rsid w:val="00617425"/>
    <w:rsid w:val="006205D6"/>
    <w:rsid w:val="0062293E"/>
    <w:rsid w:val="00623499"/>
    <w:rsid w:val="00624271"/>
    <w:rsid w:val="00624F18"/>
    <w:rsid w:val="006252D7"/>
    <w:rsid w:val="006252D8"/>
    <w:rsid w:val="006256E2"/>
    <w:rsid w:val="006259BC"/>
    <w:rsid w:val="00625CD0"/>
    <w:rsid w:val="0062636B"/>
    <w:rsid w:val="00626D5D"/>
    <w:rsid w:val="00630A48"/>
    <w:rsid w:val="00630DFF"/>
    <w:rsid w:val="0063114F"/>
    <w:rsid w:val="0063136B"/>
    <w:rsid w:val="00631456"/>
    <w:rsid w:val="00632182"/>
    <w:rsid w:val="00632843"/>
    <w:rsid w:val="00632AE0"/>
    <w:rsid w:val="00633B13"/>
    <w:rsid w:val="00633B8A"/>
    <w:rsid w:val="00633C17"/>
    <w:rsid w:val="00634599"/>
    <w:rsid w:val="00634D9E"/>
    <w:rsid w:val="00635899"/>
    <w:rsid w:val="00635B9E"/>
    <w:rsid w:val="00636C8F"/>
    <w:rsid w:val="00636E3E"/>
    <w:rsid w:val="006379F7"/>
    <w:rsid w:val="00637E4D"/>
    <w:rsid w:val="00637F34"/>
    <w:rsid w:val="00640620"/>
    <w:rsid w:val="00640C6B"/>
    <w:rsid w:val="00641A1F"/>
    <w:rsid w:val="00642017"/>
    <w:rsid w:val="006424EA"/>
    <w:rsid w:val="00643E83"/>
    <w:rsid w:val="00645904"/>
    <w:rsid w:val="006464DC"/>
    <w:rsid w:val="00646B15"/>
    <w:rsid w:val="00647CB0"/>
    <w:rsid w:val="00651ACB"/>
    <w:rsid w:val="00651C47"/>
    <w:rsid w:val="00652AB2"/>
    <w:rsid w:val="00653A64"/>
    <w:rsid w:val="00653D67"/>
    <w:rsid w:val="00653FED"/>
    <w:rsid w:val="00654E52"/>
    <w:rsid w:val="00654EC0"/>
    <w:rsid w:val="0065525B"/>
    <w:rsid w:val="00655D4F"/>
    <w:rsid w:val="006564EA"/>
    <w:rsid w:val="00656D29"/>
    <w:rsid w:val="00661EBD"/>
    <w:rsid w:val="00663D03"/>
    <w:rsid w:val="00663F06"/>
    <w:rsid w:val="006640E5"/>
    <w:rsid w:val="006642F4"/>
    <w:rsid w:val="006646F1"/>
    <w:rsid w:val="00664929"/>
    <w:rsid w:val="00664F62"/>
    <w:rsid w:val="006655E1"/>
    <w:rsid w:val="00665BF5"/>
    <w:rsid w:val="00665E29"/>
    <w:rsid w:val="00667433"/>
    <w:rsid w:val="00667FB5"/>
    <w:rsid w:val="00670935"/>
    <w:rsid w:val="00672060"/>
    <w:rsid w:val="006725B4"/>
    <w:rsid w:val="006727F7"/>
    <w:rsid w:val="006728E3"/>
    <w:rsid w:val="00672BFD"/>
    <w:rsid w:val="00672CA7"/>
    <w:rsid w:val="00673143"/>
    <w:rsid w:val="00675213"/>
    <w:rsid w:val="00675D3D"/>
    <w:rsid w:val="00676497"/>
    <w:rsid w:val="00676651"/>
    <w:rsid w:val="00676A6B"/>
    <w:rsid w:val="00676A7D"/>
    <w:rsid w:val="006770F4"/>
    <w:rsid w:val="006771C7"/>
    <w:rsid w:val="00677A84"/>
    <w:rsid w:val="0068026D"/>
    <w:rsid w:val="00680A27"/>
    <w:rsid w:val="006816A4"/>
    <w:rsid w:val="006819B8"/>
    <w:rsid w:val="006822D5"/>
    <w:rsid w:val="006839FB"/>
    <w:rsid w:val="006840A6"/>
    <w:rsid w:val="0068420B"/>
    <w:rsid w:val="006850CD"/>
    <w:rsid w:val="00685AAB"/>
    <w:rsid w:val="00685AF5"/>
    <w:rsid w:val="006860A0"/>
    <w:rsid w:val="00686638"/>
    <w:rsid w:val="006872B7"/>
    <w:rsid w:val="00692319"/>
    <w:rsid w:val="00692C1A"/>
    <w:rsid w:val="00693962"/>
    <w:rsid w:val="00693BFD"/>
    <w:rsid w:val="00697B7D"/>
    <w:rsid w:val="006A012F"/>
    <w:rsid w:val="006A07AA"/>
    <w:rsid w:val="006A11AF"/>
    <w:rsid w:val="006A1F06"/>
    <w:rsid w:val="006A25E5"/>
    <w:rsid w:val="006A2B46"/>
    <w:rsid w:val="006A32FD"/>
    <w:rsid w:val="006A336D"/>
    <w:rsid w:val="006A37B9"/>
    <w:rsid w:val="006A4DCE"/>
    <w:rsid w:val="006A4FA1"/>
    <w:rsid w:val="006A5578"/>
    <w:rsid w:val="006A5B52"/>
    <w:rsid w:val="006A5B6E"/>
    <w:rsid w:val="006A6D0F"/>
    <w:rsid w:val="006A760A"/>
    <w:rsid w:val="006A7E08"/>
    <w:rsid w:val="006B022C"/>
    <w:rsid w:val="006B06EF"/>
    <w:rsid w:val="006B07EC"/>
    <w:rsid w:val="006B25B1"/>
    <w:rsid w:val="006B2672"/>
    <w:rsid w:val="006B427B"/>
    <w:rsid w:val="006B5038"/>
    <w:rsid w:val="006B54BF"/>
    <w:rsid w:val="006B55C7"/>
    <w:rsid w:val="006B5F44"/>
    <w:rsid w:val="006B5F90"/>
    <w:rsid w:val="006B62E4"/>
    <w:rsid w:val="006B6A87"/>
    <w:rsid w:val="006B6B4F"/>
    <w:rsid w:val="006B7A35"/>
    <w:rsid w:val="006C0924"/>
    <w:rsid w:val="006C0B11"/>
    <w:rsid w:val="006C15E0"/>
    <w:rsid w:val="006C1A55"/>
    <w:rsid w:val="006C1BBA"/>
    <w:rsid w:val="006C1E75"/>
    <w:rsid w:val="006C2079"/>
    <w:rsid w:val="006C3479"/>
    <w:rsid w:val="006C3F74"/>
    <w:rsid w:val="006C4A1A"/>
    <w:rsid w:val="006C5A62"/>
    <w:rsid w:val="006C5D68"/>
    <w:rsid w:val="006C6976"/>
    <w:rsid w:val="006C6DD0"/>
    <w:rsid w:val="006C6F95"/>
    <w:rsid w:val="006D04EA"/>
    <w:rsid w:val="006D0594"/>
    <w:rsid w:val="006D16C4"/>
    <w:rsid w:val="006D1766"/>
    <w:rsid w:val="006D362C"/>
    <w:rsid w:val="006D3C5B"/>
    <w:rsid w:val="006D3E96"/>
    <w:rsid w:val="006D42CE"/>
    <w:rsid w:val="006D4515"/>
    <w:rsid w:val="006D4BB1"/>
    <w:rsid w:val="006D6593"/>
    <w:rsid w:val="006E08D8"/>
    <w:rsid w:val="006E10B0"/>
    <w:rsid w:val="006E1E6C"/>
    <w:rsid w:val="006E4002"/>
    <w:rsid w:val="006E4E2B"/>
    <w:rsid w:val="006F038C"/>
    <w:rsid w:val="006F0390"/>
    <w:rsid w:val="006F03A8"/>
    <w:rsid w:val="006F07EA"/>
    <w:rsid w:val="006F1179"/>
    <w:rsid w:val="006F167E"/>
    <w:rsid w:val="006F20CC"/>
    <w:rsid w:val="006F2ACA"/>
    <w:rsid w:val="006F2ADC"/>
    <w:rsid w:val="006F2BFE"/>
    <w:rsid w:val="006F31E9"/>
    <w:rsid w:val="006F368D"/>
    <w:rsid w:val="006F37AC"/>
    <w:rsid w:val="006F3D8C"/>
    <w:rsid w:val="006F3F45"/>
    <w:rsid w:val="006F414B"/>
    <w:rsid w:val="006F4185"/>
    <w:rsid w:val="006F4833"/>
    <w:rsid w:val="006F5245"/>
    <w:rsid w:val="006F572C"/>
    <w:rsid w:val="006F6284"/>
    <w:rsid w:val="006F6808"/>
    <w:rsid w:val="006F7D0E"/>
    <w:rsid w:val="007000D4"/>
    <w:rsid w:val="007002C5"/>
    <w:rsid w:val="007007DE"/>
    <w:rsid w:val="007010B7"/>
    <w:rsid w:val="00701DE9"/>
    <w:rsid w:val="00703792"/>
    <w:rsid w:val="00703AFA"/>
    <w:rsid w:val="00704387"/>
    <w:rsid w:val="007054D7"/>
    <w:rsid w:val="0070610A"/>
    <w:rsid w:val="007074BF"/>
    <w:rsid w:val="007074D1"/>
    <w:rsid w:val="00707669"/>
    <w:rsid w:val="00710C81"/>
    <w:rsid w:val="00711C61"/>
    <w:rsid w:val="00711CBA"/>
    <w:rsid w:val="00711FB5"/>
    <w:rsid w:val="00712567"/>
    <w:rsid w:val="00712A01"/>
    <w:rsid w:val="0071407F"/>
    <w:rsid w:val="00714715"/>
    <w:rsid w:val="0071497A"/>
    <w:rsid w:val="00714A22"/>
    <w:rsid w:val="00714F58"/>
    <w:rsid w:val="00716CD0"/>
    <w:rsid w:val="00717546"/>
    <w:rsid w:val="00720EA1"/>
    <w:rsid w:val="007211CA"/>
    <w:rsid w:val="00722F07"/>
    <w:rsid w:val="00722FBF"/>
    <w:rsid w:val="00722FC2"/>
    <w:rsid w:val="00723173"/>
    <w:rsid w:val="00723DC9"/>
    <w:rsid w:val="00723DED"/>
    <w:rsid w:val="00724026"/>
    <w:rsid w:val="00724599"/>
    <w:rsid w:val="00724A6D"/>
    <w:rsid w:val="00724E1B"/>
    <w:rsid w:val="00725949"/>
    <w:rsid w:val="00726ED9"/>
    <w:rsid w:val="007276AD"/>
    <w:rsid w:val="00727ADB"/>
    <w:rsid w:val="00727FA2"/>
    <w:rsid w:val="007322D9"/>
    <w:rsid w:val="00732BC0"/>
    <w:rsid w:val="00733536"/>
    <w:rsid w:val="00734ED5"/>
    <w:rsid w:val="00734F61"/>
    <w:rsid w:val="00735881"/>
    <w:rsid w:val="00735B92"/>
    <w:rsid w:val="0073720F"/>
    <w:rsid w:val="00737796"/>
    <w:rsid w:val="00737DB4"/>
    <w:rsid w:val="0074165C"/>
    <w:rsid w:val="0074176C"/>
    <w:rsid w:val="007421C5"/>
    <w:rsid w:val="00742377"/>
    <w:rsid w:val="007427A4"/>
    <w:rsid w:val="00742C35"/>
    <w:rsid w:val="007432CA"/>
    <w:rsid w:val="007433ED"/>
    <w:rsid w:val="007439EB"/>
    <w:rsid w:val="00743CB4"/>
    <w:rsid w:val="00743F0A"/>
    <w:rsid w:val="007440ED"/>
    <w:rsid w:val="007444E8"/>
    <w:rsid w:val="0074548E"/>
    <w:rsid w:val="00745773"/>
    <w:rsid w:val="007465BE"/>
    <w:rsid w:val="00746800"/>
    <w:rsid w:val="00746A0A"/>
    <w:rsid w:val="00746E7D"/>
    <w:rsid w:val="00747BF1"/>
    <w:rsid w:val="007501A8"/>
    <w:rsid w:val="00750D61"/>
    <w:rsid w:val="00750EE1"/>
    <w:rsid w:val="00751243"/>
    <w:rsid w:val="00751C9A"/>
    <w:rsid w:val="00752B4D"/>
    <w:rsid w:val="00752BE0"/>
    <w:rsid w:val="00752D78"/>
    <w:rsid w:val="00754101"/>
    <w:rsid w:val="00755402"/>
    <w:rsid w:val="00756B26"/>
    <w:rsid w:val="00756D8A"/>
    <w:rsid w:val="00756EDF"/>
    <w:rsid w:val="007574DA"/>
    <w:rsid w:val="0075756F"/>
    <w:rsid w:val="007579F1"/>
    <w:rsid w:val="007600E3"/>
    <w:rsid w:val="00764E63"/>
    <w:rsid w:val="00765B47"/>
    <w:rsid w:val="00765C43"/>
    <w:rsid w:val="00765EFB"/>
    <w:rsid w:val="00766A8B"/>
    <w:rsid w:val="00766F1A"/>
    <w:rsid w:val="007671CA"/>
    <w:rsid w:val="00767B17"/>
    <w:rsid w:val="00767C61"/>
    <w:rsid w:val="00767EB7"/>
    <w:rsid w:val="0077008A"/>
    <w:rsid w:val="00770BB7"/>
    <w:rsid w:val="00771D52"/>
    <w:rsid w:val="00773355"/>
    <w:rsid w:val="00773894"/>
    <w:rsid w:val="00773C1F"/>
    <w:rsid w:val="00774293"/>
    <w:rsid w:val="00774677"/>
    <w:rsid w:val="00774DA4"/>
    <w:rsid w:val="00776599"/>
    <w:rsid w:val="0078114B"/>
    <w:rsid w:val="00781DD2"/>
    <w:rsid w:val="007822E2"/>
    <w:rsid w:val="00783ECF"/>
    <w:rsid w:val="0078413A"/>
    <w:rsid w:val="0078493A"/>
    <w:rsid w:val="007858DC"/>
    <w:rsid w:val="00785EC3"/>
    <w:rsid w:val="00787034"/>
    <w:rsid w:val="00787715"/>
    <w:rsid w:val="00787AB4"/>
    <w:rsid w:val="00790BB7"/>
    <w:rsid w:val="00792904"/>
    <w:rsid w:val="00793996"/>
    <w:rsid w:val="007954EA"/>
    <w:rsid w:val="007959E8"/>
    <w:rsid w:val="00795E9C"/>
    <w:rsid w:val="00796DE6"/>
    <w:rsid w:val="0079756D"/>
    <w:rsid w:val="007976EF"/>
    <w:rsid w:val="0079773A"/>
    <w:rsid w:val="007979F6"/>
    <w:rsid w:val="007A0521"/>
    <w:rsid w:val="007A0D54"/>
    <w:rsid w:val="007A134E"/>
    <w:rsid w:val="007A1BDE"/>
    <w:rsid w:val="007A284E"/>
    <w:rsid w:val="007A2A53"/>
    <w:rsid w:val="007A2E12"/>
    <w:rsid w:val="007A3475"/>
    <w:rsid w:val="007A3537"/>
    <w:rsid w:val="007A41C8"/>
    <w:rsid w:val="007A54CE"/>
    <w:rsid w:val="007A5644"/>
    <w:rsid w:val="007A5D3A"/>
    <w:rsid w:val="007A6B68"/>
    <w:rsid w:val="007A6FD9"/>
    <w:rsid w:val="007A7374"/>
    <w:rsid w:val="007A7FFA"/>
    <w:rsid w:val="007B04EB"/>
    <w:rsid w:val="007B0D4F"/>
    <w:rsid w:val="007B1F43"/>
    <w:rsid w:val="007B22DA"/>
    <w:rsid w:val="007B3747"/>
    <w:rsid w:val="007B5A3D"/>
    <w:rsid w:val="007B5B95"/>
    <w:rsid w:val="007B6032"/>
    <w:rsid w:val="007B68EA"/>
    <w:rsid w:val="007B7453"/>
    <w:rsid w:val="007C1CE6"/>
    <w:rsid w:val="007C295B"/>
    <w:rsid w:val="007C2D89"/>
    <w:rsid w:val="007C3CB5"/>
    <w:rsid w:val="007C42F1"/>
    <w:rsid w:val="007C4593"/>
    <w:rsid w:val="007C5309"/>
    <w:rsid w:val="007C5CC6"/>
    <w:rsid w:val="007C6069"/>
    <w:rsid w:val="007C622A"/>
    <w:rsid w:val="007C72D8"/>
    <w:rsid w:val="007C7B8D"/>
    <w:rsid w:val="007C7C9D"/>
    <w:rsid w:val="007C7D5D"/>
    <w:rsid w:val="007D06C4"/>
    <w:rsid w:val="007D1352"/>
    <w:rsid w:val="007D206F"/>
    <w:rsid w:val="007D2508"/>
    <w:rsid w:val="007D2743"/>
    <w:rsid w:val="007D346A"/>
    <w:rsid w:val="007D472A"/>
    <w:rsid w:val="007D5474"/>
    <w:rsid w:val="007D5DC8"/>
    <w:rsid w:val="007D6518"/>
    <w:rsid w:val="007D68FB"/>
    <w:rsid w:val="007D6B9E"/>
    <w:rsid w:val="007D76BD"/>
    <w:rsid w:val="007E00E3"/>
    <w:rsid w:val="007E0BF1"/>
    <w:rsid w:val="007E1045"/>
    <w:rsid w:val="007E396A"/>
    <w:rsid w:val="007E4AB9"/>
    <w:rsid w:val="007E4B0A"/>
    <w:rsid w:val="007E5036"/>
    <w:rsid w:val="007E546D"/>
    <w:rsid w:val="007E5538"/>
    <w:rsid w:val="007E65E6"/>
    <w:rsid w:val="007F0E3C"/>
    <w:rsid w:val="007F0ED8"/>
    <w:rsid w:val="007F0F63"/>
    <w:rsid w:val="007F2410"/>
    <w:rsid w:val="007F2B3E"/>
    <w:rsid w:val="007F4813"/>
    <w:rsid w:val="007F48B2"/>
    <w:rsid w:val="007F75CE"/>
    <w:rsid w:val="00800403"/>
    <w:rsid w:val="00800BC4"/>
    <w:rsid w:val="00800DFA"/>
    <w:rsid w:val="008012AB"/>
    <w:rsid w:val="008013A4"/>
    <w:rsid w:val="00801984"/>
    <w:rsid w:val="0080255C"/>
    <w:rsid w:val="008027CE"/>
    <w:rsid w:val="00802F42"/>
    <w:rsid w:val="0080336F"/>
    <w:rsid w:val="00804383"/>
    <w:rsid w:val="00804BB7"/>
    <w:rsid w:val="00804D41"/>
    <w:rsid w:val="00805A4B"/>
    <w:rsid w:val="00810257"/>
    <w:rsid w:val="00810479"/>
    <w:rsid w:val="008104F5"/>
    <w:rsid w:val="00810B4C"/>
    <w:rsid w:val="00811072"/>
    <w:rsid w:val="00811369"/>
    <w:rsid w:val="00811837"/>
    <w:rsid w:val="0081297D"/>
    <w:rsid w:val="00812A0F"/>
    <w:rsid w:val="00812B45"/>
    <w:rsid w:val="00815419"/>
    <w:rsid w:val="00815BE1"/>
    <w:rsid w:val="008163C8"/>
    <w:rsid w:val="008164A1"/>
    <w:rsid w:val="00816B4E"/>
    <w:rsid w:val="00817325"/>
    <w:rsid w:val="00817C70"/>
    <w:rsid w:val="00817E7D"/>
    <w:rsid w:val="00817EFB"/>
    <w:rsid w:val="008209E6"/>
    <w:rsid w:val="008210EC"/>
    <w:rsid w:val="00821A3A"/>
    <w:rsid w:val="00821CBF"/>
    <w:rsid w:val="00821D19"/>
    <w:rsid w:val="0082250A"/>
    <w:rsid w:val="00823303"/>
    <w:rsid w:val="008233B2"/>
    <w:rsid w:val="0082390F"/>
    <w:rsid w:val="00823A9F"/>
    <w:rsid w:val="00823C85"/>
    <w:rsid w:val="008244E1"/>
    <w:rsid w:val="0082469B"/>
    <w:rsid w:val="00825138"/>
    <w:rsid w:val="00825524"/>
    <w:rsid w:val="008269DD"/>
    <w:rsid w:val="00827982"/>
    <w:rsid w:val="00830100"/>
    <w:rsid w:val="00830393"/>
    <w:rsid w:val="00830621"/>
    <w:rsid w:val="008316D9"/>
    <w:rsid w:val="0083348C"/>
    <w:rsid w:val="00836E2B"/>
    <w:rsid w:val="00836E5D"/>
    <w:rsid w:val="00837142"/>
    <w:rsid w:val="008373D3"/>
    <w:rsid w:val="008377DB"/>
    <w:rsid w:val="00837CB2"/>
    <w:rsid w:val="00840617"/>
    <w:rsid w:val="00840F84"/>
    <w:rsid w:val="008413C2"/>
    <w:rsid w:val="00842365"/>
    <w:rsid w:val="00842A47"/>
    <w:rsid w:val="00842F0C"/>
    <w:rsid w:val="008435DC"/>
    <w:rsid w:val="00843C13"/>
    <w:rsid w:val="00843DEF"/>
    <w:rsid w:val="008454F8"/>
    <w:rsid w:val="008459B1"/>
    <w:rsid w:val="00845DA9"/>
    <w:rsid w:val="00845E79"/>
    <w:rsid w:val="008464EC"/>
    <w:rsid w:val="0084669C"/>
    <w:rsid w:val="008473CD"/>
    <w:rsid w:val="0085144F"/>
    <w:rsid w:val="0085173A"/>
    <w:rsid w:val="0085236F"/>
    <w:rsid w:val="00853054"/>
    <w:rsid w:val="00854842"/>
    <w:rsid w:val="00856B34"/>
    <w:rsid w:val="008578FD"/>
    <w:rsid w:val="00857D0B"/>
    <w:rsid w:val="008603CE"/>
    <w:rsid w:val="008608E7"/>
    <w:rsid w:val="00861596"/>
    <w:rsid w:val="00861BC8"/>
    <w:rsid w:val="008620FC"/>
    <w:rsid w:val="008627A5"/>
    <w:rsid w:val="008632FC"/>
    <w:rsid w:val="00863471"/>
    <w:rsid w:val="008636A8"/>
    <w:rsid w:val="00863E05"/>
    <w:rsid w:val="00864A65"/>
    <w:rsid w:val="0086560C"/>
    <w:rsid w:val="00865855"/>
    <w:rsid w:val="00865ACA"/>
    <w:rsid w:val="00865D28"/>
    <w:rsid w:val="00865F85"/>
    <w:rsid w:val="008672A5"/>
    <w:rsid w:val="00867C10"/>
    <w:rsid w:val="00870439"/>
    <w:rsid w:val="008706F6"/>
    <w:rsid w:val="00870DA1"/>
    <w:rsid w:val="00873089"/>
    <w:rsid w:val="008734EF"/>
    <w:rsid w:val="0087369D"/>
    <w:rsid w:val="00873BF2"/>
    <w:rsid w:val="008752AB"/>
    <w:rsid w:val="00875750"/>
    <w:rsid w:val="00880EDB"/>
    <w:rsid w:val="00881287"/>
    <w:rsid w:val="00882319"/>
    <w:rsid w:val="008827DE"/>
    <w:rsid w:val="00883F93"/>
    <w:rsid w:val="00884571"/>
    <w:rsid w:val="00884DB3"/>
    <w:rsid w:val="00885810"/>
    <w:rsid w:val="00885A9D"/>
    <w:rsid w:val="008864F6"/>
    <w:rsid w:val="00887247"/>
    <w:rsid w:val="008875EC"/>
    <w:rsid w:val="0089049D"/>
    <w:rsid w:val="00890C80"/>
    <w:rsid w:val="00891141"/>
    <w:rsid w:val="0089154E"/>
    <w:rsid w:val="00892610"/>
    <w:rsid w:val="008928C9"/>
    <w:rsid w:val="008930CB"/>
    <w:rsid w:val="008938DC"/>
    <w:rsid w:val="00893BDB"/>
    <w:rsid w:val="00893FD1"/>
    <w:rsid w:val="008942C2"/>
    <w:rsid w:val="00894836"/>
    <w:rsid w:val="00895172"/>
    <w:rsid w:val="00895272"/>
    <w:rsid w:val="00895680"/>
    <w:rsid w:val="00895EB8"/>
    <w:rsid w:val="00895FF1"/>
    <w:rsid w:val="00896DFF"/>
    <w:rsid w:val="0089762C"/>
    <w:rsid w:val="00897B9B"/>
    <w:rsid w:val="008A10DB"/>
    <w:rsid w:val="008A173B"/>
    <w:rsid w:val="008A1893"/>
    <w:rsid w:val="008A1FE1"/>
    <w:rsid w:val="008A2C3D"/>
    <w:rsid w:val="008A2EF5"/>
    <w:rsid w:val="008A3AB2"/>
    <w:rsid w:val="008A4E2C"/>
    <w:rsid w:val="008A57E6"/>
    <w:rsid w:val="008A6075"/>
    <w:rsid w:val="008A6F81"/>
    <w:rsid w:val="008A769A"/>
    <w:rsid w:val="008B0BD7"/>
    <w:rsid w:val="008B0C9C"/>
    <w:rsid w:val="008B0DAC"/>
    <w:rsid w:val="008B0DC7"/>
    <w:rsid w:val="008B166D"/>
    <w:rsid w:val="008B17F4"/>
    <w:rsid w:val="008B2740"/>
    <w:rsid w:val="008B2DF3"/>
    <w:rsid w:val="008B33CD"/>
    <w:rsid w:val="008B3615"/>
    <w:rsid w:val="008B3CDB"/>
    <w:rsid w:val="008B4AC4"/>
    <w:rsid w:val="008B50C8"/>
    <w:rsid w:val="008B5281"/>
    <w:rsid w:val="008B537E"/>
    <w:rsid w:val="008B740F"/>
    <w:rsid w:val="008B776C"/>
    <w:rsid w:val="008B7E05"/>
    <w:rsid w:val="008C04A6"/>
    <w:rsid w:val="008C1797"/>
    <w:rsid w:val="008C219C"/>
    <w:rsid w:val="008C3303"/>
    <w:rsid w:val="008C475E"/>
    <w:rsid w:val="008C619A"/>
    <w:rsid w:val="008C647E"/>
    <w:rsid w:val="008C65BA"/>
    <w:rsid w:val="008C7645"/>
    <w:rsid w:val="008D0CE8"/>
    <w:rsid w:val="008D1703"/>
    <w:rsid w:val="008D1A62"/>
    <w:rsid w:val="008D1E80"/>
    <w:rsid w:val="008D1EEA"/>
    <w:rsid w:val="008D226E"/>
    <w:rsid w:val="008D2D1D"/>
    <w:rsid w:val="008D453D"/>
    <w:rsid w:val="008D535C"/>
    <w:rsid w:val="008D53AD"/>
    <w:rsid w:val="008D562B"/>
    <w:rsid w:val="008D5733"/>
    <w:rsid w:val="008D5E5F"/>
    <w:rsid w:val="008D622B"/>
    <w:rsid w:val="008D6293"/>
    <w:rsid w:val="008D666C"/>
    <w:rsid w:val="008D7B54"/>
    <w:rsid w:val="008E016C"/>
    <w:rsid w:val="008E0C9D"/>
    <w:rsid w:val="008E1648"/>
    <w:rsid w:val="008E1B3E"/>
    <w:rsid w:val="008E2075"/>
    <w:rsid w:val="008E2319"/>
    <w:rsid w:val="008E3550"/>
    <w:rsid w:val="008E45AB"/>
    <w:rsid w:val="008E464B"/>
    <w:rsid w:val="008E4AC9"/>
    <w:rsid w:val="008E4BB6"/>
    <w:rsid w:val="008E4E5E"/>
    <w:rsid w:val="008E54C6"/>
    <w:rsid w:val="008E5518"/>
    <w:rsid w:val="008E593F"/>
    <w:rsid w:val="008E6A84"/>
    <w:rsid w:val="008E6D22"/>
    <w:rsid w:val="008E6E58"/>
    <w:rsid w:val="008F049D"/>
    <w:rsid w:val="008F0ADF"/>
    <w:rsid w:val="008F0CDC"/>
    <w:rsid w:val="008F17A3"/>
    <w:rsid w:val="008F1B06"/>
    <w:rsid w:val="008F1C6E"/>
    <w:rsid w:val="008F1ED3"/>
    <w:rsid w:val="008F21F0"/>
    <w:rsid w:val="008F30BD"/>
    <w:rsid w:val="008F348B"/>
    <w:rsid w:val="008F4480"/>
    <w:rsid w:val="008F4C29"/>
    <w:rsid w:val="008F6221"/>
    <w:rsid w:val="008F70BD"/>
    <w:rsid w:val="008F788F"/>
    <w:rsid w:val="008F7EA2"/>
    <w:rsid w:val="00900E7F"/>
    <w:rsid w:val="0090159D"/>
    <w:rsid w:val="00901FA2"/>
    <w:rsid w:val="00902722"/>
    <w:rsid w:val="009027BC"/>
    <w:rsid w:val="00902F44"/>
    <w:rsid w:val="00904D4D"/>
    <w:rsid w:val="00905267"/>
    <w:rsid w:val="00906081"/>
    <w:rsid w:val="009062E6"/>
    <w:rsid w:val="00907930"/>
    <w:rsid w:val="00910316"/>
    <w:rsid w:val="00910664"/>
    <w:rsid w:val="009107F3"/>
    <w:rsid w:val="00911102"/>
    <w:rsid w:val="00911BE5"/>
    <w:rsid w:val="0091224F"/>
    <w:rsid w:val="0091313D"/>
    <w:rsid w:val="00913CA9"/>
    <w:rsid w:val="009145AE"/>
    <w:rsid w:val="009146CE"/>
    <w:rsid w:val="00914C8E"/>
    <w:rsid w:val="00914CA7"/>
    <w:rsid w:val="0091595A"/>
    <w:rsid w:val="00915A3C"/>
    <w:rsid w:val="00915C3E"/>
    <w:rsid w:val="009161A8"/>
    <w:rsid w:val="00916FCD"/>
    <w:rsid w:val="00920698"/>
    <w:rsid w:val="009210F0"/>
    <w:rsid w:val="00922B3A"/>
    <w:rsid w:val="009237E6"/>
    <w:rsid w:val="00923FBB"/>
    <w:rsid w:val="009243E5"/>
    <w:rsid w:val="009245AE"/>
    <w:rsid w:val="009245F5"/>
    <w:rsid w:val="009249EC"/>
    <w:rsid w:val="009270B1"/>
    <w:rsid w:val="009273B3"/>
    <w:rsid w:val="00927985"/>
    <w:rsid w:val="009305B5"/>
    <w:rsid w:val="009319E9"/>
    <w:rsid w:val="00931AAB"/>
    <w:rsid w:val="00933174"/>
    <w:rsid w:val="009336FC"/>
    <w:rsid w:val="009344F7"/>
    <w:rsid w:val="00935B10"/>
    <w:rsid w:val="009365D5"/>
    <w:rsid w:val="00937569"/>
    <w:rsid w:val="009378DD"/>
    <w:rsid w:val="00941A4F"/>
    <w:rsid w:val="00941A9D"/>
    <w:rsid w:val="0094267B"/>
    <w:rsid w:val="009429D5"/>
    <w:rsid w:val="00942BF1"/>
    <w:rsid w:val="0094351A"/>
    <w:rsid w:val="00943F34"/>
    <w:rsid w:val="00943FC9"/>
    <w:rsid w:val="00944E03"/>
    <w:rsid w:val="00945180"/>
    <w:rsid w:val="00945416"/>
    <w:rsid w:val="00945428"/>
    <w:rsid w:val="009458AC"/>
    <w:rsid w:val="0094607B"/>
    <w:rsid w:val="00946CD2"/>
    <w:rsid w:val="009520A2"/>
    <w:rsid w:val="00952996"/>
    <w:rsid w:val="00953604"/>
    <w:rsid w:val="0095496B"/>
    <w:rsid w:val="009549DE"/>
    <w:rsid w:val="009577D8"/>
    <w:rsid w:val="00957DA3"/>
    <w:rsid w:val="00960254"/>
    <w:rsid w:val="00960F1E"/>
    <w:rsid w:val="009610DC"/>
    <w:rsid w:val="00961490"/>
    <w:rsid w:val="009614FE"/>
    <w:rsid w:val="00961921"/>
    <w:rsid w:val="00961A8A"/>
    <w:rsid w:val="00961D8F"/>
    <w:rsid w:val="00963371"/>
    <w:rsid w:val="0096381A"/>
    <w:rsid w:val="00964BC1"/>
    <w:rsid w:val="009659B4"/>
    <w:rsid w:val="00965E04"/>
    <w:rsid w:val="009667E5"/>
    <w:rsid w:val="009674AD"/>
    <w:rsid w:val="00970CDC"/>
    <w:rsid w:val="00970D55"/>
    <w:rsid w:val="00973C26"/>
    <w:rsid w:val="00974A76"/>
    <w:rsid w:val="0097529B"/>
    <w:rsid w:val="00975727"/>
    <w:rsid w:val="00976455"/>
    <w:rsid w:val="00977010"/>
    <w:rsid w:val="00977D02"/>
    <w:rsid w:val="00977FF9"/>
    <w:rsid w:val="009809BB"/>
    <w:rsid w:val="00981676"/>
    <w:rsid w:val="00982C05"/>
    <w:rsid w:val="0098364B"/>
    <w:rsid w:val="0098404A"/>
    <w:rsid w:val="00986028"/>
    <w:rsid w:val="009872CB"/>
    <w:rsid w:val="00987581"/>
    <w:rsid w:val="00987B54"/>
    <w:rsid w:val="0099007F"/>
    <w:rsid w:val="00990808"/>
    <w:rsid w:val="009908A3"/>
    <w:rsid w:val="009911AF"/>
    <w:rsid w:val="00991564"/>
    <w:rsid w:val="00991875"/>
    <w:rsid w:val="00991BE5"/>
    <w:rsid w:val="00991F92"/>
    <w:rsid w:val="00992985"/>
    <w:rsid w:val="00993860"/>
    <w:rsid w:val="00993889"/>
    <w:rsid w:val="00994A01"/>
    <w:rsid w:val="00995517"/>
    <w:rsid w:val="0099551B"/>
    <w:rsid w:val="00995A39"/>
    <w:rsid w:val="00996997"/>
    <w:rsid w:val="00996BD2"/>
    <w:rsid w:val="00996D10"/>
    <w:rsid w:val="00997BF1"/>
    <w:rsid w:val="009A089C"/>
    <w:rsid w:val="009A0A8C"/>
    <w:rsid w:val="009A0CB8"/>
    <w:rsid w:val="009A118E"/>
    <w:rsid w:val="009A21CD"/>
    <w:rsid w:val="009A278C"/>
    <w:rsid w:val="009A2BC2"/>
    <w:rsid w:val="009A2F6E"/>
    <w:rsid w:val="009A2F8B"/>
    <w:rsid w:val="009A42C1"/>
    <w:rsid w:val="009A46DB"/>
    <w:rsid w:val="009A5429"/>
    <w:rsid w:val="009A6338"/>
    <w:rsid w:val="009A6D50"/>
    <w:rsid w:val="009A70FE"/>
    <w:rsid w:val="009A72AD"/>
    <w:rsid w:val="009B0279"/>
    <w:rsid w:val="009B09E0"/>
    <w:rsid w:val="009B0BC5"/>
    <w:rsid w:val="009B1247"/>
    <w:rsid w:val="009B1EB6"/>
    <w:rsid w:val="009B32F3"/>
    <w:rsid w:val="009B577E"/>
    <w:rsid w:val="009B5E7A"/>
    <w:rsid w:val="009B6029"/>
    <w:rsid w:val="009B6971"/>
    <w:rsid w:val="009B6F61"/>
    <w:rsid w:val="009B7152"/>
    <w:rsid w:val="009B7717"/>
    <w:rsid w:val="009C27F1"/>
    <w:rsid w:val="009C2AF4"/>
    <w:rsid w:val="009C3152"/>
    <w:rsid w:val="009C3189"/>
    <w:rsid w:val="009C3257"/>
    <w:rsid w:val="009C4CFA"/>
    <w:rsid w:val="009C5070"/>
    <w:rsid w:val="009C594A"/>
    <w:rsid w:val="009C61FC"/>
    <w:rsid w:val="009C69A8"/>
    <w:rsid w:val="009C71FB"/>
    <w:rsid w:val="009D0352"/>
    <w:rsid w:val="009D062D"/>
    <w:rsid w:val="009D112C"/>
    <w:rsid w:val="009D1385"/>
    <w:rsid w:val="009D19DB"/>
    <w:rsid w:val="009D202A"/>
    <w:rsid w:val="009D3439"/>
    <w:rsid w:val="009D3E13"/>
    <w:rsid w:val="009D47FA"/>
    <w:rsid w:val="009D48BE"/>
    <w:rsid w:val="009D4C5B"/>
    <w:rsid w:val="009D4CED"/>
    <w:rsid w:val="009D4F64"/>
    <w:rsid w:val="009D50D2"/>
    <w:rsid w:val="009D5F98"/>
    <w:rsid w:val="009D6BCA"/>
    <w:rsid w:val="009E0EFF"/>
    <w:rsid w:val="009E0F62"/>
    <w:rsid w:val="009E104F"/>
    <w:rsid w:val="009E1208"/>
    <w:rsid w:val="009E2866"/>
    <w:rsid w:val="009E2FCE"/>
    <w:rsid w:val="009E40B1"/>
    <w:rsid w:val="009E4A58"/>
    <w:rsid w:val="009E4B23"/>
    <w:rsid w:val="009E4DC7"/>
    <w:rsid w:val="009E5321"/>
    <w:rsid w:val="009E5499"/>
    <w:rsid w:val="009E57C1"/>
    <w:rsid w:val="009E5A2D"/>
    <w:rsid w:val="009E5AB2"/>
    <w:rsid w:val="009E6219"/>
    <w:rsid w:val="009F03B3"/>
    <w:rsid w:val="009F21AD"/>
    <w:rsid w:val="009F4325"/>
    <w:rsid w:val="009F64BC"/>
    <w:rsid w:val="00A0096C"/>
    <w:rsid w:val="00A0123E"/>
    <w:rsid w:val="00A01635"/>
    <w:rsid w:val="00A01757"/>
    <w:rsid w:val="00A01869"/>
    <w:rsid w:val="00A01D58"/>
    <w:rsid w:val="00A0284C"/>
    <w:rsid w:val="00A028C0"/>
    <w:rsid w:val="00A02BAE"/>
    <w:rsid w:val="00A039F0"/>
    <w:rsid w:val="00A04D56"/>
    <w:rsid w:val="00A06A6B"/>
    <w:rsid w:val="00A07E47"/>
    <w:rsid w:val="00A10A87"/>
    <w:rsid w:val="00A10B7C"/>
    <w:rsid w:val="00A10B90"/>
    <w:rsid w:val="00A11E45"/>
    <w:rsid w:val="00A129D0"/>
    <w:rsid w:val="00A12C33"/>
    <w:rsid w:val="00A13573"/>
    <w:rsid w:val="00A138BA"/>
    <w:rsid w:val="00A14C8E"/>
    <w:rsid w:val="00A153D9"/>
    <w:rsid w:val="00A15A40"/>
    <w:rsid w:val="00A15F09"/>
    <w:rsid w:val="00A16048"/>
    <w:rsid w:val="00A169B6"/>
    <w:rsid w:val="00A17505"/>
    <w:rsid w:val="00A178C6"/>
    <w:rsid w:val="00A17A22"/>
    <w:rsid w:val="00A2102B"/>
    <w:rsid w:val="00A2216C"/>
    <w:rsid w:val="00A2271D"/>
    <w:rsid w:val="00A22916"/>
    <w:rsid w:val="00A2330A"/>
    <w:rsid w:val="00A235FF"/>
    <w:rsid w:val="00A237D5"/>
    <w:rsid w:val="00A24A53"/>
    <w:rsid w:val="00A24D1C"/>
    <w:rsid w:val="00A250AB"/>
    <w:rsid w:val="00A261E4"/>
    <w:rsid w:val="00A27BAA"/>
    <w:rsid w:val="00A30E8E"/>
    <w:rsid w:val="00A30EFC"/>
    <w:rsid w:val="00A31984"/>
    <w:rsid w:val="00A32D73"/>
    <w:rsid w:val="00A3367B"/>
    <w:rsid w:val="00A33835"/>
    <w:rsid w:val="00A33873"/>
    <w:rsid w:val="00A33C67"/>
    <w:rsid w:val="00A3405C"/>
    <w:rsid w:val="00A3597D"/>
    <w:rsid w:val="00A36061"/>
    <w:rsid w:val="00A365EF"/>
    <w:rsid w:val="00A36DD1"/>
    <w:rsid w:val="00A37407"/>
    <w:rsid w:val="00A4006C"/>
    <w:rsid w:val="00A40091"/>
    <w:rsid w:val="00A4030F"/>
    <w:rsid w:val="00A41C79"/>
    <w:rsid w:val="00A41CB5"/>
    <w:rsid w:val="00A428F6"/>
    <w:rsid w:val="00A42CDF"/>
    <w:rsid w:val="00A4452E"/>
    <w:rsid w:val="00A4472C"/>
    <w:rsid w:val="00A44D80"/>
    <w:rsid w:val="00A44E69"/>
    <w:rsid w:val="00A4661E"/>
    <w:rsid w:val="00A466A4"/>
    <w:rsid w:val="00A5204D"/>
    <w:rsid w:val="00A526E5"/>
    <w:rsid w:val="00A5429E"/>
    <w:rsid w:val="00A54A44"/>
    <w:rsid w:val="00A54A64"/>
    <w:rsid w:val="00A54C1B"/>
    <w:rsid w:val="00A555FE"/>
    <w:rsid w:val="00A55BD6"/>
    <w:rsid w:val="00A55D50"/>
    <w:rsid w:val="00A55DDC"/>
    <w:rsid w:val="00A56A21"/>
    <w:rsid w:val="00A57142"/>
    <w:rsid w:val="00A57311"/>
    <w:rsid w:val="00A603F4"/>
    <w:rsid w:val="00A62783"/>
    <w:rsid w:val="00A638DF"/>
    <w:rsid w:val="00A63BB0"/>
    <w:rsid w:val="00A648CD"/>
    <w:rsid w:val="00A64FD9"/>
    <w:rsid w:val="00A6537A"/>
    <w:rsid w:val="00A66E9A"/>
    <w:rsid w:val="00A6742F"/>
    <w:rsid w:val="00A6764B"/>
    <w:rsid w:val="00A67866"/>
    <w:rsid w:val="00A67E5D"/>
    <w:rsid w:val="00A70B07"/>
    <w:rsid w:val="00A7150E"/>
    <w:rsid w:val="00A723D1"/>
    <w:rsid w:val="00A723DB"/>
    <w:rsid w:val="00A723F8"/>
    <w:rsid w:val="00A7328B"/>
    <w:rsid w:val="00A73454"/>
    <w:rsid w:val="00A74B47"/>
    <w:rsid w:val="00A760B5"/>
    <w:rsid w:val="00A7657A"/>
    <w:rsid w:val="00A76AB4"/>
    <w:rsid w:val="00A7725C"/>
    <w:rsid w:val="00A77CCB"/>
    <w:rsid w:val="00A812F8"/>
    <w:rsid w:val="00A82134"/>
    <w:rsid w:val="00A825D3"/>
    <w:rsid w:val="00A82ABA"/>
    <w:rsid w:val="00A82D5E"/>
    <w:rsid w:val="00A8339E"/>
    <w:rsid w:val="00A83D8D"/>
    <w:rsid w:val="00A8446B"/>
    <w:rsid w:val="00A8473F"/>
    <w:rsid w:val="00A84E3C"/>
    <w:rsid w:val="00A862D6"/>
    <w:rsid w:val="00A86B51"/>
    <w:rsid w:val="00A86CF4"/>
    <w:rsid w:val="00A8715E"/>
    <w:rsid w:val="00A900BC"/>
    <w:rsid w:val="00A909E3"/>
    <w:rsid w:val="00A90FE9"/>
    <w:rsid w:val="00A9139B"/>
    <w:rsid w:val="00A9170B"/>
    <w:rsid w:val="00A919DD"/>
    <w:rsid w:val="00A9295B"/>
    <w:rsid w:val="00A93B09"/>
    <w:rsid w:val="00A93D70"/>
    <w:rsid w:val="00A94671"/>
    <w:rsid w:val="00A952D7"/>
    <w:rsid w:val="00A95B96"/>
    <w:rsid w:val="00A963F7"/>
    <w:rsid w:val="00A96AD8"/>
    <w:rsid w:val="00AA052C"/>
    <w:rsid w:val="00AA10CF"/>
    <w:rsid w:val="00AA11FE"/>
    <w:rsid w:val="00AA1E45"/>
    <w:rsid w:val="00AA3690"/>
    <w:rsid w:val="00AA4286"/>
    <w:rsid w:val="00AA456B"/>
    <w:rsid w:val="00AA4DF2"/>
    <w:rsid w:val="00AA57F5"/>
    <w:rsid w:val="00AA602D"/>
    <w:rsid w:val="00AA63BB"/>
    <w:rsid w:val="00AA672E"/>
    <w:rsid w:val="00AA6988"/>
    <w:rsid w:val="00AA6EC9"/>
    <w:rsid w:val="00AA7A4A"/>
    <w:rsid w:val="00AA7E22"/>
    <w:rsid w:val="00AB0EF8"/>
    <w:rsid w:val="00AB2C57"/>
    <w:rsid w:val="00AB4805"/>
    <w:rsid w:val="00AB4845"/>
    <w:rsid w:val="00AB5D33"/>
    <w:rsid w:val="00AB5D60"/>
    <w:rsid w:val="00AB606C"/>
    <w:rsid w:val="00AB6309"/>
    <w:rsid w:val="00AB6C5F"/>
    <w:rsid w:val="00AB7129"/>
    <w:rsid w:val="00AB7218"/>
    <w:rsid w:val="00AB743E"/>
    <w:rsid w:val="00AB7797"/>
    <w:rsid w:val="00AC27A6"/>
    <w:rsid w:val="00AC30F7"/>
    <w:rsid w:val="00AC3496"/>
    <w:rsid w:val="00AC36D0"/>
    <w:rsid w:val="00AC3A5A"/>
    <w:rsid w:val="00AC4D95"/>
    <w:rsid w:val="00AC4DCC"/>
    <w:rsid w:val="00AC5DF4"/>
    <w:rsid w:val="00AC6177"/>
    <w:rsid w:val="00AC7223"/>
    <w:rsid w:val="00AC7945"/>
    <w:rsid w:val="00AC7EA4"/>
    <w:rsid w:val="00AC7F0C"/>
    <w:rsid w:val="00AD0AEF"/>
    <w:rsid w:val="00AD11B7"/>
    <w:rsid w:val="00AD13A0"/>
    <w:rsid w:val="00AD1937"/>
    <w:rsid w:val="00AD1A94"/>
    <w:rsid w:val="00AD1B3F"/>
    <w:rsid w:val="00AD1C05"/>
    <w:rsid w:val="00AD3EF8"/>
    <w:rsid w:val="00AD4126"/>
    <w:rsid w:val="00AD421C"/>
    <w:rsid w:val="00AD44FA"/>
    <w:rsid w:val="00AD4AE4"/>
    <w:rsid w:val="00AD4C9A"/>
    <w:rsid w:val="00AD5DB2"/>
    <w:rsid w:val="00AD655C"/>
    <w:rsid w:val="00AD7097"/>
    <w:rsid w:val="00AD75F0"/>
    <w:rsid w:val="00AD79B0"/>
    <w:rsid w:val="00AE070A"/>
    <w:rsid w:val="00AE101C"/>
    <w:rsid w:val="00AE1E7A"/>
    <w:rsid w:val="00AE2865"/>
    <w:rsid w:val="00AE2A02"/>
    <w:rsid w:val="00AE2A69"/>
    <w:rsid w:val="00AE37E5"/>
    <w:rsid w:val="00AE54D8"/>
    <w:rsid w:val="00AE5EB4"/>
    <w:rsid w:val="00AE7115"/>
    <w:rsid w:val="00AE7360"/>
    <w:rsid w:val="00AE7DBF"/>
    <w:rsid w:val="00AF083C"/>
    <w:rsid w:val="00AF0B29"/>
    <w:rsid w:val="00AF0C18"/>
    <w:rsid w:val="00AF2593"/>
    <w:rsid w:val="00AF47C5"/>
    <w:rsid w:val="00AF4EB9"/>
    <w:rsid w:val="00AF5398"/>
    <w:rsid w:val="00AF7244"/>
    <w:rsid w:val="00AF7864"/>
    <w:rsid w:val="00B0035E"/>
    <w:rsid w:val="00B011AF"/>
    <w:rsid w:val="00B01A0C"/>
    <w:rsid w:val="00B02526"/>
    <w:rsid w:val="00B049AF"/>
    <w:rsid w:val="00B05CF2"/>
    <w:rsid w:val="00B061D0"/>
    <w:rsid w:val="00B07242"/>
    <w:rsid w:val="00B074B0"/>
    <w:rsid w:val="00B078F4"/>
    <w:rsid w:val="00B10534"/>
    <w:rsid w:val="00B10F92"/>
    <w:rsid w:val="00B111B7"/>
    <w:rsid w:val="00B113DB"/>
    <w:rsid w:val="00B116E0"/>
    <w:rsid w:val="00B117B0"/>
    <w:rsid w:val="00B11D8A"/>
    <w:rsid w:val="00B12981"/>
    <w:rsid w:val="00B13089"/>
    <w:rsid w:val="00B147DD"/>
    <w:rsid w:val="00B14AB8"/>
    <w:rsid w:val="00B156FD"/>
    <w:rsid w:val="00B16324"/>
    <w:rsid w:val="00B16BC4"/>
    <w:rsid w:val="00B16CC0"/>
    <w:rsid w:val="00B200ED"/>
    <w:rsid w:val="00B203B0"/>
    <w:rsid w:val="00B21603"/>
    <w:rsid w:val="00B21B86"/>
    <w:rsid w:val="00B21F61"/>
    <w:rsid w:val="00B22696"/>
    <w:rsid w:val="00B23D77"/>
    <w:rsid w:val="00B255C6"/>
    <w:rsid w:val="00B261F1"/>
    <w:rsid w:val="00B265BC"/>
    <w:rsid w:val="00B30B97"/>
    <w:rsid w:val="00B31565"/>
    <w:rsid w:val="00B31FB1"/>
    <w:rsid w:val="00B32163"/>
    <w:rsid w:val="00B32200"/>
    <w:rsid w:val="00B33952"/>
    <w:rsid w:val="00B33C5E"/>
    <w:rsid w:val="00B34142"/>
    <w:rsid w:val="00B342F4"/>
    <w:rsid w:val="00B34369"/>
    <w:rsid w:val="00B34DC2"/>
    <w:rsid w:val="00B36993"/>
    <w:rsid w:val="00B36E9F"/>
    <w:rsid w:val="00B378E5"/>
    <w:rsid w:val="00B37CF9"/>
    <w:rsid w:val="00B422CC"/>
    <w:rsid w:val="00B425CB"/>
    <w:rsid w:val="00B4346D"/>
    <w:rsid w:val="00B440F4"/>
    <w:rsid w:val="00B447A5"/>
    <w:rsid w:val="00B4654C"/>
    <w:rsid w:val="00B47293"/>
    <w:rsid w:val="00B501D8"/>
    <w:rsid w:val="00B50E2C"/>
    <w:rsid w:val="00B50E50"/>
    <w:rsid w:val="00B51BDB"/>
    <w:rsid w:val="00B52120"/>
    <w:rsid w:val="00B54ABC"/>
    <w:rsid w:val="00B552FD"/>
    <w:rsid w:val="00B56914"/>
    <w:rsid w:val="00B56FBE"/>
    <w:rsid w:val="00B57516"/>
    <w:rsid w:val="00B60ACF"/>
    <w:rsid w:val="00B61C08"/>
    <w:rsid w:val="00B61DE5"/>
    <w:rsid w:val="00B61E9B"/>
    <w:rsid w:val="00B62801"/>
    <w:rsid w:val="00B62B58"/>
    <w:rsid w:val="00B634BD"/>
    <w:rsid w:val="00B65149"/>
    <w:rsid w:val="00B66567"/>
    <w:rsid w:val="00B66F52"/>
    <w:rsid w:val="00B66FE5"/>
    <w:rsid w:val="00B70FED"/>
    <w:rsid w:val="00B717D5"/>
    <w:rsid w:val="00B72880"/>
    <w:rsid w:val="00B731EA"/>
    <w:rsid w:val="00B73FA6"/>
    <w:rsid w:val="00B74C67"/>
    <w:rsid w:val="00B757A3"/>
    <w:rsid w:val="00B758BF"/>
    <w:rsid w:val="00B7682B"/>
    <w:rsid w:val="00B76A00"/>
    <w:rsid w:val="00B77EC8"/>
    <w:rsid w:val="00B80066"/>
    <w:rsid w:val="00B817A5"/>
    <w:rsid w:val="00B82355"/>
    <w:rsid w:val="00B827A6"/>
    <w:rsid w:val="00B831CE"/>
    <w:rsid w:val="00B84CD6"/>
    <w:rsid w:val="00B84D78"/>
    <w:rsid w:val="00B84F50"/>
    <w:rsid w:val="00B852AD"/>
    <w:rsid w:val="00B85519"/>
    <w:rsid w:val="00B863E4"/>
    <w:rsid w:val="00B86677"/>
    <w:rsid w:val="00B87131"/>
    <w:rsid w:val="00B87562"/>
    <w:rsid w:val="00B905F1"/>
    <w:rsid w:val="00B90871"/>
    <w:rsid w:val="00B90D08"/>
    <w:rsid w:val="00B9108F"/>
    <w:rsid w:val="00B92174"/>
    <w:rsid w:val="00B922C2"/>
    <w:rsid w:val="00B92686"/>
    <w:rsid w:val="00B934B0"/>
    <w:rsid w:val="00B939B1"/>
    <w:rsid w:val="00B93D9B"/>
    <w:rsid w:val="00B94362"/>
    <w:rsid w:val="00B94D3A"/>
    <w:rsid w:val="00B955E9"/>
    <w:rsid w:val="00B96D40"/>
    <w:rsid w:val="00B972AD"/>
    <w:rsid w:val="00B97386"/>
    <w:rsid w:val="00B9774E"/>
    <w:rsid w:val="00BA02F5"/>
    <w:rsid w:val="00BA1C37"/>
    <w:rsid w:val="00BA263B"/>
    <w:rsid w:val="00BA2F51"/>
    <w:rsid w:val="00BA3522"/>
    <w:rsid w:val="00BA3D0A"/>
    <w:rsid w:val="00BA42B2"/>
    <w:rsid w:val="00BA58D4"/>
    <w:rsid w:val="00BA5B9E"/>
    <w:rsid w:val="00BA5E51"/>
    <w:rsid w:val="00BA6FF1"/>
    <w:rsid w:val="00BA7C9A"/>
    <w:rsid w:val="00BB1565"/>
    <w:rsid w:val="00BB15EB"/>
    <w:rsid w:val="00BB202D"/>
    <w:rsid w:val="00BB4034"/>
    <w:rsid w:val="00BB5CC1"/>
    <w:rsid w:val="00BB5F8F"/>
    <w:rsid w:val="00BB615A"/>
    <w:rsid w:val="00BB657A"/>
    <w:rsid w:val="00BB6F10"/>
    <w:rsid w:val="00BB7740"/>
    <w:rsid w:val="00BC0291"/>
    <w:rsid w:val="00BC02B3"/>
    <w:rsid w:val="00BC0C9E"/>
    <w:rsid w:val="00BC1A4E"/>
    <w:rsid w:val="00BC3496"/>
    <w:rsid w:val="00BC3F22"/>
    <w:rsid w:val="00BC4679"/>
    <w:rsid w:val="00BC5967"/>
    <w:rsid w:val="00BC5DC7"/>
    <w:rsid w:val="00BC5EA3"/>
    <w:rsid w:val="00BC6480"/>
    <w:rsid w:val="00BC6B8B"/>
    <w:rsid w:val="00BC7288"/>
    <w:rsid w:val="00BC73D8"/>
    <w:rsid w:val="00BD0CC4"/>
    <w:rsid w:val="00BD1964"/>
    <w:rsid w:val="00BD218D"/>
    <w:rsid w:val="00BD34E5"/>
    <w:rsid w:val="00BD4D7F"/>
    <w:rsid w:val="00BD52D7"/>
    <w:rsid w:val="00BD5AD2"/>
    <w:rsid w:val="00BD6CCD"/>
    <w:rsid w:val="00BE0E55"/>
    <w:rsid w:val="00BE10C8"/>
    <w:rsid w:val="00BE1A4A"/>
    <w:rsid w:val="00BE22F3"/>
    <w:rsid w:val="00BE2375"/>
    <w:rsid w:val="00BE25AD"/>
    <w:rsid w:val="00BE429C"/>
    <w:rsid w:val="00BE5622"/>
    <w:rsid w:val="00BE5749"/>
    <w:rsid w:val="00BE5B52"/>
    <w:rsid w:val="00BE7363"/>
    <w:rsid w:val="00BE7B8D"/>
    <w:rsid w:val="00BE7FE7"/>
    <w:rsid w:val="00BF0396"/>
    <w:rsid w:val="00BF0993"/>
    <w:rsid w:val="00BF10A9"/>
    <w:rsid w:val="00BF1703"/>
    <w:rsid w:val="00BF231C"/>
    <w:rsid w:val="00BF51E5"/>
    <w:rsid w:val="00BF5900"/>
    <w:rsid w:val="00BF6EBB"/>
    <w:rsid w:val="00BF7303"/>
    <w:rsid w:val="00BF74A6"/>
    <w:rsid w:val="00C0019E"/>
    <w:rsid w:val="00C013AB"/>
    <w:rsid w:val="00C013AD"/>
    <w:rsid w:val="00C01854"/>
    <w:rsid w:val="00C02B41"/>
    <w:rsid w:val="00C037ED"/>
    <w:rsid w:val="00C038F3"/>
    <w:rsid w:val="00C04904"/>
    <w:rsid w:val="00C056B3"/>
    <w:rsid w:val="00C103E5"/>
    <w:rsid w:val="00C10D4F"/>
    <w:rsid w:val="00C11067"/>
    <w:rsid w:val="00C1216C"/>
    <w:rsid w:val="00C1309B"/>
    <w:rsid w:val="00C13319"/>
    <w:rsid w:val="00C13EE9"/>
    <w:rsid w:val="00C145A9"/>
    <w:rsid w:val="00C15415"/>
    <w:rsid w:val="00C1583A"/>
    <w:rsid w:val="00C16BC2"/>
    <w:rsid w:val="00C171EB"/>
    <w:rsid w:val="00C176A5"/>
    <w:rsid w:val="00C20324"/>
    <w:rsid w:val="00C21027"/>
    <w:rsid w:val="00C21540"/>
    <w:rsid w:val="00C21906"/>
    <w:rsid w:val="00C21BFA"/>
    <w:rsid w:val="00C22D73"/>
    <w:rsid w:val="00C23878"/>
    <w:rsid w:val="00C24C8D"/>
    <w:rsid w:val="00C24D74"/>
    <w:rsid w:val="00C24EB7"/>
    <w:rsid w:val="00C25FE2"/>
    <w:rsid w:val="00C26B53"/>
    <w:rsid w:val="00C279B2"/>
    <w:rsid w:val="00C30FEB"/>
    <w:rsid w:val="00C3198B"/>
    <w:rsid w:val="00C31EEE"/>
    <w:rsid w:val="00C3201E"/>
    <w:rsid w:val="00C33E50"/>
    <w:rsid w:val="00C347C1"/>
    <w:rsid w:val="00C34C20"/>
    <w:rsid w:val="00C35A3E"/>
    <w:rsid w:val="00C35E78"/>
    <w:rsid w:val="00C3705F"/>
    <w:rsid w:val="00C42130"/>
    <w:rsid w:val="00C4224C"/>
    <w:rsid w:val="00C4225E"/>
    <w:rsid w:val="00C423A4"/>
    <w:rsid w:val="00C423E3"/>
    <w:rsid w:val="00C43A67"/>
    <w:rsid w:val="00C44BF5"/>
    <w:rsid w:val="00C450EF"/>
    <w:rsid w:val="00C45D6C"/>
    <w:rsid w:val="00C4679B"/>
    <w:rsid w:val="00C46849"/>
    <w:rsid w:val="00C5147B"/>
    <w:rsid w:val="00C521D6"/>
    <w:rsid w:val="00C52853"/>
    <w:rsid w:val="00C52DF6"/>
    <w:rsid w:val="00C53682"/>
    <w:rsid w:val="00C53F49"/>
    <w:rsid w:val="00C5441D"/>
    <w:rsid w:val="00C54AA0"/>
    <w:rsid w:val="00C55232"/>
    <w:rsid w:val="00C55331"/>
    <w:rsid w:val="00C553A4"/>
    <w:rsid w:val="00C55488"/>
    <w:rsid w:val="00C55A06"/>
    <w:rsid w:val="00C55D03"/>
    <w:rsid w:val="00C564BB"/>
    <w:rsid w:val="00C5739D"/>
    <w:rsid w:val="00C5756A"/>
    <w:rsid w:val="00C57FF8"/>
    <w:rsid w:val="00C601BC"/>
    <w:rsid w:val="00C60571"/>
    <w:rsid w:val="00C616D5"/>
    <w:rsid w:val="00C6186D"/>
    <w:rsid w:val="00C61A49"/>
    <w:rsid w:val="00C6329F"/>
    <w:rsid w:val="00C63340"/>
    <w:rsid w:val="00C638B9"/>
    <w:rsid w:val="00C63A05"/>
    <w:rsid w:val="00C643F9"/>
    <w:rsid w:val="00C64ABD"/>
    <w:rsid w:val="00C64BCB"/>
    <w:rsid w:val="00C64E95"/>
    <w:rsid w:val="00C6563F"/>
    <w:rsid w:val="00C661FE"/>
    <w:rsid w:val="00C666FA"/>
    <w:rsid w:val="00C67B6D"/>
    <w:rsid w:val="00C70547"/>
    <w:rsid w:val="00C71372"/>
    <w:rsid w:val="00C72410"/>
    <w:rsid w:val="00C7287F"/>
    <w:rsid w:val="00C73033"/>
    <w:rsid w:val="00C73503"/>
    <w:rsid w:val="00C736A6"/>
    <w:rsid w:val="00C73E04"/>
    <w:rsid w:val="00C74B38"/>
    <w:rsid w:val="00C75242"/>
    <w:rsid w:val="00C76417"/>
    <w:rsid w:val="00C76B31"/>
    <w:rsid w:val="00C7718C"/>
    <w:rsid w:val="00C777B1"/>
    <w:rsid w:val="00C77991"/>
    <w:rsid w:val="00C8020B"/>
    <w:rsid w:val="00C80CB8"/>
    <w:rsid w:val="00C819F8"/>
    <w:rsid w:val="00C8248C"/>
    <w:rsid w:val="00C8386D"/>
    <w:rsid w:val="00C848D7"/>
    <w:rsid w:val="00C84E33"/>
    <w:rsid w:val="00C866E4"/>
    <w:rsid w:val="00C86D6F"/>
    <w:rsid w:val="00C8745D"/>
    <w:rsid w:val="00C905FC"/>
    <w:rsid w:val="00C927EA"/>
    <w:rsid w:val="00C92D03"/>
    <w:rsid w:val="00C9319C"/>
    <w:rsid w:val="00C9379F"/>
    <w:rsid w:val="00C93B84"/>
    <w:rsid w:val="00C9435D"/>
    <w:rsid w:val="00C9439F"/>
    <w:rsid w:val="00C94DF2"/>
    <w:rsid w:val="00C96741"/>
    <w:rsid w:val="00CA0454"/>
    <w:rsid w:val="00CA08BE"/>
    <w:rsid w:val="00CA1946"/>
    <w:rsid w:val="00CA2D1B"/>
    <w:rsid w:val="00CA2EDE"/>
    <w:rsid w:val="00CA3548"/>
    <w:rsid w:val="00CA375D"/>
    <w:rsid w:val="00CA40EE"/>
    <w:rsid w:val="00CA645C"/>
    <w:rsid w:val="00CA662A"/>
    <w:rsid w:val="00CA7AFD"/>
    <w:rsid w:val="00CA7C22"/>
    <w:rsid w:val="00CA7C3C"/>
    <w:rsid w:val="00CB0189"/>
    <w:rsid w:val="00CB0A3E"/>
    <w:rsid w:val="00CB0BA2"/>
    <w:rsid w:val="00CB1A42"/>
    <w:rsid w:val="00CB1B0C"/>
    <w:rsid w:val="00CB2242"/>
    <w:rsid w:val="00CB28DB"/>
    <w:rsid w:val="00CB2C0B"/>
    <w:rsid w:val="00CB2F8D"/>
    <w:rsid w:val="00CB3A25"/>
    <w:rsid w:val="00CB517D"/>
    <w:rsid w:val="00CB557E"/>
    <w:rsid w:val="00CB6106"/>
    <w:rsid w:val="00CB6D35"/>
    <w:rsid w:val="00CB6F3D"/>
    <w:rsid w:val="00CC038D"/>
    <w:rsid w:val="00CC08DB"/>
    <w:rsid w:val="00CC0C19"/>
    <w:rsid w:val="00CC34F1"/>
    <w:rsid w:val="00CC3915"/>
    <w:rsid w:val="00CC39FF"/>
    <w:rsid w:val="00CC3A98"/>
    <w:rsid w:val="00CC3C2F"/>
    <w:rsid w:val="00CC4AC8"/>
    <w:rsid w:val="00CC5233"/>
    <w:rsid w:val="00CC5BA4"/>
    <w:rsid w:val="00CC5DE6"/>
    <w:rsid w:val="00CC6E4E"/>
    <w:rsid w:val="00CC6FE8"/>
    <w:rsid w:val="00CC7202"/>
    <w:rsid w:val="00CD0324"/>
    <w:rsid w:val="00CD2808"/>
    <w:rsid w:val="00CD28BF"/>
    <w:rsid w:val="00CD2EBE"/>
    <w:rsid w:val="00CD4092"/>
    <w:rsid w:val="00CD47B9"/>
    <w:rsid w:val="00CD4A20"/>
    <w:rsid w:val="00CD50A1"/>
    <w:rsid w:val="00CD519E"/>
    <w:rsid w:val="00CD588F"/>
    <w:rsid w:val="00CD6351"/>
    <w:rsid w:val="00CE0C4F"/>
    <w:rsid w:val="00CE30EA"/>
    <w:rsid w:val="00CE3C6C"/>
    <w:rsid w:val="00CE3FBE"/>
    <w:rsid w:val="00CE4E01"/>
    <w:rsid w:val="00CE7A37"/>
    <w:rsid w:val="00CE7D7D"/>
    <w:rsid w:val="00CF048A"/>
    <w:rsid w:val="00CF0F9E"/>
    <w:rsid w:val="00CF155A"/>
    <w:rsid w:val="00CF2947"/>
    <w:rsid w:val="00CF2DAC"/>
    <w:rsid w:val="00CF47FE"/>
    <w:rsid w:val="00CF4A66"/>
    <w:rsid w:val="00CF5756"/>
    <w:rsid w:val="00CF585E"/>
    <w:rsid w:val="00CF61F2"/>
    <w:rsid w:val="00CF686F"/>
    <w:rsid w:val="00CF6AAC"/>
    <w:rsid w:val="00CF6E60"/>
    <w:rsid w:val="00CF7BCA"/>
    <w:rsid w:val="00D00586"/>
    <w:rsid w:val="00D0088D"/>
    <w:rsid w:val="00D008FD"/>
    <w:rsid w:val="00D0321C"/>
    <w:rsid w:val="00D035EC"/>
    <w:rsid w:val="00D03F97"/>
    <w:rsid w:val="00D05371"/>
    <w:rsid w:val="00D0576E"/>
    <w:rsid w:val="00D06A68"/>
    <w:rsid w:val="00D06AB1"/>
    <w:rsid w:val="00D06FC1"/>
    <w:rsid w:val="00D0701D"/>
    <w:rsid w:val="00D072ED"/>
    <w:rsid w:val="00D07997"/>
    <w:rsid w:val="00D07A16"/>
    <w:rsid w:val="00D1067E"/>
    <w:rsid w:val="00D10D76"/>
    <w:rsid w:val="00D10EBD"/>
    <w:rsid w:val="00D10F50"/>
    <w:rsid w:val="00D11272"/>
    <w:rsid w:val="00D11F7B"/>
    <w:rsid w:val="00D122FE"/>
    <w:rsid w:val="00D126F5"/>
    <w:rsid w:val="00D1359D"/>
    <w:rsid w:val="00D14857"/>
    <w:rsid w:val="00D1489E"/>
    <w:rsid w:val="00D15316"/>
    <w:rsid w:val="00D167C9"/>
    <w:rsid w:val="00D1755A"/>
    <w:rsid w:val="00D204C7"/>
    <w:rsid w:val="00D20737"/>
    <w:rsid w:val="00D21E81"/>
    <w:rsid w:val="00D223DE"/>
    <w:rsid w:val="00D22BE2"/>
    <w:rsid w:val="00D248CB"/>
    <w:rsid w:val="00D25566"/>
    <w:rsid w:val="00D255DA"/>
    <w:rsid w:val="00D25E37"/>
    <w:rsid w:val="00D263F1"/>
    <w:rsid w:val="00D2661A"/>
    <w:rsid w:val="00D273C1"/>
    <w:rsid w:val="00D27582"/>
    <w:rsid w:val="00D27EC4"/>
    <w:rsid w:val="00D304A3"/>
    <w:rsid w:val="00D30888"/>
    <w:rsid w:val="00D32497"/>
    <w:rsid w:val="00D32719"/>
    <w:rsid w:val="00D33333"/>
    <w:rsid w:val="00D352A2"/>
    <w:rsid w:val="00D3642E"/>
    <w:rsid w:val="00D364B0"/>
    <w:rsid w:val="00D36A6F"/>
    <w:rsid w:val="00D37138"/>
    <w:rsid w:val="00D40F23"/>
    <w:rsid w:val="00D41133"/>
    <w:rsid w:val="00D4162B"/>
    <w:rsid w:val="00D4396B"/>
    <w:rsid w:val="00D44AEE"/>
    <w:rsid w:val="00D4514F"/>
    <w:rsid w:val="00D451E2"/>
    <w:rsid w:val="00D45E89"/>
    <w:rsid w:val="00D45E8D"/>
    <w:rsid w:val="00D466AE"/>
    <w:rsid w:val="00D46D19"/>
    <w:rsid w:val="00D46DA8"/>
    <w:rsid w:val="00D4734F"/>
    <w:rsid w:val="00D506FF"/>
    <w:rsid w:val="00D50C4E"/>
    <w:rsid w:val="00D510A7"/>
    <w:rsid w:val="00D51BF3"/>
    <w:rsid w:val="00D526B7"/>
    <w:rsid w:val="00D52A4C"/>
    <w:rsid w:val="00D53AD2"/>
    <w:rsid w:val="00D53E30"/>
    <w:rsid w:val="00D542E0"/>
    <w:rsid w:val="00D55D5E"/>
    <w:rsid w:val="00D56441"/>
    <w:rsid w:val="00D648D1"/>
    <w:rsid w:val="00D66846"/>
    <w:rsid w:val="00D675FB"/>
    <w:rsid w:val="00D70C21"/>
    <w:rsid w:val="00D71F25"/>
    <w:rsid w:val="00D7207D"/>
    <w:rsid w:val="00D7284A"/>
    <w:rsid w:val="00D72A9C"/>
    <w:rsid w:val="00D7326B"/>
    <w:rsid w:val="00D73A69"/>
    <w:rsid w:val="00D75B20"/>
    <w:rsid w:val="00D765D7"/>
    <w:rsid w:val="00D77031"/>
    <w:rsid w:val="00D81DBD"/>
    <w:rsid w:val="00D81E99"/>
    <w:rsid w:val="00D81FF6"/>
    <w:rsid w:val="00D838F8"/>
    <w:rsid w:val="00D840C0"/>
    <w:rsid w:val="00D84363"/>
    <w:rsid w:val="00D84941"/>
    <w:rsid w:val="00D84FA1"/>
    <w:rsid w:val="00D851F0"/>
    <w:rsid w:val="00D8523C"/>
    <w:rsid w:val="00D86DB7"/>
    <w:rsid w:val="00D86E48"/>
    <w:rsid w:val="00D87025"/>
    <w:rsid w:val="00D87683"/>
    <w:rsid w:val="00D87BF5"/>
    <w:rsid w:val="00D90721"/>
    <w:rsid w:val="00D9130F"/>
    <w:rsid w:val="00D926D0"/>
    <w:rsid w:val="00D92D0A"/>
    <w:rsid w:val="00D93030"/>
    <w:rsid w:val="00D93BFB"/>
    <w:rsid w:val="00D93CC3"/>
    <w:rsid w:val="00D94F2A"/>
    <w:rsid w:val="00D950D3"/>
    <w:rsid w:val="00D950E1"/>
    <w:rsid w:val="00D952A6"/>
    <w:rsid w:val="00D9545C"/>
    <w:rsid w:val="00D9588F"/>
    <w:rsid w:val="00D96132"/>
    <w:rsid w:val="00D97C0F"/>
    <w:rsid w:val="00D97F99"/>
    <w:rsid w:val="00DA0E12"/>
    <w:rsid w:val="00DA1715"/>
    <w:rsid w:val="00DA1E08"/>
    <w:rsid w:val="00DA22BF"/>
    <w:rsid w:val="00DA24F8"/>
    <w:rsid w:val="00DA254C"/>
    <w:rsid w:val="00DA28E8"/>
    <w:rsid w:val="00DA38D3"/>
    <w:rsid w:val="00DA3932"/>
    <w:rsid w:val="00DA3AFC"/>
    <w:rsid w:val="00DA3CE9"/>
    <w:rsid w:val="00DA3DDE"/>
    <w:rsid w:val="00DA64F8"/>
    <w:rsid w:val="00DA6C15"/>
    <w:rsid w:val="00DB0258"/>
    <w:rsid w:val="00DB23EE"/>
    <w:rsid w:val="00DB246B"/>
    <w:rsid w:val="00DB269B"/>
    <w:rsid w:val="00DB38EE"/>
    <w:rsid w:val="00DB498B"/>
    <w:rsid w:val="00DB57BE"/>
    <w:rsid w:val="00DB5D1E"/>
    <w:rsid w:val="00DB6172"/>
    <w:rsid w:val="00DB6394"/>
    <w:rsid w:val="00DB641A"/>
    <w:rsid w:val="00DB66CA"/>
    <w:rsid w:val="00DB6BCA"/>
    <w:rsid w:val="00DB6D8B"/>
    <w:rsid w:val="00DB6F54"/>
    <w:rsid w:val="00DB7317"/>
    <w:rsid w:val="00DB73F7"/>
    <w:rsid w:val="00DB7EC2"/>
    <w:rsid w:val="00DC0321"/>
    <w:rsid w:val="00DC123E"/>
    <w:rsid w:val="00DC1918"/>
    <w:rsid w:val="00DC20E5"/>
    <w:rsid w:val="00DC234D"/>
    <w:rsid w:val="00DC2B2C"/>
    <w:rsid w:val="00DC3067"/>
    <w:rsid w:val="00DC370B"/>
    <w:rsid w:val="00DC430E"/>
    <w:rsid w:val="00DC5ACF"/>
    <w:rsid w:val="00DC5B90"/>
    <w:rsid w:val="00DC6C71"/>
    <w:rsid w:val="00DC7D1B"/>
    <w:rsid w:val="00DD00FF"/>
    <w:rsid w:val="00DD0611"/>
    <w:rsid w:val="00DD0619"/>
    <w:rsid w:val="00DD07FB"/>
    <w:rsid w:val="00DD102A"/>
    <w:rsid w:val="00DD1033"/>
    <w:rsid w:val="00DD25C6"/>
    <w:rsid w:val="00DD27CF"/>
    <w:rsid w:val="00DD33CF"/>
    <w:rsid w:val="00DD47BE"/>
    <w:rsid w:val="00DD4FE5"/>
    <w:rsid w:val="00DD54B0"/>
    <w:rsid w:val="00DD56F0"/>
    <w:rsid w:val="00DD57EE"/>
    <w:rsid w:val="00DD6BCC"/>
    <w:rsid w:val="00DE0A4B"/>
    <w:rsid w:val="00DE112E"/>
    <w:rsid w:val="00DE1EFD"/>
    <w:rsid w:val="00DE2410"/>
    <w:rsid w:val="00DE2939"/>
    <w:rsid w:val="00DE3A9D"/>
    <w:rsid w:val="00DE6E81"/>
    <w:rsid w:val="00DE703F"/>
    <w:rsid w:val="00DE7595"/>
    <w:rsid w:val="00DE7941"/>
    <w:rsid w:val="00DF1961"/>
    <w:rsid w:val="00DF1D7F"/>
    <w:rsid w:val="00DF2830"/>
    <w:rsid w:val="00DF31CB"/>
    <w:rsid w:val="00DF3E65"/>
    <w:rsid w:val="00DF3EFE"/>
    <w:rsid w:val="00DF4250"/>
    <w:rsid w:val="00DF44DE"/>
    <w:rsid w:val="00DF608D"/>
    <w:rsid w:val="00E00661"/>
    <w:rsid w:val="00E01138"/>
    <w:rsid w:val="00E017F2"/>
    <w:rsid w:val="00E01DA9"/>
    <w:rsid w:val="00E02DFB"/>
    <w:rsid w:val="00E030F9"/>
    <w:rsid w:val="00E0311A"/>
    <w:rsid w:val="00E03138"/>
    <w:rsid w:val="00E0355C"/>
    <w:rsid w:val="00E03B20"/>
    <w:rsid w:val="00E047AC"/>
    <w:rsid w:val="00E047D1"/>
    <w:rsid w:val="00E05114"/>
    <w:rsid w:val="00E05CF4"/>
    <w:rsid w:val="00E05FD3"/>
    <w:rsid w:val="00E06404"/>
    <w:rsid w:val="00E07723"/>
    <w:rsid w:val="00E1019D"/>
    <w:rsid w:val="00E10D3D"/>
    <w:rsid w:val="00E118A1"/>
    <w:rsid w:val="00E11980"/>
    <w:rsid w:val="00E11A85"/>
    <w:rsid w:val="00E12495"/>
    <w:rsid w:val="00E13F43"/>
    <w:rsid w:val="00E15CCD"/>
    <w:rsid w:val="00E162F3"/>
    <w:rsid w:val="00E202EF"/>
    <w:rsid w:val="00E209AD"/>
    <w:rsid w:val="00E210B5"/>
    <w:rsid w:val="00E21570"/>
    <w:rsid w:val="00E2175A"/>
    <w:rsid w:val="00E241A5"/>
    <w:rsid w:val="00E2485D"/>
    <w:rsid w:val="00E2552F"/>
    <w:rsid w:val="00E264C5"/>
    <w:rsid w:val="00E271B3"/>
    <w:rsid w:val="00E27F18"/>
    <w:rsid w:val="00E30AFB"/>
    <w:rsid w:val="00E30F69"/>
    <w:rsid w:val="00E3137A"/>
    <w:rsid w:val="00E313DF"/>
    <w:rsid w:val="00E329D9"/>
    <w:rsid w:val="00E32CCF"/>
    <w:rsid w:val="00E32E58"/>
    <w:rsid w:val="00E3436D"/>
    <w:rsid w:val="00E3439C"/>
    <w:rsid w:val="00E34A98"/>
    <w:rsid w:val="00E34BD1"/>
    <w:rsid w:val="00E35B04"/>
    <w:rsid w:val="00E35D1E"/>
    <w:rsid w:val="00E364F9"/>
    <w:rsid w:val="00E365FA"/>
    <w:rsid w:val="00E36789"/>
    <w:rsid w:val="00E415FF"/>
    <w:rsid w:val="00E41D51"/>
    <w:rsid w:val="00E427F0"/>
    <w:rsid w:val="00E42F8F"/>
    <w:rsid w:val="00E430B9"/>
    <w:rsid w:val="00E43BC7"/>
    <w:rsid w:val="00E44A83"/>
    <w:rsid w:val="00E451D8"/>
    <w:rsid w:val="00E45628"/>
    <w:rsid w:val="00E4701E"/>
    <w:rsid w:val="00E471BD"/>
    <w:rsid w:val="00E47341"/>
    <w:rsid w:val="00E47EE4"/>
    <w:rsid w:val="00E502C1"/>
    <w:rsid w:val="00E502DD"/>
    <w:rsid w:val="00E50D3A"/>
    <w:rsid w:val="00E51387"/>
    <w:rsid w:val="00E51722"/>
    <w:rsid w:val="00E51E68"/>
    <w:rsid w:val="00E522F1"/>
    <w:rsid w:val="00E52DAB"/>
    <w:rsid w:val="00E52EFD"/>
    <w:rsid w:val="00E531B7"/>
    <w:rsid w:val="00E53D24"/>
    <w:rsid w:val="00E53E1A"/>
    <w:rsid w:val="00E5408A"/>
    <w:rsid w:val="00E54504"/>
    <w:rsid w:val="00E55DD2"/>
    <w:rsid w:val="00E55ED6"/>
    <w:rsid w:val="00E56800"/>
    <w:rsid w:val="00E56F58"/>
    <w:rsid w:val="00E57945"/>
    <w:rsid w:val="00E57B33"/>
    <w:rsid w:val="00E6099E"/>
    <w:rsid w:val="00E60C63"/>
    <w:rsid w:val="00E62FF9"/>
    <w:rsid w:val="00E635D6"/>
    <w:rsid w:val="00E639BC"/>
    <w:rsid w:val="00E63AC6"/>
    <w:rsid w:val="00E63B6C"/>
    <w:rsid w:val="00E63CFC"/>
    <w:rsid w:val="00E64EDE"/>
    <w:rsid w:val="00E653BC"/>
    <w:rsid w:val="00E65404"/>
    <w:rsid w:val="00E655E3"/>
    <w:rsid w:val="00E65D80"/>
    <w:rsid w:val="00E664CC"/>
    <w:rsid w:val="00E6667A"/>
    <w:rsid w:val="00E70388"/>
    <w:rsid w:val="00E70F92"/>
    <w:rsid w:val="00E72046"/>
    <w:rsid w:val="00E735F5"/>
    <w:rsid w:val="00E74313"/>
    <w:rsid w:val="00E7453D"/>
    <w:rsid w:val="00E74C54"/>
    <w:rsid w:val="00E7604B"/>
    <w:rsid w:val="00E76910"/>
    <w:rsid w:val="00E76B8F"/>
    <w:rsid w:val="00E773B6"/>
    <w:rsid w:val="00E77A03"/>
    <w:rsid w:val="00E77E2D"/>
    <w:rsid w:val="00E81CE8"/>
    <w:rsid w:val="00E821EA"/>
    <w:rsid w:val="00E822E8"/>
    <w:rsid w:val="00E82554"/>
    <w:rsid w:val="00E82606"/>
    <w:rsid w:val="00E82EF5"/>
    <w:rsid w:val="00E831C1"/>
    <w:rsid w:val="00E842FE"/>
    <w:rsid w:val="00E846C8"/>
    <w:rsid w:val="00E847D7"/>
    <w:rsid w:val="00E84957"/>
    <w:rsid w:val="00E84A55"/>
    <w:rsid w:val="00E84B55"/>
    <w:rsid w:val="00E84E2E"/>
    <w:rsid w:val="00E85BFF"/>
    <w:rsid w:val="00E862A3"/>
    <w:rsid w:val="00E8777F"/>
    <w:rsid w:val="00E87DE4"/>
    <w:rsid w:val="00E90391"/>
    <w:rsid w:val="00E904A4"/>
    <w:rsid w:val="00E906C2"/>
    <w:rsid w:val="00E9311F"/>
    <w:rsid w:val="00E934D1"/>
    <w:rsid w:val="00E948DC"/>
    <w:rsid w:val="00E94AF0"/>
    <w:rsid w:val="00E95252"/>
    <w:rsid w:val="00E9544B"/>
    <w:rsid w:val="00E956BC"/>
    <w:rsid w:val="00E95D13"/>
    <w:rsid w:val="00E95D3F"/>
    <w:rsid w:val="00E95DD3"/>
    <w:rsid w:val="00E96480"/>
    <w:rsid w:val="00E967CF"/>
    <w:rsid w:val="00E969D5"/>
    <w:rsid w:val="00E96C2B"/>
    <w:rsid w:val="00E97895"/>
    <w:rsid w:val="00EA2D63"/>
    <w:rsid w:val="00EA35DD"/>
    <w:rsid w:val="00EA3609"/>
    <w:rsid w:val="00EA478B"/>
    <w:rsid w:val="00EA58D1"/>
    <w:rsid w:val="00EA61BC"/>
    <w:rsid w:val="00EA681A"/>
    <w:rsid w:val="00EA7304"/>
    <w:rsid w:val="00EA735B"/>
    <w:rsid w:val="00EA7936"/>
    <w:rsid w:val="00EA7F7F"/>
    <w:rsid w:val="00EB0507"/>
    <w:rsid w:val="00EB1E69"/>
    <w:rsid w:val="00EB2086"/>
    <w:rsid w:val="00EB25B5"/>
    <w:rsid w:val="00EB27BE"/>
    <w:rsid w:val="00EB2B04"/>
    <w:rsid w:val="00EB31ED"/>
    <w:rsid w:val="00EB33EF"/>
    <w:rsid w:val="00EB38CA"/>
    <w:rsid w:val="00EB3CCE"/>
    <w:rsid w:val="00EB3E2C"/>
    <w:rsid w:val="00EB402F"/>
    <w:rsid w:val="00EB5032"/>
    <w:rsid w:val="00EB5EDF"/>
    <w:rsid w:val="00EB60FE"/>
    <w:rsid w:val="00EB74DB"/>
    <w:rsid w:val="00EC0E8E"/>
    <w:rsid w:val="00EC3426"/>
    <w:rsid w:val="00EC5359"/>
    <w:rsid w:val="00EC562A"/>
    <w:rsid w:val="00EC5782"/>
    <w:rsid w:val="00EC5B6A"/>
    <w:rsid w:val="00EC628F"/>
    <w:rsid w:val="00EC70B3"/>
    <w:rsid w:val="00ED067A"/>
    <w:rsid w:val="00ED08AB"/>
    <w:rsid w:val="00ED0E20"/>
    <w:rsid w:val="00ED2954"/>
    <w:rsid w:val="00ED2B50"/>
    <w:rsid w:val="00ED2C84"/>
    <w:rsid w:val="00ED3265"/>
    <w:rsid w:val="00ED4A15"/>
    <w:rsid w:val="00ED7868"/>
    <w:rsid w:val="00ED7D1A"/>
    <w:rsid w:val="00EE0263"/>
    <w:rsid w:val="00EE0350"/>
    <w:rsid w:val="00EE0719"/>
    <w:rsid w:val="00EE072C"/>
    <w:rsid w:val="00EE0E80"/>
    <w:rsid w:val="00EE2313"/>
    <w:rsid w:val="00EE2BAC"/>
    <w:rsid w:val="00EE4336"/>
    <w:rsid w:val="00EE613F"/>
    <w:rsid w:val="00EE66F9"/>
    <w:rsid w:val="00EE6B83"/>
    <w:rsid w:val="00EE7295"/>
    <w:rsid w:val="00EE7869"/>
    <w:rsid w:val="00EF054A"/>
    <w:rsid w:val="00EF16D4"/>
    <w:rsid w:val="00EF21C8"/>
    <w:rsid w:val="00EF2267"/>
    <w:rsid w:val="00EF3235"/>
    <w:rsid w:val="00EF34FC"/>
    <w:rsid w:val="00EF39C3"/>
    <w:rsid w:val="00EF6DD2"/>
    <w:rsid w:val="00EF779C"/>
    <w:rsid w:val="00EF7950"/>
    <w:rsid w:val="00EF7E72"/>
    <w:rsid w:val="00EF7F04"/>
    <w:rsid w:val="00F0132A"/>
    <w:rsid w:val="00F01FF8"/>
    <w:rsid w:val="00F03A87"/>
    <w:rsid w:val="00F03B57"/>
    <w:rsid w:val="00F03D6B"/>
    <w:rsid w:val="00F04E1F"/>
    <w:rsid w:val="00F055F0"/>
    <w:rsid w:val="00F05D48"/>
    <w:rsid w:val="00F069FD"/>
    <w:rsid w:val="00F06D37"/>
    <w:rsid w:val="00F07094"/>
    <w:rsid w:val="00F07B9D"/>
    <w:rsid w:val="00F10B45"/>
    <w:rsid w:val="00F11586"/>
    <w:rsid w:val="00F1183B"/>
    <w:rsid w:val="00F11C9F"/>
    <w:rsid w:val="00F1218B"/>
    <w:rsid w:val="00F12263"/>
    <w:rsid w:val="00F1255D"/>
    <w:rsid w:val="00F12C94"/>
    <w:rsid w:val="00F1409D"/>
    <w:rsid w:val="00F14214"/>
    <w:rsid w:val="00F14C5E"/>
    <w:rsid w:val="00F152CF"/>
    <w:rsid w:val="00F154CE"/>
    <w:rsid w:val="00F157A9"/>
    <w:rsid w:val="00F16F00"/>
    <w:rsid w:val="00F16FA2"/>
    <w:rsid w:val="00F20663"/>
    <w:rsid w:val="00F216E4"/>
    <w:rsid w:val="00F21B86"/>
    <w:rsid w:val="00F22913"/>
    <w:rsid w:val="00F25BB6"/>
    <w:rsid w:val="00F25CDC"/>
    <w:rsid w:val="00F26A54"/>
    <w:rsid w:val="00F26B7E"/>
    <w:rsid w:val="00F26D18"/>
    <w:rsid w:val="00F27A3B"/>
    <w:rsid w:val="00F31277"/>
    <w:rsid w:val="00F3197D"/>
    <w:rsid w:val="00F31E03"/>
    <w:rsid w:val="00F32780"/>
    <w:rsid w:val="00F331C9"/>
    <w:rsid w:val="00F33331"/>
    <w:rsid w:val="00F33817"/>
    <w:rsid w:val="00F34318"/>
    <w:rsid w:val="00F34B4B"/>
    <w:rsid w:val="00F34B5A"/>
    <w:rsid w:val="00F3662A"/>
    <w:rsid w:val="00F36669"/>
    <w:rsid w:val="00F37CA1"/>
    <w:rsid w:val="00F418DF"/>
    <w:rsid w:val="00F4203B"/>
    <w:rsid w:val="00F420D5"/>
    <w:rsid w:val="00F42276"/>
    <w:rsid w:val="00F427F4"/>
    <w:rsid w:val="00F43650"/>
    <w:rsid w:val="00F4452E"/>
    <w:rsid w:val="00F451EA"/>
    <w:rsid w:val="00F45447"/>
    <w:rsid w:val="00F456C6"/>
    <w:rsid w:val="00F4577B"/>
    <w:rsid w:val="00F46496"/>
    <w:rsid w:val="00F465CC"/>
    <w:rsid w:val="00F47118"/>
    <w:rsid w:val="00F474D0"/>
    <w:rsid w:val="00F477D6"/>
    <w:rsid w:val="00F50179"/>
    <w:rsid w:val="00F50869"/>
    <w:rsid w:val="00F515EE"/>
    <w:rsid w:val="00F51C96"/>
    <w:rsid w:val="00F52F69"/>
    <w:rsid w:val="00F531F9"/>
    <w:rsid w:val="00F55C99"/>
    <w:rsid w:val="00F561B8"/>
    <w:rsid w:val="00F56511"/>
    <w:rsid w:val="00F57E78"/>
    <w:rsid w:val="00F602F4"/>
    <w:rsid w:val="00F607DE"/>
    <w:rsid w:val="00F60E89"/>
    <w:rsid w:val="00F6194E"/>
    <w:rsid w:val="00F61CB0"/>
    <w:rsid w:val="00F623AC"/>
    <w:rsid w:val="00F624AC"/>
    <w:rsid w:val="00F62AD5"/>
    <w:rsid w:val="00F631F3"/>
    <w:rsid w:val="00F6412A"/>
    <w:rsid w:val="00F6555A"/>
    <w:rsid w:val="00F65893"/>
    <w:rsid w:val="00F66A4A"/>
    <w:rsid w:val="00F70950"/>
    <w:rsid w:val="00F714B0"/>
    <w:rsid w:val="00F71E22"/>
    <w:rsid w:val="00F72142"/>
    <w:rsid w:val="00F721A6"/>
    <w:rsid w:val="00F72AE7"/>
    <w:rsid w:val="00F755B8"/>
    <w:rsid w:val="00F760CC"/>
    <w:rsid w:val="00F77176"/>
    <w:rsid w:val="00F77489"/>
    <w:rsid w:val="00F77E82"/>
    <w:rsid w:val="00F82B0D"/>
    <w:rsid w:val="00F82B18"/>
    <w:rsid w:val="00F833BA"/>
    <w:rsid w:val="00F83900"/>
    <w:rsid w:val="00F84372"/>
    <w:rsid w:val="00F84FD0"/>
    <w:rsid w:val="00F8552C"/>
    <w:rsid w:val="00F859A8"/>
    <w:rsid w:val="00F85EB5"/>
    <w:rsid w:val="00F8679C"/>
    <w:rsid w:val="00F86D87"/>
    <w:rsid w:val="00F86EAA"/>
    <w:rsid w:val="00F877F7"/>
    <w:rsid w:val="00F908A5"/>
    <w:rsid w:val="00F91081"/>
    <w:rsid w:val="00F9108B"/>
    <w:rsid w:val="00F91349"/>
    <w:rsid w:val="00F9153E"/>
    <w:rsid w:val="00F934DD"/>
    <w:rsid w:val="00F93A8A"/>
    <w:rsid w:val="00F940F2"/>
    <w:rsid w:val="00F9417A"/>
    <w:rsid w:val="00F9487B"/>
    <w:rsid w:val="00F95248"/>
    <w:rsid w:val="00F95687"/>
    <w:rsid w:val="00F956A9"/>
    <w:rsid w:val="00F963ED"/>
    <w:rsid w:val="00F96505"/>
    <w:rsid w:val="00F966CF"/>
    <w:rsid w:val="00F96CAE"/>
    <w:rsid w:val="00F97C43"/>
    <w:rsid w:val="00F97C99"/>
    <w:rsid w:val="00FA07D2"/>
    <w:rsid w:val="00FA087E"/>
    <w:rsid w:val="00FA311F"/>
    <w:rsid w:val="00FA35EC"/>
    <w:rsid w:val="00FA3F38"/>
    <w:rsid w:val="00FA662D"/>
    <w:rsid w:val="00FA6A69"/>
    <w:rsid w:val="00FA6F66"/>
    <w:rsid w:val="00FA70BE"/>
    <w:rsid w:val="00FA73B1"/>
    <w:rsid w:val="00FB05B1"/>
    <w:rsid w:val="00FB05B6"/>
    <w:rsid w:val="00FB0CB9"/>
    <w:rsid w:val="00FB1038"/>
    <w:rsid w:val="00FB214C"/>
    <w:rsid w:val="00FB231D"/>
    <w:rsid w:val="00FB45F1"/>
    <w:rsid w:val="00FB49AA"/>
    <w:rsid w:val="00FB4A72"/>
    <w:rsid w:val="00FB512F"/>
    <w:rsid w:val="00FB5298"/>
    <w:rsid w:val="00FB54E8"/>
    <w:rsid w:val="00FB7054"/>
    <w:rsid w:val="00FC0565"/>
    <w:rsid w:val="00FC0B93"/>
    <w:rsid w:val="00FC1045"/>
    <w:rsid w:val="00FC1066"/>
    <w:rsid w:val="00FC1690"/>
    <w:rsid w:val="00FC17B7"/>
    <w:rsid w:val="00FC2CB7"/>
    <w:rsid w:val="00FC37D7"/>
    <w:rsid w:val="00FC4090"/>
    <w:rsid w:val="00FC4242"/>
    <w:rsid w:val="00FC46C5"/>
    <w:rsid w:val="00FC4F2B"/>
    <w:rsid w:val="00FC55B4"/>
    <w:rsid w:val="00FC63F7"/>
    <w:rsid w:val="00FD0069"/>
    <w:rsid w:val="00FD00E6"/>
    <w:rsid w:val="00FD041B"/>
    <w:rsid w:val="00FD09A1"/>
    <w:rsid w:val="00FD0D89"/>
    <w:rsid w:val="00FD2A7C"/>
    <w:rsid w:val="00FD363B"/>
    <w:rsid w:val="00FD36C4"/>
    <w:rsid w:val="00FD514C"/>
    <w:rsid w:val="00FD577D"/>
    <w:rsid w:val="00FD59EB"/>
    <w:rsid w:val="00FD7299"/>
    <w:rsid w:val="00FD7B79"/>
    <w:rsid w:val="00FE06D9"/>
    <w:rsid w:val="00FE0A38"/>
    <w:rsid w:val="00FE14D5"/>
    <w:rsid w:val="00FE1F7B"/>
    <w:rsid w:val="00FE1FBE"/>
    <w:rsid w:val="00FE2110"/>
    <w:rsid w:val="00FE3091"/>
    <w:rsid w:val="00FE3901"/>
    <w:rsid w:val="00FE39D3"/>
    <w:rsid w:val="00FE3AF5"/>
    <w:rsid w:val="00FE43E4"/>
    <w:rsid w:val="00FE4780"/>
    <w:rsid w:val="00FE4BCE"/>
    <w:rsid w:val="00FE4D4D"/>
    <w:rsid w:val="00FE54AE"/>
    <w:rsid w:val="00FE576A"/>
    <w:rsid w:val="00FE61FD"/>
    <w:rsid w:val="00FE6456"/>
    <w:rsid w:val="00FE661E"/>
    <w:rsid w:val="00FE7229"/>
    <w:rsid w:val="00FE7E79"/>
    <w:rsid w:val="00FF0B24"/>
    <w:rsid w:val="00FF0C9A"/>
    <w:rsid w:val="00FF2A4F"/>
    <w:rsid w:val="00FF3E7D"/>
    <w:rsid w:val="00FF5733"/>
    <w:rsid w:val="00FF580B"/>
    <w:rsid w:val="00FF5B99"/>
    <w:rsid w:val="00FF6CDE"/>
    <w:rsid w:val="00FF7135"/>
    <w:rsid w:val="00FF730C"/>
    <w:rsid w:val="00FF73F4"/>
    <w:rsid w:val="00FF7CE4"/>
    <w:rsid w:val="00FF7E39"/>
    <w:rsid w:val="00FF7EE7"/>
    <w:rsid w:val="01657609"/>
    <w:rsid w:val="01AE15BA"/>
    <w:rsid w:val="020C0D2B"/>
    <w:rsid w:val="022655F4"/>
    <w:rsid w:val="022E44A8"/>
    <w:rsid w:val="03694481"/>
    <w:rsid w:val="042A18EE"/>
    <w:rsid w:val="049D5915"/>
    <w:rsid w:val="04A44EF6"/>
    <w:rsid w:val="04BF3ADE"/>
    <w:rsid w:val="051D01F9"/>
    <w:rsid w:val="067D77AC"/>
    <w:rsid w:val="06862B05"/>
    <w:rsid w:val="06E31D05"/>
    <w:rsid w:val="072E0AA7"/>
    <w:rsid w:val="073A38EF"/>
    <w:rsid w:val="074B3407"/>
    <w:rsid w:val="07D12A51"/>
    <w:rsid w:val="082F2D28"/>
    <w:rsid w:val="089815BC"/>
    <w:rsid w:val="09034EEB"/>
    <w:rsid w:val="099059BB"/>
    <w:rsid w:val="09E87633"/>
    <w:rsid w:val="09F72678"/>
    <w:rsid w:val="0A346C22"/>
    <w:rsid w:val="0A4E393A"/>
    <w:rsid w:val="0ADB2CF4"/>
    <w:rsid w:val="0BAB6B6A"/>
    <w:rsid w:val="0CC2416B"/>
    <w:rsid w:val="0CC25F19"/>
    <w:rsid w:val="0DA16476"/>
    <w:rsid w:val="0DB516D4"/>
    <w:rsid w:val="0E6E6A1B"/>
    <w:rsid w:val="0FDA7A1E"/>
    <w:rsid w:val="107857C2"/>
    <w:rsid w:val="10B1484F"/>
    <w:rsid w:val="114C4751"/>
    <w:rsid w:val="124473D0"/>
    <w:rsid w:val="12AB56A1"/>
    <w:rsid w:val="12AC325C"/>
    <w:rsid w:val="1317177A"/>
    <w:rsid w:val="13197B1C"/>
    <w:rsid w:val="132F0080"/>
    <w:rsid w:val="136046DE"/>
    <w:rsid w:val="137E1CF4"/>
    <w:rsid w:val="13A66595"/>
    <w:rsid w:val="13D24672"/>
    <w:rsid w:val="13FC4407"/>
    <w:rsid w:val="142851FC"/>
    <w:rsid w:val="14373691"/>
    <w:rsid w:val="14A423A8"/>
    <w:rsid w:val="15175779"/>
    <w:rsid w:val="167D553C"/>
    <w:rsid w:val="16AB2114"/>
    <w:rsid w:val="16AF4771"/>
    <w:rsid w:val="16F438D1"/>
    <w:rsid w:val="17EF7DDE"/>
    <w:rsid w:val="18023FB5"/>
    <w:rsid w:val="18B502D3"/>
    <w:rsid w:val="18F63219"/>
    <w:rsid w:val="195425EF"/>
    <w:rsid w:val="19D84FCE"/>
    <w:rsid w:val="19F4792E"/>
    <w:rsid w:val="1ADF1C1F"/>
    <w:rsid w:val="1AEF79B9"/>
    <w:rsid w:val="1B3E3557"/>
    <w:rsid w:val="1BA86C22"/>
    <w:rsid w:val="1BCD0942"/>
    <w:rsid w:val="1BDD5AFE"/>
    <w:rsid w:val="1D281090"/>
    <w:rsid w:val="1D504BD0"/>
    <w:rsid w:val="1D747CDC"/>
    <w:rsid w:val="1D8E3BF5"/>
    <w:rsid w:val="1E4744D0"/>
    <w:rsid w:val="1E49483B"/>
    <w:rsid w:val="1E9443C0"/>
    <w:rsid w:val="1F38310A"/>
    <w:rsid w:val="1F5C21FD"/>
    <w:rsid w:val="1F7437D9"/>
    <w:rsid w:val="2059281B"/>
    <w:rsid w:val="205D447F"/>
    <w:rsid w:val="20A44603"/>
    <w:rsid w:val="21380A48"/>
    <w:rsid w:val="213A47C0"/>
    <w:rsid w:val="2163477C"/>
    <w:rsid w:val="21A93E31"/>
    <w:rsid w:val="23DE58D7"/>
    <w:rsid w:val="24482D50"/>
    <w:rsid w:val="259B3353"/>
    <w:rsid w:val="264A7253"/>
    <w:rsid w:val="27BF3329"/>
    <w:rsid w:val="281178FD"/>
    <w:rsid w:val="29657F00"/>
    <w:rsid w:val="297B3495"/>
    <w:rsid w:val="29915199"/>
    <w:rsid w:val="29B03871"/>
    <w:rsid w:val="29CC4423"/>
    <w:rsid w:val="29F714A0"/>
    <w:rsid w:val="2A133E00"/>
    <w:rsid w:val="2A5A558B"/>
    <w:rsid w:val="2AF05EF0"/>
    <w:rsid w:val="2BCC5554"/>
    <w:rsid w:val="2C2220D9"/>
    <w:rsid w:val="2C6E17C2"/>
    <w:rsid w:val="2D2C48D6"/>
    <w:rsid w:val="2D754AF4"/>
    <w:rsid w:val="2D84383C"/>
    <w:rsid w:val="2DAC6B2E"/>
    <w:rsid w:val="2DE874AE"/>
    <w:rsid w:val="2E536EC1"/>
    <w:rsid w:val="2E6E0F52"/>
    <w:rsid w:val="2F1A7D7C"/>
    <w:rsid w:val="2F2443BA"/>
    <w:rsid w:val="2F7455DA"/>
    <w:rsid w:val="2FB15C4D"/>
    <w:rsid w:val="2FC35981"/>
    <w:rsid w:val="30406FD1"/>
    <w:rsid w:val="307750E9"/>
    <w:rsid w:val="30780B50"/>
    <w:rsid w:val="30DC287B"/>
    <w:rsid w:val="318203D5"/>
    <w:rsid w:val="335E433E"/>
    <w:rsid w:val="33E660E2"/>
    <w:rsid w:val="345968B4"/>
    <w:rsid w:val="34925DC7"/>
    <w:rsid w:val="34DA3E98"/>
    <w:rsid w:val="34E46DD3"/>
    <w:rsid w:val="35731BF7"/>
    <w:rsid w:val="358A16AE"/>
    <w:rsid w:val="36010FB1"/>
    <w:rsid w:val="36BD2EB2"/>
    <w:rsid w:val="37904CE2"/>
    <w:rsid w:val="379A288B"/>
    <w:rsid w:val="37ED3EE3"/>
    <w:rsid w:val="381551E7"/>
    <w:rsid w:val="38763ED8"/>
    <w:rsid w:val="39581830"/>
    <w:rsid w:val="397023DF"/>
    <w:rsid w:val="3A00614F"/>
    <w:rsid w:val="3A5913BB"/>
    <w:rsid w:val="3A661D2A"/>
    <w:rsid w:val="3A7601BF"/>
    <w:rsid w:val="3A993EAE"/>
    <w:rsid w:val="3AA21310"/>
    <w:rsid w:val="3ABE56C2"/>
    <w:rsid w:val="3B29296F"/>
    <w:rsid w:val="3BB6283D"/>
    <w:rsid w:val="3BED44B1"/>
    <w:rsid w:val="3C636372"/>
    <w:rsid w:val="3C862210"/>
    <w:rsid w:val="3CD613E9"/>
    <w:rsid w:val="3D08531B"/>
    <w:rsid w:val="3D0A4BEF"/>
    <w:rsid w:val="3D7D220F"/>
    <w:rsid w:val="3DB87961"/>
    <w:rsid w:val="3DDD67A7"/>
    <w:rsid w:val="3E854E75"/>
    <w:rsid w:val="3F4C47B5"/>
    <w:rsid w:val="40324B88"/>
    <w:rsid w:val="40AD38FA"/>
    <w:rsid w:val="40B21825"/>
    <w:rsid w:val="40BF2A13"/>
    <w:rsid w:val="40CB301B"/>
    <w:rsid w:val="41270465"/>
    <w:rsid w:val="421C4E6D"/>
    <w:rsid w:val="42E61C5A"/>
    <w:rsid w:val="43670FED"/>
    <w:rsid w:val="437A0581"/>
    <w:rsid w:val="43E705ED"/>
    <w:rsid w:val="43ED0DC6"/>
    <w:rsid w:val="440E76BA"/>
    <w:rsid w:val="445F1CC4"/>
    <w:rsid w:val="45126D36"/>
    <w:rsid w:val="45E701C3"/>
    <w:rsid w:val="480908C5"/>
    <w:rsid w:val="48CA7928"/>
    <w:rsid w:val="494D1980"/>
    <w:rsid w:val="49543DC1"/>
    <w:rsid w:val="4BFC604B"/>
    <w:rsid w:val="4CDB0356"/>
    <w:rsid w:val="4D6B3488"/>
    <w:rsid w:val="4D924EB8"/>
    <w:rsid w:val="4DAE7818"/>
    <w:rsid w:val="4DEE5E67"/>
    <w:rsid w:val="4E08517B"/>
    <w:rsid w:val="4E9B7D9D"/>
    <w:rsid w:val="4FA233AD"/>
    <w:rsid w:val="50C3182D"/>
    <w:rsid w:val="51493AE0"/>
    <w:rsid w:val="52666914"/>
    <w:rsid w:val="527032EE"/>
    <w:rsid w:val="52F201A7"/>
    <w:rsid w:val="53193986"/>
    <w:rsid w:val="53C9715A"/>
    <w:rsid w:val="541A4F9D"/>
    <w:rsid w:val="54D44008"/>
    <w:rsid w:val="5632621B"/>
    <w:rsid w:val="56AF7F71"/>
    <w:rsid w:val="570109B9"/>
    <w:rsid w:val="578810DA"/>
    <w:rsid w:val="57C77E54"/>
    <w:rsid w:val="58C12AF6"/>
    <w:rsid w:val="59441031"/>
    <w:rsid w:val="59554FEC"/>
    <w:rsid w:val="599153FA"/>
    <w:rsid w:val="59C6674D"/>
    <w:rsid w:val="5A2A7F8D"/>
    <w:rsid w:val="5A897643"/>
    <w:rsid w:val="5AF031FD"/>
    <w:rsid w:val="5B96203E"/>
    <w:rsid w:val="5BCC3C8B"/>
    <w:rsid w:val="5C645C72"/>
    <w:rsid w:val="5DAB167E"/>
    <w:rsid w:val="5DD010E5"/>
    <w:rsid w:val="5E14191A"/>
    <w:rsid w:val="5E2D4789"/>
    <w:rsid w:val="5EB24E9F"/>
    <w:rsid w:val="5F090D52"/>
    <w:rsid w:val="5F4E2BD7"/>
    <w:rsid w:val="5FAC3111"/>
    <w:rsid w:val="604A517F"/>
    <w:rsid w:val="606A7783"/>
    <w:rsid w:val="6142679E"/>
    <w:rsid w:val="61C15914"/>
    <w:rsid w:val="620F48D2"/>
    <w:rsid w:val="62D854A2"/>
    <w:rsid w:val="62FB4239"/>
    <w:rsid w:val="6435630E"/>
    <w:rsid w:val="64BB5919"/>
    <w:rsid w:val="64E21E2A"/>
    <w:rsid w:val="64E60AA3"/>
    <w:rsid w:val="6534202A"/>
    <w:rsid w:val="65E16585"/>
    <w:rsid w:val="662621EA"/>
    <w:rsid w:val="67144738"/>
    <w:rsid w:val="68147FED"/>
    <w:rsid w:val="68150768"/>
    <w:rsid w:val="683339B7"/>
    <w:rsid w:val="687731D1"/>
    <w:rsid w:val="68AD274F"/>
    <w:rsid w:val="68E00D76"/>
    <w:rsid w:val="690F6F65"/>
    <w:rsid w:val="69C02956"/>
    <w:rsid w:val="6A8E7D9B"/>
    <w:rsid w:val="6AA64288"/>
    <w:rsid w:val="6AB9187F"/>
    <w:rsid w:val="6B160B6F"/>
    <w:rsid w:val="6B7B4D86"/>
    <w:rsid w:val="6B826114"/>
    <w:rsid w:val="6B910106"/>
    <w:rsid w:val="6BDF70C3"/>
    <w:rsid w:val="6C150D37"/>
    <w:rsid w:val="6CBD4F2A"/>
    <w:rsid w:val="6CF748E0"/>
    <w:rsid w:val="6D5C4743"/>
    <w:rsid w:val="6E5615E8"/>
    <w:rsid w:val="6E873A42"/>
    <w:rsid w:val="6ECF78C3"/>
    <w:rsid w:val="6F2C5FDF"/>
    <w:rsid w:val="6F2D283B"/>
    <w:rsid w:val="6F364057"/>
    <w:rsid w:val="6F377216"/>
    <w:rsid w:val="6F6500C4"/>
    <w:rsid w:val="6F92269E"/>
    <w:rsid w:val="6FC00FB9"/>
    <w:rsid w:val="704936A5"/>
    <w:rsid w:val="709A3286"/>
    <w:rsid w:val="70AB1C6A"/>
    <w:rsid w:val="71593474"/>
    <w:rsid w:val="716F2C97"/>
    <w:rsid w:val="719A36A3"/>
    <w:rsid w:val="723839D1"/>
    <w:rsid w:val="7278201F"/>
    <w:rsid w:val="72CC57EA"/>
    <w:rsid w:val="72ED47BB"/>
    <w:rsid w:val="73666F0F"/>
    <w:rsid w:val="757E794D"/>
    <w:rsid w:val="75847A0A"/>
    <w:rsid w:val="75F776FF"/>
    <w:rsid w:val="76F65C09"/>
    <w:rsid w:val="776963DA"/>
    <w:rsid w:val="77AA5FE9"/>
    <w:rsid w:val="79BE0C60"/>
    <w:rsid w:val="7A6C330B"/>
    <w:rsid w:val="7A965738"/>
    <w:rsid w:val="7AAC0AB8"/>
    <w:rsid w:val="7B2E2794"/>
    <w:rsid w:val="7C181B62"/>
    <w:rsid w:val="7CB50F6C"/>
    <w:rsid w:val="7D5F62B6"/>
    <w:rsid w:val="7DC10D1E"/>
    <w:rsid w:val="7DF033B2"/>
    <w:rsid w:val="7EB7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2"/>
    <w:qFormat/>
    <w:uiPriority w:val="0"/>
    <w:pPr>
      <w:keepNext/>
      <w:keepLines/>
      <w:spacing w:before="260" w:after="260" w:line="416" w:lineRule="auto"/>
      <w:outlineLvl w:val="2"/>
    </w:pPr>
    <w:rPr>
      <w:b/>
      <w:bCs/>
      <w:sz w:val="32"/>
      <w:szCs w:val="32"/>
    </w:rPr>
  </w:style>
  <w:style w:type="paragraph" w:styleId="5">
    <w:name w:val="heading 4"/>
    <w:basedOn w:val="1"/>
    <w:next w:val="1"/>
    <w:link w:val="4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4"/>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5"/>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6"/>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7"/>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8"/>
    <w:qFormat/>
    <w:uiPriority w:val="0"/>
    <w:pPr>
      <w:keepNext/>
      <w:keepLines/>
      <w:adjustRightInd/>
      <w:spacing w:before="240" w:after="64" w:line="320" w:lineRule="auto"/>
      <w:outlineLvl w:val="8"/>
    </w:pPr>
    <w:rPr>
      <w:rFonts w:ascii="Arial" w:hAnsi="Arial" w:eastAsia="黑体"/>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9"/>
    <w:semiHidden/>
    <w:unhideWhenUsed/>
    <w:qFormat/>
    <w:uiPriority w:val="99"/>
    <w:pPr>
      <w:jc w:val="left"/>
    </w:pPr>
  </w:style>
  <w:style w:type="paragraph" w:styleId="14">
    <w:name w:val="Body Text"/>
    <w:basedOn w:val="1"/>
    <w:link w:val="92"/>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Plain Text"/>
    <w:basedOn w:val="1"/>
    <w:link w:val="238"/>
    <w:qFormat/>
    <w:uiPriority w:val="0"/>
    <w:pPr>
      <w:adjustRightInd/>
      <w:spacing w:line="240" w:lineRule="auto"/>
    </w:pPr>
    <w:rPr>
      <w:rFonts w:ascii="宋体" w:hAnsi="Courier New"/>
    </w:rPr>
  </w:style>
  <w:style w:type="paragraph" w:styleId="18">
    <w:name w:val="Balloon Text"/>
    <w:basedOn w:val="1"/>
    <w:link w:val="51"/>
    <w:semiHidden/>
    <w:unhideWhenUsed/>
    <w:qFormat/>
    <w:uiPriority w:val="99"/>
    <w:rPr>
      <w:sz w:val="18"/>
      <w:szCs w:val="18"/>
    </w:rPr>
  </w:style>
  <w:style w:type="paragraph" w:styleId="19">
    <w:name w:val="footer"/>
    <w:basedOn w:val="1"/>
    <w:link w:val="50"/>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9"/>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5"/>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8">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9">
    <w:name w:val="Title"/>
    <w:basedOn w:val="1"/>
    <w:link w:val="54"/>
    <w:qFormat/>
    <w:uiPriority w:val="0"/>
    <w:pPr>
      <w:spacing w:before="240" w:after="60"/>
      <w:jc w:val="center"/>
      <w:outlineLvl w:val="0"/>
    </w:pPr>
    <w:rPr>
      <w:rFonts w:ascii="Arial" w:hAnsi="Arial" w:cs="Arial"/>
      <w:b/>
      <w:bCs/>
      <w:sz w:val="32"/>
      <w:szCs w:val="32"/>
    </w:rPr>
  </w:style>
  <w:style w:type="paragraph" w:styleId="30">
    <w:name w:val="annotation subject"/>
    <w:basedOn w:val="13"/>
    <w:next w:val="13"/>
    <w:link w:val="240"/>
    <w:semiHidden/>
    <w:unhideWhenUsed/>
    <w:qFormat/>
    <w:uiPriority w:val="99"/>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page number"/>
    <w:qFormat/>
    <w:uiPriority w:val="0"/>
    <w:rPr>
      <w:rFonts w:ascii="宋体" w:hAnsi="Times New Roman" w:eastAsia="宋体"/>
      <w:sz w:val="18"/>
    </w:rPr>
  </w:style>
  <w:style w:type="character" w:styleId="36">
    <w:name w:val="Emphasis"/>
    <w:qFormat/>
    <w:uiPriority w:val="20"/>
    <w:rPr>
      <w:i/>
      <w:iCs/>
    </w:rPr>
  </w:style>
  <w:style w:type="character" w:styleId="37">
    <w:name w:val="Hyperlink"/>
    <w:qFormat/>
    <w:uiPriority w:val="99"/>
    <w:rPr>
      <w:rFonts w:ascii="宋体" w:hAnsi="Times New Roman" w:eastAsia="宋体"/>
      <w:color w:val="auto"/>
      <w:spacing w:val="0"/>
      <w:w w:val="100"/>
      <w:position w:val="0"/>
      <w:sz w:val="21"/>
      <w:u w:val="none"/>
      <w:vertAlign w:val="baseline"/>
    </w:rPr>
  </w:style>
  <w:style w:type="character" w:styleId="38">
    <w:name w:val="annotation reference"/>
    <w:basedOn w:val="33"/>
    <w:semiHidden/>
    <w:unhideWhenUsed/>
    <w:qFormat/>
    <w:uiPriority w:val="99"/>
    <w:rPr>
      <w:sz w:val="21"/>
      <w:szCs w:val="21"/>
    </w:rPr>
  </w:style>
  <w:style w:type="character" w:styleId="39">
    <w:name w:val="footnote reference"/>
    <w:semiHidden/>
    <w:qFormat/>
    <w:uiPriority w:val="0"/>
    <w:rPr>
      <w:rFonts w:ascii="宋体" w:hAnsi="宋体" w:eastAsia="宋体" w:cs="Times New Roman"/>
      <w:spacing w:val="0"/>
      <w:sz w:val="18"/>
      <w:vertAlign w:val="superscript"/>
    </w:rPr>
  </w:style>
  <w:style w:type="character" w:customStyle="1" w:styleId="40">
    <w:name w:val="标题 1 Char"/>
    <w:link w:val="2"/>
    <w:qFormat/>
    <w:uiPriority w:val="0"/>
    <w:rPr>
      <w:b/>
      <w:bCs/>
      <w:kern w:val="44"/>
      <w:sz w:val="44"/>
      <w:szCs w:val="44"/>
    </w:rPr>
  </w:style>
  <w:style w:type="character" w:customStyle="1" w:styleId="41">
    <w:name w:val="标题 2 Char"/>
    <w:link w:val="3"/>
    <w:qFormat/>
    <w:uiPriority w:val="0"/>
    <w:rPr>
      <w:rFonts w:ascii="Arial" w:hAnsi="Arial" w:eastAsia="黑体"/>
      <w:b/>
      <w:bCs/>
      <w:kern w:val="2"/>
      <w:sz w:val="32"/>
      <w:szCs w:val="32"/>
    </w:rPr>
  </w:style>
  <w:style w:type="character" w:customStyle="1" w:styleId="42">
    <w:name w:val="标题 3 Char"/>
    <w:link w:val="4"/>
    <w:qFormat/>
    <w:uiPriority w:val="0"/>
    <w:rPr>
      <w:b/>
      <w:bCs/>
      <w:kern w:val="2"/>
      <w:sz w:val="32"/>
      <w:szCs w:val="32"/>
    </w:rPr>
  </w:style>
  <w:style w:type="character" w:customStyle="1" w:styleId="43">
    <w:name w:val="标题 4 Char"/>
    <w:link w:val="5"/>
    <w:qFormat/>
    <w:uiPriority w:val="0"/>
    <w:rPr>
      <w:rFonts w:ascii="Arial" w:hAnsi="Arial" w:eastAsia="黑体"/>
      <w:b/>
      <w:bCs/>
      <w:kern w:val="2"/>
      <w:sz w:val="28"/>
      <w:szCs w:val="28"/>
    </w:rPr>
  </w:style>
  <w:style w:type="character" w:customStyle="1" w:styleId="44">
    <w:name w:val="标题 5 Char"/>
    <w:link w:val="6"/>
    <w:qFormat/>
    <w:uiPriority w:val="0"/>
    <w:rPr>
      <w:b/>
      <w:bCs/>
      <w:kern w:val="2"/>
      <w:sz w:val="28"/>
      <w:szCs w:val="28"/>
    </w:rPr>
  </w:style>
  <w:style w:type="character" w:customStyle="1" w:styleId="45">
    <w:name w:val="标题 6 Char"/>
    <w:link w:val="7"/>
    <w:qFormat/>
    <w:uiPriority w:val="0"/>
    <w:rPr>
      <w:rFonts w:ascii="Arial" w:hAnsi="Arial" w:eastAsia="黑体"/>
      <w:b/>
      <w:bCs/>
      <w:kern w:val="2"/>
      <w:sz w:val="24"/>
      <w:szCs w:val="24"/>
    </w:rPr>
  </w:style>
  <w:style w:type="character" w:customStyle="1" w:styleId="46">
    <w:name w:val="标题 7 Char"/>
    <w:link w:val="8"/>
    <w:qFormat/>
    <w:uiPriority w:val="0"/>
    <w:rPr>
      <w:b/>
      <w:bCs/>
      <w:kern w:val="2"/>
      <w:sz w:val="24"/>
      <w:szCs w:val="24"/>
    </w:rPr>
  </w:style>
  <w:style w:type="character" w:customStyle="1" w:styleId="47">
    <w:name w:val="标题 8 Char"/>
    <w:link w:val="9"/>
    <w:qFormat/>
    <w:uiPriority w:val="0"/>
    <w:rPr>
      <w:rFonts w:ascii="Arial" w:hAnsi="Arial" w:eastAsia="黑体"/>
      <w:kern w:val="2"/>
      <w:sz w:val="24"/>
      <w:szCs w:val="24"/>
    </w:rPr>
  </w:style>
  <w:style w:type="character" w:customStyle="1" w:styleId="48">
    <w:name w:val="标题 9 Char"/>
    <w:link w:val="10"/>
    <w:qFormat/>
    <w:uiPriority w:val="0"/>
    <w:rPr>
      <w:rFonts w:ascii="Arial" w:hAnsi="Arial" w:eastAsia="黑体"/>
      <w:kern w:val="2"/>
      <w:sz w:val="21"/>
      <w:szCs w:val="21"/>
    </w:rPr>
  </w:style>
  <w:style w:type="character" w:customStyle="1" w:styleId="49">
    <w:name w:val="页眉 Char"/>
    <w:link w:val="20"/>
    <w:qFormat/>
    <w:uiPriority w:val="99"/>
    <w:rPr>
      <w:kern w:val="2"/>
      <w:sz w:val="18"/>
      <w:szCs w:val="18"/>
    </w:rPr>
  </w:style>
  <w:style w:type="character" w:customStyle="1" w:styleId="50">
    <w:name w:val="页脚 Char"/>
    <w:link w:val="19"/>
    <w:qFormat/>
    <w:uiPriority w:val="99"/>
    <w:rPr>
      <w:rFonts w:ascii="宋体"/>
      <w:kern w:val="2"/>
      <w:sz w:val="18"/>
      <w:szCs w:val="18"/>
    </w:rPr>
  </w:style>
  <w:style w:type="character" w:customStyle="1" w:styleId="51">
    <w:name w:val="批注框文本 Char"/>
    <w:link w:val="18"/>
    <w:semiHidden/>
    <w:qFormat/>
    <w:uiPriority w:val="99"/>
    <w:rPr>
      <w:kern w:val="2"/>
      <w:sz w:val="18"/>
      <w:szCs w:val="18"/>
    </w:rPr>
  </w:style>
  <w:style w:type="paragraph" w:styleId="52">
    <w:name w:val="Quote"/>
    <w:basedOn w:val="1"/>
    <w:next w:val="1"/>
    <w:link w:val="53"/>
    <w:qFormat/>
    <w:uiPriority w:val="29"/>
    <w:rPr>
      <w:i/>
      <w:iCs/>
      <w:color w:val="000000"/>
    </w:rPr>
  </w:style>
  <w:style w:type="character" w:customStyle="1" w:styleId="53">
    <w:name w:val="引用 Char"/>
    <w:link w:val="52"/>
    <w:qFormat/>
    <w:uiPriority w:val="29"/>
    <w:rPr>
      <w:i/>
      <w:iCs/>
      <w:color w:val="000000"/>
      <w:kern w:val="2"/>
      <w:sz w:val="21"/>
      <w:szCs w:val="21"/>
    </w:rPr>
  </w:style>
  <w:style w:type="character" w:customStyle="1" w:styleId="54">
    <w:name w:val="标题 Char"/>
    <w:link w:val="29"/>
    <w:qFormat/>
    <w:uiPriority w:val="0"/>
    <w:rPr>
      <w:rFonts w:ascii="Arial" w:hAnsi="Arial" w:cs="Arial"/>
      <w:b/>
      <w:bCs/>
      <w:kern w:val="2"/>
      <w:sz w:val="32"/>
      <w:szCs w:val="32"/>
    </w:rPr>
  </w:style>
  <w:style w:type="paragraph" w:customStyle="1" w:styleId="5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7">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9">
    <w:name w:val="标准书眉一"/>
    <w:qFormat/>
    <w:uiPriority w:val="0"/>
    <w:pPr>
      <w:jc w:val="both"/>
    </w:pPr>
    <w:rPr>
      <w:rFonts w:ascii="Times New Roman" w:hAnsi="Times New Roman" w:eastAsia="宋体" w:cs="Times New Roman"/>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next w:val="62"/>
    <w:qFormat/>
    <w:uiPriority w:val="0"/>
    <w:pPr>
      <w:snapToGrid w:val="0"/>
      <w:ind w:firstLine="200" w:firstLineChars="200"/>
    </w:pPr>
    <w:rPr>
      <w:kern w:val="0"/>
    </w:rPr>
  </w:style>
  <w:style w:type="paragraph" w:customStyle="1" w:styleId="62">
    <w:name w:val="标准文件_段"/>
    <w:link w:val="19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70">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1">
    <w:name w:val="标准文件_二级条标题"/>
    <w:next w:val="62"/>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2">
    <w:name w:val="标准文件_发布"/>
    <w:qFormat/>
    <w:uiPriority w:val="0"/>
    <w:rPr>
      <w:rFonts w:ascii="黑体" w:eastAsia="黑体"/>
      <w:spacing w:val="0"/>
      <w:w w:val="100"/>
      <w:position w:val="3"/>
      <w:sz w:val="28"/>
    </w:rPr>
  </w:style>
  <w:style w:type="paragraph" w:customStyle="1" w:styleId="73">
    <w:name w:val="标准文件_方框数字列项"/>
    <w:basedOn w:val="62"/>
    <w:qFormat/>
    <w:uiPriority w:val="0"/>
    <w:pPr>
      <w:numPr>
        <w:ilvl w:val="0"/>
        <w:numId w:val="3"/>
      </w:numPr>
      <w:ind w:firstLine="0" w:firstLineChars="0"/>
    </w:pPr>
  </w:style>
  <w:style w:type="paragraph" w:customStyle="1" w:styleId="74">
    <w:name w:val="标准文件_封面标准编号"/>
    <w:basedOn w:val="1"/>
    <w:next w:val="65"/>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next w:val="62"/>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3">
    <w:name w:val="标准文件_附录表标题"/>
    <w:next w:val="62"/>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4">
    <w:name w:val="标准文件_附录一级条标题"/>
    <w:next w:val="62"/>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5">
    <w:name w:val="标准文件_附录二级条标题"/>
    <w:basedOn w:val="84"/>
    <w:next w:val="62"/>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next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next w:val="62"/>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8">
    <w:name w:val="标准文件_附录四级条标题"/>
    <w:next w:val="62"/>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9">
    <w:name w:val="标准文件_附录图标题"/>
    <w:next w:val="62"/>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0">
    <w:name w:val="标准文件_附录五级条标题"/>
    <w:next w:val="62"/>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1">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2">
    <w:name w:val="正文文本 Char"/>
    <w:link w:val="14"/>
    <w:qFormat/>
    <w:uiPriority w:val="0"/>
    <w:rPr>
      <w:kern w:val="2"/>
      <w:sz w:val="21"/>
      <w:szCs w:val="21"/>
    </w:rPr>
  </w:style>
  <w:style w:type="paragraph" w:customStyle="1" w:styleId="93">
    <w:name w:val="标准文件_附录章标题"/>
    <w:next w:val="62"/>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4">
    <w:name w:val="标准文件_公式后的破折号"/>
    <w:basedOn w:val="62"/>
    <w:next w:val="62"/>
    <w:qFormat/>
    <w:uiPriority w:val="0"/>
    <w:pPr>
      <w:ind w:left="488" w:leftChars="200" w:hanging="289" w:hangingChars="290"/>
    </w:pPr>
  </w:style>
  <w:style w:type="paragraph" w:customStyle="1" w:styleId="95">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6">
    <w:name w:val="标准文件_目次、标准名称标题"/>
    <w:basedOn w:val="95"/>
    <w:next w:val="62"/>
    <w:qFormat/>
    <w:uiPriority w:val="0"/>
    <w:pPr>
      <w:spacing w:line="460" w:lineRule="exact"/>
      <w:ind w:left="0" w:firstLine="0"/>
    </w:pPr>
  </w:style>
  <w:style w:type="paragraph" w:customStyle="1" w:styleId="97">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8">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9">
    <w:name w:val="标准文件_破折号列项（二级）"/>
    <w:basedOn w:val="98"/>
    <w:qFormat/>
    <w:uiPriority w:val="0"/>
    <w:pPr>
      <w:numPr>
        <w:numId w:val="10"/>
      </w:numPr>
    </w:pPr>
  </w:style>
  <w:style w:type="paragraph" w:customStyle="1" w:styleId="100">
    <w:name w:val="标准文件_三级条标题"/>
    <w:basedOn w:val="71"/>
    <w:next w:val="62"/>
    <w:qFormat/>
    <w:uiPriority w:val="0"/>
    <w:pPr>
      <w:widowControl/>
      <w:numPr>
        <w:ilvl w:val="4"/>
      </w:numPr>
      <w:outlineLvl w:val="3"/>
    </w:pPr>
  </w:style>
  <w:style w:type="character" w:customStyle="1" w:styleId="101">
    <w:name w:val="不明显参考1"/>
    <w:qFormat/>
    <w:uiPriority w:val="31"/>
    <w:rPr>
      <w:smallCaps/>
      <w:color w:val="C0504D"/>
      <w:u w:val="single"/>
    </w:rPr>
  </w:style>
  <w:style w:type="paragraph" w:customStyle="1" w:styleId="102">
    <w:name w:val="标准文件_示例后续"/>
    <w:basedOn w:val="1"/>
    <w:qFormat/>
    <w:uiPriority w:val="0"/>
    <w:pPr>
      <w:adjustRightInd/>
      <w:spacing w:line="240" w:lineRule="auto"/>
      <w:ind w:firstLine="200" w:firstLineChars="200"/>
    </w:pPr>
    <w:rPr>
      <w:sz w:val="18"/>
      <w:szCs w:val="24"/>
    </w:rPr>
  </w:style>
  <w:style w:type="paragraph" w:customStyle="1" w:styleId="103">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4">
    <w:name w:val="标准文件_四级条标题"/>
    <w:next w:val="62"/>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5">
    <w:name w:val="脚注文本 Char"/>
    <w:link w:val="23"/>
    <w:semiHidden/>
    <w:qFormat/>
    <w:uiPriority w:val="0"/>
    <w:rPr>
      <w:rFonts w:ascii="宋体"/>
      <w:kern w:val="2"/>
      <w:sz w:val="18"/>
      <w:szCs w:val="18"/>
    </w:rPr>
  </w:style>
  <w:style w:type="paragraph" w:customStyle="1" w:styleId="106">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7">
    <w:name w:val="标准文件_图表脚注"/>
    <w:basedOn w:val="1"/>
    <w:next w:val="62"/>
    <w:qFormat/>
    <w:uiPriority w:val="0"/>
    <w:pPr>
      <w:numPr>
        <w:ilvl w:val="0"/>
        <w:numId w:val="12"/>
      </w:numPr>
      <w:spacing w:line="240" w:lineRule="auto"/>
      <w:jc w:val="left"/>
    </w:pPr>
    <w:rPr>
      <w:rFonts w:ascii="宋体" w:hAnsi="宋体"/>
      <w:sz w:val="18"/>
    </w:rPr>
  </w:style>
  <w:style w:type="character" w:customStyle="1" w:styleId="108">
    <w:name w:val="标准文件_图表脚注内容"/>
    <w:qFormat/>
    <w:uiPriority w:val="0"/>
    <w:rPr>
      <w:rFonts w:ascii="宋体" w:hAnsi="宋体" w:eastAsia="宋体" w:cs="Times New Roman"/>
      <w:spacing w:val="0"/>
      <w:sz w:val="18"/>
      <w:vertAlign w:val="superscript"/>
    </w:rPr>
  </w:style>
  <w:style w:type="paragraph" w:customStyle="1" w:styleId="109">
    <w:name w:val="标准文件_五级条标题"/>
    <w:next w:val="62"/>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0">
    <w:name w:val="标准文件_章标题"/>
    <w:next w:val="62"/>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1">
    <w:name w:val="标准文件_一级条标题"/>
    <w:basedOn w:val="110"/>
    <w:next w:val="62"/>
    <w:qFormat/>
    <w:uiPriority w:val="0"/>
    <w:pPr>
      <w:numPr>
        <w:ilvl w:val="2"/>
      </w:numPr>
      <w:spacing w:before="50" w:beforeLines="50" w:after="50" w:afterLines="50"/>
      <w:outlineLvl w:val="1"/>
    </w:pPr>
  </w:style>
  <w:style w:type="paragraph" w:customStyle="1" w:styleId="112">
    <w:name w:val="标准文件_一致程度"/>
    <w:basedOn w:val="1"/>
    <w:qFormat/>
    <w:uiPriority w:val="0"/>
    <w:pPr>
      <w:spacing w:line="440" w:lineRule="exact"/>
      <w:jc w:val="center"/>
    </w:pPr>
    <w:rPr>
      <w:sz w:val="28"/>
    </w:rPr>
  </w:style>
  <w:style w:type="paragraph" w:customStyle="1" w:styleId="113">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4">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5">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6">
    <w:name w:val="标准文件_英文注："/>
    <w:basedOn w:val="1"/>
    <w:next w:val="62"/>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7">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8">
    <w:name w:val="标准文件_正文表标题"/>
    <w:next w:val="62"/>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公式"/>
    <w:basedOn w:val="1"/>
    <w:next w:val="61"/>
    <w:qFormat/>
    <w:uiPriority w:val="0"/>
    <w:pPr>
      <w:tabs>
        <w:tab w:val="center" w:pos="4678"/>
        <w:tab w:val="right" w:leader="middleDot" w:pos="9356"/>
      </w:tabs>
      <w:spacing w:line="240" w:lineRule="auto"/>
    </w:pPr>
    <w:rPr>
      <w:rFonts w:ascii="宋体" w:hAnsi="宋体"/>
    </w:rPr>
  </w:style>
  <w:style w:type="paragraph" w:customStyle="1" w:styleId="120">
    <w:name w:val="标准文件_正文图标题"/>
    <w:next w:val="62"/>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1">
    <w:name w:val="标准文件_正文英文表标题"/>
    <w:next w:val="62"/>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2">
    <w:name w:val="标准文件_正文英文图标题"/>
    <w:next w:val="62"/>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3">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4">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5">
    <w:name w:val="发布部门"/>
    <w:next w:val="62"/>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7">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1">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2">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3">
    <w:name w:val="封面正文"/>
    <w:qFormat/>
    <w:uiPriority w:val="0"/>
    <w:pPr>
      <w:jc w:val="both"/>
    </w:pPr>
    <w:rPr>
      <w:rFonts w:ascii="Times New Roman" w:hAnsi="Times New Roman" w:eastAsia="宋体" w:cs="Times New Roman"/>
      <w:lang w:val="en-US" w:eastAsia="zh-CN" w:bidi="ar-SA"/>
    </w:rPr>
  </w:style>
  <w:style w:type="paragraph" w:customStyle="1" w:styleId="134">
    <w:name w:val="附录二级无标题条"/>
    <w:basedOn w:val="1"/>
    <w:next w:val="62"/>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5">
    <w:name w:val="附录三级无标题条"/>
    <w:basedOn w:val="134"/>
    <w:next w:val="62"/>
    <w:qFormat/>
    <w:uiPriority w:val="0"/>
    <w:pPr>
      <w:outlineLvl w:val="4"/>
    </w:pPr>
  </w:style>
  <w:style w:type="paragraph" w:customStyle="1" w:styleId="136">
    <w:name w:val="附录四级无标题条"/>
    <w:basedOn w:val="135"/>
    <w:next w:val="62"/>
    <w:qFormat/>
    <w:uiPriority w:val="0"/>
    <w:pPr>
      <w:outlineLvl w:val="5"/>
    </w:pPr>
  </w:style>
  <w:style w:type="paragraph" w:customStyle="1" w:styleId="137">
    <w:name w:val="附录图"/>
    <w:next w:val="62"/>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8">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9">
    <w:name w:val="附录五级无标题条"/>
    <w:basedOn w:val="136"/>
    <w:next w:val="62"/>
    <w:qFormat/>
    <w:uiPriority w:val="0"/>
    <w:pPr>
      <w:outlineLvl w:val="6"/>
    </w:pPr>
  </w:style>
  <w:style w:type="paragraph" w:customStyle="1" w:styleId="140">
    <w:name w:val="附录性质"/>
    <w:basedOn w:val="1"/>
    <w:qFormat/>
    <w:uiPriority w:val="0"/>
    <w:pPr>
      <w:widowControl/>
      <w:adjustRightInd/>
      <w:jc w:val="center"/>
    </w:pPr>
    <w:rPr>
      <w:rFonts w:ascii="黑体" w:eastAsia="黑体"/>
    </w:rPr>
  </w:style>
  <w:style w:type="paragraph" w:customStyle="1" w:styleId="141">
    <w:name w:val="附录一级无标题条"/>
    <w:basedOn w:val="93"/>
    <w:next w:val="62"/>
    <w:qFormat/>
    <w:uiPriority w:val="0"/>
    <w:pPr>
      <w:autoSpaceDN w:val="0"/>
      <w:outlineLvl w:val="2"/>
    </w:pPr>
    <w:rPr>
      <w:rFonts w:ascii="宋体" w:hAnsi="宋体" w:eastAsia="宋体"/>
    </w:rPr>
  </w:style>
  <w:style w:type="character" w:customStyle="1" w:styleId="142">
    <w:name w:val="个人答复风格"/>
    <w:qFormat/>
    <w:uiPriority w:val="0"/>
    <w:rPr>
      <w:rFonts w:ascii="Arial" w:hAnsi="Arial" w:eastAsia="宋体" w:cs="Arial"/>
      <w:color w:val="auto"/>
      <w:spacing w:val="0"/>
      <w:sz w:val="20"/>
    </w:rPr>
  </w:style>
  <w:style w:type="character" w:customStyle="1" w:styleId="143">
    <w:name w:val="个人撰写风格"/>
    <w:qFormat/>
    <w:uiPriority w:val="0"/>
    <w:rPr>
      <w:rFonts w:ascii="Arial" w:hAnsi="Arial" w:eastAsia="宋体" w:cs="Arial"/>
      <w:color w:val="auto"/>
      <w:spacing w:val="0"/>
      <w:sz w:val="20"/>
    </w:rPr>
  </w:style>
  <w:style w:type="paragraph" w:customStyle="1" w:styleId="144">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5">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6">
    <w:name w:val="列项·"/>
    <w:basedOn w:val="62"/>
    <w:qFormat/>
    <w:uiPriority w:val="0"/>
    <w:pPr>
      <w:tabs>
        <w:tab w:val="left" w:pos="840"/>
      </w:tabs>
    </w:pPr>
  </w:style>
  <w:style w:type="paragraph" w:customStyle="1" w:styleId="14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8">
    <w:name w:val="目录 21"/>
    <w:basedOn w:val="1"/>
    <w:next w:val="1"/>
    <w:semiHidden/>
    <w:qFormat/>
    <w:uiPriority w:val="0"/>
    <w:pPr>
      <w:adjustRightInd/>
      <w:spacing w:line="240" w:lineRule="auto"/>
      <w:jc w:val="left"/>
    </w:pPr>
    <w:rPr>
      <w:bCs/>
      <w:iCs/>
    </w:rPr>
  </w:style>
  <w:style w:type="paragraph" w:customStyle="1" w:styleId="149">
    <w:name w:val="目录 31"/>
    <w:basedOn w:val="1"/>
    <w:next w:val="1"/>
    <w:semiHidden/>
    <w:qFormat/>
    <w:uiPriority w:val="0"/>
    <w:pPr>
      <w:spacing w:line="240" w:lineRule="auto"/>
    </w:pPr>
    <w:rPr>
      <w:rFonts w:ascii="宋体" w:hAnsi="宋体"/>
      <w:iCs/>
    </w:rPr>
  </w:style>
  <w:style w:type="paragraph" w:customStyle="1" w:styleId="150">
    <w:name w:val="目录 41"/>
    <w:basedOn w:val="1"/>
    <w:next w:val="1"/>
    <w:semiHidden/>
    <w:qFormat/>
    <w:uiPriority w:val="0"/>
    <w:pPr>
      <w:adjustRightInd/>
      <w:spacing w:line="240" w:lineRule="auto"/>
      <w:jc w:val="left"/>
    </w:pPr>
  </w:style>
  <w:style w:type="paragraph" w:customStyle="1" w:styleId="151">
    <w:name w:val="目录 51"/>
    <w:basedOn w:val="1"/>
    <w:next w:val="1"/>
    <w:semiHidden/>
    <w:qFormat/>
    <w:uiPriority w:val="0"/>
    <w:pPr>
      <w:spacing w:line="240" w:lineRule="auto"/>
    </w:pPr>
    <w:rPr>
      <w:rFonts w:ascii="宋体" w:hAnsi="宋体"/>
    </w:rPr>
  </w:style>
  <w:style w:type="paragraph" w:customStyle="1" w:styleId="152">
    <w:name w:val="目录 61"/>
    <w:basedOn w:val="1"/>
    <w:next w:val="1"/>
    <w:semiHidden/>
    <w:qFormat/>
    <w:uiPriority w:val="0"/>
    <w:pPr>
      <w:adjustRightInd/>
      <w:spacing w:line="240" w:lineRule="auto"/>
      <w:jc w:val="left"/>
    </w:pPr>
  </w:style>
  <w:style w:type="paragraph" w:customStyle="1" w:styleId="153">
    <w:name w:val="目录 71"/>
    <w:basedOn w:val="152"/>
    <w:semiHidden/>
    <w:qFormat/>
    <w:uiPriority w:val="0"/>
    <w:pPr>
      <w:ind w:left="1260"/>
    </w:pPr>
  </w:style>
  <w:style w:type="paragraph" w:customStyle="1" w:styleId="154">
    <w:name w:val="目录 81"/>
    <w:basedOn w:val="153"/>
    <w:semiHidden/>
    <w:qFormat/>
    <w:uiPriority w:val="0"/>
    <w:pPr>
      <w:ind w:left="1470"/>
    </w:pPr>
  </w:style>
  <w:style w:type="paragraph" w:customStyle="1" w:styleId="155">
    <w:name w:val="目录 91"/>
    <w:basedOn w:val="154"/>
    <w:semiHidden/>
    <w:qFormat/>
    <w:uiPriority w:val="0"/>
    <w:pPr>
      <w:ind w:left="1680"/>
    </w:pPr>
  </w:style>
  <w:style w:type="paragraph" w:customStyle="1" w:styleId="15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7">
    <w:name w:val="其他发布部门"/>
    <w:basedOn w:val="125"/>
    <w:qFormat/>
    <w:uiPriority w:val="0"/>
    <w:pPr>
      <w:framePr w:wrap="around"/>
      <w:spacing w:line="0" w:lineRule="atLeast"/>
    </w:pPr>
    <w:rPr>
      <w:rFonts w:ascii="黑体" w:eastAsia="黑体"/>
      <w:b w:val="0"/>
    </w:rPr>
  </w:style>
  <w:style w:type="paragraph" w:customStyle="1" w:styleId="158">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9">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0">
    <w:name w:val="实施日期"/>
    <w:basedOn w:val="126"/>
    <w:qFormat/>
    <w:uiPriority w:val="0"/>
    <w:pPr>
      <w:framePr w:hSpace="0" w:wrap="around" w:xAlign="right"/>
      <w:jc w:val="right"/>
    </w:pPr>
  </w:style>
  <w:style w:type="paragraph" w:customStyle="1" w:styleId="161">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3">
    <w:name w:val="无标题条"/>
    <w:next w:val="62"/>
    <w:qFormat/>
    <w:uiPriority w:val="0"/>
    <w:pPr>
      <w:jc w:val="both"/>
    </w:pPr>
    <w:rPr>
      <w:rFonts w:ascii="宋体" w:hAnsi="宋体" w:eastAsia="宋体" w:cs="Times New Roman"/>
      <w:sz w:val="21"/>
      <w:lang w:val="en-US" w:eastAsia="zh-CN" w:bidi="ar-SA"/>
    </w:rPr>
  </w:style>
  <w:style w:type="paragraph" w:customStyle="1" w:styleId="164">
    <w:name w:val="五级无标题条"/>
    <w:basedOn w:val="1"/>
    <w:qFormat/>
    <w:uiPriority w:val="0"/>
    <w:pPr>
      <w:numPr>
        <w:ilvl w:val="6"/>
        <w:numId w:val="20"/>
      </w:numPr>
      <w:adjustRightInd/>
    </w:pPr>
    <w:rPr>
      <w:szCs w:val="24"/>
    </w:rPr>
  </w:style>
  <w:style w:type="paragraph" w:customStyle="1" w:styleId="165">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6">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7">
    <w:name w:val="注×:后续"/>
    <w:basedOn w:val="166"/>
    <w:qFormat/>
    <w:uiPriority w:val="0"/>
    <w:pPr>
      <w:ind w:left="1406" w:leftChars="0" w:hanging="499" w:firstLineChars="0"/>
    </w:pPr>
  </w:style>
  <w:style w:type="paragraph" w:customStyle="1" w:styleId="168">
    <w:name w:val="标准文件_一级无标题"/>
    <w:basedOn w:val="111"/>
    <w:qFormat/>
    <w:uiPriority w:val="0"/>
    <w:pPr>
      <w:spacing w:before="0" w:beforeLines="0" w:after="0" w:afterLines="0"/>
      <w:outlineLvl w:val="9"/>
    </w:pPr>
    <w:rPr>
      <w:rFonts w:ascii="宋体" w:eastAsia="宋体"/>
    </w:rPr>
  </w:style>
  <w:style w:type="paragraph" w:customStyle="1" w:styleId="169">
    <w:name w:val="标准文件_五级无标题"/>
    <w:basedOn w:val="109"/>
    <w:qFormat/>
    <w:uiPriority w:val="0"/>
    <w:pPr>
      <w:spacing w:before="0" w:beforeLines="0" w:after="0" w:afterLines="0"/>
      <w:outlineLvl w:val="9"/>
    </w:pPr>
    <w:rPr>
      <w:rFonts w:ascii="宋体" w:eastAsia="宋体"/>
    </w:rPr>
  </w:style>
  <w:style w:type="paragraph" w:customStyle="1" w:styleId="170">
    <w:name w:val="标准文件_三级无标题"/>
    <w:basedOn w:val="100"/>
    <w:qFormat/>
    <w:uiPriority w:val="0"/>
    <w:pPr>
      <w:spacing w:before="0" w:beforeLines="0" w:after="0" w:afterLines="0"/>
      <w:outlineLvl w:val="9"/>
    </w:pPr>
    <w:rPr>
      <w:rFonts w:ascii="宋体" w:eastAsia="宋体"/>
    </w:rPr>
  </w:style>
  <w:style w:type="paragraph" w:customStyle="1" w:styleId="171">
    <w:name w:val="标准文件_二级无标题"/>
    <w:basedOn w:val="71"/>
    <w:qFormat/>
    <w:uiPriority w:val="0"/>
    <w:pPr>
      <w:spacing w:before="0" w:beforeLines="0" w:after="0" w:afterLines="0"/>
      <w:outlineLvl w:val="9"/>
    </w:pPr>
    <w:rPr>
      <w:rFonts w:ascii="宋体" w:eastAsia="宋体"/>
    </w:rPr>
  </w:style>
  <w:style w:type="paragraph" w:customStyle="1" w:styleId="172">
    <w:name w:val="标准_四级无标题"/>
    <w:basedOn w:val="104"/>
    <w:next w:val="62"/>
    <w:qFormat/>
    <w:uiPriority w:val="0"/>
    <w:rPr>
      <w:rFonts w:eastAsia="宋体"/>
    </w:rPr>
  </w:style>
  <w:style w:type="paragraph" w:customStyle="1" w:styleId="173">
    <w:name w:val="标准文件_四级无标题"/>
    <w:basedOn w:val="104"/>
    <w:qFormat/>
    <w:uiPriority w:val="0"/>
    <w:pPr>
      <w:spacing w:before="0" w:beforeLines="0" w:after="0" w:afterLines="0"/>
      <w:outlineLvl w:val="9"/>
    </w:pPr>
    <w:rPr>
      <w:rFonts w:ascii="宋体" w:hAnsi="黑体" w:eastAsia="宋体"/>
      <w:szCs w:val="52"/>
    </w:rPr>
  </w:style>
  <w:style w:type="paragraph" w:customStyle="1" w:styleId="174">
    <w:name w:val="标准文件_大写罗马数字编号列项"/>
    <w:basedOn w:val="62"/>
    <w:qFormat/>
    <w:uiPriority w:val="0"/>
    <w:pPr>
      <w:numPr>
        <w:ilvl w:val="0"/>
        <w:numId w:val="23"/>
      </w:numPr>
      <w:ind w:firstLine="0" w:firstLineChars="0"/>
    </w:pPr>
    <w:rPr>
      <w:rFonts w:ascii="Times New Roman" w:cs="Arial"/>
      <w:szCs w:val="28"/>
    </w:rPr>
  </w:style>
  <w:style w:type="paragraph" w:customStyle="1" w:styleId="175">
    <w:name w:val="标准文件_小写罗马数字编号列项"/>
    <w:basedOn w:val="62"/>
    <w:qFormat/>
    <w:uiPriority w:val="0"/>
    <w:pPr>
      <w:numPr>
        <w:ilvl w:val="0"/>
        <w:numId w:val="24"/>
      </w:numPr>
      <w:ind w:firstLine="0" w:firstLineChars="0"/>
    </w:pPr>
    <w:rPr>
      <w:rFonts w:cs="Arial"/>
      <w:szCs w:val="28"/>
    </w:rPr>
  </w:style>
  <w:style w:type="paragraph" w:customStyle="1" w:styleId="176">
    <w:name w:val="标准文件_附录标题"/>
    <w:basedOn w:val="82"/>
    <w:qFormat/>
    <w:uiPriority w:val="0"/>
    <w:pPr>
      <w:numPr>
        <w:numId w:val="0"/>
      </w:numPr>
      <w:spacing w:after="280"/>
      <w:outlineLvl w:val="9"/>
    </w:pPr>
  </w:style>
  <w:style w:type="paragraph" w:customStyle="1" w:styleId="177">
    <w:name w:val="标准文件_二级项"/>
    <w:qFormat/>
    <w:uiPriority w:val="0"/>
    <w:rPr>
      <w:rFonts w:ascii="宋体" w:hAnsi="Times New Roman" w:eastAsia="宋体" w:cs="Times New Roman"/>
      <w:sz w:val="21"/>
      <w:lang w:val="en-US" w:eastAsia="zh-CN" w:bidi="ar-SA"/>
    </w:rPr>
  </w:style>
  <w:style w:type="paragraph" w:customStyle="1" w:styleId="178">
    <w:name w:val="标准文件_三级项"/>
    <w:basedOn w:val="1"/>
    <w:qFormat/>
    <w:uiPriority w:val="0"/>
    <w:pPr>
      <w:numPr>
        <w:ilvl w:val="2"/>
        <w:numId w:val="21"/>
      </w:numPr>
      <w:spacing w:line="536870612" w:lineRule="auto"/>
    </w:pPr>
    <w:rPr>
      <w:rFonts w:ascii="Times New Roman" w:hAnsi="Times New Roman"/>
    </w:rPr>
  </w:style>
  <w:style w:type="paragraph" w:customStyle="1" w:styleId="179">
    <w:name w:val="图表脚注说明"/>
    <w:basedOn w:val="1"/>
    <w:next w:val="62"/>
    <w:qFormat/>
    <w:uiPriority w:val="0"/>
    <w:pPr>
      <w:numPr>
        <w:ilvl w:val="0"/>
        <w:numId w:val="25"/>
      </w:numPr>
      <w:adjustRightInd/>
      <w:spacing w:line="240" w:lineRule="auto"/>
    </w:pPr>
    <w:rPr>
      <w:rFonts w:ascii="宋体" w:hAnsi="Times New Roman"/>
      <w:sz w:val="18"/>
      <w:szCs w:val="18"/>
    </w:rPr>
  </w:style>
  <w:style w:type="paragraph" w:customStyle="1" w:styleId="180">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1">
    <w:name w:val="标准文件_索引字母"/>
    <w:next w:val="62"/>
    <w:qFormat/>
    <w:uiPriority w:val="0"/>
    <w:pPr>
      <w:jc w:val="center"/>
    </w:pPr>
    <w:rPr>
      <w:rFonts w:ascii="宋体" w:hAnsi="宋体" w:eastAsia="Times New Roman" w:cs="Times New Roman"/>
      <w:b/>
      <w:kern w:val="2"/>
      <w:sz w:val="21"/>
      <w:lang w:val="en-US" w:eastAsia="zh-CN" w:bidi="ar-SA"/>
    </w:rPr>
  </w:style>
  <w:style w:type="paragraph" w:customStyle="1" w:styleId="182">
    <w:name w:val="标准文件_附录前"/>
    <w:next w:val="62"/>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3">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4">
    <w:name w:val="标准文件_表格"/>
    <w:basedOn w:val="62"/>
    <w:qFormat/>
    <w:uiPriority w:val="0"/>
    <w:pPr>
      <w:ind w:firstLine="0" w:firstLineChars="0"/>
      <w:jc w:val="center"/>
    </w:pPr>
    <w:rPr>
      <w:sz w:val="18"/>
    </w:rPr>
  </w:style>
  <w:style w:type="paragraph" w:customStyle="1" w:styleId="185">
    <w:name w:val="标准文件_注："/>
    <w:next w:val="62"/>
    <w:qFormat/>
    <w:uiPriority w:val="0"/>
    <w:pPr>
      <w:widowControl w:val="0"/>
      <w:numPr>
        <w:ilvl w:val="0"/>
        <w:numId w:val="26"/>
      </w:numPr>
      <w:autoSpaceDE w:val="0"/>
      <w:autoSpaceDN w:val="0"/>
      <w:ind w:left="737"/>
      <w:jc w:val="both"/>
    </w:pPr>
    <w:rPr>
      <w:rFonts w:ascii="宋体" w:hAnsi="Times New Roman" w:eastAsia="宋体" w:cs="Times New Roman"/>
      <w:sz w:val="18"/>
      <w:szCs w:val="18"/>
      <w:lang w:val="en-US" w:eastAsia="zh-CN" w:bidi="ar-SA"/>
    </w:rPr>
  </w:style>
  <w:style w:type="paragraph" w:customStyle="1" w:styleId="186">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示例："/>
    <w:next w:val="188"/>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8">
    <w:name w:val="标准文件_示例内容"/>
    <w:basedOn w:val="62"/>
    <w:qFormat/>
    <w:uiPriority w:val="0"/>
    <w:pPr>
      <w:ind w:firstLine="420"/>
    </w:pPr>
    <w:rPr>
      <w:sz w:val="18"/>
    </w:rPr>
  </w:style>
  <w:style w:type="paragraph" w:customStyle="1" w:styleId="189">
    <w:name w:val="标准文件_示例×："/>
    <w:basedOn w:val="1"/>
    <w:next w:val="188"/>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0">
    <w:name w:val="标准文件_段 Char"/>
    <w:link w:val="62"/>
    <w:qFormat/>
    <w:uiPriority w:val="0"/>
    <w:rPr>
      <w:rFonts w:ascii="宋体" w:hAnsi="Times New Roman"/>
      <w:sz w:val="21"/>
    </w:rPr>
  </w:style>
  <w:style w:type="paragraph" w:customStyle="1" w:styleId="191">
    <w:name w:val="标准文件_表格续"/>
    <w:basedOn w:val="62"/>
    <w:next w:val="62"/>
    <w:qFormat/>
    <w:uiPriority w:val="0"/>
    <w:pPr>
      <w:jc w:val="center"/>
    </w:pPr>
    <w:rPr>
      <w:rFonts w:ascii="黑体" w:hAnsi="黑体" w:eastAsia="黑体"/>
    </w:rPr>
  </w:style>
  <w:style w:type="character" w:styleId="192">
    <w:name w:val="Placeholder Text"/>
    <w:basedOn w:val="33"/>
    <w:semiHidden/>
    <w:qFormat/>
    <w:uiPriority w:val="99"/>
    <w:rPr>
      <w:color w:val="808080"/>
    </w:rPr>
  </w:style>
  <w:style w:type="paragraph" w:customStyle="1" w:styleId="193">
    <w:name w:val="标准文件_二级项2"/>
    <w:basedOn w:val="62"/>
    <w:qFormat/>
    <w:uiPriority w:val="0"/>
    <w:pPr>
      <w:numPr>
        <w:ilvl w:val="1"/>
        <w:numId w:val="21"/>
      </w:numPr>
      <w:ind w:firstLine="0" w:firstLineChars="0"/>
    </w:pPr>
  </w:style>
  <w:style w:type="paragraph" w:customStyle="1" w:styleId="194">
    <w:name w:val="标准文件_三级项2"/>
    <w:basedOn w:val="62"/>
    <w:qFormat/>
    <w:uiPriority w:val="0"/>
    <w:pPr>
      <w:numPr>
        <w:ilvl w:val="0"/>
        <w:numId w:val="30"/>
      </w:numPr>
      <w:spacing w:line="300" w:lineRule="exact"/>
      <w:ind w:firstLineChars="0"/>
    </w:pPr>
    <w:rPr>
      <w:rFonts w:ascii="Times New Roman"/>
    </w:rPr>
  </w:style>
  <w:style w:type="paragraph" w:customStyle="1" w:styleId="195">
    <w:name w:val="标准文件_一级项2"/>
    <w:basedOn w:val="62"/>
    <w:qFormat/>
    <w:uiPriority w:val="0"/>
    <w:pPr>
      <w:numPr>
        <w:ilvl w:val="0"/>
        <w:numId w:val="31"/>
      </w:numPr>
      <w:spacing w:line="300" w:lineRule="exact"/>
      <w:ind w:firstLineChars="0"/>
    </w:pPr>
    <w:rPr>
      <w:rFonts w:ascii="Times New Roman"/>
    </w:rPr>
  </w:style>
  <w:style w:type="paragraph" w:customStyle="1" w:styleId="196">
    <w:name w:val="标准文件_提示"/>
    <w:basedOn w:val="62"/>
    <w:next w:val="62"/>
    <w:qFormat/>
    <w:uiPriority w:val="0"/>
    <w:pPr>
      <w:ind w:firstLine="420"/>
    </w:pPr>
    <w:rPr>
      <w:rFonts w:ascii="黑体" w:eastAsia="黑体"/>
    </w:rPr>
  </w:style>
  <w:style w:type="character" w:customStyle="1" w:styleId="197">
    <w:name w:val="标准文件_来源"/>
    <w:basedOn w:val="33"/>
    <w:qFormat/>
    <w:uiPriority w:val="1"/>
    <w:rPr>
      <w:rFonts w:eastAsia="宋体"/>
      <w:sz w:val="21"/>
    </w:rPr>
  </w:style>
  <w:style w:type="paragraph" w:customStyle="1" w:styleId="198">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9">
    <w:name w:val="其他发布日期"/>
    <w:basedOn w:val="126"/>
    <w:qFormat/>
    <w:uiPriority w:val="0"/>
    <w:pPr>
      <w:framePr w:w="3997" w:h="471" w:hRule="exact" w:hSpace="0" w:vSpace="181" w:wrap="around" w:vAnchor="page" w:hAnchor="page" w:x="1419" w:y="14097"/>
    </w:pPr>
  </w:style>
  <w:style w:type="paragraph" w:customStyle="1" w:styleId="200">
    <w:name w:val="其他实施日期"/>
    <w:basedOn w:val="160"/>
    <w:qFormat/>
    <w:uiPriority w:val="0"/>
    <w:pPr>
      <w:framePr w:w="3997" w:h="471" w:hRule="exact" w:vSpace="181" w:wrap="around" w:vAnchor="page" w:hAnchor="page" w:x="7089" w:y="14097"/>
    </w:pPr>
  </w:style>
  <w:style w:type="paragraph" w:customStyle="1" w:styleId="201">
    <w:name w:val="标准文件_文件编号"/>
    <w:basedOn w:val="62"/>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2">
    <w:name w:val="标准文件_替换文件编号"/>
    <w:basedOn w:val="201"/>
    <w:qFormat/>
    <w:uiPriority w:val="0"/>
    <w:pPr>
      <w:spacing w:before="57"/>
    </w:pPr>
    <w:rPr>
      <w:sz w:val="21"/>
    </w:rPr>
  </w:style>
  <w:style w:type="paragraph" w:customStyle="1" w:styleId="203">
    <w:name w:val="标准文件_文件名称"/>
    <w:basedOn w:val="62"/>
    <w:next w:val="62"/>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4">
    <w:name w:val="标准文件_附录图标号"/>
    <w:basedOn w:val="62"/>
    <w:next w:val="62"/>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5">
    <w:name w:val="标准文件_附录表标号"/>
    <w:basedOn w:val="62"/>
    <w:next w:val="62"/>
    <w:qFormat/>
    <w:uiPriority w:val="0"/>
    <w:pPr>
      <w:numPr>
        <w:ilvl w:val="0"/>
        <w:numId w:val="5"/>
      </w:numPr>
      <w:spacing w:line="14" w:lineRule="exact"/>
      <w:ind w:firstLine="0" w:firstLineChars="0"/>
      <w:jc w:val="center"/>
    </w:pPr>
    <w:rPr>
      <w:rFonts w:eastAsia="黑体"/>
      <w:vanish/>
      <w:sz w:val="2"/>
    </w:rPr>
  </w:style>
  <w:style w:type="paragraph" w:customStyle="1" w:styleId="206">
    <w:name w:val="标准文件_引言一级条标题"/>
    <w:basedOn w:val="62"/>
    <w:next w:val="62"/>
    <w:qFormat/>
    <w:uiPriority w:val="0"/>
    <w:pPr>
      <w:numPr>
        <w:ilvl w:val="1"/>
        <w:numId w:val="8"/>
      </w:numPr>
      <w:spacing w:before="50" w:beforeLines="50" w:after="50" w:afterLines="50"/>
      <w:ind w:firstLineChars="0"/>
    </w:pPr>
    <w:rPr>
      <w:rFonts w:ascii="黑体" w:eastAsia="黑体"/>
    </w:rPr>
  </w:style>
  <w:style w:type="paragraph" w:customStyle="1" w:styleId="207">
    <w:name w:val="标准文件_引言二级条标题"/>
    <w:basedOn w:val="62"/>
    <w:next w:val="62"/>
    <w:qFormat/>
    <w:uiPriority w:val="0"/>
    <w:pPr>
      <w:numPr>
        <w:ilvl w:val="2"/>
        <w:numId w:val="8"/>
      </w:numPr>
      <w:spacing w:before="50" w:beforeLines="50" w:after="50" w:afterLines="50"/>
      <w:ind w:firstLineChars="0"/>
    </w:pPr>
    <w:rPr>
      <w:rFonts w:ascii="黑体" w:eastAsia="黑体"/>
    </w:rPr>
  </w:style>
  <w:style w:type="paragraph" w:customStyle="1" w:styleId="208">
    <w:name w:val="标准文件_引言三级条标题"/>
    <w:basedOn w:val="62"/>
    <w:next w:val="62"/>
    <w:qFormat/>
    <w:uiPriority w:val="0"/>
    <w:pPr>
      <w:numPr>
        <w:ilvl w:val="3"/>
        <w:numId w:val="8"/>
      </w:numPr>
      <w:spacing w:before="50" w:beforeLines="50" w:after="50" w:afterLines="50"/>
      <w:ind w:firstLineChars="0"/>
    </w:pPr>
    <w:rPr>
      <w:rFonts w:ascii="黑体" w:eastAsia="黑体"/>
    </w:rPr>
  </w:style>
  <w:style w:type="paragraph" w:customStyle="1" w:styleId="209">
    <w:name w:val="标准文件_引言四级条标题"/>
    <w:basedOn w:val="62"/>
    <w:next w:val="62"/>
    <w:qFormat/>
    <w:uiPriority w:val="0"/>
    <w:pPr>
      <w:numPr>
        <w:ilvl w:val="4"/>
        <w:numId w:val="8"/>
      </w:numPr>
      <w:spacing w:before="50" w:beforeLines="50" w:after="50" w:afterLines="50"/>
      <w:ind w:firstLineChars="0"/>
    </w:pPr>
    <w:rPr>
      <w:rFonts w:ascii="黑体" w:eastAsia="黑体"/>
    </w:rPr>
  </w:style>
  <w:style w:type="paragraph" w:customStyle="1" w:styleId="210">
    <w:name w:val="标准文件_引言五级条标题"/>
    <w:basedOn w:val="62"/>
    <w:next w:val="62"/>
    <w:qFormat/>
    <w:uiPriority w:val="0"/>
    <w:pPr>
      <w:numPr>
        <w:ilvl w:val="5"/>
        <w:numId w:val="8"/>
      </w:numPr>
      <w:spacing w:before="50" w:beforeLines="50" w:after="50" w:afterLines="50"/>
      <w:ind w:firstLineChars="0"/>
    </w:pPr>
    <w:rPr>
      <w:rFonts w:ascii="黑体" w:eastAsia="黑体"/>
    </w:rPr>
  </w:style>
  <w:style w:type="paragraph" w:customStyle="1" w:styleId="211">
    <w:name w:val="标准文件_注后"/>
    <w:basedOn w:val="62"/>
    <w:qFormat/>
    <w:uiPriority w:val="0"/>
    <w:pPr>
      <w:ind w:left="811" w:firstLine="0" w:firstLineChars="0"/>
    </w:pPr>
    <w:rPr>
      <w:sz w:val="18"/>
    </w:rPr>
  </w:style>
  <w:style w:type="paragraph" w:customStyle="1" w:styleId="212">
    <w:name w:val="标准文件_注X后"/>
    <w:basedOn w:val="62"/>
    <w:qFormat/>
    <w:uiPriority w:val="0"/>
    <w:pPr>
      <w:ind w:left="811" w:firstLine="0" w:firstLineChars="0"/>
    </w:pPr>
    <w:rPr>
      <w:sz w:val="18"/>
    </w:rPr>
  </w:style>
  <w:style w:type="paragraph" w:customStyle="1" w:styleId="213">
    <w:name w:val="标准文件_示例后"/>
    <w:basedOn w:val="62"/>
    <w:qFormat/>
    <w:uiPriority w:val="0"/>
    <w:pPr>
      <w:ind w:left="964" w:firstLine="0" w:firstLineChars="0"/>
    </w:pPr>
    <w:rPr>
      <w:sz w:val="18"/>
    </w:rPr>
  </w:style>
  <w:style w:type="paragraph" w:customStyle="1" w:styleId="214">
    <w:name w:val="标准文件_示例X后"/>
    <w:basedOn w:val="62"/>
    <w:link w:val="215"/>
    <w:qFormat/>
    <w:uiPriority w:val="0"/>
    <w:pPr>
      <w:ind w:left="1049" w:firstLine="0" w:firstLineChars="0"/>
    </w:pPr>
    <w:rPr>
      <w:sz w:val="18"/>
    </w:rPr>
  </w:style>
  <w:style w:type="character" w:customStyle="1" w:styleId="215">
    <w:name w:val="标准文件_示例X后 字符"/>
    <w:basedOn w:val="190"/>
    <w:link w:val="214"/>
    <w:qFormat/>
    <w:uiPriority w:val="0"/>
    <w:rPr>
      <w:rFonts w:ascii="宋体" w:hAnsi="Times New Roman"/>
      <w:sz w:val="18"/>
    </w:rPr>
  </w:style>
  <w:style w:type="paragraph" w:customStyle="1" w:styleId="216">
    <w:name w:val="标准文件_索引项"/>
    <w:basedOn w:val="62"/>
    <w:next w:val="62"/>
    <w:qFormat/>
    <w:uiPriority w:val="0"/>
    <w:pPr>
      <w:tabs>
        <w:tab w:val="right" w:leader="dot" w:pos="9356"/>
      </w:tabs>
      <w:ind w:left="210" w:hanging="210" w:firstLineChars="0"/>
      <w:jc w:val="left"/>
    </w:pPr>
  </w:style>
  <w:style w:type="paragraph" w:customStyle="1" w:styleId="217">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9">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1">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2">
    <w:name w:val="标准文件_引言一级无标题"/>
    <w:basedOn w:val="206"/>
    <w:next w:val="62"/>
    <w:qFormat/>
    <w:uiPriority w:val="0"/>
    <w:pPr>
      <w:spacing w:before="0" w:beforeLines="0" w:after="0" w:afterLines="0" w:line="276" w:lineRule="auto"/>
    </w:pPr>
    <w:rPr>
      <w:rFonts w:ascii="宋体" w:eastAsia="宋体"/>
    </w:rPr>
  </w:style>
  <w:style w:type="paragraph" w:customStyle="1" w:styleId="223">
    <w:name w:val="标准文件_引言二级无标题"/>
    <w:basedOn w:val="207"/>
    <w:next w:val="62"/>
    <w:qFormat/>
    <w:uiPriority w:val="0"/>
    <w:pPr>
      <w:spacing w:before="0" w:beforeLines="0" w:after="0" w:afterLines="0" w:line="276" w:lineRule="auto"/>
    </w:pPr>
    <w:rPr>
      <w:rFonts w:ascii="宋体" w:eastAsia="宋体"/>
    </w:rPr>
  </w:style>
  <w:style w:type="paragraph" w:customStyle="1" w:styleId="224">
    <w:name w:val="标准文件_引言三级无标题"/>
    <w:basedOn w:val="208"/>
    <w:qFormat/>
    <w:uiPriority w:val="0"/>
    <w:pPr>
      <w:spacing w:before="0" w:beforeLines="0" w:after="0" w:afterLines="0" w:line="276" w:lineRule="auto"/>
    </w:pPr>
    <w:rPr>
      <w:rFonts w:ascii="宋体" w:eastAsia="宋体"/>
    </w:rPr>
  </w:style>
  <w:style w:type="paragraph" w:customStyle="1" w:styleId="225">
    <w:name w:val="标准文件_引言四级无标题"/>
    <w:basedOn w:val="209"/>
    <w:next w:val="62"/>
    <w:qFormat/>
    <w:uiPriority w:val="0"/>
    <w:pPr>
      <w:spacing w:before="0" w:beforeLines="0" w:after="0" w:afterLines="0" w:line="276" w:lineRule="auto"/>
    </w:pPr>
    <w:rPr>
      <w:rFonts w:ascii="宋体" w:eastAsia="宋体"/>
    </w:rPr>
  </w:style>
  <w:style w:type="paragraph" w:customStyle="1" w:styleId="226">
    <w:name w:val="标准文件_引言五级无标题"/>
    <w:basedOn w:val="210"/>
    <w:next w:val="62"/>
    <w:qFormat/>
    <w:uiPriority w:val="0"/>
    <w:pPr>
      <w:spacing w:before="0" w:beforeLines="0" w:after="0" w:afterLines="0" w:line="276" w:lineRule="auto"/>
    </w:pPr>
    <w:rPr>
      <w:rFonts w:ascii="宋体" w:eastAsia="宋体"/>
    </w:rPr>
  </w:style>
  <w:style w:type="paragraph" w:customStyle="1" w:styleId="227">
    <w:name w:val="标准文件_索引标题"/>
    <w:basedOn w:val="69"/>
    <w:next w:val="62"/>
    <w:qFormat/>
    <w:uiPriority w:val="0"/>
    <w:rPr>
      <w:rFonts w:hAnsi="黑体"/>
    </w:rPr>
  </w:style>
  <w:style w:type="paragraph" w:customStyle="1" w:styleId="228">
    <w:name w:val="标准文件_脚注内容"/>
    <w:basedOn w:val="62"/>
    <w:qFormat/>
    <w:uiPriority w:val="0"/>
    <w:pPr>
      <w:ind w:left="400" w:leftChars="200" w:hanging="200" w:hangingChars="200"/>
    </w:pPr>
    <w:rPr>
      <w:sz w:val="15"/>
    </w:rPr>
  </w:style>
  <w:style w:type="paragraph" w:customStyle="1" w:styleId="229">
    <w:name w:val="标准文件_术语条一"/>
    <w:basedOn w:val="168"/>
    <w:next w:val="62"/>
    <w:qFormat/>
    <w:uiPriority w:val="0"/>
  </w:style>
  <w:style w:type="paragraph" w:customStyle="1" w:styleId="230">
    <w:name w:val="标准文件_术语条二"/>
    <w:basedOn w:val="171"/>
    <w:next w:val="62"/>
    <w:qFormat/>
    <w:uiPriority w:val="0"/>
  </w:style>
  <w:style w:type="paragraph" w:customStyle="1" w:styleId="231">
    <w:name w:val="标准文件_术语条三"/>
    <w:basedOn w:val="170"/>
    <w:next w:val="62"/>
    <w:qFormat/>
    <w:uiPriority w:val="0"/>
  </w:style>
  <w:style w:type="paragraph" w:customStyle="1" w:styleId="232">
    <w:name w:val="标准文件_术语条四"/>
    <w:basedOn w:val="173"/>
    <w:next w:val="62"/>
    <w:qFormat/>
    <w:uiPriority w:val="0"/>
  </w:style>
  <w:style w:type="paragraph" w:customStyle="1" w:styleId="233">
    <w:name w:val="标准文件_术语条五"/>
    <w:basedOn w:val="169"/>
    <w:next w:val="62"/>
    <w:qFormat/>
    <w:uiPriority w:val="0"/>
  </w:style>
  <w:style w:type="paragraph" w:customStyle="1" w:styleId="2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5">
    <w:name w:val="发布"/>
    <w:basedOn w:val="33"/>
    <w:qFormat/>
    <w:uiPriority w:val="0"/>
    <w:rPr>
      <w:rFonts w:ascii="黑体" w:eastAsia="黑体"/>
      <w:spacing w:val="85"/>
      <w:w w:val="100"/>
      <w:position w:val="3"/>
      <w:sz w:val="28"/>
      <w:szCs w:val="28"/>
    </w:rPr>
  </w:style>
  <w:style w:type="paragraph" w:customStyle="1" w:styleId="236">
    <w:name w:val="修订1"/>
    <w:hidden/>
    <w:unhideWhenUsed/>
    <w:qFormat/>
    <w:uiPriority w:val="99"/>
    <w:rPr>
      <w:rFonts w:ascii="Calibri" w:hAnsi="Calibri" w:eastAsia="宋体" w:cs="Times New Roman"/>
      <w:kern w:val="2"/>
      <w:sz w:val="21"/>
      <w:szCs w:val="21"/>
      <w:lang w:val="en-US" w:eastAsia="zh-CN" w:bidi="ar-SA"/>
    </w:rPr>
  </w:style>
  <w:style w:type="paragraph" w:styleId="237">
    <w:name w:val="List Paragraph"/>
    <w:basedOn w:val="1"/>
    <w:qFormat/>
    <w:uiPriority w:val="34"/>
    <w:pPr>
      <w:ind w:firstLine="420" w:firstLineChars="200"/>
    </w:pPr>
  </w:style>
  <w:style w:type="character" w:customStyle="1" w:styleId="238">
    <w:name w:val="纯文本 Char"/>
    <w:basedOn w:val="33"/>
    <w:link w:val="17"/>
    <w:qFormat/>
    <w:uiPriority w:val="0"/>
    <w:rPr>
      <w:rFonts w:ascii="宋体" w:hAnsi="Courier New"/>
      <w:kern w:val="2"/>
      <w:sz w:val="21"/>
      <w:szCs w:val="21"/>
    </w:rPr>
  </w:style>
  <w:style w:type="character" w:customStyle="1" w:styleId="239">
    <w:name w:val="批注文字 Char"/>
    <w:basedOn w:val="33"/>
    <w:link w:val="13"/>
    <w:semiHidden/>
    <w:qFormat/>
    <w:uiPriority w:val="99"/>
    <w:rPr>
      <w:kern w:val="2"/>
      <w:sz w:val="21"/>
      <w:szCs w:val="21"/>
    </w:rPr>
  </w:style>
  <w:style w:type="character" w:customStyle="1" w:styleId="240">
    <w:name w:val="批注主题 Char"/>
    <w:basedOn w:val="239"/>
    <w:link w:val="30"/>
    <w:semiHidden/>
    <w:qFormat/>
    <w:uiPriority w:val="99"/>
    <w:rPr>
      <w:b/>
      <w:bCs/>
      <w:kern w:val="2"/>
      <w:sz w:val="21"/>
      <w:szCs w:val="21"/>
    </w:rPr>
  </w:style>
  <w:style w:type="paragraph" w:customStyle="1" w:styleId="241">
    <w:name w:val="marklang-paragraph"/>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42">
    <w:name w:val="cosd-citation-citationid"/>
    <w:basedOn w:val="33"/>
    <w:qFormat/>
    <w:uiPriority w:val="0"/>
  </w:style>
  <w:style w:type="paragraph" w:customStyle="1" w:styleId="243">
    <w:name w:val="修订2"/>
    <w:hidden/>
    <w:unhideWhenUsed/>
    <w:qFormat/>
    <w:uiPriority w:val="99"/>
    <w:rPr>
      <w:rFonts w:ascii="Calibri" w:hAnsi="Calibri" w:eastAsia="宋体" w:cs="Times New Roman"/>
      <w:kern w:val="2"/>
      <w:sz w:val="21"/>
      <w:szCs w:val="21"/>
      <w:lang w:val="en-US" w:eastAsia="zh-CN" w:bidi="ar-SA"/>
    </w:rPr>
  </w:style>
  <w:style w:type="character" w:customStyle="1" w:styleId="244">
    <w:name w:val="title-lyijbp"/>
    <w:basedOn w:val="33"/>
    <w:qFormat/>
    <w:uiPriority w:val="0"/>
  </w:style>
  <w:style w:type="paragraph" w:customStyle="1" w:styleId="24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6">
    <w:name w:val="一级条标题"/>
    <w:basedOn w:val="247"/>
    <w:next w:val="1"/>
    <w:qFormat/>
    <w:uiPriority w:val="0"/>
    <w:pPr>
      <w:numPr>
        <w:ilvl w:val="1"/>
        <w:numId w:val="32"/>
      </w:numPr>
      <w:spacing w:before="156" w:beforeLines="50" w:after="156" w:afterLines="50"/>
      <w:outlineLvl w:val="2"/>
    </w:pPr>
    <w:rPr>
      <w:rFonts w:ascii="黑体" w:eastAsia="黑体"/>
      <w:sz w:val="21"/>
      <w:szCs w:val="21"/>
      <w:lang w:bidi="ar-SA"/>
    </w:rPr>
  </w:style>
  <w:style w:type="paragraph" w:customStyle="1" w:styleId="247">
    <w:name w:val="标题1"/>
    <w:next w:val="245"/>
    <w:qFormat/>
    <w:uiPriority w:val="0"/>
    <w:pPr>
      <w:spacing w:beforeLines="50" w:afterLines="50"/>
      <w:jc w:val="both"/>
      <w:outlineLvl w:val="1"/>
    </w:pPr>
    <w:rPr>
      <w:rFonts w:ascii="黑体" w:hAnsi="Times New Roman" w:eastAsia="黑体" w:cs="Times New Roman"/>
      <w:b/>
      <w:sz w:val="21"/>
      <w:lang w:val="en-US" w:eastAsia="zh-CN" w:bidi="ar-SA"/>
    </w:rPr>
  </w:style>
  <w:style w:type="paragraph" w:customStyle="1" w:styleId="248">
    <w:name w:val="章标题"/>
    <w:next w:val="245"/>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49">
    <w:name w:val="附录标识"/>
    <w:basedOn w:val="1"/>
    <w:next w:val="245"/>
    <w:qFormat/>
    <w:uiPriority w:val="0"/>
    <w:pPr>
      <w:keepNext/>
      <w:widowControl/>
      <w:numPr>
        <w:ilvl w:val="0"/>
        <w:numId w:val="4"/>
      </w:numPr>
      <w:shd w:val="clear" w:color="FFFFFF" w:fill="FFFFFF"/>
      <w:tabs>
        <w:tab w:val="left" w:pos="6405"/>
      </w:tabs>
      <w:spacing w:before="640" w:after="280"/>
      <w:jc w:val="center"/>
      <w:outlineLvl w:val="0"/>
    </w:pPr>
    <w:rPr>
      <w:rFonts w:ascii="黑体" w:eastAsia="黑体"/>
      <w:kern w:val="0"/>
      <w:szCs w:val="20"/>
    </w:rPr>
  </w:style>
  <w:style w:type="paragraph" w:customStyle="1" w:styleId="25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5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52">
    <w:name w:val="目次、标准名称标题"/>
    <w:basedOn w:val="1"/>
    <w:next w:val="2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53">
    <w:name w:val="前言、引言标题"/>
    <w:next w:val="24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4">
    <w:name w:val="标准书脚_奇数页"/>
    <w:qFormat/>
    <w:uiPriority w:val="0"/>
    <w:pPr>
      <w:numPr>
        <w:ilvl w:val="1"/>
        <w:numId w:val="33"/>
      </w:numPr>
      <w:spacing w:before="120"/>
      <w:ind w:right="198"/>
      <w:jc w:val="right"/>
    </w:pPr>
    <w:rPr>
      <w:rFonts w:ascii="宋体" w:hAnsi="Times New Roman" w:eastAsia="宋体" w:cs="Times New Roman"/>
      <w:sz w:val="18"/>
      <w:szCs w:val="18"/>
      <w:lang w:val="en-US" w:eastAsia="zh-CN" w:bidi="ar-SA"/>
    </w:rPr>
  </w:style>
  <w:style w:type="paragraph" w:customStyle="1" w:styleId="255">
    <w:name w:val="Table Text"/>
    <w:basedOn w:val="1"/>
    <w:semiHidden/>
    <w:qFormat/>
    <w:uiPriority w:val="0"/>
    <w:rPr>
      <w:rFonts w:ascii="宋体" w:hAnsi="宋体" w:eastAsia="宋体" w:cs="宋体"/>
      <w:sz w:val="23"/>
      <w:szCs w:val="23"/>
      <w:lang w:val="en-US" w:eastAsia="en-US" w:bidi="ar-SA"/>
    </w:rPr>
  </w:style>
  <w:style w:type="table" w:customStyle="1" w:styleId="25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866D83-BC97-4FDF-971C-85F3C9865E50}">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35</Pages>
  <Words>18140</Words>
  <Characters>20328</Characters>
  <Lines>167</Lines>
  <Paragraphs>47</Paragraphs>
  <TotalTime>9</TotalTime>
  <ScaleCrop>false</ScaleCrop>
  <LinksUpToDate>false</LinksUpToDate>
  <CharactersWithSpaces>20754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2025-03-03T07:43:00Z</dcterms:created>
  <dc:creator>sdepci</dc:creator>
  <dc:description>&lt;config cover="true" show_menu="true" version="1.0.0" doctype="SDKXY"&gt;_x000d_
&lt;/config&gt;</dc:description>
  <cp:lastModifiedBy>16555</cp:lastModifiedBy>
  <cp:lastPrinted>2025-03-03T08:31:00Z</cp:lastPrinted>
  <dcterms:modified xsi:type="dcterms:W3CDTF">2025-07-22T07:52:54Z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4435C61E014E42A1B16785D03D32C117_13</vt:lpwstr>
  </property>
  <property fmtid="{D5CDD505-2E9C-101B-9397-08002B2CF9AE}" pid="16" name="KSOTemplateDocerSaveRecord">
    <vt:lpwstr>eyJoZGlkIjoiMDljYzUzMWQ4OWI0YzBkYjYzMDRhZTY5ZjZkYmFmYTgiLCJ1c2VySWQiOiI1MDYyMCJ9</vt:lpwstr>
  </property>
</Properties>
</file>