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06BC2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A0A7840">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3FFDEC9">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14:paraId="00F5BF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487F7CA">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21931B3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49A4ECA9">
                  <w:pPr>
                    <w:pStyle w:val="50"/>
                    <w:framePr w:wrap="notBeside" w:vAnchor="page" w:hAnchor="page" w:x="1372" w:y="568"/>
                    <w:ind w:left="420" w:right="624"/>
                    <w:rPr>
                      <w:rFonts w:ascii="宋体" w:hAnsi="宋体"/>
                      <w:sz w:val="28"/>
                      <w:szCs w:val="28"/>
                    </w:rPr>
                  </w:pPr>
                </w:p>
              </w:tc>
            </w:tr>
          </w:tbl>
          <w:p w14:paraId="2792100E">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w:t>
            </w:r>
            <w:r>
              <w:rPr>
                <w:rFonts w:ascii="黑体" w:hAnsi="黑体" w:eastAsia="黑体"/>
                <w:sz w:val="21"/>
                <w:szCs w:val="21"/>
              </w:rPr>
              <w:fldChar w:fldCharType="end"/>
            </w:r>
            <w:bookmarkEnd w:id="1"/>
          </w:p>
        </w:tc>
      </w:tr>
    </w:tbl>
    <w:p w14:paraId="26C297D8">
      <w:pPr>
        <w:pStyle w:val="51"/>
        <w:framePr w:w="9639" w:h="624" w:hRule="exact" w:hSpace="181" w:vSpace="181" w:wrap="around" w:hAnchor="page" w:x="1305" w:y="2269"/>
        <w:rPr>
          <w:rFonts w:ascii="黑体" w:hAnsi="黑体" w:eastAsia="黑体"/>
          <w:b w:val="0"/>
          <w:bCs w:val="0"/>
          <w:w w:val="100"/>
          <w:sz w:val="48"/>
          <w:szCs w:val="48"/>
        </w:rPr>
      </w:pPr>
      <w:bookmarkStart w:id="2"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2"/>
    <w:p w14:paraId="78161F86">
      <w:pPr>
        <w:pStyle w:val="196"/>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rPr>
          <w:rFonts w:hint="eastAsia"/>
        </w:rPr>
        <w:t>CEP</w:t>
      </w:r>
      <w:r>
        <w:t>CA</w:t>
      </w:r>
      <w:r>
        <w:fldChar w:fldCharType="end"/>
      </w:r>
      <w:bookmarkEnd w:id="3"/>
      <w:r>
        <w:t xml:space="preserve"> </w:t>
      </w:r>
      <w:r>
        <w:rPr>
          <w:rFonts w:hint="eastAsia"/>
        </w:rPr>
        <w:t>xxx</w:t>
      </w:r>
      <w:r>
        <w:rPr>
          <w:rFonts w:hAnsi="黑体"/>
        </w:rPr>
        <w:t>—</w:t>
      </w:r>
      <w:r>
        <w:t>xxxx</w:t>
      </w:r>
    </w:p>
    <w:p w14:paraId="3188A7BE">
      <w:pPr>
        <w:pStyle w:val="197"/>
        <w:rPr>
          <w:rFonts w:hAnsi="黑体"/>
        </w:rPr>
      </w:pPr>
      <w:r>
        <w:rPr>
          <w:rFonts w:hAnsi="黑体"/>
        </w:rPr>
        <w:fldChar w:fldCharType="begin">
          <w:ffData>
            <w:name w:val="OSTD_CODE"/>
            <w:enabled/>
            <w:calcOnExit w:val="0"/>
            <w:textInput/>
          </w:ffData>
        </w:fldChar>
      </w:r>
      <w:bookmarkStart w:id="4"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4"/>
    </w:p>
    <w:p w14:paraId="4B0E49E1">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8E038F3">
      <w:pPr>
        <w:pStyle w:val="51"/>
        <w:framePr w:w="9639" w:h="6976" w:hRule="exact" w:hSpace="0" w:vSpace="0" w:wrap="around" w:hAnchor="page" w:y="6408"/>
        <w:jc w:val="center"/>
        <w:rPr>
          <w:rFonts w:ascii="黑体" w:hAnsi="黑体" w:eastAsia="黑体"/>
          <w:b w:val="0"/>
          <w:bCs w:val="0"/>
          <w:w w:val="100"/>
        </w:rPr>
      </w:pPr>
    </w:p>
    <w:p w14:paraId="3C17FC51">
      <w:pPr>
        <w:pStyle w:val="198"/>
        <w:framePr w:h="6974" w:hRule="exact" w:wrap="around" w:x="1419" w:anchorLock="1"/>
      </w:pPr>
      <w:r>
        <w:fldChar w:fldCharType="begin">
          <w:ffData>
            <w:name w:val="CSTD_NAME"/>
            <w:enabled/>
            <w:calcOnExit w:val="0"/>
            <w:textInput>
              <w:default w:val="点击此处添加标准名称"/>
            </w:textInput>
          </w:ffData>
        </w:fldChar>
      </w:r>
      <w:bookmarkStart w:id="5" w:name="CSTD_NAME"/>
      <w:r>
        <w:instrText xml:space="preserve"> FORMTEXT </w:instrText>
      </w:r>
      <w:r>
        <w:fldChar w:fldCharType="separate"/>
      </w:r>
      <w:r>
        <w:rPr>
          <w:rFonts w:hint="eastAsia"/>
        </w:rPr>
        <w:t>构网型静止无功发生器现场</w:t>
      </w:r>
    </w:p>
    <w:p w14:paraId="2CBD0B8F">
      <w:pPr>
        <w:pStyle w:val="198"/>
        <w:framePr w:h="6974" w:hRule="exact" w:wrap="around" w:x="1419" w:anchorLock="1"/>
      </w:pPr>
      <w:r>
        <w:rPr>
          <w:rFonts w:hint="eastAsia"/>
        </w:rPr>
        <w:t>系统调试技术规范</w:t>
      </w:r>
      <w:r>
        <w:fldChar w:fldCharType="end"/>
      </w:r>
      <w:bookmarkEnd w:id="5"/>
    </w:p>
    <w:p w14:paraId="770BDE84">
      <w:pPr>
        <w:framePr w:w="9639" w:h="6974" w:hRule="exact" w:wrap="around" w:vAnchor="page" w:hAnchor="page" w:x="1419" w:y="6408" w:anchorLock="1"/>
        <w:ind w:left="-1418"/>
      </w:pPr>
    </w:p>
    <w:p w14:paraId="0F6E4896">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6" w:name="ESTD_NAME"/>
      <w:r>
        <w:rPr>
          <w:rFonts w:eastAsia="黑体"/>
          <w:szCs w:val="28"/>
        </w:rPr>
        <w:instrText xml:space="preserve"> FORMTEXT </w:instrText>
      </w:r>
      <w:r>
        <w:rPr>
          <w:rFonts w:eastAsia="黑体"/>
          <w:szCs w:val="28"/>
        </w:rPr>
        <w:fldChar w:fldCharType="separate"/>
      </w:r>
      <w:r>
        <w:rPr>
          <w:rFonts w:eastAsia="黑体"/>
          <w:szCs w:val="28"/>
        </w:rPr>
        <w:t xml:space="preserve">Technical specification for field system test of </w:t>
      </w:r>
    </w:p>
    <w:p w14:paraId="1E1BC80F">
      <w:pPr>
        <w:pStyle w:val="126"/>
        <w:framePr w:w="9639" w:h="6974" w:hRule="exact" w:wrap="around" w:vAnchor="page" w:hAnchor="page" w:x="1419" w:y="6408" w:anchorLock="1"/>
        <w:textAlignment w:val="bottom"/>
        <w:rPr>
          <w:rFonts w:eastAsia="黑体"/>
          <w:szCs w:val="28"/>
        </w:rPr>
      </w:pPr>
      <w:r>
        <w:rPr>
          <w:rFonts w:eastAsia="黑体"/>
          <w:szCs w:val="28"/>
        </w:rPr>
        <w:t>grid-forming static var generator</w:t>
      </w:r>
      <w:r>
        <w:rPr>
          <w:rFonts w:eastAsia="黑体"/>
          <w:szCs w:val="28"/>
        </w:rPr>
        <w:fldChar w:fldCharType="end"/>
      </w:r>
      <w:bookmarkEnd w:id="6"/>
    </w:p>
    <w:p w14:paraId="7071CAA2">
      <w:pPr>
        <w:framePr w:w="9639" w:h="6974" w:hRule="exact" w:wrap="around" w:vAnchor="page" w:hAnchor="page" w:x="1419" w:y="6408" w:anchorLock="1"/>
        <w:spacing w:line="760" w:lineRule="exact"/>
        <w:ind w:left="-1418"/>
      </w:pPr>
    </w:p>
    <w:p w14:paraId="7A83FBA8">
      <w:pPr>
        <w:pStyle w:val="126"/>
        <w:framePr w:w="9639" w:h="6974" w:hRule="exact" w:wrap="around" w:vAnchor="page" w:hAnchor="page" w:x="1419" w:y="6408" w:anchorLock="1"/>
        <w:textAlignment w:val="bottom"/>
        <w:rPr>
          <w:rFonts w:eastAsia="黑体"/>
          <w:szCs w:val="28"/>
        </w:rPr>
      </w:pPr>
    </w:p>
    <w:p w14:paraId="54EB456D">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7" w:name="下拉1"/>
      <w:r>
        <w:rPr>
          <w:sz w:val="24"/>
          <w:szCs w:val="28"/>
        </w:rPr>
        <w:instrText xml:space="preserve"> FORMDROPDOWN </w:instrText>
      </w:r>
      <w:r>
        <w:rPr>
          <w:sz w:val="24"/>
          <w:szCs w:val="28"/>
        </w:rPr>
        <w:fldChar w:fldCharType="separate"/>
      </w:r>
      <w:r>
        <w:rPr>
          <w:sz w:val="24"/>
          <w:szCs w:val="28"/>
        </w:rPr>
        <w:fldChar w:fldCharType="end"/>
      </w:r>
      <w:bookmarkEnd w:id="7"/>
    </w:p>
    <w:p w14:paraId="5827DE8B">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8"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8"/>
    </w:p>
    <w:p w14:paraId="063BBD9F">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9" w:name="下拉2"/>
      <w:r>
        <w:rPr>
          <w:b/>
          <w:sz w:val="21"/>
          <w:szCs w:val="28"/>
        </w:rPr>
        <w:instrText xml:space="preserve"> FORMDROPDOWN </w:instrText>
      </w:r>
      <w:r>
        <w:rPr>
          <w:b/>
          <w:sz w:val="21"/>
          <w:szCs w:val="28"/>
        </w:rPr>
        <w:fldChar w:fldCharType="separate"/>
      </w:r>
      <w:r>
        <w:rPr>
          <w:b/>
          <w:sz w:val="21"/>
          <w:szCs w:val="28"/>
        </w:rPr>
        <w:fldChar w:fldCharType="end"/>
      </w:r>
      <w:bookmarkEnd w:id="9"/>
    </w:p>
    <w:p w14:paraId="439657BB">
      <w:pPr>
        <w:pStyle w:val="194"/>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发布</w:t>
      </w:r>
    </w:p>
    <w:p w14:paraId="1D0A61BD">
      <w:pPr>
        <w:pStyle w:val="195"/>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实施</w:t>
      </w:r>
    </w:p>
    <w:p w14:paraId="19C72C9E">
      <w:pPr>
        <w:pStyle w:val="15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6" w:name="fm"/>
      <w:r>
        <w:rPr>
          <w:rFonts w:hAnsi="黑体"/>
          <w:w w:val="100"/>
          <w:sz w:val="28"/>
        </w:rPr>
        <w:instrText xml:space="preserve"> FORMTEXT </w:instrText>
      </w:r>
      <w:r>
        <w:rPr>
          <w:rFonts w:hAnsi="黑体"/>
          <w:w w:val="100"/>
          <w:sz w:val="28"/>
        </w:rPr>
        <w:fldChar w:fldCharType="separate"/>
      </w:r>
      <w:r>
        <w:rPr>
          <w:rFonts w:hint="eastAsia" w:hAnsi="黑体"/>
          <w:w w:val="100"/>
          <w:sz w:val="28"/>
        </w:rPr>
        <w:t xml:space="preserve"> </w:t>
      </w:r>
      <w:r>
        <w:rPr>
          <w:rFonts w:hAnsi="黑体"/>
          <w:w w:val="100"/>
          <w:sz w:val="28"/>
        </w:rPr>
        <w:t xml:space="preserve">        </w:t>
      </w:r>
      <w:r>
        <w:rPr>
          <w:rFonts w:hint="eastAsia" w:hAnsi="黑体"/>
          <w:w w:val="100"/>
          <w:sz w:val="28"/>
        </w:rPr>
        <w:t xml:space="preserve"> </w:t>
      </w:r>
      <w:r>
        <w:rPr>
          <w:rFonts w:hAnsi="黑体"/>
          <w:w w:val="100"/>
          <w:sz w:val="28"/>
        </w:rPr>
        <w:fldChar w:fldCharType="end"/>
      </w:r>
      <w:bookmarkEnd w:id="16"/>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62A24C5A">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4E346E0">
      <w:pPr>
        <w:pStyle w:val="92"/>
        <w:spacing w:after="360"/>
      </w:pPr>
      <w:bookmarkStart w:id="123" w:name="_GoBack"/>
      <w:bookmarkEnd w:id="123"/>
      <w:bookmarkStart w:id="17" w:name="BookMark1"/>
      <w:bookmarkStart w:id="18" w:name="_Toc155714259"/>
      <w:bookmarkStart w:id="19" w:name="_Toc155604539"/>
      <w:bookmarkStart w:id="20" w:name="_Toc155628763"/>
      <w:bookmarkStart w:id="21" w:name="_Toc155628700"/>
      <w:bookmarkStart w:id="22" w:name="_Toc155714319"/>
      <w:r>
        <w:rPr>
          <w:rFonts w:hint="eastAsia"/>
          <w:spacing w:val="320"/>
        </w:rPr>
        <w:t>目</w:t>
      </w:r>
      <w:r>
        <w:rPr>
          <w:rFonts w:hint="eastAsia"/>
        </w:rPr>
        <w:t>次</w:t>
      </w:r>
    </w:p>
    <w:p w14:paraId="56C1D328">
      <w:pPr>
        <w:pStyle w:val="19"/>
        <w:tabs>
          <w:tab w:val="right" w:leader="dot" w:pos="9354"/>
        </w:tabs>
      </w:pPr>
      <w:r>
        <w:fldChar w:fldCharType="begin"/>
      </w:r>
      <w:r>
        <w:instrText xml:space="preserve"> TOC \o "1-1" \h \t "标准文件_一级条标题,2,标准文件_附录一级条标题,2," </w:instrText>
      </w:r>
      <w:r>
        <w:fldChar w:fldCharType="separate"/>
      </w:r>
      <w:r>
        <w:fldChar w:fldCharType="begin"/>
      </w:r>
      <w:r>
        <w:instrText xml:space="preserve"> HYPERLINK \l _Toc10598 </w:instrText>
      </w:r>
      <w:r>
        <w:fldChar w:fldCharType="separate"/>
      </w:r>
      <w:r>
        <w:rPr>
          <w:spacing w:val="320"/>
        </w:rPr>
        <w:t>前</w:t>
      </w:r>
      <w:r>
        <w:t>言</w:t>
      </w:r>
      <w:r>
        <w:tab/>
      </w:r>
      <w:r>
        <w:fldChar w:fldCharType="begin"/>
      </w:r>
      <w:r>
        <w:instrText xml:space="preserve"> PAGEREF _Toc10598 \h </w:instrText>
      </w:r>
      <w:r>
        <w:fldChar w:fldCharType="separate"/>
      </w:r>
      <w:r>
        <w:t>II</w:t>
      </w:r>
      <w:r>
        <w:fldChar w:fldCharType="end"/>
      </w:r>
      <w:r>
        <w:fldChar w:fldCharType="end"/>
      </w:r>
    </w:p>
    <w:p w14:paraId="0D0E791C">
      <w:pPr>
        <w:pStyle w:val="19"/>
        <w:tabs>
          <w:tab w:val="right" w:leader="dot" w:pos="9354"/>
        </w:tabs>
      </w:pPr>
      <w:r>
        <w:fldChar w:fldCharType="begin"/>
      </w:r>
      <w:r>
        <w:instrText xml:space="preserve"> HYPERLINK \l _Toc26622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_Toc26622 \h </w:instrText>
      </w:r>
      <w:r>
        <w:fldChar w:fldCharType="separate"/>
      </w:r>
      <w:r>
        <w:t>1</w:t>
      </w:r>
      <w:r>
        <w:fldChar w:fldCharType="end"/>
      </w:r>
      <w:r>
        <w:fldChar w:fldCharType="end"/>
      </w:r>
    </w:p>
    <w:p w14:paraId="375E6211">
      <w:pPr>
        <w:pStyle w:val="19"/>
        <w:tabs>
          <w:tab w:val="right" w:leader="dot" w:pos="9354"/>
        </w:tabs>
      </w:pPr>
      <w:r>
        <w:fldChar w:fldCharType="begin"/>
      </w:r>
      <w:r>
        <w:instrText xml:space="preserve"> HYPERLINK \l _Toc10512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_Toc10512 \h </w:instrText>
      </w:r>
      <w:r>
        <w:fldChar w:fldCharType="separate"/>
      </w:r>
      <w:r>
        <w:t>1</w:t>
      </w:r>
      <w:r>
        <w:fldChar w:fldCharType="end"/>
      </w:r>
      <w:r>
        <w:fldChar w:fldCharType="end"/>
      </w:r>
    </w:p>
    <w:p w14:paraId="5E481A7E">
      <w:pPr>
        <w:pStyle w:val="19"/>
        <w:tabs>
          <w:tab w:val="right" w:leader="dot" w:pos="9354"/>
        </w:tabs>
      </w:pPr>
      <w:r>
        <w:fldChar w:fldCharType="begin"/>
      </w:r>
      <w:r>
        <w:instrText xml:space="preserve"> HYPERLINK \l _Toc24378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_Toc24378 \h </w:instrText>
      </w:r>
      <w:r>
        <w:fldChar w:fldCharType="separate"/>
      </w:r>
      <w:r>
        <w:t>1</w:t>
      </w:r>
      <w:r>
        <w:fldChar w:fldCharType="end"/>
      </w:r>
      <w:r>
        <w:fldChar w:fldCharType="end"/>
      </w:r>
    </w:p>
    <w:p w14:paraId="2E851BE2">
      <w:pPr>
        <w:pStyle w:val="19"/>
        <w:tabs>
          <w:tab w:val="right" w:leader="dot" w:pos="9354"/>
        </w:tabs>
      </w:pPr>
      <w:r>
        <w:fldChar w:fldCharType="begin"/>
      </w:r>
      <w:r>
        <w:instrText xml:space="preserve"> HYPERLINK \l _Toc16592 </w:instrText>
      </w:r>
      <w:r>
        <w:fldChar w:fldCharType="separate"/>
      </w:r>
      <w:r>
        <w:rPr>
          <w:rFonts w:hint="eastAsia" w:ascii="黑体" w:eastAsia="黑体"/>
          <w:i w:val="0"/>
        </w:rPr>
        <w:t xml:space="preserve">4 </w:t>
      </w:r>
      <w:r>
        <w:rPr>
          <w:rFonts w:hint="eastAsia"/>
        </w:rPr>
        <w:t>现场系统调试试验目的和要求</w:t>
      </w:r>
      <w:r>
        <w:tab/>
      </w:r>
      <w:r>
        <w:fldChar w:fldCharType="begin"/>
      </w:r>
      <w:r>
        <w:instrText xml:space="preserve"> PAGEREF _Toc16592 \h </w:instrText>
      </w:r>
      <w:r>
        <w:fldChar w:fldCharType="separate"/>
      </w:r>
      <w:r>
        <w:t>3</w:t>
      </w:r>
      <w:r>
        <w:fldChar w:fldCharType="end"/>
      </w:r>
      <w:r>
        <w:fldChar w:fldCharType="end"/>
      </w:r>
    </w:p>
    <w:p w14:paraId="52717A04">
      <w:pPr>
        <w:pStyle w:val="24"/>
        <w:tabs>
          <w:tab w:val="right" w:leader="dot" w:pos="9354"/>
          <w:tab w:val="clear" w:pos="9344"/>
        </w:tabs>
      </w:pPr>
      <w:r>
        <w:fldChar w:fldCharType="begin"/>
      </w:r>
      <w:r>
        <w:instrText xml:space="preserve"> HYPERLINK \l _Toc32575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4.1 </w:t>
      </w:r>
      <w:r>
        <w:rPr>
          <w:rFonts w:hint="eastAsia"/>
        </w:rPr>
        <w:t>试验目的</w:t>
      </w:r>
      <w:r>
        <w:tab/>
      </w:r>
      <w:r>
        <w:fldChar w:fldCharType="begin"/>
      </w:r>
      <w:r>
        <w:instrText xml:space="preserve"> PAGEREF _Toc32575 \h </w:instrText>
      </w:r>
      <w:r>
        <w:fldChar w:fldCharType="separate"/>
      </w:r>
      <w:r>
        <w:t>3</w:t>
      </w:r>
      <w:r>
        <w:fldChar w:fldCharType="end"/>
      </w:r>
      <w:r>
        <w:fldChar w:fldCharType="end"/>
      </w:r>
    </w:p>
    <w:p w14:paraId="01F590BD">
      <w:pPr>
        <w:pStyle w:val="24"/>
        <w:tabs>
          <w:tab w:val="right" w:leader="dot" w:pos="9354"/>
          <w:tab w:val="clear" w:pos="9344"/>
        </w:tabs>
      </w:pPr>
      <w:r>
        <w:fldChar w:fldCharType="begin"/>
      </w:r>
      <w:r>
        <w:instrText xml:space="preserve"> HYPERLINK \l _Toc3088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4.2 </w:t>
      </w:r>
      <w:r>
        <w:t>试验的一般要求</w:t>
      </w:r>
      <w:r>
        <w:tab/>
      </w:r>
      <w:r>
        <w:fldChar w:fldCharType="begin"/>
      </w:r>
      <w:r>
        <w:instrText xml:space="preserve"> PAGEREF _Toc3088 \h </w:instrText>
      </w:r>
      <w:r>
        <w:fldChar w:fldCharType="separate"/>
      </w:r>
      <w:r>
        <w:t>3</w:t>
      </w:r>
      <w:r>
        <w:fldChar w:fldCharType="end"/>
      </w:r>
      <w:r>
        <w:fldChar w:fldCharType="end"/>
      </w:r>
    </w:p>
    <w:p w14:paraId="5FA37C8C">
      <w:pPr>
        <w:pStyle w:val="24"/>
        <w:tabs>
          <w:tab w:val="right" w:leader="dot" w:pos="9354"/>
          <w:tab w:val="clear" w:pos="9344"/>
        </w:tabs>
      </w:pPr>
      <w:r>
        <w:fldChar w:fldCharType="begin"/>
      </w:r>
      <w:r>
        <w:instrText xml:space="preserve"> HYPERLINK \l _Toc30772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4.3 </w:t>
      </w:r>
      <w:r>
        <w:t>试验步骤</w:t>
      </w:r>
      <w:r>
        <w:tab/>
      </w:r>
      <w:r>
        <w:fldChar w:fldCharType="begin"/>
      </w:r>
      <w:r>
        <w:instrText xml:space="preserve"> PAGEREF _Toc30772 \h </w:instrText>
      </w:r>
      <w:r>
        <w:fldChar w:fldCharType="separate"/>
      </w:r>
      <w:r>
        <w:t>4</w:t>
      </w:r>
      <w:r>
        <w:fldChar w:fldCharType="end"/>
      </w:r>
      <w:r>
        <w:fldChar w:fldCharType="end"/>
      </w:r>
    </w:p>
    <w:p w14:paraId="7F7B2A79">
      <w:pPr>
        <w:pStyle w:val="24"/>
        <w:tabs>
          <w:tab w:val="right" w:leader="dot" w:pos="9354"/>
          <w:tab w:val="clear" w:pos="9344"/>
        </w:tabs>
      </w:pPr>
      <w:r>
        <w:fldChar w:fldCharType="begin"/>
      </w:r>
      <w:r>
        <w:instrText xml:space="preserve"> HYPERLINK \l _Toc31542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4.4 </w:t>
      </w:r>
      <w:r>
        <w:t>试验</w:t>
      </w:r>
      <w:r>
        <w:rPr>
          <w:rFonts w:hint="eastAsia"/>
        </w:rPr>
        <w:t>项目</w:t>
      </w:r>
      <w:r>
        <w:tab/>
      </w:r>
      <w:r>
        <w:fldChar w:fldCharType="begin"/>
      </w:r>
      <w:r>
        <w:instrText xml:space="preserve"> PAGEREF _Toc31542 \h </w:instrText>
      </w:r>
      <w:r>
        <w:fldChar w:fldCharType="separate"/>
      </w:r>
      <w:r>
        <w:t>4</w:t>
      </w:r>
      <w:r>
        <w:fldChar w:fldCharType="end"/>
      </w:r>
      <w:r>
        <w:fldChar w:fldCharType="end"/>
      </w:r>
    </w:p>
    <w:p w14:paraId="4BCEA187">
      <w:pPr>
        <w:pStyle w:val="24"/>
        <w:tabs>
          <w:tab w:val="right" w:leader="dot" w:pos="9354"/>
          <w:tab w:val="clear" w:pos="9344"/>
        </w:tabs>
      </w:pPr>
      <w:r>
        <w:fldChar w:fldCharType="begin"/>
      </w:r>
      <w:r>
        <w:instrText xml:space="preserve"> HYPERLINK \l _Toc24150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4.5 </w:t>
      </w:r>
      <w:r>
        <w:t>试验</w:t>
      </w:r>
      <w:r>
        <w:rPr>
          <w:rFonts w:hint="eastAsia"/>
        </w:rPr>
        <w:t>前必须具备的条件</w:t>
      </w:r>
      <w:r>
        <w:tab/>
      </w:r>
      <w:r>
        <w:fldChar w:fldCharType="begin"/>
      </w:r>
      <w:r>
        <w:instrText xml:space="preserve"> PAGEREF _Toc24150 \h </w:instrText>
      </w:r>
      <w:r>
        <w:fldChar w:fldCharType="separate"/>
      </w:r>
      <w:r>
        <w:t>5</w:t>
      </w:r>
      <w:r>
        <w:fldChar w:fldCharType="end"/>
      </w:r>
      <w:r>
        <w:fldChar w:fldCharType="end"/>
      </w:r>
    </w:p>
    <w:p w14:paraId="4E4D0C5C">
      <w:pPr>
        <w:pStyle w:val="19"/>
        <w:tabs>
          <w:tab w:val="right" w:leader="dot" w:pos="9354"/>
        </w:tabs>
      </w:pPr>
      <w:r>
        <w:fldChar w:fldCharType="begin"/>
      </w:r>
      <w:r>
        <w:instrText xml:space="preserve"> HYPERLINK \l _Toc26930 </w:instrText>
      </w:r>
      <w:r>
        <w:fldChar w:fldCharType="separate"/>
      </w:r>
      <w:r>
        <w:rPr>
          <w:rFonts w:hint="eastAsia" w:ascii="黑体" w:eastAsia="黑体"/>
          <w:i w:val="0"/>
        </w:rPr>
        <w:t xml:space="preserve">5 </w:t>
      </w:r>
      <w:r>
        <w:rPr>
          <w:rFonts w:hint="eastAsia"/>
        </w:rPr>
        <w:t>运行性能要求</w:t>
      </w:r>
      <w:r>
        <w:tab/>
      </w:r>
      <w:r>
        <w:fldChar w:fldCharType="begin"/>
      </w:r>
      <w:r>
        <w:instrText xml:space="preserve"> PAGEREF _Toc26930 \h </w:instrText>
      </w:r>
      <w:r>
        <w:fldChar w:fldCharType="separate"/>
      </w:r>
      <w:r>
        <w:t>5</w:t>
      </w:r>
      <w:r>
        <w:fldChar w:fldCharType="end"/>
      </w:r>
      <w:r>
        <w:fldChar w:fldCharType="end"/>
      </w:r>
    </w:p>
    <w:p w14:paraId="7D79E626">
      <w:pPr>
        <w:pStyle w:val="24"/>
        <w:tabs>
          <w:tab w:val="right" w:leader="dot" w:pos="9354"/>
          <w:tab w:val="clear" w:pos="9344"/>
        </w:tabs>
      </w:pPr>
      <w:r>
        <w:fldChar w:fldCharType="begin"/>
      </w:r>
      <w:r>
        <w:instrText xml:space="preserve"> HYPERLINK \l _Toc470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5.1 </w:t>
      </w:r>
      <w:r>
        <w:t>动态响应时间</w:t>
      </w:r>
      <w:r>
        <w:tab/>
      </w:r>
      <w:r>
        <w:fldChar w:fldCharType="begin"/>
      </w:r>
      <w:r>
        <w:instrText xml:space="preserve"> PAGEREF _Toc470 \h </w:instrText>
      </w:r>
      <w:r>
        <w:fldChar w:fldCharType="separate"/>
      </w:r>
      <w:r>
        <w:t>5</w:t>
      </w:r>
      <w:r>
        <w:fldChar w:fldCharType="end"/>
      </w:r>
      <w:r>
        <w:fldChar w:fldCharType="end"/>
      </w:r>
    </w:p>
    <w:p w14:paraId="0E508042">
      <w:pPr>
        <w:pStyle w:val="24"/>
        <w:tabs>
          <w:tab w:val="right" w:leader="dot" w:pos="9354"/>
          <w:tab w:val="clear" w:pos="9344"/>
        </w:tabs>
      </w:pPr>
      <w:r>
        <w:fldChar w:fldCharType="begin"/>
      </w:r>
      <w:r>
        <w:instrText xml:space="preserve"> HYPERLINK \l _Toc19053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5.2 </w:t>
      </w:r>
      <w:r>
        <w:t>检测及控制精度要求</w:t>
      </w:r>
      <w:r>
        <w:tab/>
      </w:r>
      <w:r>
        <w:fldChar w:fldCharType="begin"/>
      </w:r>
      <w:r>
        <w:instrText xml:space="preserve"> PAGEREF _Toc19053 \h </w:instrText>
      </w:r>
      <w:r>
        <w:fldChar w:fldCharType="separate"/>
      </w:r>
      <w:r>
        <w:t>5</w:t>
      </w:r>
      <w:r>
        <w:fldChar w:fldCharType="end"/>
      </w:r>
      <w:r>
        <w:fldChar w:fldCharType="end"/>
      </w:r>
    </w:p>
    <w:p w14:paraId="5A0EF77F">
      <w:pPr>
        <w:pStyle w:val="24"/>
        <w:tabs>
          <w:tab w:val="right" w:leader="dot" w:pos="9354"/>
          <w:tab w:val="clear" w:pos="9344"/>
        </w:tabs>
      </w:pPr>
      <w:r>
        <w:fldChar w:fldCharType="begin"/>
      </w:r>
      <w:r>
        <w:instrText xml:space="preserve"> HYPERLINK \l _Toc16018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5.3 </w:t>
      </w:r>
      <w:r>
        <w:t>电流过载能力</w:t>
      </w:r>
      <w:r>
        <w:tab/>
      </w:r>
      <w:r>
        <w:fldChar w:fldCharType="begin"/>
      </w:r>
      <w:r>
        <w:instrText xml:space="preserve"> PAGEREF _Toc16018 \h </w:instrText>
      </w:r>
      <w:r>
        <w:fldChar w:fldCharType="separate"/>
      </w:r>
      <w:r>
        <w:t>5</w:t>
      </w:r>
      <w:r>
        <w:fldChar w:fldCharType="end"/>
      </w:r>
      <w:r>
        <w:fldChar w:fldCharType="end"/>
      </w:r>
    </w:p>
    <w:p w14:paraId="58999F47">
      <w:pPr>
        <w:pStyle w:val="24"/>
        <w:tabs>
          <w:tab w:val="right" w:leader="dot" w:pos="9354"/>
          <w:tab w:val="clear" w:pos="9344"/>
        </w:tabs>
      </w:pPr>
      <w:r>
        <w:fldChar w:fldCharType="begin"/>
      </w:r>
      <w:r>
        <w:instrText xml:space="preserve"> HYPERLINK \l _Toc10265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5.4 </w:t>
      </w:r>
      <w:r>
        <w:t>电流谐波特性</w:t>
      </w:r>
      <w:r>
        <w:tab/>
      </w:r>
      <w:r>
        <w:fldChar w:fldCharType="begin"/>
      </w:r>
      <w:r>
        <w:instrText xml:space="preserve"> PAGEREF _Toc10265 \h </w:instrText>
      </w:r>
      <w:r>
        <w:fldChar w:fldCharType="separate"/>
      </w:r>
      <w:r>
        <w:t>5</w:t>
      </w:r>
      <w:r>
        <w:fldChar w:fldCharType="end"/>
      </w:r>
      <w:r>
        <w:fldChar w:fldCharType="end"/>
      </w:r>
    </w:p>
    <w:p w14:paraId="4770E5E8">
      <w:pPr>
        <w:pStyle w:val="24"/>
        <w:tabs>
          <w:tab w:val="right" w:leader="dot" w:pos="9354"/>
          <w:tab w:val="clear" w:pos="9344"/>
        </w:tabs>
      </w:pPr>
      <w:r>
        <w:fldChar w:fldCharType="begin"/>
      </w:r>
      <w:r>
        <w:instrText xml:space="preserve"> HYPERLINK \l _Toc19087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5.5 </w:t>
      </w:r>
      <w:r>
        <w:t>噪声</w:t>
      </w:r>
      <w:r>
        <w:tab/>
      </w:r>
      <w:r>
        <w:fldChar w:fldCharType="begin"/>
      </w:r>
      <w:r>
        <w:instrText xml:space="preserve"> PAGEREF _Toc19087 \h </w:instrText>
      </w:r>
      <w:r>
        <w:fldChar w:fldCharType="separate"/>
      </w:r>
      <w:r>
        <w:t>5</w:t>
      </w:r>
      <w:r>
        <w:fldChar w:fldCharType="end"/>
      </w:r>
      <w:r>
        <w:fldChar w:fldCharType="end"/>
      </w:r>
    </w:p>
    <w:p w14:paraId="71BD8E0F">
      <w:pPr>
        <w:pStyle w:val="24"/>
        <w:tabs>
          <w:tab w:val="right" w:leader="dot" w:pos="9354"/>
          <w:tab w:val="clear" w:pos="9344"/>
        </w:tabs>
      </w:pPr>
      <w:r>
        <w:fldChar w:fldCharType="begin"/>
      </w:r>
      <w:r>
        <w:instrText xml:space="preserve"> HYPERLINK \l _Toc29502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5.6 </w:t>
      </w:r>
      <w:r>
        <w:t>温升</w:t>
      </w:r>
      <w:r>
        <w:tab/>
      </w:r>
      <w:r>
        <w:fldChar w:fldCharType="begin"/>
      </w:r>
      <w:r>
        <w:instrText xml:space="preserve"> PAGEREF _Toc29502 \h </w:instrText>
      </w:r>
      <w:r>
        <w:fldChar w:fldCharType="separate"/>
      </w:r>
      <w:r>
        <w:t>6</w:t>
      </w:r>
      <w:r>
        <w:fldChar w:fldCharType="end"/>
      </w:r>
      <w:r>
        <w:fldChar w:fldCharType="end"/>
      </w:r>
    </w:p>
    <w:p w14:paraId="7C5C3DF1">
      <w:pPr>
        <w:pStyle w:val="19"/>
        <w:tabs>
          <w:tab w:val="right" w:leader="dot" w:pos="9354"/>
        </w:tabs>
      </w:pPr>
      <w:r>
        <w:fldChar w:fldCharType="begin"/>
      </w:r>
      <w:r>
        <w:instrText xml:space="preserve"> HYPERLINK \l _Toc360 </w:instrText>
      </w:r>
      <w:r>
        <w:fldChar w:fldCharType="separate"/>
      </w:r>
      <w:r>
        <w:rPr>
          <w:rFonts w:hint="eastAsia" w:ascii="黑体" w:eastAsia="黑体"/>
          <w:i w:val="0"/>
        </w:rPr>
        <w:t xml:space="preserve">6 </w:t>
      </w:r>
      <w:r>
        <w:rPr>
          <w:rFonts w:hint="eastAsia"/>
        </w:rPr>
        <w:t>试验方法</w:t>
      </w:r>
      <w:r>
        <w:tab/>
      </w:r>
      <w:r>
        <w:fldChar w:fldCharType="begin"/>
      </w:r>
      <w:r>
        <w:instrText xml:space="preserve"> PAGEREF _Toc360 \h </w:instrText>
      </w:r>
      <w:r>
        <w:fldChar w:fldCharType="separate"/>
      </w:r>
      <w:r>
        <w:t>6</w:t>
      </w:r>
      <w:r>
        <w:fldChar w:fldCharType="end"/>
      </w:r>
      <w:r>
        <w:fldChar w:fldCharType="end"/>
      </w:r>
    </w:p>
    <w:p w14:paraId="3D18A7A6">
      <w:pPr>
        <w:pStyle w:val="24"/>
        <w:tabs>
          <w:tab w:val="right" w:leader="dot" w:pos="9354"/>
          <w:tab w:val="clear" w:pos="9344"/>
        </w:tabs>
      </w:pPr>
      <w:r>
        <w:fldChar w:fldCharType="begin"/>
      </w:r>
      <w:r>
        <w:instrText xml:space="preserve"> HYPERLINK \l _Toc21754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6.1 </w:t>
      </w:r>
      <w:r>
        <w:rPr>
          <w:rFonts w:hint="eastAsia"/>
        </w:rPr>
        <w:t>带电试验</w:t>
      </w:r>
      <w:r>
        <w:tab/>
      </w:r>
      <w:r>
        <w:fldChar w:fldCharType="begin"/>
      </w:r>
      <w:r>
        <w:instrText xml:space="preserve"> PAGEREF _Toc21754 \h </w:instrText>
      </w:r>
      <w:r>
        <w:fldChar w:fldCharType="separate"/>
      </w:r>
      <w:r>
        <w:t>6</w:t>
      </w:r>
      <w:r>
        <w:fldChar w:fldCharType="end"/>
      </w:r>
      <w:r>
        <w:fldChar w:fldCharType="end"/>
      </w:r>
    </w:p>
    <w:p w14:paraId="393AEF5D">
      <w:pPr>
        <w:pStyle w:val="24"/>
        <w:tabs>
          <w:tab w:val="right" w:leader="dot" w:pos="9354"/>
          <w:tab w:val="clear" w:pos="9344"/>
        </w:tabs>
      </w:pPr>
      <w:r>
        <w:fldChar w:fldCharType="begin"/>
      </w:r>
      <w:r>
        <w:instrText xml:space="preserve"> HYPERLINK \l _Toc23560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6.2 </w:t>
      </w:r>
      <w:r>
        <w:t>性能试验</w:t>
      </w:r>
      <w:r>
        <w:tab/>
      </w:r>
      <w:r>
        <w:fldChar w:fldCharType="begin"/>
      </w:r>
      <w:r>
        <w:instrText xml:space="preserve"> PAGEREF _Toc23560 \h </w:instrText>
      </w:r>
      <w:r>
        <w:fldChar w:fldCharType="separate"/>
      </w:r>
      <w:r>
        <w:t>7</w:t>
      </w:r>
      <w:r>
        <w:fldChar w:fldCharType="end"/>
      </w:r>
      <w:r>
        <w:fldChar w:fldCharType="end"/>
      </w:r>
    </w:p>
    <w:p w14:paraId="010DEA5D">
      <w:pPr>
        <w:pStyle w:val="24"/>
        <w:tabs>
          <w:tab w:val="right" w:leader="dot" w:pos="9354"/>
          <w:tab w:val="clear" w:pos="9344"/>
        </w:tabs>
      </w:pPr>
      <w:r>
        <w:fldChar w:fldCharType="begin"/>
      </w:r>
      <w:r>
        <w:instrText xml:space="preserve"> HYPERLINK \l _Toc3517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6.3 </w:t>
      </w:r>
      <w:r>
        <w:t>试运行</w:t>
      </w:r>
      <w:r>
        <w:tab/>
      </w:r>
      <w:r>
        <w:fldChar w:fldCharType="begin"/>
      </w:r>
      <w:r>
        <w:instrText xml:space="preserve"> PAGEREF _Toc3517 \h </w:instrText>
      </w:r>
      <w:r>
        <w:fldChar w:fldCharType="separate"/>
      </w:r>
      <w:r>
        <w:t>11</w:t>
      </w:r>
      <w:r>
        <w:fldChar w:fldCharType="end"/>
      </w:r>
      <w:r>
        <w:fldChar w:fldCharType="end"/>
      </w:r>
    </w:p>
    <w:p w14:paraId="7586180F">
      <w:pPr>
        <w:pStyle w:val="19"/>
        <w:tabs>
          <w:tab w:val="right" w:leader="dot" w:pos="9354"/>
        </w:tabs>
      </w:pPr>
      <w:r>
        <w:fldChar w:fldCharType="begin"/>
      </w:r>
      <w:r>
        <w:instrText xml:space="preserve"> HYPERLINK \l _Toc32624 </w:instrText>
      </w:r>
      <w:r>
        <w:fldChar w:fldCharType="separate"/>
      </w:r>
      <w:r>
        <w:rPr>
          <w:rFonts w:hint="eastAsia"/>
          <w:spacing w:val="105"/>
        </w:rPr>
        <w:t>参考文</w:t>
      </w:r>
      <w:r>
        <w:rPr>
          <w:rFonts w:hint="eastAsia"/>
        </w:rPr>
        <w:t>献</w:t>
      </w:r>
      <w:r>
        <w:tab/>
      </w:r>
      <w:r>
        <w:fldChar w:fldCharType="begin"/>
      </w:r>
      <w:r>
        <w:instrText xml:space="preserve"> PAGEREF _Toc32624 \h </w:instrText>
      </w:r>
      <w:r>
        <w:fldChar w:fldCharType="separate"/>
      </w:r>
      <w:r>
        <w:t>12</w:t>
      </w:r>
      <w:r>
        <w:fldChar w:fldCharType="end"/>
      </w:r>
      <w:r>
        <w:fldChar w:fldCharType="end"/>
      </w:r>
    </w:p>
    <w:p w14:paraId="5B95C762">
      <w:pPr>
        <w:pStyle w:val="92"/>
        <w:spacing w:after="360"/>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17"/>
    <w:p w14:paraId="19ECEF59">
      <w:pPr>
        <w:pStyle w:val="90"/>
        <w:spacing w:before="900" w:after="360"/>
      </w:pPr>
      <w:bookmarkStart w:id="23" w:name="_Toc10598"/>
      <w:bookmarkStart w:id="24" w:name="BookMark2"/>
      <w:r>
        <w:rPr>
          <w:spacing w:val="320"/>
        </w:rPr>
        <w:t>前</w:t>
      </w:r>
      <w:r>
        <w:t>言</w:t>
      </w:r>
      <w:bookmarkEnd w:id="18"/>
      <w:bookmarkEnd w:id="19"/>
      <w:bookmarkEnd w:id="20"/>
      <w:bookmarkEnd w:id="21"/>
      <w:bookmarkEnd w:id="22"/>
      <w:bookmarkEnd w:id="23"/>
    </w:p>
    <w:p w14:paraId="12AE3019">
      <w:pPr>
        <w:pStyle w:val="57"/>
        <w:ind w:firstLine="420"/>
      </w:pPr>
      <w:r>
        <w:rPr>
          <w:rFonts w:hint="eastAsia"/>
        </w:rPr>
        <w:t>本文件按照GB/T 1.1-2020《</w:t>
      </w:r>
      <w:bookmarkStart w:id="25" w:name="OLE_LINK9"/>
      <w:r>
        <w:rPr>
          <w:rFonts w:hint="eastAsia"/>
        </w:rPr>
        <w:t>标准化工作导则  第1部分：标准化文件的结构和起草规则</w:t>
      </w:r>
      <w:bookmarkEnd w:id="25"/>
      <w:r>
        <w:rPr>
          <w:rFonts w:hint="eastAsia"/>
        </w:rPr>
        <w:t>》的规定起草。</w:t>
      </w:r>
    </w:p>
    <w:p w14:paraId="27040740">
      <w:pPr>
        <w:pStyle w:val="57"/>
        <w:ind w:firstLine="420"/>
      </w:pPr>
      <w:r>
        <w:rPr>
          <w:rFonts w:hint="eastAsia"/>
        </w:rPr>
        <w:t>请注意本文件的某些内容可能涉及专利。本文件的发布机构不承担识别专利的责任。</w:t>
      </w:r>
    </w:p>
    <w:p w14:paraId="79F9D6ED">
      <w:pPr>
        <w:pStyle w:val="57"/>
        <w:ind w:firstLine="420"/>
      </w:pPr>
      <w:r>
        <w:rPr>
          <w:rFonts w:hint="eastAsia"/>
        </w:rPr>
        <w:t>本文件由中国电力建设企业协会提出。</w:t>
      </w:r>
    </w:p>
    <w:p w14:paraId="1DB26343">
      <w:pPr>
        <w:pStyle w:val="57"/>
        <w:ind w:firstLine="420"/>
      </w:pPr>
      <w:r>
        <w:rPr>
          <w:rFonts w:hint="eastAsia"/>
        </w:rPr>
        <w:t>本文件由中国电力建设企业协会标准化管理委员会归口。</w:t>
      </w:r>
    </w:p>
    <w:p w14:paraId="2F702236">
      <w:pPr>
        <w:pStyle w:val="57"/>
        <w:ind w:firstLine="420"/>
        <w:rPr>
          <w:rFonts w:hint="eastAsia" w:hAnsi="Times New Roman" w:cs="Times New Roman"/>
          <w:lang w:eastAsia="zh-CN"/>
        </w:rPr>
      </w:pPr>
      <w:r>
        <w:rPr>
          <w:rFonts w:hint="eastAsia" w:hAnsi="Times New Roman" w:cs="Times New Roman"/>
        </w:rPr>
        <w:t>本文件起草单位：</w:t>
      </w:r>
    </w:p>
    <w:p w14:paraId="0F1FFE82">
      <w:pPr>
        <w:pStyle w:val="57"/>
        <w:ind w:firstLine="420"/>
      </w:pPr>
      <w:r>
        <w:rPr>
          <w:rFonts w:hint="eastAsia"/>
        </w:rPr>
        <w:t>本文件主要起草人：</w:t>
      </w:r>
    </w:p>
    <w:p w14:paraId="66CB8886">
      <w:pPr>
        <w:pStyle w:val="57"/>
        <w:ind w:firstLine="420"/>
      </w:pPr>
      <w:r>
        <w:rPr>
          <w:rFonts w:hint="eastAsia"/>
        </w:rPr>
        <w:t>本文件在执行过程中的意见或建议反馈至中国电力建设企业协会（北京市丰台区西四环南路35号中都科技大厦3层）。</w:t>
      </w:r>
    </w:p>
    <w:p w14:paraId="7446995A">
      <w:pPr>
        <w:pStyle w:val="57"/>
        <w:ind w:firstLine="420"/>
      </w:pPr>
    </w:p>
    <w:p w14:paraId="4E7BF54C">
      <w:pPr>
        <w:pStyle w:val="57"/>
        <w:ind w:firstLine="420"/>
        <w:sectPr>
          <w:pgSz w:w="11906" w:h="16838"/>
          <w:pgMar w:top="1928" w:right="1134" w:bottom="1134" w:left="1134" w:header="1418" w:footer="1134" w:gutter="284"/>
          <w:pgNumType w:fmt="upperRoman"/>
          <w:cols w:space="425" w:num="1"/>
          <w:formProt w:val="0"/>
          <w:docGrid w:linePitch="312" w:charSpace="0"/>
        </w:sectPr>
      </w:pPr>
    </w:p>
    <w:bookmarkEnd w:id="24"/>
    <w:p w14:paraId="5C28A878">
      <w:pPr>
        <w:spacing w:line="20" w:lineRule="exact"/>
        <w:jc w:val="center"/>
        <w:rPr>
          <w:rFonts w:ascii="黑体" w:hAnsi="黑体" w:eastAsia="黑体"/>
          <w:sz w:val="32"/>
          <w:szCs w:val="32"/>
        </w:rPr>
      </w:pPr>
      <w:bookmarkStart w:id="26" w:name="BookMark4"/>
    </w:p>
    <w:p w14:paraId="6E4D393C">
      <w:pPr>
        <w:spacing w:line="20" w:lineRule="exact"/>
        <w:jc w:val="center"/>
        <w:rPr>
          <w:rFonts w:ascii="黑体" w:hAnsi="黑体" w:eastAsia="黑体"/>
          <w:sz w:val="32"/>
          <w:szCs w:val="32"/>
        </w:rPr>
      </w:pPr>
    </w:p>
    <w:sdt>
      <w:sdtPr>
        <w:tag w:val="NEW_STAND_NAME"/>
        <w:id w:val="595910757"/>
        <w:lock w:val="sdtLocked"/>
        <w:placeholder>
          <w:docPart w:val="551352E7AD924050A8BF6A3E089E980F"/>
        </w:placeholder>
      </w:sdtPr>
      <w:sdtContent>
        <w:p w14:paraId="24CA194E">
          <w:pPr>
            <w:pStyle w:val="178"/>
            <w:spacing w:before="2" w:beforeLines="1" w:after="2" w:afterLines="1"/>
          </w:pPr>
          <w:bookmarkStart w:id="27" w:name="NEW_STAND_NAME"/>
        </w:p>
        <w:p w14:paraId="280A06E3">
          <w:pPr>
            <w:pStyle w:val="178"/>
            <w:spacing w:before="2" w:beforeLines="1" w:after="680"/>
          </w:pPr>
          <w:r>
            <w:rPr>
              <w:rFonts w:hint="eastAsia"/>
            </w:rPr>
            <w:t>构网型静止无功发生器现场系统调试技术规范</w:t>
          </w:r>
        </w:p>
      </w:sdtContent>
    </w:sdt>
    <w:bookmarkEnd w:id="27"/>
    <w:p w14:paraId="68D5A62B">
      <w:pPr>
        <w:pStyle w:val="105"/>
        <w:spacing w:before="240" w:after="240"/>
      </w:pPr>
      <w:bookmarkStart w:id="28" w:name="_Toc155604541"/>
      <w:bookmarkStart w:id="29" w:name="_Toc155714321"/>
      <w:bookmarkStart w:id="30" w:name="_Toc26648465"/>
      <w:bookmarkStart w:id="31" w:name="_Toc155628702"/>
      <w:bookmarkStart w:id="32" w:name="_Toc24884211"/>
      <w:bookmarkStart w:id="33" w:name="_Toc26622"/>
      <w:bookmarkStart w:id="34" w:name="_Toc155628765"/>
      <w:bookmarkStart w:id="35" w:name="_Toc24884218"/>
      <w:bookmarkStart w:id="36" w:name="_Toc26986530"/>
      <w:bookmarkStart w:id="37" w:name="_Toc97192964"/>
      <w:bookmarkStart w:id="38" w:name="_Toc155714261"/>
      <w:bookmarkStart w:id="39" w:name="_Toc17233333"/>
      <w:bookmarkStart w:id="40" w:name="_Toc26718930"/>
      <w:bookmarkStart w:id="41" w:name="_Toc17233325"/>
      <w:bookmarkStart w:id="42" w:name="_Toc26986771"/>
      <w:r>
        <w:rPr>
          <w:rFonts w:hint="eastAsia"/>
        </w:rPr>
        <w:t>范围</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78E03E9">
      <w:pPr>
        <w:pStyle w:val="163"/>
      </w:pPr>
      <w:bookmarkStart w:id="43" w:name="_Toc17233326"/>
      <w:bookmarkStart w:id="44" w:name="_Toc26648466"/>
      <w:bookmarkStart w:id="45" w:name="_Toc17233334"/>
      <w:bookmarkStart w:id="46" w:name="_Toc24884212"/>
      <w:bookmarkStart w:id="47" w:name="_Toc24884219"/>
      <w:r>
        <w:rPr>
          <w:rFonts w:hint="eastAsia"/>
        </w:rPr>
        <w:t>本标准适用于提供无功电压支撑的构网型静止无功发生器，规定了在现场安装后的系统调试试验，分为带电试验、性能试验、试运行三部分。</w:t>
      </w:r>
    </w:p>
    <w:p w14:paraId="1C43C3F5">
      <w:pPr>
        <w:pStyle w:val="163"/>
      </w:pPr>
      <w:r>
        <w:rPr>
          <w:rFonts w:hint="eastAsia"/>
        </w:rPr>
        <w:t>本文件适用于采用构网型和跟网型两种控制方式的构网型静止无功发生器现场系统调试试验，同时也适用于仅采用构网型控制方式的静止无功发生器现场系统调试试验。</w:t>
      </w:r>
    </w:p>
    <w:p w14:paraId="7A29B562">
      <w:pPr>
        <w:pStyle w:val="105"/>
        <w:spacing w:before="240" w:after="240"/>
      </w:pPr>
      <w:bookmarkStart w:id="48" w:name="_Toc26986531"/>
      <w:bookmarkStart w:id="49" w:name="_Toc155714262"/>
      <w:bookmarkStart w:id="50" w:name="_Toc155628766"/>
      <w:bookmarkStart w:id="51" w:name="_Toc155714322"/>
      <w:bookmarkStart w:id="52" w:name="_Toc10512"/>
      <w:bookmarkStart w:id="53" w:name="_Toc26718931"/>
      <w:bookmarkStart w:id="54" w:name="_Toc155604542"/>
      <w:bookmarkStart w:id="55" w:name="_Toc97192965"/>
      <w:bookmarkStart w:id="56" w:name="_Toc26986772"/>
      <w:bookmarkStart w:id="57" w:name="_Toc155628703"/>
      <w:r>
        <w:rPr>
          <w:rFonts w:hint="eastAsia"/>
        </w:rPr>
        <w:t>规范性引用文件</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sdt>
      <w:sdtPr>
        <w:rPr>
          <w:rFonts w:hint="eastAsia"/>
        </w:rPr>
        <w:id w:val="715848253"/>
        <w:placeholder>
          <w:docPart w:val="7D8091A419844FBDA8554C0D7F75ECF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7F1454B">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4A30DFA">
      <w:pPr>
        <w:pStyle w:val="57"/>
        <w:ind w:firstLine="420"/>
      </w:pPr>
      <w:r>
        <w:rPr>
          <w:rFonts w:hint="eastAsia"/>
        </w:rPr>
        <w:t>GB 3096 声环境质量标准</w:t>
      </w:r>
    </w:p>
    <w:p w14:paraId="2AC03F42">
      <w:pPr>
        <w:pStyle w:val="57"/>
        <w:ind w:firstLine="420"/>
      </w:pPr>
      <w:r>
        <w:rPr>
          <w:rFonts w:hint="eastAsia"/>
        </w:rPr>
        <w:t>GB/T 3768 声学 声压法测定噪声源声功率级和声能量级 采用反射面上方包络测量面的简易法</w:t>
      </w:r>
    </w:p>
    <w:p w14:paraId="6640C8D9">
      <w:pPr>
        <w:pStyle w:val="57"/>
        <w:ind w:firstLine="420"/>
      </w:pPr>
      <w:r>
        <w:rPr>
          <w:rFonts w:hint="eastAsia"/>
        </w:rPr>
        <w:t>GB 12348 工业企业厂界环境噪声排放标准</w:t>
      </w:r>
    </w:p>
    <w:p w14:paraId="6D8F8874">
      <w:pPr>
        <w:pStyle w:val="57"/>
        <w:tabs>
          <w:tab w:val="left" w:pos="4313"/>
        </w:tabs>
        <w:ind w:firstLine="420"/>
      </w:pPr>
      <w:r>
        <w:rPr>
          <w:rFonts w:hint="eastAsia"/>
        </w:rPr>
        <w:t>GB/T 14549 电能质量 公用电网谐波</w:t>
      </w:r>
      <w:r>
        <w:tab/>
      </w:r>
    </w:p>
    <w:p w14:paraId="618991C6">
      <w:pPr>
        <w:pStyle w:val="57"/>
        <w:ind w:firstLine="420"/>
      </w:pPr>
      <w:r>
        <w:rPr>
          <w:rFonts w:hint="eastAsia"/>
        </w:rPr>
        <w:t>GB/T 24337 电能质量 公用电网间谐波</w:t>
      </w:r>
    </w:p>
    <w:p w14:paraId="2B73C409">
      <w:pPr>
        <w:pStyle w:val="57"/>
        <w:ind w:firstLine="420"/>
      </w:pPr>
      <w:r>
        <w:rPr>
          <w:rFonts w:hint="eastAsia"/>
        </w:rPr>
        <w:t>GB/T 50065 交流电气装置的接地设计规范</w:t>
      </w:r>
    </w:p>
    <w:p w14:paraId="05D49DFD">
      <w:pPr>
        <w:pStyle w:val="57"/>
        <w:ind w:firstLine="420"/>
      </w:pPr>
      <w:r>
        <w:rPr>
          <w:rFonts w:hint="eastAsia"/>
        </w:rPr>
        <w:t>DL/T 1215.1 链式静止同步补偿器 第1部分：功能规范</w:t>
      </w:r>
    </w:p>
    <w:p w14:paraId="3A67BE24">
      <w:pPr>
        <w:pStyle w:val="57"/>
        <w:ind w:firstLine="420"/>
      </w:pPr>
      <w:r>
        <w:rPr>
          <w:rFonts w:hint="eastAsia"/>
        </w:rPr>
        <w:t>DL/T 1215.4 链式静止同步补偿器 第4部分：现场试验</w:t>
      </w:r>
    </w:p>
    <w:p w14:paraId="467F9FEE">
      <w:pPr>
        <w:pStyle w:val="57"/>
        <w:ind w:firstLine="420"/>
      </w:pPr>
      <w:r>
        <w:rPr>
          <w:rFonts w:hint="eastAsia"/>
        </w:rPr>
        <w:t>NB/T 10643 风电场用静止无功发生器技术要求与试验方法</w:t>
      </w:r>
    </w:p>
    <w:p w14:paraId="355E76C3">
      <w:pPr>
        <w:pStyle w:val="57"/>
        <w:ind w:firstLine="420"/>
      </w:pPr>
      <w:r>
        <w:t>NB/T 41006</w:t>
      </w:r>
      <w:r>
        <w:rPr>
          <w:rFonts w:hint="eastAsia"/>
        </w:rPr>
        <w:t xml:space="preserve"> 低压有源无功综合补充装置</w:t>
      </w:r>
    </w:p>
    <w:p w14:paraId="2F4D7486">
      <w:pPr>
        <w:pStyle w:val="57"/>
        <w:ind w:firstLine="420"/>
        <w:rPr>
          <w:highlight w:val="yellow"/>
        </w:rPr>
      </w:pPr>
    </w:p>
    <w:p w14:paraId="6E4B3D5E">
      <w:pPr>
        <w:pStyle w:val="105"/>
        <w:spacing w:before="240" w:after="240"/>
      </w:pPr>
      <w:bookmarkStart w:id="58" w:name="_Toc155714323"/>
      <w:bookmarkStart w:id="59" w:name="_Toc24378"/>
      <w:bookmarkStart w:id="60" w:name="_Toc155714263"/>
      <w:bookmarkStart w:id="61" w:name="_Toc155628704"/>
      <w:bookmarkStart w:id="62" w:name="_Toc155604543"/>
      <w:bookmarkStart w:id="63" w:name="_Toc97192966"/>
      <w:bookmarkStart w:id="64" w:name="_Toc155628767"/>
      <w:r>
        <w:rPr>
          <w:rFonts w:hint="eastAsia"/>
          <w:szCs w:val="21"/>
        </w:rPr>
        <w:t>术语和定义</w:t>
      </w:r>
      <w:bookmarkEnd w:id="58"/>
      <w:bookmarkEnd w:id="59"/>
      <w:bookmarkEnd w:id="60"/>
      <w:bookmarkEnd w:id="61"/>
      <w:bookmarkEnd w:id="62"/>
      <w:bookmarkEnd w:id="63"/>
      <w:bookmarkEnd w:id="64"/>
    </w:p>
    <w:sdt>
      <w:sdtPr>
        <w:id w:val="-1909835108"/>
        <w:placeholder>
          <w:docPart w:val="BB29B35BC62740FA8C8DFBFE47F0603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25C567F">
          <w:pPr>
            <w:pStyle w:val="57"/>
            <w:ind w:firstLine="420"/>
          </w:pPr>
          <w:bookmarkStart w:id="65" w:name="_Toc26986532"/>
          <w:bookmarkEnd w:id="65"/>
          <w:r>
            <w:rPr>
              <w:rFonts w:hint="eastAsia"/>
            </w:rPr>
            <w:t>下列术语和定义适用于本文件。</w:t>
          </w:r>
        </w:p>
      </w:sdtContent>
    </w:sdt>
    <w:p w14:paraId="6FD97402">
      <w:pPr>
        <w:pStyle w:val="224"/>
        <w:rPr>
          <w:rFonts w:ascii="黑体" w:hAnsi="黑体" w:eastAsia="黑体"/>
        </w:rPr>
      </w:pPr>
      <w:r>
        <w:rPr>
          <w:rFonts w:ascii="黑体" w:hAnsi="黑体" w:eastAsia="黑体"/>
        </w:rPr>
        <w:br w:type="textWrapping"/>
      </w:r>
      <w:r>
        <w:rPr>
          <w:rFonts w:hint="eastAsia" w:ascii="黑体" w:hAnsi="黑体" w:eastAsia="黑体"/>
        </w:rPr>
        <w:t xml:space="preserve"> </w:t>
      </w:r>
      <w:r>
        <w:rPr>
          <w:rFonts w:ascii="黑体" w:hAnsi="黑体" w:eastAsia="黑体"/>
        </w:rPr>
        <w:t xml:space="preserve">   </w:t>
      </w:r>
      <w:r>
        <w:rPr>
          <w:rFonts w:hint="eastAsia" w:ascii="黑体" w:hAnsi="黑体" w:eastAsia="黑体"/>
        </w:rPr>
        <w:t>静止无功发生器 static var generator</w:t>
      </w:r>
    </w:p>
    <w:p w14:paraId="2C489748">
      <w:pPr>
        <w:pStyle w:val="224"/>
        <w:numPr>
          <w:ilvl w:val="0"/>
          <w:numId w:val="0"/>
        </w:numPr>
        <w:ind w:firstLine="420" w:firstLineChars="200"/>
      </w:pPr>
      <w:r>
        <w:rPr>
          <w:rFonts w:hint="eastAsia"/>
        </w:rPr>
        <w:t>一种由并联接入系统的电压源换流器构成，其输出的容性或感性无功电流连续可调且在可运行系统电压范围内与系统电压无关的无功功率补偿装置。</w:t>
      </w:r>
    </w:p>
    <w:p w14:paraId="37CB7B3C">
      <w:pPr>
        <w:pStyle w:val="57"/>
        <w:ind w:firstLine="420"/>
      </w:pPr>
      <w:r>
        <w:rPr>
          <w:rFonts w:hint="eastAsia"/>
        </w:rPr>
        <w:t>[来源：NB/T 10643</w:t>
      </w:r>
      <w:r>
        <w:t>-2021</w:t>
      </w:r>
      <w:r>
        <w:rPr>
          <w:rFonts w:hint="eastAsia"/>
        </w:rPr>
        <w:t>，3.</w:t>
      </w:r>
      <w:r>
        <w:t>1</w:t>
      </w:r>
      <w:r>
        <w:rPr>
          <w:rFonts w:hint="eastAsia"/>
        </w:rPr>
        <w:t>]</w:t>
      </w:r>
    </w:p>
    <w:p w14:paraId="305D8283">
      <w:pPr>
        <w:pStyle w:val="224"/>
        <w:rPr>
          <w:rFonts w:ascii="黑体" w:hAnsi="黑体" w:eastAsia="黑体"/>
        </w:rPr>
      </w:pPr>
      <w:r>
        <w:rPr>
          <w:rFonts w:ascii="黑体" w:hAnsi="黑体" w:eastAsia="黑体"/>
        </w:rPr>
        <w:br w:type="textWrapping"/>
      </w:r>
      <w:r>
        <w:rPr>
          <w:rFonts w:hint="eastAsia" w:ascii="黑体" w:hAnsi="黑体" w:eastAsia="黑体"/>
        </w:rPr>
        <w:t xml:space="preserve"> </w:t>
      </w:r>
      <w:r>
        <w:rPr>
          <w:rFonts w:ascii="黑体" w:hAnsi="黑体" w:eastAsia="黑体"/>
        </w:rPr>
        <w:t xml:space="preserve">   </w:t>
      </w:r>
      <w:r>
        <w:rPr>
          <w:rFonts w:hint="eastAsia" w:ascii="黑体" w:hAnsi="黑体" w:eastAsia="黑体"/>
        </w:rPr>
        <w:t>构网型静止无功发生器 grid-forming static var generator</w:t>
      </w:r>
    </w:p>
    <w:p w14:paraId="01908D27">
      <w:pPr>
        <w:pStyle w:val="57"/>
        <w:ind w:firstLine="420"/>
      </w:pPr>
      <w:r>
        <w:rPr>
          <w:rFonts w:hint="eastAsia"/>
        </w:rPr>
        <w:t>一种模拟电压源输出特性的电力电子装备，针对电力系统调压需求，为电力系统提供必要的短路容量、无功支撑。</w:t>
      </w:r>
    </w:p>
    <w:p w14:paraId="44396103">
      <w:pPr>
        <w:pStyle w:val="224"/>
        <w:rPr>
          <w:rFonts w:ascii="黑体" w:hAnsi="黑体" w:eastAsia="黑体"/>
        </w:rPr>
      </w:pPr>
      <w:r>
        <w:rPr>
          <w:rFonts w:ascii="黑体" w:hAnsi="黑体" w:eastAsia="黑体"/>
        </w:rPr>
        <w:br w:type="textWrapping"/>
      </w:r>
      <w:r>
        <w:rPr>
          <w:rFonts w:hint="eastAsia" w:ascii="黑体" w:hAnsi="黑体" w:eastAsia="黑体"/>
        </w:rPr>
        <w:t xml:space="preserve"> </w:t>
      </w:r>
      <w:r>
        <w:rPr>
          <w:rFonts w:ascii="黑体" w:hAnsi="黑体" w:eastAsia="黑体"/>
        </w:rPr>
        <w:t xml:space="preserve">   </w:t>
      </w:r>
      <w:r>
        <w:rPr>
          <w:rFonts w:hint="eastAsia" w:ascii="黑体" w:hAnsi="黑体" w:eastAsia="黑体"/>
        </w:rPr>
        <w:t>链节 link</w:t>
      </w:r>
    </w:p>
    <w:p w14:paraId="6352B30E">
      <w:pPr>
        <w:pStyle w:val="57"/>
        <w:ind w:firstLine="420"/>
      </w:pPr>
      <w:r>
        <w:rPr>
          <w:rFonts w:hint="eastAsia"/>
        </w:rPr>
        <w:t>实现构网型静止无功发生器换流功能的一个基本单元，包括H桥型电压源换流器和相关辅助设备。</w:t>
      </w:r>
    </w:p>
    <w:p w14:paraId="41230749">
      <w:pPr>
        <w:pStyle w:val="57"/>
        <w:ind w:firstLine="420"/>
      </w:pPr>
      <w:r>
        <w:rPr>
          <w:rFonts w:hint="eastAsia"/>
        </w:rPr>
        <w:t>[来源：DL/T 1215.1</w:t>
      </w:r>
      <w:r>
        <w:t>-2020</w:t>
      </w:r>
      <w:r>
        <w:rPr>
          <w:rFonts w:hint="eastAsia"/>
        </w:rPr>
        <w:t>，3.</w:t>
      </w:r>
      <w:r>
        <w:t>4</w:t>
      </w:r>
      <w:r>
        <w:rPr>
          <w:rFonts w:hint="eastAsia"/>
        </w:rPr>
        <w:t>]</w:t>
      </w:r>
    </w:p>
    <w:p w14:paraId="1D894EA9">
      <w:pPr>
        <w:pStyle w:val="224"/>
        <w:rPr>
          <w:rFonts w:ascii="黑体" w:hAnsi="黑体" w:eastAsia="黑体"/>
        </w:rPr>
      </w:pPr>
      <w:r>
        <w:rPr>
          <w:rFonts w:ascii="黑体" w:hAnsi="黑体" w:eastAsia="黑体"/>
        </w:rPr>
        <w:br w:type="textWrapping"/>
      </w:r>
      <w:r>
        <w:rPr>
          <w:rFonts w:hint="eastAsia" w:ascii="黑体" w:hAnsi="黑体" w:eastAsia="黑体"/>
        </w:rPr>
        <w:t xml:space="preserve"> </w:t>
      </w:r>
      <w:r>
        <w:rPr>
          <w:rFonts w:ascii="黑体" w:hAnsi="黑体" w:eastAsia="黑体"/>
        </w:rPr>
        <w:t xml:space="preserve">   </w:t>
      </w:r>
      <w:r>
        <w:rPr>
          <w:rFonts w:hint="eastAsia" w:ascii="黑体" w:hAnsi="黑体" w:eastAsia="黑体"/>
        </w:rPr>
        <w:t>换流链 converter chain</w:t>
      </w:r>
    </w:p>
    <w:p w14:paraId="0354CED7">
      <w:pPr>
        <w:pStyle w:val="57"/>
        <w:ind w:firstLine="420"/>
      </w:pPr>
      <w:r>
        <w:rPr>
          <w:rFonts w:hint="eastAsia"/>
        </w:rPr>
        <w:t>由多个链节级联组成，实现完整换流功能的组装换流设备。</w:t>
      </w:r>
    </w:p>
    <w:p w14:paraId="25DD826D">
      <w:pPr>
        <w:pStyle w:val="57"/>
        <w:ind w:firstLine="420"/>
      </w:pPr>
      <w:r>
        <w:rPr>
          <w:rFonts w:hint="eastAsia"/>
        </w:rPr>
        <w:t>[来源：DL/T 1215.1</w:t>
      </w:r>
      <w:r>
        <w:t>-2020</w:t>
      </w:r>
      <w:r>
        <w:rPr>
          <w:rFonts w:hint="eastAsia"/>
        </w:rPr>
        <w:t>，3.</w:t>
      </w:r>
      <w:r>
        <w:t>5</w:t>
      </w:r>
      <w:r>
        <w:rPr>
          <w:rFonts w:hint="eastAsia"/>
        </w:rPr>
        <w:t>]</w:t>
      </w:r>
    </w:p>
    <w:p w14:paraId="6210A878">
      <w:pPr>
        <w:pStyle w:val="224"/>
        <w:rPr>
          <w:rFonts w:ascii="黑体" w:hAnsi="黑体" w:eastAsia="黑体"/>
        </w:rPr>
      </w:pPr>
      <w:r>
        <w:rPr>
          <w:rFonts w:ascii="黑体" w:hAnsi="黑体" w:eastAsia="黑体"/>
        </w:rPr>
        <w:br w:type="textWrapping"/>
      </w:r>
      <w:r>
        <w:rPr>
          <w:rFonts w:hint="eastAsia" w:ascii="黑体" w:hAnsi="黑体" w:eastAsia="黑体"/>
        </w:rPr>
        <w:t xml:space="preserve"> </w:t>
      </w:r>
      <w:r>
        <w:rPr>
          <w:rFonts w:ascii="黑体" w:hAnsi="黑体" w:eastAsia="黑体"/>
        </w:rPr>
        <w:t xml:space="preserve">   </w:t>
      </w:r>
      <w:r>
        <w:rPr>
          <w:rFonts w:hint="eastAsia" w:ascii="黑体" w:hAnsi="黑体" w:eastAsia="黑体"/>
        </w:rPr>
        <w:t>控制点point of control</w:t>
      </w:r>
    </w:p>
    <w:p w14:paraId="354E15F8">
      <w:pPr>
        <w:pStyle w:val="57"/>
        <w:ind w:firstLine="420"/>
      </w:pPr>
      <w:r>
        <w:rPr>
          <w:rFonts w:hint="eastAsia"/>
        </w:rPr>
        <w:t>静止无功发生器无功输出效果的评估点。</w:t>
      </w:r>
    </w:p>
    <w:p w14:paraId="7D7B7491">
      <w:pPr>
        <w:pStyle w:val="57"/>
        <w:ind w:firstLine="420"/>
        <w:rPr>
          <w:sz w:val="18"/>
          <w:szCs w:val="18"/>
        </w:rPr>
      </w:pPr>
      <w:r>
        <w:rPr>
          <w:rFonts w:hint="eastAsia" w:ascii="黑体" w:hAnsi="黑体" w:eastAsia="黑体" w:cs="黑体"/>
          <w:sz w:val="18"/>
          <w:szCs w:val="18"/>
        </w:rPr>
        <w:t>注：</w:t>
      </w:r>
      <w:r>
        <w:rPr>
          <w:rFonts w:hint="eastAsia"/>
          <w:sz w:val="18"/>
          <w:szCs w:val="18"/>
        </w:rPr>
        <w:t>该控制点可根据电网调度或客户要求合理指定。</w:t>
      </w:r>
    </w:p>
    <w:p w14:paraId="513AF57D">
      <w:pPr>
        <w:pStyle w:val="57"/>
        <w:ind w:firstLine="420"/>
      </w:pPr>
      <w:r>
        <w:rPr>
          <w:rFonts w:hint="eastAsia"/>
        </w:rPr>
        <w:t>[来源：NB/T 10643</w:t>
      </w:r>
      <w:r>
        <w:t>-2021</w:t>
      </w:r>
      <w:r>
        <w:rPr>
          <w:rFonts w:hint="eastAsia"/>
        </w:rPr>
        <w:t>，3.</w:t>
      </w:r>
      <w:r>
        <w:t>3</w:t>
      </w:r>
      <w:r>
        <w:rPr>
          <w:rFonts w:hint="eastAsia"/>
        </w:rPr>
        <w:t>]</w:t>
      </w:r>
    </w:p>
    <w:p w14:paraId="323B4DC3">
      <w:pPr>
        <w:pStyle w:val="224"/>
        <w:rPr>
          <w:rFonts w:ascii="黑体" w:hAnsi="黑体" w:eastAsia="黑体"/>
        </w:rPr>
      </w:pPr>
      <w:r>
        <w:rPr>
          <w:rFonts w:ascii="黑体" w:hAnsi="黑体" w:eastAsia="黑体"/>
        </w:rPr>
        <w:br w:type="textWrapping"/>
      </w:r>
      <w:r>
        <w:rPr>
          <w:rFonts w:hint="eastAsia" w:ascii="黑体" w:hAnsi="黑体" w:eastAsia="黑体"/>
        </w:rPr>
        <w:t xml:space="preserve"> </w:t>
      </w:r>
      <w:r>
        <w:rPr>
          <w:rFonts w:ascii="黑体" w:hAnsi="黑体" w:eastAsia="黑体"/>
        </w:rPr>
        <w:t xml:space="preserve">   </w:t>
      </w:r>
      <w:r>
        <w:rPr>
          <w:rFonts w:hint="eastAsia" w:ascii="黑体" w:hAnsi="黑体" w:eastAsia="黑体"/>
        </w:rPr>
        <w:t>连接点 connection point</w:t>
      </w:r>
    </w:p>
    <w:p w14:paraId="32516025">
      <w:pPr>
        <w:pStyle w:val="57"/>
        <w:ind w:firstLine="420"/>
      </w:pPr>
      <w:r>
        <w:rPr>
          <w:rFonts w:hint="eastAsia"/>
        </w:rPr>
        <w:t>构网型静止无功发生器与电力系统的连接处。</w:t>
      </w:r>
    </w:p>
    <w:p w14:paraId="7D565C01">
      <w:pPr>
        <w:pStyle w:val="57"/>
        <w:ind w:firstLine="420"/>
      </w:pPr>
      <w:r>
        <w:rPr>
          <w:rFonts w:hint="eastAsia"/>
        </w:rPr>
        <w:t>[来源：NB/T 10643</w:t>
      </w:r>
      <w:r>
        <w:t>-2021</w:t>
      </w:r>
      <w:r>
        <w:rPr>
          <w:rFonts w:hint="eastAsia"/>
        </w:rPr>
        <w:t>，3.</w:t>
      </w:r>
      <w:r>
        <w:t>4</w:t>
      </w:r>
      <w:r>
        <w:rPr>
          <w:rFonts w:hint="eastAsia"/>
        </w:rPr>
        <w:t>]</w:t>
      </w:r>
    </w:p>
    <w:p w14:paraId="20AC2C33">
      <w:pPr>
        <w:pStyle w:val="224"/>
      </w:pPr>
      <w:r>
        <w:rPr>
          <w:rFonts w:ascii="黑体" w:hAnsi="黑体" w:eastAsia="黑体"/>
        </w:rPr>
        <w:br w:type="textWrapping"/>
      </w:r>
      <w:r>
        <w:rPr>
          <w:rFonts w:hint="eastAsia" w:ascii="黑体" w:hAnsi="黑体" w:eastAsia="黑体"/>
        </w:rPr>
        <w:t xml:space="preserve"> </w:t>
      </w:r>
      <w:r>
        <w:rPr>
          <w:rFonts w:ascii="黑体" w:hAnsi="黑体" w:eastAsia="黑体"/>
        </w:rPr>
        <w:t xml:space="preserve">   </w:t>
      </w:r>
      <w:r>
        <w:rPr>
          <w:rFonts w:hint="eastAsia" w:ascii="黑体" w:hAnsi="黑体" w:eastAsia="黑体"/>
        </w:rPr>
        <w:t>动态响应指标 dynamic response index</w:t>
      </w:r>
    </w:p>
    <w:p w14:paraId="7CEC55ED">
      <w:pPr>
        <w:pStyle w:val="57"/>
        <w:ind w:firstLine="420"/>
      </w:pPr>
      <w:r>
        <w:rPr>
          <w:rFonts w:hint="eastAsia"/>
        </w:rPr>
        <w:t>表征构网型静止无功发生器动态特性的指标，包括：控制系统响应时间、阶跃响应时间、稳定时间、补偿响应时间、超调等，如图1所示。</w:t>
      </w:r>
    </w:p>
    <w:p w14:paraId="52677EA1">
      <w:pPr>
        <w:pStyle w:val="57"/>
        <w:tabs>
          <w:tab w:val="left" w:pos="4868"/>
        </w:tabs>
        <w:ind w:firstLine="420"/>
      </w:pPr>
      <w:r>
        <w:rPr>
          <w:rFonts w:hint="eastAsia"/>
        </w:rPr>
        <w:t>[来源：DL/T 1215.1</w:t>
      </w:r>
      <w:r>
        <w:t>-2020</w:t>
      </w:r>
      <w:r>
        <w:rPr>
          <w:rFonts w:hint="eastAsia"/>
        </w:rPr>
        <w:t>，3.</w:t>
      </w:r>
      <w:r>
        <w:t>11</w:t>
      </w:r>
      <w:r>
        <w:rPr>
          <w:rFonts w:hint="eastAsia"/>
        </w:rPr>
        <w:t>，有修改]</w:t>
      </w:r>
      <w:r>
        <w:tab/>
      </w:r>
    </w:p>
    <w:p w14:paraId="5B962CDC">
      <w:pPr>
        <w:pStyle w:val="57"/>
        <w:tabs>
          <w:tab w:val="left" w:pos="4868"/>
        </w:tabs>
        <w:ind w:firstLine="420"/>
      </w:pPr>
      <w:r>
        <w:rPr>
          <w:rFonts w:ascii="Calibri" w:hAnsi="Calibri"/>
          <w:kern w:val="2"/>
          <w:szCs w:val="21"/>
        </w:rPr>
        <w:object>
          <v:shape id="_x0000_i1025" o:spt="75" type="#_x0000_t75" style="height:291.65pt;width:386.4pt;" o:ole="t" filled="f" o:preferrelative="t" stroked="f" coordsize="21600,21600">
            <v:path/>
            <v:fill on="f" focussize="0,0"/>
            <v:stroke on="f" joinstyle="miter"/>
            <v:imagedata r:id="rId23" o:title=""/>
            <o:lock v:ext="edit" aspectratio="t"/>
            <w10:wrap type="none"/>
            <w10:anchorlock/>
          </v:shape>
          <o:OLEObject Type="Embed" ProgID="Visio.Drawing.15" ShapeID="_x0000_i1025" DrawAspect="Content" ObjectID="_1468075725" r:id="rId22">
            <o:LockedField>false</o:LockedField>
          </o:OLEObject>
        </w:object>
      </w:r>
    </w:p>
    <w:p w14:paraId="007E28C4">
      <w:pPr>
        <w:pStyle w:val="57"/>
        <w:ind w:firstLine="0" w:firstLineChars="0"/>
        <w:jc w:val="center"/>
        <w:rPr>
          <w:rFonts w:ascii="黑体" w:hAnsi="黑体" w:eastAsia="黑体"/>
          <w:b/>
          <w:bCs/>
        </w:rPr>
      </w:pPr>
      <w:r>
        <w:rPr>
          <w:rFonts w:ascii="黑体" w:hAnsi="黑体" w:eastAsia="黑体"/>
          <w:b/>
          <w:bCs/>
        </w:rPr>
        <w:t>图</w:t>
      </w:r>
      <w:r>
        <w:rPr>
          <w:rFonts w:ascii="黑体" w:hAnsi="黑体" w:eastAsia="黑体"/>
        </w:rPr>
        <w:fldChar w:fldCharType="begin"/>
      </w:r>
      <w:r>
        <w:rPr>
          <w:rFonts w:ascii="黑体" w:hAnsi="黑体" w:eastAsia="黑体"/>
        </w:rPr>
        <w:instrText xml:space="preserve"> SEQ 图 \* ARABIC </w:instrText>
      </w:r>
      <w:r>
        <w:rPr>
          <w:rFonts w:ascii="黑体" w:hAnsi="黑体" w:eastAsia="黑体"/>
        </w:rPr>
        <w:fldChar w:fldCharType="separate"/>
      </w:r>
      <w:r>
        <w:rPr>
          <w:rFonts w:ascii="黑体" w:hAnsi="黑体" w:eastAsia="黑体"/>
        </w:rPr>
        <w:t>1</w:t>
      </w:r>
      <w:r>
        <w:rPr>
          <w:rFonts w:ascii="黑体" w:hAnsi="黑体" w:eastAsia="黑体"/>
        </w:rPr>
        <w:fldChar w:fldCharType="end"/>
      </w:r>
      <w:r>
        <w:rPr>
          <w:rFonts w:ascii="黑体" w:hAnsi="黑体" w:eastAsia="黑体"/>
        </w:rPr>
        <w:t xml:space="preserve"> </w:t>
      </w:r>
      <w:r>
        <w:rPr>
          <w:rFonts w:ascii="黑体" w:hAnsi="黑体" w:eastAsia="黑体"/>
          <w:b/>
          <w:bCs/>
        </w:rPr>
        <w:t>动态响应指标</w:t>
      </w:r>
      <w:bookmarkStart w:id="66" w:name="bookmark6"/>
      <w:bookmarkEnd w:id="66"/>
    </w:p>
    <w:p w14:paraId="79E5D2E7">
      <w:pPr>
        <w:pStyle w:val="224"/>
        <w:ind w:left="420" w:hanging="420" w:hangingChars="200"/>
        <w:rPr>
          <w:rFonts w:ascii="黑体" w:hAnsi="黑体" w:eastAsia="黑体"/>
        </w:rPr>
      </w:pPr>
      <w:r>
        <w:rPr>
          <w:rFonts w:ascii="黑体" w:hAnsi="黑体" w:eastAsia="黑体"/>
        </w:rPr>
        <w:br w:type="textWrapping"/>
      </w:r>
      <w:r>
        <w:rPr>
          <w:rFonts w:ascii="黑体" w:hAnsi="黑体" w:eastAsia="黑体"/>
        </w:rPr>
        <w:t>控制系统响应时间</w:t>
      </w:r>
      <w:r>
        <w:rPr>
          <w:rFonts w:hint="eastAsia" w:ascii="黑体" w:hAnsi="黑体" w:eastAsia="黑体"/>
        </w:rPr>
        <w:t xml:space="preserve"> </w:t>
      </w:r>
      <w:r>
        <w:rPr>
          <w:rFonts w:ascii="黑体" w:hAnsi="黑体" w:eastAsia="黑体"/>
        </w:rPr>
        <w:t>response time of control system</w:t>
      </w:r>
    </w:p>
    <w:p w14:paraId="16FFB84B">
      <w:pPr>
        <w:pStyle w:val="57"/>
        <w:ind w:firstLine="1265" w:firstLineChars="600"/>
        <w:rPr>
          <w:b/>
          <w:bCs/>
        </w:rPr>
      </w:pPr>
      <m:oMathPara>
        <m:oMathParaPr>
          <m:jc m:val="left"/>
        </m:oMathParaPr>
        <m:oMath>
          <m:r>
            <m:rPr>
              <m:sty m:val="b"/>
            </m:rPr>
            <w:rPr>
              <w:rFonts w:ascii="Cambria Math" w:hAnsi="Cambria Math"/>
            </w:rPr>
            <m:t xml:space="preserve">    </m:t>
          </m:r>
          <m:sSub>
            <m:sSubPr>
              <m:ctrlPr>
                <w:rPr>
                  <w:rFonts w:ascii="Cambria Math" w:hAnsi="Cambria Math"/>
                  <w:bCs/>
                </w:rPr>
              </m:ctrlPr>
            </m:sSubPr>
            <m:e>
              <m:r>
                <m:rPr/>
                <w:rPr>
                  <w:rFonts w:ascii="Cambria Math" w:hAnsi="Cambria Math"/>
                </w:rPr>
                <m:t>t</m:t>
              </m:r>
              <m:ctrlPr>
                <w:rPr>
                  <w:rFonts w:ascii="Cambria Math" w:hAnsi="Cambria Math"/>
                  <w:bCs/>
                </w:rPr>
              </m:ctrlPr>
            </m:e>
            <m:sub>
              <m:r>
                <m:rPr/>
                <w:rPr>
                  <w:rFonts w:ascii="Cambria Math" w:hAnsi="Cambria Math"/>
                </w:rPr>
                <m:t>e</m:t>
              </m:r>
              <m:ctrlPr>
                <w:rPr>
                  <w:rFonts w:ascii="Cambria Math" w:hAnsi="Cambria Math"/>
                  <w:bCs/>
                </w:rPr>
              </m:ctrlPr>
            </m:sub>
          </m:sSub>
        </m:oMath>
      </m:oMathPara>
    </w:p>
    <w:p w14:paraId="1E35D649">
      <w:pPr>
        <w:pStyle w:val="57"/>
        <w:ind w:firstLine="420"/>
      </w:pPr>
      <w:r>
        <w:t>从电网产生扰动开始，到</w:t>
      </w:r>
      <w:r>
        <w:rPr>
          <w:rFonts w:hint="eastAsia"/>
        </w:rPr>
        <w:t>构网型静止无功发生器</w:t>
      </w:r>
      <w:r>
        <w:t>控制系统完成控制信号采样、逻辑分析、控制指令计算，直至控制系统发出触发信号引起被控量开始变化所经历的时间。</w:t>
      </w:r>
    </w:p>
    <w:p w14:paraId="53FD51FB">
      <w:pPr>
        <w:pStyle w:val="57"/>
        <w:ind w:firstLine="420"/>
      </w:pPr>
      <w:r>
        <w:rPr>
          <w:rFonts w:hint="eastAsia"/>
        </w:rPr>
        <w:t>[来源：DL/T 1215.1</w:t>
      </w:r>
      <w:r>
        <w:t>-2020</w:t>
      </w:r>
      <w:r>
        <w:rPr>
          <w:rFonts w:hint="eastAsia"/>
        </w:rPr>
        <w:t>，3.</w:t>
      </w:r>
      <w:r>
        <w:t>12</w:t>
      </w:r>
      <w:r>
        <w:rPr>
          <w:rFonts w:hint="eastAsia"/>
        </w:rPr>
        <w:t>，有修改]</w:t>
      </w:r>
    </w:p>
    <w:p w14:paraId="3EDFB336">
      <w:pPr>
        <w:pStyle w:val="224"/>
        <w:rPr>
          <w:rFonts w:ascii="黑体" w:hAnsi="黑体" w:eastAsia="黑体"/>
        </w:rPr>
      </w:pPr>
      <w:r>
        <w:rPr>
          <w:rFonts w:ascii="黑体" w:hAnsi="黑体" w:eastAsia="黑体"/>
        </w:rPr>
        <w:br w:type="textWrapping"/>
      </w:r>
      <w:r>
        <w:rPr>
          <w:rFonts w:hint="eastAsia" w:ascii="黑体" w:hAnsi="黑体" w:eastAsia="黑体"/>
        </w:rPr>
        <w:t xml:space="preserve"> </w:t>
      </w:r>
      <w:r>
        <w:rPr>
          <w:rFonts w:ascii="黑体" w:hAnsi="黑体" w:eastAsia="黑体"/>
        </w:rPr>
        <w:t xml:space="preserve">   </w:t>
      </w:r>
      <w:r>
        <w:rPr>
          <w:rFonts w:hint="eastAsia" w:ascii="黑体" w:hAnsi="黑体" w:eastAsia="黑体"/>
        </w:rPr>
        <w:t>阶跃响应时间 step response time</w:t>
      </w:r>
    </w:p>
    <w:p w14:paraId="6C0AE93D">
      <w:pPr>
        <w:pStyle w:val="224"/>
        <w:numPr>
          <w:ilvl w:val="0"/>
          <w:numId w:val="0"/>
        </w:numPr>
        <w:rPr>
          <w:rFonts w:ascii="黑体" w:hAnsi="黑体" w:eastAsia="黑体"/>
        </w:rPr>
      </w:pPr>
      <m:oMathPara>
        <m:oMathParaPr>
          <m:jc m:val="left"/>
        </m:oMathParaPr>
        <m:oMath>
          <m:r>
            <m:rPr/>
            <w:rPr>
              <w:rFonts w:ascii="Cambria Math" w:hAnsi="Cambria Math" w:cs="黑体"/>
              <w:snapToGrid w:val="0"/>
              <w:color w:val="000000"/>
            </w:rPr>
            <m:t xml:space="preserve">    </m:t>
          </m:r>
          <m:sSub>
            <m:sSubPr>
              <m:ctrlPr>
                <w:rPr>
                  <w:rFonts w:ascii="Cambria Math" w:hAnsi="Cambria Math" w:cs="黑体"/>
                  <w:bCs/>
                  <w:snapToGrid w:val="0"/>
                  <w:color w:val="000000"/>
                </w:rPr>
              </m:ctrlPr>
            </m:sSubPr>
            <m:e>
              <m:r>
                <m:rPr/>
                <w:rPr>
                  <w:rFonts w:ascii="Cambria Math" w:hAnsi="Cambria Math" w:cs="黑体"/>
                  <w:snapToGrid w:val="0"/>
                  <w:color w:val="000000"/>
                  <w:spacing w:val="-3"/>
                </w:rPr>
                <m:t>t</m:t>
              </m:r>
              <m:ctrlPr>
                <w:rPr>
                  <w:rFonts w:ascii="Cambria Math" w:hAnsi="Cambria Math" w:cs="黑体"/>
                  <w:bCs/>
                  <w:snapToGrid w:val="0"/>
                  <w:color w:val="000000"/>
                </w:rPr>
              </m:ctrlPr>
            </m:e>
            <m:sub>
              <m:r>
                <m:rPr/>
                <w:rPr>
                  <w:rFonts w:ascii="Cambria Math" w:hAnsi="Cambria Math" w:cs="黑体"/>
                  <w:snapToGrid w:val="0"/>
                  <w:color w:val="000000"/>
                  <w:spacing w:val="-3"/>
                </w:rPr>
                <m:t>r</m:t>
              </m:r>
              <m:ctrlPr>
                <w:rPr>
                  <w:rFonts w:ascii="Cambria Math" w:hAnsi="Cambria Math" w:cs="黑体"/>
                  <w:bCs/>
                  <w:snapToGrid w:val="0"/>
                  <w:color w:val="000000"/>
                </w:rPr>
              </m:ctrlPr>
            </m:sub>
          </m:sSub>
        </m:oMath>
      </m:oMathPara>
    </w:p>
    <w:p w14:paraId="1752DB71">
      <w:pPr>
        <w:pStyle w:val="57"/>
        <w:ind w:firstLine="420"/>
      </w:pPr>
      <w:r>
        <w:rPr>
          <w:rFonts w:hint="eastAsia"/>
        </w:rPr>
        <w:t>当输入阶跃控制信号后，构网型静止无功发生器输出电气量达到90%目标值所用的时间，且期间没有产生过冲。</w:t>
      </w:r>
    </w:p>
    <w:p w14:paraId="5F81AABF">
      <w:pPr>
        <w:pStyle w:val="57"/>
        <w:ind w:firstLine="420"/>
        <w:rPr>
          <w:sz w:val="18"/>
          <w:szCs w:val="18"/>
        </w:rPr>
      </w:pPr>
      <w:r>
        <w:rPr>
          <w:rFonts w:hint="eastAsia" w:ascii="黑体" w:hAnsi="黑体" w:eastAsia="黑体" w:cs="黑体"/>
          <w:sz w:val="18"/>
          <w:szCs w:val="18"/>
        </w:rPr>
        <w:t>注：</w:t>
      </w:r>
      <w:r>
        <w:rPr>
          <w:rFonts w:hint="eastAsia"/>
          <w:sz w:val="18"/>
          <w:szCs w:val="18"/>
        </w:rPr>
        <w:t>由于电压变化范围较小，难以获得清晰的变化曲线，一般可以用无功电流变化曲线来说明阶跃响应时间。</w:t>
      </w:r>
    </w:p>
    <w:p w14:paraId="7AF20E4F">
      <w:pPr>
        <w:pStyle w:val="57"/>
        <w:ind w:firstLine="420"/>
      </w:pPr>
      <w:r>
        <w:rPr>
          <w:rFonts w:hint="eastAsia"/>
        </w:rPr>
        <w:t>[来源：DL/T 1215.1</w:t>
      </w:r>
      <w:r>
        <w:t>-2020</w:t>
      </w:r>
      <w:r>
        <w:rPr>
          <w:rFonts w:hint="eastAsia"/>
        </w:rPr>
        <w:t>，3.</w:t>
      </w:r>
      <w:r>
        <w:t>13</w:t>
      </w:r>
      <w:r>
        <w:rPr>
          <w:rFonts w:hint="eastAsia"/>
        </w:rPr>
        <w:t>，有修改]</w:t>
      </w:r>
    </w:p>
    <w:p w14:paraId="50A019FC">
      <w:pPr>
        <w:pStyle w:val="224"/>
        <w:rPr>
          <w:rFonts w:ascii="黑体" w:hAnsi="黑体" w:eastAsia="黑体"/>
        </w:rPr>
      </w:pPr>
      <w:r>
        <w:rPr>
          <w:rFonts w:ascii="黑体" w:hAnsi="黑体" w:eastAsia="黑体"/>
        </w:rPr>
        <w:br w:type="textWrapping"/>
      </w:r>
      <w:r>
        <w:rPr>
          <w:rFonts w:hint="eastAsia" w:ascii="黑体" w:hAnsi="黑体" w:eastAsia="黑体"/>
        </w:rPr>
        <w:t xml:space="preserve"> </w:t>
      </w:r>
      <w:r>
        <w:rPr>
          <w:rFonts w:ascii="黑体" w:hAnsi="黑体" w:eastAsia="黑体"/>
        </w:rPr>
        <w:t xml:space="preserve">   </w:t>
      </w:r>
      <w:r>
        <w:rPr>
          <w:rFonts w:hint="eastAsia" w:ascii="黑体" w:hAnsi="黑体" w:eastAsia="黑体"/>
        </w:rPr>
        <w:t>稳定时间 settling time</w:t>
      </w:r>
    </w:p>
    <w:p w14:paraId="18B4486C">
      <w:pPr>
        <w:widowControl/>
        <w:autoSpaceDE w:val="0"/>
        <w:autoSpaceDN w:val="0"/>
        <w:snapToGrid w:val="0"/>
        <w:spacing w:line="300" w:lineRule="auto"/>
        <w:ind w:left="431"/>
        <w:jc w:val="left"/>
        <w:textAlignment w:val="baseline"/>
        <w:rPr>
          <w:rFonts w:ascii="黑体" w:hAnsi="黑体" w:eastAsia="黑体" w:cs="黑体"/>
          <w:b/>
          <w:bCs/>
          <w:snapToGrid w:val="0"/>
          <w:color w:val="000000"/>
          <w:spacing w:val="-3"/>
          <w:kern w:val="0"/>
        </w:rPr>
      </w:pPr>
      <m:oMathPara>
        <m:oMathParaPr>
          <m:jc m:val="left"/>
        </m:oMathParaPr>
        <m:oMath>
          <m:sSub>
            <m:sSubPr>
              <m:ctrlPr>
                <w:rPr>
                  <w:rFonts w:ascii="Cambria Math" w:hAnsi="Cambria Math" w:cs="黑体"/>
                  <w:bCs/>
                  <w:snapToGrid w:val="0"/>
                  <w:color w:val="000000"/>
                  <w:kern w:val="0"/>
                </w:rPr>
              </m:ctrlPr>
            </m:sSubPr>
            <m:e>
              <m:r>
                <m:rPr/>
                <w:rPr>
                  <w:rFonts w:ascii="Cambria Math" w:hAnsi="Cambria Math" w:cs="黑体"/>
                  <w:snapToGrid w:val="0"/>
                  <w:color w:val="000000"/>
                  <w:spacing w:val="-3"/>
                  <w:kern w:val="0"/>
                </w:rPr>
                <m:t>t</m:t>
              </m:r>
              <m:ctrlPr>
                <w:rPr>
                  <w:rFonts w:ascii="Cambria Math" w:hAnsi="Cambria Math" w:cs="黑体"/>
                  <w:bCs/>
                  <w:snapToGrid w:val="0"/>
                  <w:color w:val="000000"/>
                  <w:kern w:val="0"/>
                </w:rPr>
              </m:ctrlPr>
            </m:e>
            <m:sub>
              <m:r>
                <m:rPr/>
                <w:rPr>
                  <w:rFonts w:ascii="Cambria Math" w:hAnsi="Cambria Math" w:cs="黑体"/>
                  <w:snapToGrid w:val="0"/>
                  <w:color w:val="000000"/>
                  <w:spacing w:val="-3"/>
                  <w:kern w:val="0"/>
                </w:rPr>
                <m:t>s</m:t>
              </m:r>
              <m:ctrlPr>
                <w:rPr>
                  <w:rFonts w:ascii="Cambria Math" w:hAnsi="Cambria Math" w:cs="黑体"/>
                  <w:bCs/>
                  <w:snapToGrid w:val="0"/>
                  <w:color w:val="000000"/>
                  <w:kern w:val="0"/>
                </w:rPr>
              </m:ctrlPr>
            </m:sub>
          </m:sSub>
        </m:oMath>
      </m:oMathPara>
    </w:p>
    <w:p w14:paraId="372F822C">
      <w:pPr>
        <w:pStyle w:val="57"/>
        <w:ind w:firstLine="420"/>
      </w:pPr>
      <w:r>
        <w:rPr>
          <w:rFonts w:hint="eastAsia"/>
        </w:rPr>
        <w:t>当输入阶跃控制信号后，构网型静止无功发生器输出电气量达到并稳定在目标值的±5%范围内所用的时间。</w:t>
      </w:r>
    </w:p>
    <w:p w14:paraId="7FFE6EDF">
      <w:pPr>
        <w:pStyle w:val="57"/>
        <w:ind w:firstLine="420"/>
      </w:pPr>
      <w:r>
        <w:rPr>
          <w:rFonts w:hint="eastAsia"/>
        </w:rPr>
        <w:t>[来源：DL/T 1215.1</w:t>
      </w:r>
      <w:r>
        <w:t>-2020</w:t>
      </w:r>
      <w:r>
        <w:rPr>
          <w:rFonts w:hint="eastAsia"/>
        </w:rPr>
        <w:t>，3.</w:t>
      </w:r>
      <w:r>
        <w:t>14</w:t>
      </w:r>
      <w:r>
        <w:rPr>
          <w:rFonts w:hint="eastAsia"/>
        </w:rPr>
        <w:t>，有修改]</w:t>
      </w:r>
    </w:p>
    <w:p w14:paraId="711F237D">
      <w:pPr>
        <w:pStyle w:val="224"/>
        <w:rPr>
          <w:rFonts w:ascii="黑体" w:hAnsi="黑体" w:eastAsia="黑体"/>
        </w:rPr>
      </w:pPr>
      <w:r>
        <w:rPr>
          <w:rFonts w:ascii="黑体" w:hAnsi="黑体" w:eastAsia="黑体"/>
        </w:rPr>
        <w:br w:type="textWrapping"/>
      </w:r>
      <w:r>
        <w:rPr>
          <w:rFonts w:hint="eastAsia" w:ascii="黑体" w:hAnsi="黑体" w:eastAsia="黑体"/>
        </w:rPr>
        <w:t xml:space="preserve"> </w:t>
      </w:r>
      <w:r>
        <w:rPr>
          <w:rFonts w:ascii="黑体" w:hAnsi="黑体" w:eastAsia="黑体"/>
        </w:rPr>
        <w:t xml:space="preserve">   </w:t>
      </w:r>
      <w:r>
        <w:rPr>
          <w:rFonts w:hint="eastAsia" w:ascii="黑体" w:hAnsi="黑体" w:eastAsia="黑体"/>
        </w:rPr>
        <w:t xml:space="preserve">补偿响应时间 response time of compensation </w:t>
      </w:r>
    </w:p>
    <w:p w14:paraId="3392D2FE">
      <w:pPr>
        <w:widowControl/>
        <w:autoSpaceDE w:val="0"/>
        <w:autoSpaceDN w:val="0"/>
        <w:snapToGrid w:val="0"/>
        <w:spacing w:line="300" w:lineRule="auto"/>
        <w:ind w:left="431"/>
        <w:jc w:val="left"/>
        <w:textAlignment w:val="baseline"/>
        <w:rPr>
          <w:rFonts w:ascii="黑体" w:hAnsi="黑体" w:eastAsia="黑体" w:cs="黑体"/>
          <w:b/>
          <w:bCs/>
          <w:snapToGrid w:val="0"/>
          <w:color w:val="000000"/>
          <w:spacing w:val="-3"/>
          <w:kern w:val="0"/>
        </w:rPr>
      </w:pPr>
      <m:oMathPara>
        <m:oMathParaPr>
          <m:jc m:val="left"/>
        </m:oMathParaPr>
        <m:oMath>
          <m:sSub>
            <m:sSubPr>
              <m:ctrlPr>
                <w:rPr>
                  <w:rFonts w:ascii="Cambria Math" w:hAnsi="Cambria Math" w:cs="黑体"/>
                  <w:bCs/>
                  <w:snapToGrid w:val="0"/>
                  <w:color w:val="000000"/>
                  <w:kern w:val="0"/>
                </w:rPr>
              </m:ctrlPr>
            </m:sSubPr>
            <m:e>
              <m:r>
                <m:rPr/>
                <w:rPr>
                  <w:rFonts w:ascii="Cambria Math" w:hAnsi="Cambria Math" w:cs="黑体"/>
                  <w:snapToGrid w:val="0"/>
                  <w:color w:val="000000"/>
                  <w:spacing w:val="-3"/>
                  <w:kern w:val="0"/>
                </w:rPr>
                <m:t>t</m:t>
              </m:r>
              <m:ctrlPr>
                <w:rPr>
                  <w:rFonts w:ascii="Cambria Math" w:hAnsi="Cambria Math" w:cs="黑体"/>
                  <w:bCs/>
                  <w:snapToGrid w:val="0"/>
                  <w:color w:val="000000"/>
                  <w:kern w:val="0"/>
                </w:rPr>
              </m:ctrlPr>
            </m:e>
            <m:sub>
              <m:r>
                <m:rPr/>
                <w:rPr>
                  <w:rFonts w:ascii="Cambria Math" w:hAnsi="Cambria Math" w:cs="黑体"/>
                  <w:snapToGrid w:val="0"/>
                  <w:color w:val="000000"/>
                  <w:spacing w:val="-3"/>
                  <w:kern w:val="0"/>
                </w:rPr>
                <m:t>com</m:t>
              </m:r>
              <m:ctrlPr>
                <w:rPr>
                  <w:rFonts w:ascii="Cambria Math" w:hAnsi="Cambria Math" w:cs="黑体"/>
                  <w:bCs/>
                  <w:snapToGrid w:val="0"/>
                  <w:color w:val="000000"/>
                  <w:kern w:val="0"/>
                </w:rPr>
              </m:ctrlPr>
            </m:sub>
          </m:sSub>
        </m:oMath>
      </m:oMathPara>
    </w:p>
    <w:p w14:paraId="3191B6AD">
      <w:pPr>
        <w:pStyle w:val="57"/>
        <w:ind w:firstLine="420"/>
      </w:pPr>
      <w:r>
        <w:rPr>
          <w:rFonts w:hint="eastAsia"/>
        </w:rPr>
        <w:t>从电网产生扰动开始，直至构网型静止无功发生器输出电气量首次达到90%目标值所用的时间。</w:t>
      </w:r>
    </w:p>
    <w:p w14:paraId="4E7D640A">
      <w:pPr>
        <w:pStyle w:val="57"/>
        <w:ind w:firstLine="420"/>
      </w:pPr>
      <w:r>
        <w:rPr>
          <w:rFonts w:hint="eastAsia"/>
        </w:rPr>
        <w:t>[来源：DL/T 1215.1</w:t>
      </w:r>
      <w:r>
        <w:t>-2020</w:t>
      </w:r>
      <w:r>
        <w:rPr>
          <w:rFonts w:hint="eastAsia"/>
        </w:rPr>
        <w:t>，3.</w:t>
      </w:r>
      <w:r>
        <w:t>15</w:t>
      </w:r>
      <w:r>
        <w:rPr>
          <w:rFonts w:hint="eastAsia"/>
        </w:rPr>
        <w:t>，有修改]</w:t>
      </w:r>
    </w:p>
    <w:p w14:paraId="72F62A49">
      <w:pPr>
        <w:pStyle w:val="224"/>
        <w:rPr>
          <w:rFonts w:ascii="黑体" w:hAnsi="黑体" w:eastAsia="黑体"/>
        </w:rPr>
      </w:pPr>
      <w:r>
        <w:rPr>
          <w:rFonts w:ascii="黑体" w:hAnsi="黑体" w:eastAsia="黑体"/>
        </w:rPr>
        <w:br w:type="textWrapping"/>
      </w:r>
      <w:r>
        <w:rPr>
          <w:rFonts w:hint="eastAsia" w:ascii="黑体" w:hAnsi="黑体" w:eastAsia="黑体"/>
        </w:rPr>
        <w:t xml:space="preserve"> </w:t>
      </w:r>
      <w:r>
        <w:rPr>
          <w:rFonts w:ascii="黑体" w:hAnsi="黑体" w:eastAsia="黑体"/>
        </w:rPr>
        <w:t xml:space="preserve">   </w:t>
      </w:r>
      <w:r>
        <w:rPr>
          <w:rFonts w:hint="eastAsia" w:ascii="黑体" w:hAnsi="黑体" w:eastAsia="黑体"/>
        </w:rPr>
        <w:t xml:space="preserve">超调 overshoot </w:t>
      </w:r>
    </w:p>
    <w:p w14:paraId="4A55A2E0">
      <w:pPr>
        <w:pStyle w:val="57"/>
        <w:ind w:firstLine="420"/>
      </w:pPr>
      <w:r>
        <w:rPr>
          <w:rFonts w:hint="eastAsia"/>
        </w:rPr>
        <w:t>当构网型静止无功发生器输出设定值为阶跃控制信号时，其输出最大值和稳态值之差的绝对值，一般用其相对于稳态值的百分数表示。</w:t>
      </w:r>
    </w:p>
    <w:p w14:paraId="6795FE42">
      <w:pPr>
        <w:pStyle w:val="57"/>
        <w:ind w:firstLine="420"/>
      </w:pPr>
      <w:r>
        <w:rPr>
          <w:rFonts w:hint="eastAsia"/>
        </w:rPr>
        <w:t>[来源：DL/T 1215.1</w:t>
      </w:r>
      <w:r>
        <w:t>-2020</w:t>
      </w:r>
      <w:r>
        <w:rPr>
          <w:rFonts w:hint="eastAsia"/>
        </w:rPr>
        <w:t>，3.</w:t>
      </w:r>
      <w:r>
        <w:t>16</w:t>
      </w:r>
      <w:r>
        <w:rPr>
          <w:rFonts w:hint="eastAsia"/>
        </w:rPr>
        <w:t>，有修改]</w:t>
      </w:r>
    </w:p>
    <w:p w14:paraId="3166AF02">
      <w:pPr>
        <w:pStyle w:val="224"/>
        <w:rPr>
          <w:rFonts w:ascii="黑体" w:hAnsi="黑体" w:eastAsia="黑体"/>
        </w:rPr>
      </w:pPr>
      <w:r>
        <w:rPr>
          <w:rFonts w:ascii="黑体" w:hAnsi="黑体" w:eastAsia="黑体"/>
        </w:rPr>
        <w:br w:type="textWrapping"/>
      </w:r>
      <w:r>
        <w:rPr>
          <w:rFonts w:hint="eastAsia" w:ascii="黑体" w:hAnsi="黑体" w:eastAsia="黑体"/>
        </w:rPr>
        <w:t xml:space="preserve"> </w:t>
      </w:r>
      <w:r>
        <w:rPr>
          <w:rFonts w:ascii="黑体" w:hAnsi="黑体" w:eastAsia="黑体"/>
        </w:rPr>
        <w:t xml:space="preserve">   </w:t>
      </w:r>
      <w:r>
        <w:rPr>
          <w:rFonts w:hint="eastAsia" w:ascii="黑体" w:hAnsi="黑体" w:eastAsia="黑体"/>
        </w:rPr>
        <w:t>无功反调特性 reactive power countermodulation characteristic</w:t>
      </w:r>
    </w:p>
    <w:p w14:paraId="1AAEB179">
      <w:pPr>
        <w:pStyle w:val="57"/>
        <w:ind w:firstLine="420"/>
      </w:pPr>
      <w:r>
        <w:rPr>
          <w:rFonts w:hint="eastAsia"/>
        </w:rPr>
        <w:t>当系统无功需求发生变化时，构网型静止无功发生器调节所产生的无功功率变化方向与系统实际需求变化方向不一致，即静止无功发生器出现反向调节现象。</w:t>
      </w:r>
    </w:p>
    <w:p w14:paraId="136F5081">
      <w:pPr>
        <w:pStyle w:val="224"/>
        <w:rPr>
          <w:rFonts w:ascii="黑体" w:hAnsi="黑体" w:eastAsia="黑体"/>
        </w:rPr>
      </w:pPr>
      <w:r>
        <w:rPr>
          <w:rFonts w:ascii="黑体" w:hAnsi="黑体" w:eastAsia="黑体"/>
        </w:rPr>
        <w:br w:type="textWrapping"/>
      </w:r>
      <w:r>
        <w:rPr>
          <w:rFonts w:hint="eastAsia" w:ascii="黑体" w:hAnsi="黑体" w:eastAsia="黑体"/>
        </w:rPr>
        <w:t xml:space="preserve"> </w:t>
      </w:r>
      <w:r>
        <w:rPr>
          <w:rFonts w:ascii="黑体" w:hAnsi="黑体" w:eastAsia="黑体"/>
        </w:rPr>
        <w:t xml:space="preserve">   </w:t>
      </w:r>
      <w:r>
        <w:rPr>
          <w:rFonts w:hint="eastAsia" w:ascii="黑体" w:hAnsi="黑体" w:eastAsia="黑体"/>
        </w:rPr>
        <w:t>暂态过流能力 transient overflow capacity</w:t>
      </w:r>
    </w:p>
    <w:p w14:paraId="7716AACD">
      <w:pPr>
        <w:pStyle w:val="57"/>
        <w:ind w:firstLine="420"/>
      </w:pPr>
      <w:r>
        <w:rPr>
          <w:rFonts w:hint="eastAsia"/>
        </w:rPr>
        <w:t>构网型静止无功发生器在短时间内承受暂态工作电流的能力，一般用额定电流的倍数表示。</w:t>
      </w:r>
    </w:p>
    <w:p w14:paraId="635C1FEA">
      <w:pPr>
        <w:pStyle w:val="224"/>
        <w:rPr>
          <w:rFonts w:ascii="黑体" w:hAnsi="黑体" w:eastAsia="黑体"/>
        </w:rPr>
      </w:pPr>
      <w:r>
        <w:rPr>
          <w:rFonts w:ascii="黑体" w:hAnsi="黑体" w:eastAsia="黑体"/>
        </w:rPr>
        <w:br w:type="textWrapping"/>
      </w:r>
      <w:r>
        <w:rPr>
          <w:rFonts w:hint="eastAsia" w:ascii="黑体" w:hAnsi="黑体" w:eastAsia="黑体"/>
        </w:rPr>
        <w:t xml:space="preserve"> </w:t>
      </w:r>
      <w:r>
        <w:rPr>
          <w:rFonts w:ascii="黑体" w:hAnsi="黑体" w:eastAsia="黑体"/>
        </w:rPr>
        <w:t xml:space="preserve">   </w:t>
      </w:r>
      <w:r>
        <w:rPr>
          <w:rFonts w:hint="eastAsia" w:ascii="黑体" w:hAnsi="黑体" w:eastAsia="黑体"/>
        </w:rPr>
        <w:t xml:space="preserve">带电试验 energization test </w:t>
      </w:r>
    </w:p>
    <w:p w14:paraId="5B90BBBE">
      <w:pPr>
        <w:pStyle w:val="57"/>
        <w:ind w:firstLine="420"/>
      </w:pPr>
      <w:r>
        <w:rPr>
          <w:rFonts w:hint="eastAsia"/>
        </w:rPr>
        <w:t>任何一种需给设备或部分设备加运行电压的试验。</w:t>
      </w:r>
    </w:p>
    <w:p w14:paraId="6A2A08A8">
      <w:pPr>
        <w:pStyle w:val="57"/>
        <w:ind w:firstLine="420"/>
      </w:pPr>
      <w:r>
        <w:rPr>
          <w:rFonts w:hint="eastAsia"/>
        </w:rPr>
        <w:t>[来源：DL/T 1215.</w:t>
      </w:r>
      <w:r>
        <w:t>4-2013</w:t>
      </w:r>
      <w:r>
        <w:rPr>
          <w:rFonts w:hint="eastAsia"/>
        </w:rPr>
        <w:t>，3.</w:t>
      </w:r>
      <w:r>
        <w:t>3</w:t>
      </w:r>
      <w:r>
        <w:rPr>
          <w:rFonts w:hint="eastAsia"/>
        </w:rPr>
        <w:t>]</w:t>
      </w:r>
    </w:p>
    <w:p w14:paraId="62DD5B87">
      <w:pPr>
        <w:pStyle w:val="224"/>
        <w:rPr>
          <w:rFonts w:ascii="黑体" w:hAnsi="黑体" w:eastAsia="黑体"/>
        </w:rPr>
      </w:pPr>
      <w:r>
        <w:rPr>
          <w:rFonts w:ascii="黑体" w:hAnsi="黑体" w:eastAsia="黑体"/>
        </w:rPr>
        <w:br w:type="textWrapping"/>
      </w:r>
      <w:r>
        <w:rPr>
          <w:rFonts w:ascii="黑体" w:hAnsi="黑体" w:eastAsia="黑体"/>
        </w:rPr>
        <w:t xml:space="preserve">  </w:t>
      </w:r>
      <w:r>
        <w:rPr>
          <w:rFonts w:hint="eastAsia" w:ascii="黑体" w:hAnsi="黑体" w:eastAsia="黑体"/>
        </w:rPr>
        <w:t xml:space="preserve"> </w:t>
      </w:r>
      <w:r>
        <w:rPr>
          <w:rFonts w:ascii="黑体" w:hAnsi="黑体" w:eastAsia="黑体"/>
        </w:rPr>
        <w:t xml:space="preserve"> </w:t>
      </w:r>
      <w:r>
        <w:rPr>
          <w:rFonts w:hint="eastAsia" w:ascii="黑体" w:hAnsi="黑体" w:eastAsia="黑体"/>
        </w:rPr>
        <w:t xml:space="preserve">试运行 trial operation </w:t>
      </w:r>
    </w:p>
    <w:p w14:paraId="3E015AF9">
      <w:pPr>
        <w:pStyle w:val="57"/>
        <w:ind w:firstLine="420"/>
      </w:pPr>
      <w:r>
        <w:rPr>
          <w:rFonts w:hint="eastAsia"/>
        </w:rPr>
        <w:t>在一段时间内，将设备或系统投入运行，考核其各项性能、技术指标和可靠性是否达到设计及标准规定要求的一种运行方式。</w:t>
      </w:r>
    </w:p>
    <w:p w14:paraId="064F6B46">
      <w:pPr>
        <w:pStyle w:val="57"/>
        <w:ind w:firstLine="420"/>
      </w:pPr>
      <w:r>
        <w:rPr>
          <w:rFonts w:hint="eastAsia"/>
        </w:rPr>
        <w:t>[来源：DL/T 1215.</w:t>
      </w:r>
      <w:r>
        <w:t>4-2013</w:t>
      </w:r>
      <w:r>
        <w:rPr>
          <w:rFonts w:hint="eastAsia"/>
        </w:rPr>
        <w:t>，3.</w:t>
      </w:r>
      <w:r>
        <w:t>4</w:t>
      </w:r>
      <w:r>
        <w:rPr>
          <w:rFonts w:hint="eastAsia"/>
        </w:rPr>
        <w:t>]</w:t>
      </w:r>
    </w:p>
    <w:p w14:paraId="74F460CE">
      <w:pPr>
        <w:pStyle w:val="105"/>
        <w:spacing w:before="240" w:after="240"/>
      </w:pPr>
      <w:bookmarkStart w:id="67" w:name="_Toc16592"/>
      <w:r>
        <w:rPr>
          <w:rFonts w:hint="eastAsia"/>
        </w:rPr>
        <w:t>现场系统调试试验目的和要求</w:t>
      </w:r>
      <w:bookmarkEnd w:id="67"/>
    </w:p>
    <w:p w14:paraId="6D920BC6">
      <w:pPr>
        <w:pStyle w:val="106"/>
        <w:spacing w:before="120" w:after="120"/>
      </w:pPr>
      <w:bookmarkStart w:id="68" w:name="_Toc32575"/>
      <w:bookmarkStart w:id="69" w:name="_Toc154138717"/>
      <w:bookmarkStart w:id="70" w:name="_Toc154148935"/>
      <w:bookmarkStart w:id="71" w:name="_Toc154147200"/>
      <w:bookmarkStart w:id="72" w:name="_Toc154147163"/>
      <w:bookmarkStart w:id="73" w:name="_Toc154146174"/>
      <w:r>
        <w:rPr>
          <w:rFonts w:hint="eastAsia"/>
        </w:rPr>
        <w:t>试验目的</w:t>
      </w:r>
      <w:bookmarkEnd w:id="68"/>
    </w:p>
    <w:p w14:paraId="5A1F0EE9">
      <w:pPr>
        <w:pStyle w:val="57"/>
        <w:ind w:firstLine="420"/>
      </w:pPr>
      <w:r>
        <w:rPr>
          <w:rFonts w:hint="eastAsia"/>
        </w:rPr>
        <w:t>系统调试试验的目的如下：</w:t>
      </w:r>
    </w:p>
    <w:p w14:paraId="715EDD08">
      <w:pPr>
        <w:pStyle w:val="57"/>
        <w:ind w:firstLine="420"/>
      </w:pPr>
      <w:r>
        <w:rPr>
          <w:rFonts w:hint="eastAsia"/>
        </w:rPr>
        <w:t>a) 验证换流链及其辅助设备可以在额定电压下运行；</w:t>
      </w:r>
    </w:p>
    <w:p w14:paraId="4A26176C">
      <w:pPr>
        <w:pStyle w:val="57"/>
        <w:ind w:firstLine="420"/>
      </w:pPr>
      <w:r>
        <w:rPr>
          <w:rFonts w:hint="eastAsia"/>
        </w:rPr>
        <w:t>b) 带负荷检验构网型静止无功发生器保护；</w:t>
      </w:r>
    </w:p>
    <w:p w14:paraId="72F7841F">
      <w:pPr>
        <w:pStyle w:val="57"/>
        <w:ind w:firstLine="420"/>
      </w:pPr>
      <w:r>
        <w:rPr>
          <w:rFonts w:hint="eastAsia"/>
        </w:rPr>
        <w:t>c) 检验构网型静止无功发生器对稳态和暂态无功的控制功能，以及稳定电压的功能；</w:t>
      </w:r>
    </w:p>
    <w:p w14:paraId="4911D417">
      <w:pPr>
        <w:pStyle w:val="57"/>
        <w:ind w:firstLine="420"/>
      </w:pPr>
      <w:r>
        <w:rPr>
          <w:rFonts w:hint="eastAsia"/>
        </w:rPr>
        <w:t>d) 测试构网型静止无功发生器的主要技术性能指标；</w:t>
      </w:r>
    </w:p>
    <w:p w14:paraId="6A6EC37C">
      <w:pPr>
        <w:pStyle w:val="57"/>
        <w:ind w:firstLine="420"/>
      </w:pPr>
      <w:r>
        <w:rPr>
          <w:rFonts w:hint="eastAsia"/>
        </w:rPr>
        <w:t>e) 验证构网型静止无功发生器各子系统之间的协调配合。</w:t>
      </w:r>
    </w:p>
    <w:p w14:paraId="51450C5C">
      <w:pPr>
        <w:pStyle w:val="106"/>
        <w:spacing w:before="120" w:after="120"/>
      </w:pPr>
      <w:bookmarkStart w:id="74" w:name="_Toc3088"/>
      <w:r>
        <w:t>试验的一般要求</w:t>
      </w:r>
      <w:bookmarkEnd w:id="74"/>
    </w:p>
    <w:p w14:paraId="2B2138E6">
      <w:pPr>
        <w:pStyle w:val="66"/>
        <w:spacing w:before="120" w:after="120"/>
      </w:pPr>
      <w:r>
        <w:rPr>
          <w:rFonts w:hint="eastAsia"/>
        </w:rPr>
        <w:t>总的要求</w:t>
      </w:r>
    </w:p>
    <w:p w14:paraId="056158DE">
      <w:pPr>
        <w:pStyle w:val="57"/>
        <w:ind w:firstLine="420"/>
      </w:pPr>
      <w:r>
        <w:rPr>
          <w:rFonts w:hint="eastAsia"/>
        </w:rPr>
        <w:t>现场系统调试试验是指在构网型静止无功发生器加运行电压情况下对其规定性能进行的现场试验。需要系统条件配合的系统调试试验，若由于系统的原因无法满足试验要求时，经供方和需方协商可以适当调整试验内容，但应在试验报告中予以说明。</w:t>
      </w:r>
    </w:p>
    <w:p w14:paraId="71B43F56">
      <w:pPr>
        <w:pStyle w:val="66"/>
        <w:spacing w:before="120" w:after="120"/>
      </w:pPr>
      <w:r>
        <w:rPr>
          <w:rFonts w:hint="eastAsia"/>
        </w:rPr>
        <w:t>试验结果的文件要求</w:t>
      </w:r>
    </w:p>
    <w:p w14:paraId="0FD70FFE">
      <w:pPr>
        <w:pStyle w:val="57"/>
        <w:ind w:firstLine="420"/>
      </w:pPr>
      <w:r>
        <w:t>现场试验报告应按照试验步骤完整记录试验数据，每一试验阶段的结论应明确，以作为是否进行下一阶段试验的依据。试验报告的内容应主要包括：</w:t>
      </w:r>
    </w:p>
    <w:p w14:paraId="182D7851">
      <w:pPr>
        <w:pStyle w:val="175"/>
        <w:numPr>
          <w:ilvl w:val="0"/>
          <w:numId w:val="32"/>
        </w:numPr>
      </w:pPr>
      <w:r>
        <w:t>一般性数据，如：</w:t>
      </w:r>
    </w:p>
    <w:p w14:paraId="4A7B0EE6">
      <w:pPr>
        <w:pStyle w:val="175"/>
        <w:numPr>
          <w:ilvl w:val="0"/>
          <w:numId w:val="33"/>
        </w:numPr>
      </w:pPr>
      <w:r>
        <w:t>被试设备的标识；</w:t>
      </w:r>
    </w:p>
    <w:p w14:paraId="09A48339">
      <w:pPr>
        <w:pStyle w:val="175"/>
        <w:numPr>
          <w:ilvl w:val="0"/>
          <w:numId w:val="33"/>
        </w:numPr>
      </w:pPr>
      <w:r>
        <w:t>试验场所的名称和地点；</w:t>
      </w:r>
    </w:p>
    <w:p w14:paraId="71A2D568">
      <w:pPr>
        <w:pStyle w:val="175"/>
        <w:numPr>
          <w:ilvl w:val="0"/>
          <w:numId w:val="33"/>
        </w:numPr>
      </w:pPr>
      <w:r>
        <w:t>必要的相关环境条件；</w:t>
      </w:r>
    </w:p>
    <w:p w14:paraId="01652DF6">
      <w:pPr>
        <w:pStyle w:val="175"/>
        <w:numPr>
          <w:ilvl w:val="0"/>
          <w:numId w:val="33"/>
        </w:numPr>
      </w:pPr>
      <w:r>
        <w:t>适用的试验规范；</w:t>
      </w:r>
    </w:p>
    <w:p w14:paraId="69485789">
      <w:pPr>
        <w:pStyle w:val="175"/>
        <w:numPr>
          <w:ilvl w:val="0"/>
          <w:numId w:val="33"/>
        </w:numPr>
      </w:pPr>
      <w:r>
        <w:t>试验日期；</w:t>
      </w:r>
    </w:p>
    <w:p w14:paraId="3A69CFCD">
      <w:pPr>
        <w:pStyle w:val="175"/>
        <w:numPr>
          <w:ilvl w:val="0"/>
          <w:numId w:val="33"/>
        </w:numPr>
      </w:pPr>
      <w:r>
        <w:t>负责人姓名和签名</w:t>
      </w:r>
      <w:r>
        <w:rPr>
          <w:rFonts w:hint="eastAsia"/>
        </w:rPr>
        <w:t>；</w:t>
      </w:r>
    </w:p>
    <w:p w14:paraId="5E34842C">
      <w:pPr>
        <w:pStyle w:val="175"/>
        <w:numPr>
          <w:ilvl w:val="0"/>
          <w:numId w:val="33"/>
        </w:numPr>
      </w:pPr>
      <w:r>
        <w:t>试验电源主要参数的记录(如电压幅值、电流、有功功率、无功功率等)。</w:t>
      </w:r>
    </w:p>
    <w:p w14:paraId="7FEBBBFE">
      <w:pPr>
        <w:pStyle w:val="175"/>
        <w:numPr>
          <w:ilvl w:val="0"/>
          <w:numId w:val="32"/>
        </w:numPr>
      </w:pPr>
      <w:r>
        <w:t>测量仪器说明，包括保证精度及最后校验</w:t>
      </w:r>
      <w:r>
        <w:rPr>
          <w:rFonts w:hint="eastAsia"/>
        </w:rPr>
        <w:t>日</w:t>
      </w:r>
      <w:r>
        <w:t>期等。</w:t>
      </w:r>
    </w:p>
    <w:p w14:paraId="73593A82">
      <w:pPr>
        <w:pStyle w:val="175"/>
        <w:numPr>
          <w:ilvl w:val="0"/>
          <w:numId w:val="32"/>
        </w:numPr>
      </w:pPr>
      <w:r>
        <w:t>试验内容及方法(如试验接线图、试验步骤等)。</w:t>
      </w:r>
    </w:p>
    <w:p w14:paraId="2B0370B6">
      <w:pPr>
        <w:pStyle w:val="175"/>
        <w:numPr>
          <w:ilvl w:val="0"/>
          <w:numId w:val="32"/>
        </w:numPr>
      </w:pPr>
      <w:r>
        <w:t>试验结果，包括数据、照片、示波图、图形及经同意的偏差或放弃意见等。</w:t>
      </w:r>
    </w:p>
    <w:p w14:paraId="3BCC9FB0">
      <w:pPr>
        <w:pStyle w:val="175"/>
        <w:numPr>
          <w:ilvl w:val="0"/>
          <w:numId w:val="32"/>
        </w:numPr>
      </w:pPr>
      <w:r>
        <w:t>试验结论。</w:t>
      </w:r>
    </w:p>
    <w:p w14:paraId="73A83F53">
      <w:pPr>
        <w:pStyle w:val="106"/>
        <w:spacing w:before="120" w:after="120"/>
      </w:pPr>
      <w:bookmarkStart w:id="75" w:name="_Toc30772"/>
      <w:r>
        <w:t>试验步骤</w:t>
      </w:r>
      <w:bookmarkEnd w:id="75"/>
    </w:p>
    <w:p w14:paraId="62F230AE">
      <w:pPr>
        <w:pStyle w:val="57"/>
        <w:ind w:firstLine="420"/>
      </w:pPr>
      <w:r>
        <w:rPr>
          <w:rFonts w:hint="eastAsia"/>
        </w:rPr>
        <w:t>现场</w:t>
      </w:r>
      <w:r>
        <w:t>系统调试试验分为三个试验步骤：</w:t>
      </w:r>
    </w:p>
    <w:p w14:paraId="4D161A4D">
      <w:pPr>
        <w:pStyle w:val="175"/>
        <w:numPr>
          <w:ilvl w:val="0"/>
          <w:numId w:val="34"/>
        </w:numPr>
      </w:pPr>
      <w:r>
        <w:t>带电试验；</w:t>
      </w:r>
    </w:p>
    <w:p w14:paraId="1709B33B">
      <w:pPr>
        <w:pStyle w:val="175"/>
        <w:numPr>
          <w:ilvl w:val="0"/>
          <w:numId w:val="34"/>
        </w:numPr>
      </w:pPr>
      <w:r>
        <w:t>性能试验；</w:t>
      </w:r>
    </w:p>
    <w:p w14:paraId="7115BFF4">
      <w:pPr>
        <w:pStyle w:val="175"/>
        <w:numPr>
          <w:ilvl w:val="0"/>
          <w:numId w:val="34"/>
        </w:numPr>
      </w:pPr>
      <w:r>
        <w:t>试运行。</w:t>
      </w:r>
    </w:p>
    <w:p w14:paraId="29640958">
      <w:pPr>
        <w:pStyle w:val="106"/>
        <w:spacing w:before="120" w:after="120"/>
      </w:pPr>
      <w:bookmarkStart w:id="76" w:name="_Toc31542"/>
      <w:r>
        <w:t>试验</w:t>
      </w:r>
      <w:r>
        <w:rPr>
          <w:rFonts w:hint="eastAsia"/>
        </w:rPr>
        <w:t>项目</w:t>
      </w:r>
      <w:bookmarkEnd w:id="76"/>
    </w:p>
    <w:p w14:paraId="05E91EF7">
      <w:pPr>
        <w:pStyle w:val="57"/>
        <w:ind w:firstLine="420"/>
      </w:pPr>
      <w:r>
        <w:t>构网型静止无功发生器现场试验项目见</w:t>
      </w:r>
      <w:r>
        <w:fldChar w:fldCharType="begin"/>
      </w:r>
      <w:r>
        <w:instrText xml:space="preserve"> REF _Ref161863510 \h  \* MERGEFORMAT </w:instrText>
      </w:r>
      <w:r>
        <w:fldChar w:fldCharType="separate"/>
      </w:r>
      <w:r>
        <w:rPr>
          <w:rFonts w:hint="eastAsia"/>
        </w:rPr>
        <w:t>表</w:t>
      </w:r>
      <w:r>
        <w:t>1</w:t>
      </w:r>
      <w:r>
        <w:fldChar w:fldCharType="end"/>
      </w:r>
      <w:r>
        <w:t>，</w:t>
      </w:r>
      <w:r>
        <w:fldChar w:fldCharType="begin"/>
      </w:r>
      <w:r>
        <w:instrText xml:space="preserve"> REF _Ref161863510 \h  \* MERGEFORMAT </w:instrText>
      </w:r>
      <w:r>
        <w:fldChar w:fldCharType="separate"/>
      </w:r>
      <w:r>
        <w:rPr>
          <w:rFonts w:hint="eastAsia"/>
        </w:rPr>
        <w:t>表</w:t>
      </w:r>
      <w:r>
        <w:t>1</w:t>
      </w:r>
      <w:r>
        <w:fldChar w:fldCharType="end"/>
      </w:r>
      <w:r>
        <w:t>中列出了各阶段试验的试验项目，以及试验方法及技术要求的条款号。</w:t>
      </w:r>
    </w:p>
    <w:p w14:paraId="4157AA2A">
      <w:pPr>
        <w:pStyle w:val="57"/>
        <w:ind w:firstLine="0" w:firstLineChars="0"/>
        <w:jc w:val="center"/>
        <w:rPr>
          <w:rFonts w:ascii="黑体" w:hAnsi="黑体" w:eastAsia="黑体"/>
        </w:rPr>
      </w:pPr>
      <w:bookmarkStart w:id="77" w:name="_Ref161863510"/>
      <w:r>
        <w:rPr>
          <w:rFonts w:hint="eastAsia" w:ascii="黑体" w:hAnsi="黑体" w:eastAsia="黑体"/>
        </w:rPr>
        <w:t>表</w:t>
      </w:r>
      <w:r>
        <w:rPr>
          <w:rFonts w:ascii="黑体" w:hAnsi="黑体" w:eastAsia="黑体"/>
        </w:rPr>
        <w:fldChar w:fldCharType="begin"/>
      </w:r>
      <w:r>
        <w:rPr>
          <w:rFonts w:ascii="黑体" w:hAnsi="黑体" w:eastAsia="黑体"/>
        </w:rPr>
        <w:instrText xml:space="preserve"> SEQ 表 \* ARABIC </w:instrText>
      </w:r>
      <w:r>
        <w:rPr>
          <w:rFonts w:ascii="黑体" w:hAnsi="黑体" w:eastAsia="黑体"/>
        </w:rPr>
        <w:fldChar w:fldCharType="separate"/>
      </w:r>
      <w:r>
        <w:rPr>
          <w:rFonts w:ascii="黑体" w:hAnsi="黑体" w:eastAsia="黑体"/>
        </w:rPr>
        <w:t>1</w:t>
      </w:r>
      <w:r>
        <w:rPr>
          <w:rFonts w:ascii="黑体" w:hAnsi="黑体" w:eastAsia="黑体"/>
        </w:rPr>
        <w:fldChar w:fldCharType="end"/>
      </w:r>
      <w:bookmarkEnd w:id="77"/>
      <w:r>
        <w:rPr>
          <w:rFonts w:ascii="黑体" w:hAnsi="黑体" w:eastAsia="黑体"/>
        </w:rPr>
        <w:t xml:space="preserve"> 构网型静止无功发生器现场试验项目表</w:t>
      </w:r>
    </w:p>
    <w:tbl>
      <w:tblPr>
        <w:tblStyle w:val="232"/>
        <w:tblW w:w="506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498"/>
        <w:gridCol w:w="1448"/>
        <w:gridCol w:w="3655"/>
        <w:gridCol w:w="861"/>
        <w:gridCol w:w="861"/>
        <w:gridCol w:w="2153"/>
      </w:tblGrid>
      <w:tr w14:paraId="1FD3DA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263" w:type="pct"/>
            <w:vAlign w:val="center"/>
          </w:tcPr>
          <w:p w14:paraId="11899B9A">
            <w:pPr>
              <w:widowControl/>
              <w:kinsoku w:val="0"/>
              <w:autoSpaceDE w:val="0"/>
              <w:autoSpaceDN w:val="0"/>
              <w:snapToGrid w:val="0"/>
              <w:spacing w:before="213" w:line="221" w:lineRule="auto"/>
              <w:jc w:val="center"/>
              <w:textAlignment w:val="baseline"/>
              <w:rPr>
                <w:rFonts w:ascii="宋体" w:hAnsi="宋体" w:cs="宋体"/>
                <w:sz w:val="18"/>
                <w:szCs w:val="18"/>
              </w:rPr>
            </w:pPr>
            <w:r>
              <w:rPr>
                <w:rFonts w:ascii="宋体" w:hAnsi="宋体" w:cs="宋体"/>
                <w:spacing w:val="-2"/>
                <w:sz w:val="18"/>
                <w:szCs w:val="18"/>
              </w:rPr>
              <w:t>序号</w:t>
            </w:r>
          </w:p>
        </w:tc>
        <w:tc>
          <w:tcPr>
            <w:tcW w:w="764" w:type="pct"/>
            <w:vAlign w:val="center"/>
          </w:tcPr>
          <w:p w14:paraId="66E140E2">
            <w:pPr>
              <w:widowControl/>
              <w:kinsoku w:val="0"/>
              <w:autoSpaceDE w:val="0"/>
              <w:autoSpaceDN w:val="0"/>
              <w:snapToGrid w:val="0"/>
              <w:spacing w:before="213" w:line="220" w:lineRule="auto"/>
              <w:jc w:val="center"/>
              <w:textAlignment w:val="baseline"/>
              <w:rPr>
                <w:rFonts w:ascii="宋体" w:hAnsi="宋体" w:cs="宋体"/>
                <w:spacing w:val="-16"/>
                <w:sz w:val="18"/>
                <w:szCs w:val="18"/>
              </w:rPr>
            </w:pPr>
            <w:r>
              <w:rPr>
                <w:rFonts w:hint="eastAsia" w:ascii="宋体" w:hAnsi="宋体" w:cs="宋体"/>
                <w:spacing w:val="-16"/>
                <w:sz w:val="18"/>
                <w:szCs w:val="18"/>
              </w:rPr>
              <w:t>试验类型</w:t>
            </w:r>
          </w:p>
        </w:tc>
        <w:tc>
          <w:tcPr>
            <w:tcW w:w="1928" w:type="pct"/>
            <w:vAlign w:val="center"/>
          </w:tcPr>
          <w:p w14:paraId="56B553B8">
            <w:pPr>
              <w:widowControl/>
              <w:kinsoku w:val="0"/>
              <w:autoSpaceDE w:val="0"/>
              <w:autoSpaceDN w:val="0"/>
              <w:snapToGrid w:val="0"/>
              <w:spacing w:before="213" w:line="220" w:lineRule="auto"/>
              <w:jc w:val="center"/>
              <w:textAlignment w:val="baseline"/>
              <w:rPr>
                <w:rFonts w:ascii="宋体" w:hAnsi="宋体" w:cs="宋体"/>
                <w:sz w:val="18"/>
                <w:szCs w:val="18"/>
              </w:rPr>
            </w:pPr>
            <w:r>
              <w:rPr>
                <w:rFonts w:ascii="宋体" w:hAnsi="宋体" w:cs="宋体"/>
                <w:spacing w:val="-16"/>
                <w:sz w:val="18"/>
                <w:szCs w:val="18"/>
              </w:rPr>
              <w:t>项目名称</w:t>
            </w:r>
          </w:p>
        </w:tc>
        <w:tc>
          <w:tcPr>
            <w:tcW w:w="454" w:type="pct"/>
            <w:vAlign w:val="center"/>
          </w:tcPr>
          <w:p w14:paraId="5A5B0F0F">
            <w:pPr>
              <w:widowControl/>
              <w:kinsoku w:val="0"/>
              <w:autoSpaceDE w:val="0"/>
              <w:autoSpaceDN w:val="0"/>
              <w:snapToGrid w:val="0"/>
              <w:spacing w:before="103" w:line="221" w:lineRule="auto"/>
              <w:jc w:val="center"/>
              <w:textAlignment w:val="baseline"/>
              <w:rPr>
                <w:rFonts w:ascii="宋体" w:hAnsi="宋体" w:cs="宋体"/>
                <w:spacing w:val="-2"/>
                <w:sz w:val="18"/>
                <w:szCs w:val="18"/>
              </w:rPr>
            </w:pPr>
            <w:r>
              <w:rPr>
                <w:rFonts w:hint="eastAsia" w:ascii="宋体" w:hAnsi="宋体" w:cs="宋体"/>
                <w:spacing w:val="-2"/>
                <w:sz w:val="18"/>
                <w:szCs w:val="18"/>
              </w:rPr>
              <w:t>必做</w:t>
            </w:r>
          </w:p>
        </w:tc>
        <w:tc>
          <w:tcPr>
            <w:tcW w:w="454" w:type="pct"/>
            <w:vAlign w:val="center"/>
          </w:tcPr>
          <w:p w14:paraId="2D62AF08">
            <w:pPr>
              <w:widowControl/>
              <w:kinsoku w:val="0"/>
              <w:autoSpaceDE w:val="0"/>
              <w:autoSpaceDN w:val="0"/>
              <w:snapToGrid w:val="0"/>
              <w:spacing w:before="103" w:line="221" w:lineRule="auto"/>
              <w:jc w:val="center"/>
              <w:textAlignment w:val="baseline"/>
              <w:rPr>
                <w:rFonts w:ascii="宋体" w:hAnsi="宋体" w:cs="宋体"/>
                <w:spacing w:val="-2"/>
                <w:sz w:val="18"/>
                <w:szCs w:val="18"/>
              </w:rPr>
            </w:pPr>
            <w:r>
              <w:rPr>
                <w:rFonts w:hint="eastAsia" w:ascii="宋体" w:hAnsi="宋体" w:cs="宋体"/>
                <w:spacing w:val="-2"/>
                <w:sz w:val="18"/>
                <w:szCs w:val="18"/>
              </w:rPr>
              <w:t>具备条件时推荐</w:t>
            </w:r>
          </w:p>
        </w:tc>
        <w:tc>
          <w:tcPr>
            <w:tcW w:w="1136" w:type="pct"/>
            <w:vAlign w:val="center"/>
          </w:tcPr>
          <w:p w14:paraId="13E932BB">
            <w:pPr>
              <w:widowControl/>
              <w:kinsoku w:val="0"/>
              <w:autoSpaceDE w:val="0"/>
              <w:autoSpaceDN w:val="0"/>
              <w:snapToGrid w:val="0"/>
              <w:spacing w:before="103" w:line="221" w:lineRule="auto"/>
              <w:jc w:val="center"/>
              <w:textAlignment w:val="baseline"/>
              <w:rPr>
                <w:rFonts w:ascii="宋体" w:hAnsi="宋体" w:cs="宋体"/>
                <w:sz w:val="18"/>
                <w:szCs w:val="18"/>
              </w:rPr>
            </w:pPr>
            <w:r>
              <w:rPr>
                <w:rFonts w:ascii="宋体" w:hAnsi="宋体" w:cs="宋体"/>
                <w:spacing w:val="-2"/>
                <w:sz w:val="18"/>
                <w:szCs w:val="18"/>
              </w:rPr>
              <w:t>试验方法及技术要求</w:t>
            </w:r>
          </w:p>
        </w:tc>
      </w:tr>
      <w:tr w14:paraId="1CDBAF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263" w:type="pct"/>
            <w:vAlign w:val="center"/>
          </w:tcPr>
          <w:p w14:paraId="7E85369B">
            <w:pPr>
              <w:widowControl/>
              <w:kinsoku w:val="0"/>
              <w:autoSpaceDE w:val="0"/>
              <w:autoSpaceDN w:val="0"/>
              <w:snapToGrid w:val="0"/>
              <w:spacing w:before="137" w:line="184" w:lineRule="auto"/>
              <w:jc w:val="center"/>
              <w:textAlignment w:val="baseline"/>
              <w:rPr>
                <w:rFonts w:ascii="宋体" w:hAnsi="宋体" w:cs="宋体"/>
                <w:sz w:val="18"/>
                <w:szCs w:val="18"/>
              </w:rPr>
            </w:pPr>
            <w:r>
              <w:rPr>
                <w:rFonts w:ascii="宋体" w:hAnsi="宋体" w:cs="宋体"/>
                <w:spacing w:val="-6"/>
                <w:sz w:val="18"/>
                <w:szCs w:val="18"/>
              </w:rPr>
              <w:t>1</w:t>
            </w:r>
          </w:p>
        </w:tc>
        <w:tc>
          <w:tcPr>
            <w:tcW w:w="764" w:type="pct"/>
            <w:vMerge w:val="restart"/>
            <w:vAlign w:val="center"/>
          </w:tcPr>
          <w:p w14:paraId="733A58A9">
            <w:pPr>
              <w:widowControl/>
              <w:kinsoku w:val="0"/>
              <w:autoSpaceDE w:val="0"/>
              <w:autoSpaceDN w:val="0"/>
              <w:snapToGrid w:val="0"/>
              <w:spacing w:before="93" w:line="221" w:lineRule="auto"/>
              <w:jc w:val="center"/>
              <w:textAlignment w:val="baseline"/>
              <w:rPr>
                <w:rFonts w:ascii="宋体" w:hAnsi="宋体" w:cs="宋体"/>
                <w:spacing w:val="-2"/>
                <w:sz w:val="18"/>
                <w:szCs w:val="18"/>
              </w:rPr>
            </w:pPr>
            <w:r>
              <w:rPr>
                <w:rFonts w:hint="eastAsia" w:ascii="宋体" w:hAnsi="宋体" w:cs="宋体"/>
                <w:spacing w:val="-2"/>
                <w:sz w:val="18"/>
                <w:szCs w:val="18"/>
              </w:rPr>
              <w:t>带电试验</w:t>
            </w:r>
          </w:p>
        </w:tc>
        <w:tc>
          <w:tcPr>
            <w:tcW w:w="1928" w:type="pct"/>
            <w:vAlign w:val="center"/>
          </w:tcPr>
          <w:p w14:paraId="3EE94EA1">
            <w:pPr>
              <w:widowControl/>
              <w:kinsoku w:val="0"/>
              <w:autoSpaceDE w:val="0"/>
              <w:autoSpaceDN w:val="0"/>
              <w:snapToGrid w:val="0"/>
              <w:spacing w:before="93" w:line="221" w:lineRule="auto"/>
              <w:jc w:val="center"/>
              <w:textAlignment w:val="baseline"/>
              <w:rPr>
                <w:rFonts w:ascii="宋体" w:hAnsi="宋体" w:cs="宋体"/>
                <w:sz w:val="18"/>
                <w:szCs w:val="18"/>
              </w:rPr>
            </w:pPr>
            <w:r>
              <w:rPr>
                <w:rFonts w:ascii="宋体" w:hAnsi="宋体" w:cs="宋体"/>
                <w:spacing w:val="-2"/>
                <w:sz w:val="18"/>
                <w:szCs w:val="18"/>
              </w:rPr>
              <w:t>初通电试验</w:t>
            </w:r>
          </w:p>
        </w:tc>
        <w:tc>
          <w:tcPr>
            <w:tcW w:w="454" w:type="pct"/>
            <w:vAlign w:val="center"/>
          </w:tcPr>
          <w:p w14:paraId="0997F8A5">
            <w:pPr>
              <w:widowControl/>
              <w:kinsoku w:val="0"/>
              <w:autoSpaceDE w:val="0"/>
              <w:autoSpaceDN w:val="0"/>
              <w:snapToGrid w:val="0"/>
              <w:spacing w:before="138" w:line="183" w:lineRule="auto"/>
              <w:jc w:val="center"/>
              <w:textAlignment w:val="baseline"/>
              <w:rPr>
                <w:rFonts w:ascii="宋体" w:hAnsi="宋体" w:cs="宋体"/>
                <w:spacing w:val="-2"/>
                <w:sz w:val="18"/>
                <w:szCs w:val="18"/>
              </w:rPr>
            </w:pPr>
            <w:r>
              <w:rPr>
                <w:rFonts w:hint="eastAsia" w:ascii="宋体" w:hAnsi="宋体" w:cs="宋体"/>
                <w:spacing w:val="-2"/>
                <w:sz w:val="18"/>
                <w:szCs w:val="18"/>
              </w:rPr>
              <w:t>√</w:t>
            </w:r>
          </w:p>
        </w:tc>
        <w:tc>
          <w:tcPr>
            <w:tcW w:w="454" w:type="pct"/>
          </w:tcPr>
          <w:p w14:paraId="398881D0">
            <w:pPr>
              <w:widowControl/>
              <w:kinsoku w:val="0"/>
              <w:autoSpaceDE w:val="0"/>
              <w:autoSpaceDN w:val="0"/>
              <w:snapToGrid w:val="0"/>
              <w:spacing w:before="138" w:line="183" w:lineRule="auto"/>
              <w:jc w:val="center"/>
              <w:textAlignment w:val="baseline"/>
              <w:rPr>
                <w:rFonts w:ascii="宋体" w:hAnsi="宋体" w:cs="宋体"/>
                <w:sz w:val="18"/>
                <w:szCs w:val="18"/>
              </w:rPr>
            </w:pPr>
          </w:p>
        </w:tc>
        <w:tc>
          <w:tcPr>
            <w:tcW w:w="1136" w:type="pct"/>
            <w:vAlign w:val="center"/>
          </w:tcPr>
          <w:p w14:paraId="77BC371B">
            <w:pPr>
              <w:widowControl/>
              <w:kinsoku w:val="0"/>
              <w:autoSpaceDE w:val="0"/>
              <w:autoSpaceDN w:val="0"/>
              <w:snapToGrid w:val="0"/>
              <w:spacing w:before="138" w:line="183" w:lineRule="auto"/>
              <w:jc w:val="center"/>
              <w:textAlignment w:val="baseline"/>
              <w:rPr>
                <w:rFonts w:ascii="宋体" w:hAnsi="宋体" w:cs="宋体"/>
                <w:sz w:val="18"/>
                <w:szCs w:val="18"/>
              </w:rPr>
            </w:pPr>
            <w:r>
              <w:rPr>
                <w:rFonts w:hint="eastAsia" w:ascii="宋体" w:hAnsi="宋体" w:cs="宋体"/>
                <w:sz w:val="18"/>
                <w:szCs w:val="18"/>
              </w:rPr>
              <w:t>6</w:t>
            </w:r>
            <w:r>
              <w:rPr>
                <w:rFonts w:ascii="宋体" w:hAnsi="宋体" w:cs="宋体"/>
                <w:sz w:val="18"/>
                <w:szCs w:val="18"/>
              </w:rPr>
              <w:t>.1.2</w:t>
            </w:r>
          </w:p>
        </w:tc>
      </w:tr>
      <w:tr w14:paraId="4C7E58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263" w:type="pct"/>
            <w:vAlign w:val="center"/>
          </w:tcPr>
          <w:p w14:paraId="6A794C88">
            <w:pPr>
              <w:widowControl/>
              <w:kinsoku w:val="0"/>
              <w:autoSpaceDE w:val="0"/>
              <w:autoSpaceDN w:val="0"/>
              <w:snapToGrid w:val="0"/>
              <w:spacing w:before="138" w:line="184" w:lineRule="auto"/>
              <w:jc w:val="center"/>
              <w:textAlignment w:val="baseline"/>
              <w:rPr>
                <w:rFonts w:ascii="宋体" w:hAnsi="宋体" w:cs="宋体"/>
                <w:sz w:val="18"/>
                <w:szCs w:val="18"/>
              </w:rPr>
            </w:pPr>
            <w:r>
              <w:rPr>
                <w:rFonts w:ascii="宋体" w:hAnsi="宋体" w:cs="宋体"/>
                <w:spacing w:val="-6"/>
                <w:sz w:val="18"/>
                <w:szCs w:val="18"/>
              </w:rPr>
              <w:t>2</w:t>
            </w:r>
          </w:p>
        </w:tc>
        <w:tc>
          <w:tcPr>
            <w:tcW w:w="764" w:type="pct"/>
            <w:vMerge w:val="continue"/>
            <w:vAlign w:val="center"/>
          </w:tcPr>
          <w:p w14:paraId="68DAC551">
            <w:pPr>
              <w:widowControl/>
              <w:kinsoku w:val="0"/>
              <w:autoSpaceDE w:val="0"/>
              <w:autoSpaceDN w:val="0"/>
              <w:snapToGrid w:val="0"/>
              <w:spacing w:before="93" w:line="220" w:lineRule="auto"/>
              <w:jc w:val="center"/>
              <w:textAlignment w:val="baseline"/>
              <w:rPr>
                <w:rFonts w:ascii="宋体" w:hAnsi="宋体" w:cs="宋体"/>
                <w:sz w:val="18"/>
                <w:szCs w:val="18"/>
              </w:rPr>
            </w:pPr>
          </w:p>
        </w:tc>
        <w:tc>
          <w:tcPr>
            <w:tcW w:w="1928" w:type="pct"/>
            <w:vAlign w:val="center"/>
          </w:tcPr>
          <w:p w14:paraId="3D9C4682">
            <w:pPr>
              <w:widowControl/>
              <w:kinsoku w:val="0"/>
              <w:autoSpaceDE w:val="0"/>
              <w:autoSpaceDN w:val="0"/>
              <w:snapToGrid w:val="0"/>
              <w:spacing w:before="93" w:line="220" w:lineRule="auto"/>
              <w:jc w:val="center"/>
              <w:textAlignment w:val="baseline"/>
              <w:rPr>
                <w:rFonts w:ascii="宋体" w:hAnsi="宋体" w:cs="宋体"/>
                <w:sz w:val="18"/>
                <w:szCs w:val="18"/>
              </w:rPr>
            </w:pPr>
            <w:r>
              <w:rPr>
                <w:rFonts w:hint="eastAsia"/>
                <w:sz w:val="18"/>
                <w:szCs w:val="18"/>
              </w:rPr>
              <w:t>紧急停止试验</w:t>
            </w:r>
          </w:p>
        </w:tc>
        <w:tc>
          <w:tcPr>
            <w:tcW w:w="454" w:type="pct"/>
            <w:vAlign w:val="center"/>
          </w:tcPr>
          <w:p w14:paraId="5763F250">
            <w:pPr>
              <w:widowControl/>
              <w:kinsoku w:val="0"/>
              <w:autoSpaceDE w:val="0"/>
              <w:autoSpaceDN w:val="0"/>
              <w:snapToGrid w:val="0"/>
              <w:spacing w:before="138" w:line="183" w:lineRule="auto"/>
              <w:jc w:val="center"/>
              <w:textAlignment w:val="baseline"/>
              <w:rPr>
                <w:rFonts w:ascii="宋体" w:hAnsi="宋体" w:cs="宋体"/>
                <w:spacing w:val="-2"/>
                <w:sz w:val="18"/>
                <w:szCs w:val="18"/>
              </w:rPr>
            </w:pPr>
            <w:r>
              <w:rPr>
                <w:rFonts w:hint="eastAsia" w:ascii="宋体" w:hAnsi="宋体" w:cs="宋体"/>
                <w:spacing w:val="-2"/>
                <w:sz w:val="18"/>
                <w:szCs w:val="18"/>
              </w:rPr>
              <w:t>√</w:t>
            </w:r>
          </w:p>
        </w:tc>
        <w:tc>
          <w:tcPr>
            <w:tcW w:w="454" w:type="pct"/>
          </w:tcPr>
          <w:p w14:paraId="5B897E91">
            <w:pPr>
              <w:widowControl/>
              <w:kinsoku w:val="0"/>
              <w:autoSpaceDE w:val="0"/>
              <w:autoSpaceDN w:val="0"/>
              <w:snapToGrid w:val="0"/>
              <w:spacing w:before="138" w:line="183" w:lineRule="auto"/>
              <w:jc w:val="center"/>
              <w:textAlignment w:val="baseline"/>
              <w:rPr>
                <w:rFonts w:ascii="宋体" w:hAnsi="宋体" w:cs="宋体"/>
                <w:sz w:val="18"/>
                <w:szCs w:val="18"/>
              </w:rPr>
            </w:pPr>
          </w:p>
        </w:tc>
        <w:tc>
          <w:tcPr>
            <w:tcW w:w="1136" w:type="pct"/>
            <w:vAlign w:val="center"/>
          </w:tcPr>
          <w:p w14:paraId="3D7236F9">
            <w:pPr>
              <w:widowControl/>
              <w:kinsoku w:val="0"/>
              <w:autoSpaceDE w:val="0"/>
              <w:autoSpaceDN w:val="0"/>
              <w:snapToGrid w:val="0"/>
              <w:spacing w:before="138" w:line="183" w:lineRule="auto"/>
              <w:jc w:val="center"/>
              <w:textAlignment w:val="baseline"/>
              <w:rPr>
                <w:rFonts w:ascii="宋体" w:hAnsi="宋体" w:cs="宋体"/>
                <w:sz w:val="18"/>
                <w:szCs w:val="18"/>
              </w:rPr>
            </w:pPr>
            <w:r>
              <w:rPr>
                <w:rFonts w:hint="eastAsia" w:ascii="宋体" w:hAnsi="宋体" w:cs="宋体"/>
                <w:sz w:val="18"/>
                <w:szCs w:val="18"/>
              </w:rPr>
              <w:t>6</w:t>
            </w:r>
            <w:r>
              <w:rPr>
                <w:rFonts w:ascii="宋体" w:hAnsi="宋体" w:cs="宋体"/>
                <w:sz w:val="18"/>
                <w:szCs w:val="18"/>
              </w:rPr>
              <w:t>.1.3</w:t>
            </w:r>
          </w:p>
        </w:tc>
      </w:tr>
      <w:tr w14:paraId="2C20AB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7" w:hRule="atLeast"/>
        </w:trPr>
        <w:tc>
          <w:tcPr>
            <w:tcW w:w="263" w:type="pct"/>
            <w:vAlign w:val="center"/>
          </w:tcPr>
          <w:p w14:paraId="4E375C2E">
            <w:pPr>
              <w:widowControl/>
              <w:kinsoku w:val="0"/>
              <w:autoSpaceDE w:val="0"/>
              <w:autoSpaceDN w:val="0"/>
              <w:snapToGrid w:val="0"/>
              <w:spacing w:before="138" w:line="184" w:lineRule="auto"/>
              <w:jc w:val="center"/>
              <w:textAlignment w:val="baseline"/>
              <w:rPr>
                <w:rFonts w:ascii="宋体" w:hAnsi="宋体" w:cs="宋体"/>
                <w:sz w:val="18"/>
                <w:szCs w:val="18"/>
              </w:rPr>
            </w:pPr>
            <w:r>
              <w:rPr>
                <w:rFonts w:ascii="宋体" w:hAnsi="宋体" w:cs="宋体"/>
                <w:spacing w:val="-6"/>
                <w:sz w:val="18"/>
                <w:szCs w:val="18"/>
              </w:rPr>
              <w:t>3</w:t>
            </w:r>
          </w:p>
        </w:tc>
        <w:tc>
          <w:tcPr>
            <w:tcW w:w="764" w:type="pct"/>
            <w:vMerge w:val="continue"/>
            <w:vAlign w:val="center"/>
          </w:tcPr>
          <w:p w14:paraId="117F23F6">
            <w:pPr>
              <w:widowControl/>
              <w:kinsoku w:val="0"/>
              <w:autoSpaceDE w:val="0"/>
              <w:autoSpaceDN w:val="0"/>
              <w:snapToGrid w:val="0"/>
              <w:spacing w:before="93" w:line="220" w:lineRule="auto"/>
              <w:jc w:val="center"/>
              <w:textAlignment w:val="baseline"/>
              <w:rPr>
                <w:rFonts w:ascii="宋体" w:hAnsi="宋体" w:cs="宋体"/>
                <w:spacing w:val="-2"/>
                <w:sz w:val="18"/>
                <w:szCs w:val="18"/>
              </w:rPr>
            </w:pPr>
          </w:p>
        </w:tc>
        <w:tc>
          <w:tcPr>
            <w:tcW w:w="1928" w:type="pct"/>
            <w:vAlign w:val="center"/>
          </w:tcPr>
          <w:p w14:paraId="054F08AD">
            <w:pPr>
              <w:widowControl/>
              <w:kinsoku w:val="0"/>
              <w:autoSpaceDE w:val="0"/>
              <w:autoSpaceDN w:val="0"/>
              <w:snapToGrid w:val="0"/>
              <w:spacing w:before="93" w:line="220" w:lineRule="auto"/>
              <w:jc w:val="center"/>
              <w:textAlignment w:val="baseline"/>
              <w:rPr>
                <w:rFonts w:ascii="宋体" w:hAnsi="宋体" w:cs="宋体"/>
                <w:sz w:val="18"/>
                <w:szCs w:val="18"/>
              </w:rPr>
            </w:pPr>
            <w:r>
              <w:rPr>
                <w:rFonts w:ascii="宋体" w:hAnsi="宋体" w:cs="宋体"/>
                <w:spacing w:val="-2"/>
                <w:sz w:val="18"/>
                <w:szCs w:val="18"/>
              </w:rPr>
              <w:t>启停试验</w:t>
            </w:r>
          </w:p>
        </w:tc>
        <w:tc>
          <w:tcPr>
            <w:tcW w:w="454" w:type="pct"/>
            <w:vAlign w:val="center"/>
          </w:tcPr>
          <w:p w14:paraId="47CE653B">
            <w:pPr>
              <w:widowControl/>
              <w:kinsoku w:val="0"/>
              <w:autoSpaceDE w:val="0"/>
              <w:autoSpaceDN w:val="0"/>
              <w:snapToGrid w:val="0"/>
              <w:spacing w:before="139" w:line="183" w:lineRule="auto"/>
              <w:jc w:val="center"/>
              <w:textAlignment w:val="baseline"/>
              <w:rPr>
                <w:rFonts w:ascii="宋体" w:hAnsi="宋体" w:cs="宋体"/>
                <w:spacing w:val="-2"/>
                <w:sz w:val="18"/>
                <w:szCs w:val="18"/>
              </w:rPr>
            </w:pPr>
            <w:r>
              <w:rPr>
                <w:rFonts w:hint="eastAsia" w:ascii="宋体" w:hAnsi="宋体" w:cs="宋体"/>
                <w:spacing w:val="-2"/>
                <w:sz w:val="18"/>
                <w:szCs w:val="18"/>
              </w:rPr>
              <w:t>√</w:t>
            </w:r>
          </w:p>
        </w:tc>
        <w:tc>
          <w:tcPr>
            <w:tcW w:w="454" w:type="pct"/>
          </w:tcPr>
          <w:p w14:paraId="39B3D041">
            <w:pPr>
              <w:widowControl/>
              <w:kinsoku w:val="0"/>
              <w:autoSpaceDE w:val="0"/>
              <w:autoSpaceDN w:val="0"/>
              <w:snapToGrid w:val="0"/>
              <w:spacing w:before="139" w:line="183" w:lineRule="auto"/>
              <w:jc w:val="center"/>
              <w:textAlignment w:val="baseline"/>
              <w:rPr>
                <w:rFonts w:ascii="宋体" w:hAnsi="宋体" w:cs="宋体"/>
                <w:sz w:val="18"/>
                <w:szCs w:val="18"/>
              </w:rPr>
            </w:pPr>
          </w:p>
        </w:tc>
        <w:tc>
          <w:tcPr>
            <w:tcW w:w="1136" w:type="pct"/>
            <w:vAlign w:val="center"/>
          </w:tcPr>
          <w:p w14:paraId="2A50A9DF">
            <w:pPr>
              <w:widowControl/>
              <w:kinsoku w:val="0"/>
              <w:autoSpaceDE w:val="0"/>
              <w:autoSpaceDN w:val="0"/>
              <w:snapToGrid w:val="0"/>
              <w:spacing w:before="139" w:line="183" w:lineRule="auto"/>
              <w:jc w:val="center"/>
              <w:textAlignment w:val="baseline"/>
              <w:rPr>
                <w:rFonts w:ascii="宋体" w:hAnsi="宋体" w:cs="宋体"/>
                <w:sz w:val="18"/>
                <w:szCs w:val="18"/>
              </w:rPr>
            </w:pPr>
            <w:r>
              <w:rPr>
                <w:rFonts w:hint="eastAsia" w:ascii="宋体" w:hAnsi="宋体" w:cs="宋体"/>
                <w:sz w:val="18"/>
                <w:szCs w:val="18"/>
              </w:rPr>
              <w:t>6</w:t>
            </w:r>
            <w:r>
              <w:rPr>
                <w:rFonts w:ascii="宋体" w:hAnsi="宋体" w:cs="宋体"/>
                <w:sz w:val="18"/>
                <w:szCs w:val="18"/>
              </w:rPr>
              <w:t>.1.4</w:t>
            </w:r>
          </w:p>
        </w:tc>
      </w:tr>
      <w:tr w14:paraId="38E006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7" w:hRule="atLeast"/>
        </w:trPr>
        <w:tc>
          <w:tcPr>
            <w:tcW w:w="263" w:type="pct"/>
            <w:vAlign w:val="center"/>
          </w:tcPr>
          <w:p w14:paraId="16FA8FB3">
            <w:pPr>
              <w:widowControl/>
              <w:kinsoku w:val="0"/>
              <w:autoSpaceDE w:val="0"/>
              <w:autoSpaceDN w:val="0"/>
              <w:snapToGrid w:val="0"/>
              <w:spacing w:before="137" w:line="184" w:lineRule="auto"/>
              <w:jc w:val="center"/>
              <w:textAlignment w:val="baseline"/>
              <w:rPr>
                <w:rFonts w:ascii="宋体" w:hAnsi="宋体" w:cs="宋体"/>
                <w:sz w:val="18"/>
                <w:szCs w:val="18"/>
              </w:rPr>
            </w:pPr>
            <w:r>
              <w:rPr>
                <w:rFonts w:hint="eastAsia" w:ascii="宋体" w:hAnsi="宋体" w:cs="宋体"/>
                <w:spacing w:val="-6"/>
                <w:sz w:val="18"/>
                <w:szCs w:val="18"/>
              </w:rPr>
              <w:t>4</w:t>
            </w:r>
          </w:p>
        </w:tc>
        <w:tc>
          <w:tcPr>
            <w:tcW w:w="764" w:type="pct"/>
            <w:vMerge w:val="continue"/>
            <w:vAlign w:val="center"/>
          </w:tcPr>
          <w:p w14:paraId="21C61B60">
            <w:pPr>
              <w:widowControl/>
              <w:kinsoku w:val="0"/>
              <w:autoSpaceDE w:val="0"/>
              <w:autoSpaceDN w:val="0"/>
              <w:snapToGrid w:val="0"/>
              <w:spacing w:before="93" w:line="220" w:lineRule="auto"/>
              <w:jc w:val="center"/>
              <w:textAlignment w:val="baseline"/>
              <w:rPr>
                <w:rFonts w:ascii="宋体" w:hAnsi="宋体" w:cs="宋体"/>
                <w:spacing w:val="-2"/>
                <w:sz w:val="18"/>
                <w:szCs w:val="18"/>
              </w:rPr>
            </w:pPr>
          </w:p>
        </w:tc>
        <w:tc>
          <w:tcPr>
            <w:tcW w:w="1928" w:type="pct"/>
            <w:vAlign w:val="center"/>
          </w:tcPr>
          <w:p w14:paraId="4A5ABD7C">
            <w:pPr>
              <w:widowControl/>
              <w:kinsoku w:val="0"/>
              <w:autoSpaceDE w:val="0"/>
              <w:autoSpaceDN w:val="0"/>
              <w:snapToGrid w:val="0"/>
              <w:spacing w:before="94" w:line="219" w:lineRule="auto"/>
              <w:jc w:val="center"/>
              <w:textAlignment w:val="baseline"/>
              <w:rPr>
                <w:rFonts w:ascii="宋体" w:hAnsi="宋体" w:cs="宋体"/>
                <w:spacing w:val="-1"/>
                <w:sz w:val="18"/>
                <w:szCs w:val="18"/>
              </w:rPr>
            </w:pPr>
            <w:r>
              <w:rPr>
                <w:rFonts w:ascii="宋体" w:hAnsi="宋体" w:cs="宋体"/>
                <w:spacing w:val="-2"/>
                <w:sz w:val="18"/>
                <w:szCs w:val="18"/>
              </w:rPr>
              <w:t>备用设备试验</w:t>
            </w:r>
          </w:p>
        </w:tc>
        <w:tc>
          <w:tcPr>
            <w:tcW w:w="454" w:type="pct"/>
            <w:vAlign w:val="center"/>
          </w:tcPr>
          <w:p w14:paraId="55003440">
            <w:pPr>
              <w:widowControl/>
              <w:kinsoku w:val="0"/>
              <w:autoSpaceDE w:val="0"/>
              <w:autoSpaceDN w:val="0"/>
              <w:snapToGrid w:val="0"/>
              <w:spacing w:before="140" w:line="183" w:lineRule="auto"/>
              <w:jc w:val="center"/>
              <w:textAlignment w:val="baseline"/>
              <w:rPr>
                <w:rFonts w:ascii="宋体" w:hAnsi="宋体" w:cs="宋体"/>
                <w:spacing w:val="-2"/>
                <w:sz w:val="18"/>
                <w:szCs w:val="18"/>
              </w:rPr>
            </w:pPr>
          </w:p>
        </w:tc>
        <w:tc>
          <w:tcPr>
            <w:tcW w:w="454" w:type="pct"/>
          </w:tcPr>
          <w:p w14:paraId="43B80022">
            <w:pPr>
              <w:widowControl/>
              <w:kinsoku w:val="0"/>
              <w:autoSpaceDE w:val="0"/>
              <w:autoSpaceDN w:val="0"/>
              <w:snapToGrid w:val="0"/>
              <w:spacing w:before="141" w:line="183" w:lineRule="auto"/>
              <w:jc w:val="center"/>
              <w:textAlignment w:val="baseline"/>
              <w:rPr>
                <w:rFonts w:ascii="宋体" w:hAnsi="宋体" w:cs="宋体"/>
                <w:sz w:val="18"/>
                <w:szCs w:val="18"/>
              </w:rPr>
            </w:pPr>
            <w:r>
              <w:rPr>
                <w:rFonts w:hint="eastAsia" w:ascii="宋体" w:hAnsi="宋体" w:cs="宋体"/>
                <w:spacing w:val="-2"/>
                <w:sz w:val="18"/>
                <w:szCs w:val="18"/>
              </w:rPr>
              <w:t>√</w:t>
            </w:r>
          </w:p>
        </w:tc>
        <w:tc>
          <w:tcPr>
            <w:tcW w:w="1136" w:type="pct"/>
            <w:vAlign w:val="center"/>
          </w:tcPr>
          <w:p w14:paraId="7C76959C">
            <w:pPr>
              <w:widowControl/>
              <w:kinsoku w:val="0"/>
              <w:autoSpaceDE w:val="0"/>
              <w:autoSpaceDN w:val="0"/>
              <w:snapToGrid w:val="0"/>
              <w:spacing w:before="141" w:line="183" w:lineRule="auto"/>
              <w:jc w:val="center"/>
              <w:textAlignment w:val="baseline"/>
              <w:rPr>
                <w:rFonts w:ascii="宋体" w:hAnsi="宋体" w:cs="宋体"/>
                <w:sz w:val="18"/>
                <w:szCs w:val="18"/>
              </w:rPr>
            </w:pPr>
            <w:r>
              <w:rPr>
                <w:rFonts w:hint="eastAsia" w:ascii="宋体" w:hAnsi="宋体" w:cs="宋体"/>
                <w:sz w:val="18"/>
                <w:szCs w:val="18"/>
              </w:rPr>
              <w:t>6</w:t>
            </w:r>
            <w:r>
              <w:rPr>
                <w:rFonts w:ascii="宋体" w:hAnsi="宋体" w:cs="宋体"/>
                <w:sz w:val="18"/>
                <w:szCs w:val="18"/>
              </w:rPr>
              <w:t>.</w:t>
            </w:r>
            <w:r>
              <w:rPr>
                <w:rFonts w:hint="eastAsia" w:ascii="宋体" w:hAnsi="宋体" w:cs="宋体"/>
                <w:sz w:val="18"/>
                <w:szCs w:val="18"/>
              </w:rPr>
              <w:t>1.5</w:t>
            </w:r>
          </w:p>
        </w:tc>
      </w:tr>
      <w:tr w14:paraId="2280A9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263" w:type="pct"/>
            <w:vAlign w:val="center"/>
          </w:tcPr>
          <w:p w14:paraId="0B66F3B1">
            <w:pPr>
              <w:widowControl/>
              <w:kinsoku w:val="0"/>
              <w:autoSpaceDE w:val="0"/>
              <w:autoSpaceDN w:val="0"/>
              <w:snapToGrid w:val="0"/>
              <w:spacing w:before="137" w:line="184" w:lineRule="auto"/>
              <w:jc w:val="center"/>
              <w:textAlignment w:val="baseline"/>
              <w:rPr>
                <w:rFonts w:ascii="宋体" w:hAnsi="宋体" w:cs="宋体"/>
                <w:sz w:val="18"/>
                <w:szCs w:val="18"/>
              </w:rPr>
            </w:pPr>
            <w:r>
              <w:rPr>
                <w:rFonts w:hint="eastAsia" w:ascii="宋体" w:hAnsi="宋体" w:cs="宋体"/>
                <w:spacing w:val="-6"/>
                <w:sz w:val="18"/>
                <w:szCs w:val="18"/>
              </w:rPr>
              <w:t>5</w:t>
            </w:r>
          </w:p>
        </w:tc>
        <w:tc>
          <w:tcPr>
            <w:tcW w:w="764" w:type="pct"/>
            <w:vMerge w:val="restart"/>
            <w:vAlign w:val="center"/>
          </w:tcPr>
          <w:p w14:paraId="73628824">
            <w:pPr>
              <w:widowControl/>
              <w:kinsoku w:val="0"/>
              <w:autoSpaceDE w:val="0"/>
              <w:autoSpaceDN w:val="0"/>
              <w:snapToGrid w:val="0"/>
              <w:spacing w:before="92" w:line="220" w:lineRule="auto"/>
              <w:jc w:val="center"/>
              <w:textAlignment w:val="baseline"/>
              <w:rPr>
                <w:rFonts w:ascii="宋体" w:hAnsi="宋体" w:cs="宋体"/>
                <w:spacing w:val="-1"/>
                <w:sz w:val="18"/>
                <w:szCs w:val="18"/>
              </w:rPr>
            </w:pPr>
            <w:r>
              <w:rPr>
                <w:rFonts w:hint="eastAsia" w:ascii="宋体" w:hAnsi="宋体" w:cs="宋体"/>
                <w:spacing w:val="-1"/>
                <w:sz w:val="18"/>
                <w:szCs w:val="18"/>
              </w:rPr>
              <w:t>性能试验</w:t>
            </w:r>
          </w:p>
        </w:tc>
        <w:tc>
          <w:tcPr>
            <w:tcW w:w="1928" w:type="pct"/>
            <w:vAlign w:val="center"/>
          </w:tcPr>
          <w:p w14:paraId="551F64E4">
            <w:pPr>
              <w:widowControl/>
              <w:kinsoku w:val="0"/>
              <w:autoSpaceDE w:val="0"/>
              <w:autoSpaceDN w:val="0"/>
              <w:snapToGrid w:val="0"/>
              <w:spacing w:before="92" w:line="220" w:lineRule="auto"/>
              <w:jc w:val="center"/>
              <w:textAlignment w:val="baseline"/>
              <w:rPr>
                <w:rFonts w:ascii="宋体" w:hAnsi="宋体" w:cs="宋体"/>
                <w:sz w:val="18"/>
                <w:szCs w:val="18"/>
              </w:rPr>
            </w:pPr>
            <w:r>
              <w:rPr>
                <w:rFonts w:ascii="宋体" w:hAnsi="宋体" w:cs="宋体"/>
                <w:spacing w:val="-1"/>
                <w:sz w:val="18"/>
                <w:szCs w:val="18"/>
              </w:rPr>
              <w:t>连续运行范围试验</w:t>
            </w:r>
          </w:p>
        </w:tc>
        <w:tc>
          <w:tcPr>
            <w:tcW w:w="454" w:type="pct"/>
            <w:vAlign w:val="center"/>
          </w:tcPr>
          <w:p w14:paraId="5E9A131A">
            <w:pPr>
              <w:widowControl/>
              <w:kinsoku w:val="0"/>
              <w:autoSpaceDE w:val="0"/>
              <w:autoSpaceDN w:val="0"/>
              <w:snapToGrid w:val="0"/>
              <w:spacing w:before="138" w:line="183" w:lineRule="auto"/>
              <w:jc w:val="center"/>
              <w:textAlignment w:val="baseline"/>
              <w:rPr>
                <w:rFonts w:ascii="宋体" w:hAnsi="宋体" w:cs="宋体"/>
                <w:spacing w:val="-2"/>
                <w:sz w:val="18"/>
                <w:szCs w:val="18"/>
              </w:rPr>
            </w:pPr>
            <w:r>
              <w:rPr>
                <w:rFonts w:hint="eastAsia" w:ascii="宋体" w:hAnsi="宋体" w:cs="宋体"/>
                <w:spacing w:val="-2"/>
                <w:sz w:val="18"/>
                <w:szCs w:val="18"/>
              </w:rPr>
              <w:t>√</w:t>
            </w:r>
          </w:p>
        </w:tc>
        <w:tc>
          <w:tcPr>
            <w:tcW w:w="454" w:type="pct"/>
          </w:tcPr>
          <w:p w14:paraId="413380A4">
            <w:pPr>
              <w:widowControl/>
              <w:kinsoku w:val="0"/>
              <w:autoSpaceDE w:val="0"/>
              <w:autoSpaceDN w:val="0"/>
              <w:snapToGrid w:val="0"/>
              <w:spacing w:before="138" w:line="183" w:lineRule="auto"/>
              <w:jc w:val="center"/>
              <w:textAlignment w:val="baseline"/>
              <w:rPr>
                <w:rFonts w:ascii="宋体" w:hAnsi="宋体" w:cs="宋体"/>
                <w:sz w:val="18"/>
                <w:szCs w:val="18"/>
              </w:rPr>
            </w:pPr>
          </w:p>
        </w:tc>
        <w:tc>
          <w:tcPr>
            <w:tcW w:w="1136" w:type="pct"/>
            <w:vAlign w:val="center"/>
          </w:tcPr>
          <w:p w14:paraId="43D18C4E">
            <w:pPr>
              <w:widowControl/>
              <w:kinsoku w:val="0"/>
              <w:autoSpaceDE w:val="0"/>
              <w:autoSpaceDN w:val="0"/>
              <w:snapToGrid w:val="0"/>
              <w:spacing w:before="138" w:line="183" w:lineRule="auto"/>
              <w:jc w:val="center"/>
              <w:textAlignment w:val="baseline"/>
              <w:rPr>
                <w:rFonts w:ascii="宋体" w:hAnsi="宋体" w:cs="宋体"/>
                <w:sz w:val="18"/>
                <w:szCs w:val="18"/>
              </w:rPr>
            </w:pPr>
            <w:r>
              <w:rPr>
                <w:rFonts w:hint="eastAsia" w:ascii="宋体" w:hAnsi="宋体" w:cs="宋体"/>
                <w:sz w:val="18"/>
                <w:szCs w:val="18"/>
              </w:rPr>
              <w:t>6</w:t>
            </w:r>
            <w:r>
              <w:rPr>
                <w:rFonts w:ascii="宋体" w:hAnsi="宋体" w:cs="宋体"/>
                <w:sz w:val="18"/>
                <w:szCs w:val="18"/>
              </w:rPr>
              <w:t>.2.</w:t>
            </w:r>
            <w:r>
              <w:rPr>
                <w:rFonts w:hint="eastAsia" w:ascii="宋体" w:hAnsi="宋体" w:cs="宋体"/>
                <w:sz w:val="18"/>
                <w:szCs w:val="18"/>
              </w:rPr>
              <w:t>1</w:t>
            </w:r>
          </w:p>
        </w:tc>
      </w:tr>
      <w:tr w14:paraId="3600B0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263" w:type="pct"/>
            <w:vAlign w:val="center"/>
          </w:tcPr>
          <w:p w14:paraId="07A65FC1">
            <w:pPr>
              <w:widowControl/>
              <w:kinsoku w:val="0"/>
              <w:autoSpaceDE w:val="0"/>
              <w:autoSpaceDN w:val="0"/>
              <w:snapToGrid w:val="0"/>
              <w:spacing w:before="139" w:line="184" w:lineRule="auto"/>
              <w:jc w:val="center"/>
              <w:textAlignment w:val="baseline"/>
              <w:rPr>
                <w:rFonts w:ascii="宋体" w:hAnsi="宋体" w:cs="宋体"/>
                <w:sz w:val="18"/>
                <w:szCs w:val="18"/>
              </w:rPr>
            </w:pPr>
            <w:r>
              <w:rPr>
                <w:rFonts w:hint="eastAsia" w:ascii="宋体" w:hAnsi="宋体" w:cs="宋体"/>
                <w:spacing w:val="-3"/>
                <w:sz w:val="18"/>
                <w:szCs w:val="18"/>
              </w:rPr>
              <w:t>6</w:t>
            </w:r>
          </w:p>
        </w:tc>
        <w:tc>
          <w:tcPr>
            <w:tcW w:w="764" w:type="pct"/>
            <w:vMerge w:val="continue"/>
            <w:vAlign w:val="center"/>
          </w:tcPr>
          <w:p w14:paraId="4531829B">
            <w:pPr>
              <w:widowControl/>
              <w:kinsoku w:val="0"/>
              <w:autoSpaceDE w:val="0"/>
              <w:autoSpaceDN w:val="0"/>
              <w:snapToGrid w:val="0"/>
              <w:spacing w:before="94" w:line="219" w:lineRule="auto"/>
              <w:jc w:val="center"/>
              <w:textAlignment w:val="baseline"/>
              <w:rPr>
                <w:rFonts w:ascii="宋体" w:hAnsi="宋体" w:cs="宋体"/>
                <w:spacing w:val="-2"/>
                <w:sz w:val="18"/>
                <w:szCs w:val="18"/>
              </w:rPr>
            </w:pPr>
          </w:p>
        </w:tc>
        <w:tc>
          <w:tcPr>
            <w:tcW w:w="1928" w:type="pct"/>
            <w:vAlign w:val="center"/>
          </w:tcPr>
          <w:p w14:paraId="70EA0B27">
            <w:pPr>
              <w:widowControl/>
              <w:kinsoku w:val="0"/>
              <w:autoSpaceDE w:val="0"/>
              <w:autoSpaceDN w:val="0"/>
              <w:snapToGrid w:val="0"/>
              <w:spacing w:before="94" w:line="219" w:lineRule="auto"/>
              <w:jc w:val="center"/>
              <w:textAlignment w:val="baseline"/>
              <w:rPr>
                <w:rFonts w:ascii="宋体" w:hAnsi="宋体" w:cs="宋体"/>
                <w:sz w:val="18"/>
                <w:szCs w:val="18"/>
              </w:rPr>
            </w:pPr>
            <w:r>
              <w:rPr>
                <w:rFonts w:ascii="宋体" w:hAnsi="宋体" w:cs="宋体"/>
                <w:spacing w:val="-2"/>
                <w:sz w:val="18"/>
                <w:szCs w:val="18"/>
              </w:rPr>
              <w:t>动态特性试验</w:t>
            </w:r>
          </w:p>
        </w:tc>
        <w:tc>
          <w:tcPr>
            <w:tcW w:w="454" w:type="pct"/>
            <w:vAlign w:val="center"/>
          </w:tcPr>
          <w:p w14:paraId="77FE6A11">
            <w:pPr>
              <w:widowControl/>
              <w:kinsoku w:val="0"/>
              <w:autoSpaceDE w:val="0"/>
              <w:autoSpaceDN w:val="0"/>
              <w:snapToGrid w:val="0"/>
              <w:spacing w:before="140" w:line="183" w:lineRule="auto"/>
              <w:jc w:val="center"/>
              <w:textAlignment w:val="baseline"/>
              <w:rPr>
                <w:rFonts w:ascii="宋体" w:hAnsi="宋体" w:cs="宋体"/>
                <w:spacing w:val="-2"/>
                <w:sz w:val="18"/>
                <w:szCs w:val="18"/>
              </w:rPr>
            </w:pPr>
            <w:r>
              <w:rPr>
                <w:rFonts w:hint="eastAsia" w:ascii="宋体" w:hAnsi="宋体" w:cs="宋体"/>
                <w:spacing w:val="-2"/>
                <w:sz w:val="18"/>
                <w:szCs w:val="18"/>
              </w:rPr>
              <w:t>√</w:t>
            </w:r>
          </w:p>
        </w:tc>
        <w:tc>
          <w:tcPr>
            <w:tcW w:w="454" w:type="pct"/>
          </w:tcPr>
          <w:p w14:paraId="70050F87">
            <w:pPr>
              <w:widowControl/>
              <w:kinsoku w:val="0"/>
              <w:autoSpaceDE w:val="0"/>
              <w:autoSpaceDN w:val="0"/>
              <w:snapToGrid w:val="0"/>
              <w:spacing w:before="140" w:line="183" w:lineRule="auto"/>
              <w:jc w:val="center"/>
              <w:textAlignment w:val="baseline"/>
              <w:rPr>
                <w:rFonts w:ascii="宋体" w:hAnsi="宋体" w:cs="宋体"/>
                <w:sz w:val="18"/>
                <w:szCs w:val="18"/>
              </w:rPr>
            </w:pPr>
          </w:p>
        </w:tc>
        <w:tc>
          <w:tcPr>
            <w:tcW w:w="1136" w:type="pct"/>
            <w:vAlign w:val="center"/>
          </w:tcPr>
          <w:p w14:paraId="4B0C8975">
            <w:pPr>
              <w:widowControl/>
              <w:kinsoku w:val="0"/>
              <w:autoSpaceDE w:val="0"/>
              <w:autoSpaceDN w:val="0"/>
              <w:snapToGrid w:val="0"/>
              <w:spacing w:before="140" w:line="183" w:lineRule="auto"/>
              <w:jc w:val="center"/>
              <w:textAlignment w:val="baseline"/>
              <w:rPr>
                <w:rFonts w:ascii="宋体" w:hAnsi="宋体" w:cs="宋体"/>
                <w:sz w:val="18"/>
                <w:szCs w:val="18"/>
              </w:rPr>
            </w:pPr>
            <w:r>
              <w:rPr>
                <w:rFonts w:hint="eastAsia" w:ascii="宋体" w:hAnsi="宋体" w:cs="宋体"/>
                <w:sz w:val="18"/>
                <w:szCs w:val="18"/>
              </w:rPr>
              <w:t>6</w:t>
            </w:r>
            <w:r>
              <w:rPr>
                <w:rFonts w:ascii="宋体" w:hAnsi="宋体" w:cs="宋体"/>
                <w:sz w:val="18"/>
                <w:szCs w:val="18"/>
              </w:rPr>
              <w:t>.2.</w:t>
            </w:r>
            <w:r>
              <w:rPr>
                <w:rFonts w:hint="eastAsia" w:ascii="宋体" w:hAnsi="宋体" w:cs="宋体"/>
                <w:sz w:val="18"/>
                <w:szCs w:val="18"/>
              </w:rPr>
              <w:t>2</w:t>
            </w:r>
          </w:p>
        </w:tc>
      </w:tr>
      <w:tr w14:paraId="0FACA0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263" w:type="pct"/>
            <w:vAlign w:val="center"/>
          </w:tcPr>
          <w:p w14:paraId="3603AD21">
            <w:pPr>
              <w:widowControl/>
              <w:kinsoku w:val="0"/>
              <w:autoSpaceDE w:val="0"/>
              <w:autoSpaceDN w:val="0"/>
              <w:snapToGrid w:val="0"/>
              <w:spacing w:before="140" w:line="183" w:lineRule="auto"/>
              <w:jc w:val="center"/>
              <w:textAlignment w:val="baseline"/>
              <w:rPr>
                <w:rFonts w:ascii="宋体" w:hAnsi="宋体" w:cs="宋体"/>
                <w:spacing w:val="-3"/>
                <w:sz w:val="18"/>
                <w:szCs w:val="18"/>
              </w:rPr>
            </w:pPr>
            <w:r>
              <w:rPr>
                <w:rFonts w:hint="eastAsia" w:ascii="宋体" w:hAnsi="宋体" w:cs="宋体"/>
                <w:spacing w:val="-3"/>
                <w:sz w:val="18"/>
                <w:szCs w:val="18"/>
              </w:rPr>
              <w:t>7</w:t>
            </w:r>
          </w:p>
        </w:tc>
        <w:tc>
          <w:tcPr>
            <w:tcW w:w="764" w:type="pct"/>
            <w:vMerge w:val="continue"/>
            <w:vAlign w:val="center"/>
          </w:tcPr>
          <w:p w14:paraId="3D26A872">
            <w:pPr>
              <w:widowControl/>
              <w:kinsoku w:val="0"/>
              <w:autoSpaceDE w:val="0"/>
              <w:autoSpaceDN w:val="0"/>
              <w:snapToGrid w:val="0"/>
              <w:spacing w:before="94" w:line="219" w:lineRule="auto"/>
              <w:jc w:val="center"/>
              <w:textAlignment w:val="baseline"/>
              <w:rPr>
                <w:rFonts w:ascii="宋体" w:hAnsi="宋体" w:cs="宋体"/>
                <w:spacing w:val="-2"/>
                <w:sz w:val="18"/>
                <w:szCs w:val="18"/>
              </w:rPr>
            </w:pPr>
          </w:p>
        </w:tc>
        <w:tc>
          <w:tcPr>
            <w:tcW w:w="1928" w:type="pct"/>
            <w:vAlign w:val="center"/>
          </w:tcPr>
          <w:p w14:paraId="73BE0748">
            <w:pPr>
              <w:widowControl/>
              <w:kinsoku w:val="0"/>
              <w:autoSpaceDE w:val="0"/>
              <w:autoSpaceDN w:val="0"/>
              <w:snapToGrid w:val="0"/>
              <w:spacing w:before="94" w:line="219" w:lineRule="auto"/>
              <w:jc w:val="center"/>
              <w:textAlignment w:val="baseline"/>
              <w:rPr>
                <w:rFonts w:ascii="宋体" w:hAnsi="宋体" w:cs="宋体"/>
                <w:spacing w:val="-2"/>
                <w:sz w:val="18"/>
                <w:szCs w:val="18"/>
              </w:rPr>
            </w:pPr>
            <w:r>
              <w:rPr>
                <w:rFonts w:hint="eastAsia" w:ascii="宋体" w:hAnsi="宋体" w:cs="宋体"/>
                <w:spacing w:val="-2"/>
                <w:sz w:val="18"/>
                <w:szCs w:val="18"/>
              </w:rPr>
              <w:t>电压斜率试验</w:t>
            </w:r>
          </w:p>
        </w:tc>
        <w:tc>
          <w:tcPr>
            <w:tcW w:w="454" w:type="pct"/>
            <w:vAlign w:val="center"/>
          </w:tcPr>
          <w:p w14:paraId="38F545DF">
            <w:pPr>
              <w:widowControl/>
              <w:kinsoku w:val="0"/>
              <w:autoSpaceDE w:val="0"/>
              <w:autoSpaceDN w:val="0"/>
              <w:snapToGrid w:val="0"/>
              <w:spacing w:before="140" w:line="183" w:lineRule="auto"/>
              <w:jc w:val="center"/>
              <w:textAlignment w:val="baseline"/>
              <w:rPr>
                <w:rFonts w:ascii="宋体" w:hAnsi="宋体" w:cs="宋体"/>
                <w:spacing w:val="-2"/>
                <w:sz w:val="18"/>
                <w:szCs w:val="18"/>
              </w:rPr>
            </w:pPr>
            <w:r>
              <w:rPr>
                <w:rFonts w:hint="eastAsia" w:ascii="宋体" w:hAnsi="宋体" w:cs="宋体"/>
                <w:spacing w:val="-2"/>
                <w:sz w:val="18"/>
                <w:szCs w:val="18"/>
              </w:rPr>
              <w:t>√</w:t>
            </w:r>
          </w:p>
        </w:tc>
        <w:tc>
          <w:tcPr>
            <w:tcW w:w="454" w:type="pct"/>
          </w:tcPr>
          <w:p w14:paraId="5733D5A9">
            <w:pPr>
              <w:widowControl/>
              <w:kinsoku w:val="0"/>
              <w:autoSpaceDE w:val="0"/>
              <w:autoSpaceDN w:val="0"/>
              <w:snapToGrid w:val="0"/>
              <w:spacing w:before="140" w:line="183" w:lineRule="auto"/>
              <w:jc w:val="center"/>
              <w:textAlignment w:val="baseline"/>
              <w:rPr>
                <w:rFonts w:ascii="宋体" w:hAnsi="宋体" w:cs="宋体"/>
                <w:spacing w:val="-2"/>
                <w:sz w:val="18"/>
                <w:szCs w:val="18"/>
              </w:rPr>
            </w:pPr>
          </w:p>
        </w:tc>
        <w:tc>
          <w:tcPr>
            <w:tcW w:w="1136" w:type="pct"/>
            <w:vAlign w:val="center"/>
          </w:tcPr>
          <w:p w14:paraId="24D25023">
            <w:pPr>
              <w:widowControl/>
              <w:kinsoku w:val="0"/>
              <w:autoSpaceDE w:val="0"/>
              <w:autoSpaceDN w:val="0"/>
              <w:snapToGrid w:val="0"/>
              <w:spacing w:before="140" w:line="183" w:lineRule="auto"/>
              <w:jc w:val="center"/>
              <w:textAlignment w:val="baseline"/>
              <w:rPr>
                <w:rFonts w:ascii="宋体" w:hAnsi="宋体" w:cs="宋体"/>
                <w:spacing w:val="-2"/>
                <w:sz w:val="18"/>
                <w:szCs w:val="18"/>
              </w:rPr>
            </w:pPr>
            <w:r>
              <w:rPr>
                <w:rFonts w:hint="eastAsia" w:ascii="宋体" w:hAnsi="宋体" w:cs="宋体"/>
                <w:spacing w:val="-2"/>
                <w:sz w:val="18"/>
                <w:szCs w:val="18"/>
              </w:rPr>
              <w:t>6</w:t>
            </w:r>
            <w:r>
              <w:rPr>
                <w:rFonts w:ascii="宋体" w:hAnsi="宋体" w:cs="宋体"/>
                <w:spacing w:val="-2"/>
                <w:sz w:val="18"/>
                <w:szCs w:val="18"/>
              </w:rPr>
              <w:t>.2.</w:t>
            </w:r>
            <w:r>
              <w:rPr>
                <w:rFonts w:hint="eastAsia" w:ascii="宋体" w:hAnsi="宋体" w:cs="宋体"/>
                <w:spacing w:val="-2"/>
                <w:sz w:val="18"/>
                <w:szCs w:val="18"/>
              </w:rPr>
              <w:t>3</w:t>
            </w:r>
          </w:p>
        </w:tc>
      </w:tr>
      <w:tr w14:paraId="370B2F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263" w:type="pct"/>
            <w:vAlign w:val="center"/>
          </w:tcPr>
          <w:p w14:paraId="489A69A2">
            <w:pPr>
              <w:widowControl/>
              <w:kinsoku w:val="0"/>
              <w:autoSpaceDE w:val="0"/>
              <w:autoSpaceDN w:val="0"/>
              <w:snapToGrid w:val="0"/>
              <w:spacing w:before="140" w:line="183" w:lineRule="auto"/>
              <w:jc w:val="center"/>
              <w:textAlignment w:val="baseline"/>
              <w:rPr>
                <w:rFonts w:ascii="宋体" w:hAnsi="宋体" w:cs="宋体"/>
                <w:spacing w:val="-3"/>
                <w:sz w:val="18"/>
                <w:szCs w:val="18"/>
              </w:rPr>
            </w:pPr>
            <w:r>
              <w:rPr>
                <w:rFonts w:hint="eastAsia" w:ascii="宋体" w:hAnsi="宋体" w:cs="宋体"/>
                <w:spacing w:val="-3"/>
                <w:sz w:val="18"/>
                <w:szCs w:val="18"/>
              </w:rPr>
              <w:t>8</w:t>
            </w:r>
          </w:p>
        </w:tc>
        <w:tc>
          <w:tcPr>
            <w:tcW w:w="764" w:type="pct"/>
            <w:vMerge w:val="continue"/>
            <w:vAlign w:val="center"/>
          </w:tcPr>
          <w:p w14:paraId="100A3F0E">
            <w:pPr>
              <w:widowControl/>
              <w:kinsoku w:val="0"/>
              <w:autoSpaceDE w:val="0"/>
              <w:autoSpaceDN w:val="0"/>
              <w:snapToGrid w:val="0"/>
              <w:spacing w:before="94" w:line="219" w:lineRule="auto"/>
              <w:jc w:val="center"/>
              <w:textAlignment w:val="baseline"/>
              <w:rPr>
                <w:rFonts w:ascii="宋体" w:hAnsi="宋体" w:cs="宋体"/>
                <w:spacing w:val="-1"/>
                <w:sz w:val="18"/>
                <w:szCs w:val="18"/>
              </w:rPr>
            </w:pPr>
          </w:p>
        </w:tc>
        <w:tc>
          <w:tcPr>
            <w:tcW w:w="1928" w:type="pct"/>
            <w:vAlign w:val="center"/>
          </w:tcPr>
          <w:p w14:paraId="7ADD16A0">
            <w:pPr>
              <w:widowControl/>
              <w:kinsoku w:val="0"/>
              <w:autoSpaceDE w:val="0"/>
              <w:autoSpaceDN w:val="0"/>
              <w:snapToGrid w:val="0"/>
              <w:spacing w:before="94" w:line="219" w:lineRule="auto"/>
              <w:jc w:val="center"/>
              <w:textAlignment w:val="baseline"/>
              <w:rPr>
                <w:rFonts w:ascii="宋体" w:hAnsi="宋体" w:cs="宋体"/>
                <w:spacing w:val="-1"/>
                <w:sz w:val="18"/>
                <w:szCs w:val="18"/>
              </w:rPr>
            </w:pPr>
            <w:r>
              <w:rPr>
                <w:rFonts w:hint="eastAsia" w:ascii="宋体" w:hAnsi="宋体" w:cs="宋体"/>
                <w:spacing w:val="-1"/>
                <w:sz w:val="18"/>
                <w:szCs w:val="18"/>
              </w:rPr>
              <w:t>电压小扰动试验</w:t>
            </w:r>
          </w:p>
        </w:tc>
        <w:tc>
          <w:tcPr>
            <w:tcW w:w="454" w:type="pct"/>
            <w:vAlign w:val="center"/>
          </w:tcPr>
          <w:p w14:paraId="6D2E8CEA">
            <w:pPr>
              <w:widowControl/>
              <w:kinsoku w:val="0"/>
              <w:autoSpaceDE w:val="0"/>
              <w:autoSpaceDN w:val="0"/>
              <w:snapToGrid w:val="0"/>
              <w:spacing w:before="140" w:line="183" w:lineRule="auto"/>
              <w:jc w:val="center"/>
              <w:textAlignment w:val="baseline"/>
              <w:rPr>
                <w:rFonts w:ascii="宋体" w:hAnsi="宋体" w:cs="宋体"/>
                <w:spacing w:val="-2"/>
                <w:sz w:val="18"/>
                <w:szCs w:val="18"/>
              </w:rPr>
            </w:pPr>
            <w:r>
              <w:rPr>
                <w:rFonts w:hint="eastAsia" w:ascii="宋体" w:hAnsi="宋体" w:cs="宋体"/>
                <w:spacing w:val="-2"/>
                <w:sz w:val="18"/>
                <w:szCs w:val="18"/>
              </w:rPr>
              <w:t>√</w:t>
            </w:r>
          </w:p>
        </w:tc>
        <w:tc>
          <w:tcPr>
            <w:tcW w:w="454" w:type="pct"/>
          </w:tcPr>
          <w:p w14:paraId="149E0288">
            <w:pPr>
              <w:widowControl/>
              <w:kinsoku w:val="0"/>
              <w:autoSpaceDE w:val="0"/>
              <w:autoSpaceDN w:val="0"/>
              <w:snapToGrid w:val="0"/>
              <w:spacing w:before="140" w:line="183" w:lineRule="auto"/>
              <w:jc w:val="center"/>
              <w:textAlignment w:val="baseline"/>
              <w:rPr>
                <w:rFonts w:ascii="宋体" w:hAnsi="宋体" w:cs="宋体"/>
                <w:sz w:val="18"/>
                <w:szCs w:val="18"/>
              </w:rPr>
            </w:pPr>
          </w:p>
        </w:tc>
        <w:tc>
          <w:tcPr>
            <w:tcW w:w="1136" w:type="pct"/>
            <w:vAlign w:val="center"/>
          </w:tcPr>
          <w:p w14:paraId="6AD10340">
            <w:pPr>
              <w:widowControl/>
              <w:kinsoku w:val="0"/>
              <w:autoSpaceDE w:val="0"/>
              <w:autoSpaceDN w:val="0"/>
              <w:snapToGrid w:val="0"/>
              <w:spacing w:before="140" w:line="183" w:lineRule="auto"/>
              <w:jc w:val="center"/>
              <w:textAlignment w:val="baseline"/>
              <w:rPr>
                <w:rFonts w:ascii="宋体" w:hAnsi="宋体" w:cs="宋体"/>
                <w:sz w:val="18"/>
                <w:szCs w:val="18"/>
              </w:rPr>
            </w:pPr>
            <w:r>
              <w:rPr>
                <w:rFonts w:hint="eastAsia" w:ascii="宋体" w:hAnsi="宋体" w:cs="宋体"/>
                <w:sz w:val="18"/>
                <w:szCs w:val="18"/>
              </w:rPr>
              <w:t>6</w:t>
            </w:r>
            <w:r>
              <w:rPr>
                <w:rFonts w:ascii="宋体" w:hAnsi="宋体" w:cs="宋体"/>
                <w:sz w:val="18"/>
                <w:szCs w:val="18"/>
              </w:rPr>
              <w:t>.2.</w:t>
            </w:r>
            <w:r>
              <w:rPr>
                <w:rFonts w:hint="eastAsia" w:ascii="宋体" w:hAnsi="宋体" w:cs="宋体"/>
                <w:sz w:val="18"/>
                <w:szCs w:val="18"/>
              </w:rPr>
              <w:t>4</w:t>
            </w:r>
          </w:p>
        </w:tc>
      </w:tr>
      <w:tr w14:paraId="06FF83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263" w:type="pct"/>
            <w:vAlign w:val="center"/>
          </w:tcPr>
          <w:p w14:paraId="7FA06AD7">
            <w:pPr>
              <w:widowControl/>
              <w:kinsoku w:val="0"/>
              <w:autoSpaceDE w:val="0"/>
              <w:autoSpaceDN w:val="0"/>
              <w:snapToGrid w:val="0"/>
              <w:spacing w:before="140" w:line="183" w:lineRule="auto"/>
              <w:jc w:val="center"/>
              <w:textAlignment w:val="baseline"/>
              <w:rPr>
                <w:rFonts w:ascii="宋体" w:hAnsi="宋体" w:cs="宋体"/>
                <w:spacing w:val="-3"/>
                <w:sz w:val="18"/>
                <w:szCs w:val="18"/>
              </w:rPr>
            </w:pPr>
            <w:r>
              <w:rPr>
                <w:rFonts w:hint="eastAsia" w:ascii="宋体" w:hAnsi="宋体" w:cs="宋体"/>
                <w:spacing w:val="-3"/>
                <w:sz w:val="18"/>
                <w:szCs w:val="18"/>
              </w:rPr>
              <w:t>9</w:t>
            </w:r>
          </w:p>
        </w:tc>
        <w:tc>
          <w:tcPr>
            <w:tcW w:w="764" w:type="pct"/>
            <w:vMerge w:val="continue"/>
            <w:vAlign w:val="center"/>
          </w:tcPr>
          <w:p w14:paraId="2EA8A1FD">
            <w:pPr>
              <w:widowControl/>
              <w:kinsoku w:val="0"/>
              <w:autoSpaceDE w:val="0"/>
              <w:autoSpaceDN w:val="0"/>
              <w:snapToGrid w:val="0"/>
              <w:spacing w:before="94" w:line="219" w:lineRule="auto"/>
              <w:jc w:val="center"/>
              <w:textAlignment w:val="baseline"/>
              <w:rPr>
                <w:rFonts w:ascii="宋体" w:hAnsi="宋体" w:cs="宋体"/>
                <w:spacing w:val="-1"/>
                <w:sz w:val="18"/>
                <w:szCs w:val="18"/>
              </w:rPr>
            </w:pPr>
          </w:p>
        </w:tc>
        <w:tc>
          <w:tcPr>
            <w:tcW w:w="1928" w:type="pct"/>
            <w:vAlign w:val="center"/>
          </w:tcPr>
          <w:p w14:paraId="5092FD05">
            <w:pPr>
              <w:widowControl/>
              <w:kinsoku w:val="0"/>
              <w:autoSpaceDE w:val="0"/>
              <w:autoSpaceDN w:val="0"/>
              <w:snapToGrid w:val="0"/>
              <w:spacing w:before="94" w:line="219" w:lineRule="auto"/>
              <w:jc w:val="center"/>
              <w:textAlignment w:val="baseline"/>
              <w:rPr>
                <w:rFonts w:ascii="宋体" w:hAnsi="宋体" w:cs="宋体"/>
                <w:spacing w:val="-1"/>
                <w:sz w:val="18"/>
                <w:szCs w:val="18"/>
              </w:rPr>
            </w:pPr>
            <w:r>
              <w:rPr>
                <w:rFonts w:hint="eastAsia" w:ascii="宋体" w:hAnsi="宋体" w:cs="宋体"/>
                <w:spacing w:val="-1"/>
                <w:sz w:val="18"/>
                <w:szCs w:val="18"/>
              </w:rPr>
              <w:t>控制方式间切换能力试验</w:t>
            </w:r>
          </w:p>
        </w:tc>
        <w:tc>
          <w:tcPr>
            <w:tcW w:w="454" w:type="pct"/>
            <w:vAlign w:val="center"/>
          </w:tcPr>
          <w:p w14:paraId="7C6136AA">
            <w:pPr>
              <w:widowControl/>
              <w:kinsoku w:val="0"/>
              <w:autoSpaceDE w:val="0"/>
              <w:autoSpaceDN w:val="0"/>
              <w:snapToGrid w:val="0"/>
              <w:spacing w:before="140" w:line="183" w:lineRule="auto"/>
              <w:jc w:val="center"/>
              <w:textAlignment w:val="baseline"/>
              <w:rPr>
                <w:rFonts w:ascii="宋体" w:hAnsi="宋体" w:cs="宋体"/>
                <w:spacing w:val="-2"/>
                <w:sz w:val="18"/>
                <w:szCs w:val="18"/>
              </w:rPr>
            </w:pPr>
          </w:p>
        </w:tc>
        <w:tc>
          <w:tcPr>
            <w:tcW w:w="454" w:type="pct"/>
          </w:tcPr>
          <w:p w14:paraId="03B27F75">
            <w:pPr>
              <w:widowControl/>
              <w:kinsoku w:val="0"/>
              <w:autoSpaceDE w:val="0"/>
              <w:autoSpaceDN w:val="0"/>
              <w:snapToGrid w:val="0"/>
              <w:spacing w:before="140" w:line="183" w:lineRule="auto"/>
              <w:jc w:val="center"/>
              <w:textAlignment w:val="baseline"/>
              <w:rPr>
                <w:rFonts w:ascii="宋体" w:hAnsi="宋体" w:cs="宋体"/>
                <w:sz w:val="18"/>
                <w:szCs w:val="18"/>
              </w:rPr>
            </w:pPr>
            <w:r>
              <w:rPr>
                <w:rFonts w:hint="eastAsia" w:ascii="宋体" w:hAnsi="宋体" w:cs="宋体"/>
                <w:spacing w:val="-2"/>
                <w:sz w:val="18"/>
                <w:szCs w:val="18"/>
              </w:rPr>
              <w:t>√</w:t>
            </w:r>
          </w:p>
        </w:tc>
        <w:tc>
          <w:tcPr>
            <w:tcW w:w="1136" w:type="pct"/>
            <w:vAlign w:val="center"/>
          </w:tcPr>
          <w:p w14:paraId="53EEC272">
            <w:pPr>
              <w:widowControl/>
              <w:kinsoku w:val="0"/>
              <w:autoSpaceDE w:val="0"/>
              <w:autoSpaceDN w:val="0"/>
              <w:snapToGrid w:val="0"/>
              <w:spacing w:before="140" w:line="183" w:lineRule="auto"/>
              <w:jc w:val="center"/>
              <w:textAlignment w:val="baseline"/>
              <w:rPr>
                <w:rFonts w:ascii="宋体" w:hAnsi="宋体" w:cs="宋体"/>
                <w:spacing w:val="-2"/>
                <w:sz w:val="18"/>
                <w:szCs w:val="18"/>
              </w:rPr>
            </w:pPr>
            <w:r>
              <w:rPr>
                <w:rFonts w:hint="eastAsia" w:ascii="宋体" w:hAnsi="宋体" w:cs="宋体"/>
                <w:sz w:val="18"/>
                <w:szCs w:val="18"/>
              </w:rPr>
              <w:t>6</w:t>
            </w:r>
            <w:r>
              <w:rPr>
                <w:rFonts w:ascii="宋体" w:hAnsi="宋体" w:cs="宋体"/>
                <w:sz w:val="18"/>
                <w:szCs w:val="18"/>
              </w:rPr>
              <w:t>.2.</w:t>
            </w:r>
            <w:r>
              <w:rPr>
                <w:rFonts w:hint="eastAsia" w:ascii="宋体" w:hAnsi="宋体" w:cs="宋体"/>
                <w:sz w:val="18"/>
                <w:szCs w:val="18"/>
              </w:rPr>
              <w:t>5</w:t>
            </w:r>
          </w:p>
        </w:tc>
      </w:tr>
      <w:tr w14:paraId="516E1E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263" w:type="pct"/>
            <w:vAlign w:val="center"/>
          </w:tcPr>
          <w:p w14:paraId="300078BB">
            <w:pPr>
              <w:widowControl/>
              <w:kinsoku w:val="0"/>
              <w:autoSpaceDE w:val="0"/>
              <w:autoSpaceDN w:val="0"/>
              <w:snapToGrid w:val="0"/>
              <w:spacing w:before="140" w:line="183" w:lineRule="auto"/>
              <w:jc w:val="center"/>
              <w:textAlignment w:val="baseline"/>
              <w:rPr>
                <w:rFonts w:ascii="宋体" w:hAnsi="宋体" w:cs="宋体"/>
                <w:spacing w:val="-3"/>
                <w:sz w:val="18"/>
                <w:szCs w:val="18"/>
              </w:rPr>
            </w:pPr>
            <w:r>
              <w:rPr>
                <w:rFonts w:hint="eastAsia" w:ascii="宋体" w:hAnsi="宋体" w:cs="宋体"/>
                <w:spacing w:val="-3"/>
                <w:sz w:val="18"/>
                <w:szCs w:val="18"/>
              </w:rPr>
              <w:t>10</w:t>
            </w:r>
          </w:p>
        </w:tc>
        <w:tc>
          <w:tcPr>
            <w:tcW w:w="764" w:type="pct"/>
            <w:vMerge w:val="continue"/>
            <w:vAlign w:val="center"/>
          </w:tcPr>
          <w:p w14:paraId="74999AE5">
            <w:pPr>
              <w:widowControl/>
              <w:kinsoku w:val="0"/>
              <w:autoSpaceDE w:val="0"/>
              <w:autoSpaceDN w:val="0"/>
              <w:snapToGrid w:val="0"/>
              <w:spacing w:before="94" w:line="219" w:lineRule="auto"/>
              <w:jc w:val="center"/>
              <w:textAlignment w:val="baseline"/>
              <w:rPr>
                <w:rFonts w:ascii="宋体" w:hAnsi="宋体" w:cs="宋体"/>
                <w:spacing w:val="-1"/>
                <w:sz w:val="18"/>
                <w:szCs w:val="18"/>
              </w:rPr>
            </w:pPr>
          </w:p>
        </w:tc>
        <w:tc>
          <w:tcPr>
            <w:tcW w:w="1928" w:type="pct"/>
            <w:vAlign w:val="center"/>
          </w:tcPr>
          <w:p w14:paraId="270BCC77">
            <w:pPr>
              <w:widowControl/>
              <w:kinsoku w:val="0"/>
              <w:autoSpaceDE w:val="0"/>
              <w:autoSpaceDN w:val="0"/>
              <w:snapToGrid w:val="0"/>
              <w:spacing w:before="94" w:line="219" w:lineRule="auto"/>
              <w:jc w:val="center"/>
              <w:textAlignment w:val="baseline"/>
              <w:rPr>
                <w:rFonts w:ascii="宋体" w:hAnsi="宋体" w:cs="宋体"/>
                <w:spacing w:val="-1"/>
                <w:sz w:val="18"/>
                <w:szCs w:val="18"/>
              </w:rPr>
            </w:pPr>
            <w:r>
              <w:rPr>
                <w:rFonts w:hint="eastAsia" w:ascii="宋体" w:hAnsi="宋体" w:cs="宋体"/>
                <w:spacing w:val="-1"/>
                <w:sz w:val="18"/>
                <w:szCs w:val="18"/>
              </w:rPr>
              <w:t>稳态过载能力试验</w:t>
            </w:r>
          </w:p>
        </w:tc>
        <w:tc>
          <w:tcPr>
            <w:tcW w:w="454" w:type="pct"/>
            <w:vAlign w:val="center"/>
          </w:tcPr>
          <w:p w14:paraId="47E403EE">
            <w:pPr>
              <w:widowControl/>
              <w:kinsoku w:val="0"/>
              <w:autoSpaceDE w:val="0"/>
              <w:autoSpaceDN w:val="0"/>
              <w:snapToGrid w:val="0"/>
              <w:spacing w:before="140" w:line="183" w:lineRule="auto"/>
              <w:jc w:val="center"/>
              <w:textAlignment w:val="baseline"/>
              <w:rPr>
                <w:rFonts w:ascii="宋体" w:hAnsi="宋体" w:cs="宋体"/>
                <w:b/>
                <w:spacing w:val="-2"/>
                <w:sz w:val="18"/>
                <w:szCs w:val="18"/>
              </w:rPr>
            </w:pPr>
            <w:r>
              <w:rPr>
                <w:rFonts w:hint="eastAsia" w:ascii="宋体" w:hAnsi="宋体" w:cs="宋体"/>
                <w:spacing w:val="-2"/>
                <w:sz w:val="18"/>
                <w:szCs w:val="18"/>
              </w:rPr>
              <w:t>√</w:t>
            </w:r>
          </w:p>
        </w:tc>
        <w:tc>
          <w:tcPr>
            <w:tcW w:w="454" w:type="pct"/>
          </w:tcPr>
          <w:p w14:paraId="739C6CA1">
            <w:pPr>
              <w:widowControl/>
              <w:kinsoku w:val="0"/>
              <w:autoSpaceDE w:val="0"/>
              <w:autoSpaceDN w:val="0"/>
              <w:snapToGrid w:val="0"/>
              <w:spacing w:before="140" w:line="183" w:lineRule="auto"/>
              <w:jc w:val="center"/>
              <w:textAlignment w:val="baseline"/>
              <w:rPr>
                <w:rFonts w:ascii="宋体" w:hAnsi="宋体" w:cs="宋体"/>
                <w:sz w:val="18"/>
                <w:szCs w:val="18"/>
              </w:rPr>
            </w:pPr>
          </w:p>
        </w:tc>
        <w:tc>
          <w:tcPr>
            <w:tcW w:w="1136" w:type="pct"/>
            <w:vAlign w:val="center"/>
          </w:tcPr>
          <w:p w14:paraId="403EB2E0">
            <w:pPr>
              <w:widowControl/>
              <w:kinsoku w:val="0"/>
              <w:autoSpaceDE w:val="0"/>
              <w:autoSpaceDN w:val="0"/>
              <w:snapToGrid w:val="0"/>
              <w:spacing w:before="140" w:line="183" w:lineRule="auto"/>
              <w:jc w:val="center"/>
              <w:textAlignment w:val="baseline"/>
              <w:rPr>
                <w:rFonts w:ascii="宋体" w:hAnsi="宋体" w:cs="宋体"/>
                <w:spacing w:val="-2"/>
                <w:sz w:val="18"/>
                <w:szCs w:val="18"/>
              </w:rPr>
            </w:pPr>
            <w:r>
              <w:rPr>
                <w:rFonts w:hint="eastAsia" w:ascii="宋体" w:hAnsi="宋体" w:cs="宋体"/>
                <w:sz w:val="18"/>
                <w:szCs w:val="18"/>
              </w:rPr>
              <w:t>6</w:t>
            </w:r>
            <w:r>
              <w:rPr>
                <w:rFonts w:ascii="宋体" w:hAnsi="宋体" w:cs="宋体"/>
                <w:sz w:val="18"/>
                <w:szCs w:val="18"/>
              </w:rPr>
              <w:t>.2.</w:t>
            </w:r>
            <w:r>
              <w:rPr>
                <w:rFonts w:hint="eastAsia" w:ascii="宋体" w:hAnsi="宋体" w:cs="宋体"/>
                <w:sz w:val="18"/>
                <w:szCs w:val="18"/>
              </w:rPr>
              <w:t>6</w:t>
            </w:r>
          </w:p>
        </w:tc>
      </w:tr>
      <w:tr w14:paraId="12D68B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263" w:type="pct"/>
            <w:vAlign w:val="center"/>
          </w:tcPr>
          <w:p w14:paraId="7FA372B0">
            <w:pPr>
              <w:widowControl/>
              <w:kinsoku w:val="0"/>
              <w:autoSpaceDE w:val="0"/>
              <w:autoSpaceDN w:val="0"/>
              <w:snapToGrid w:val="0"/>
              <w:spacing w:before="140" w:line="183" w:lineRule="auto"/>
              <w:jc w:val="center"/>
              <w:textAlignment w:val="baseline"/>
              <w:rPr>
                <w:rFonts w:ascii="宋体" w:hAnsi="宋体" w:cs="宋体"/>
                <w:spacing w:val="-3"/>
                <w:sz w:val="18"/>
                <w:szCs w:val="18"/>
              </w:rPr>
            </w:pPr>
            <w:r>
              <w:rPr>
                <w:rFonts w:hint="eastAsia" w:ascii="宋体" w:hAnsi="宋体" w:cs="宋体"/>
                <w:spacing w:val="-3"/>
                <w:sz w:val="18"/>
                <w:szCs w:val="18"/>
              </w:rPr>
              <w:t>11</w:t>
            </w:r>
          </w:p>
        </w:tc>
        <w:tc>
          <w:tcPr>
            <w:tcW w:w="764" w:type="pct"/>
            <w:vMerge w:val="continue"/>
            <w:vAlign w:val="center"/>
          </w:tcPr>
          <w:p w14:paraId="2502DE15">
            <w:pPr>
              <w:widowControl/>
              <w:kinsoku w:val="0"/>
              <w:autoSpaceDE w:val="0"/>
              <w:autoSpaceDN w:val="0"/>
              <w:snapToGrid w:val="0"/>
              <w:spacing w:before="94" w:line="219" w:lineRule="auto"/>
              <w:jc w:val="center"/>
              <w:textAlignment w:val="baseline"/>
              <w:rPr>
                <w:rFonts w:ascii="宋体" w:hAnsi="宋体" w:cs="宋体"/>
                <w:spacing w:val="-1"/>
                <w:sz w:val="18"/>
                <w:szCs w:val="18"/>
              </w:rPr>
            </w:pPr>
          </w:p>
        </w:tc>
        <w:tc>
          <w:tcPr>
            <w:tcW w:w="1928" w:type="pct"/>
            <w:vAlign w:val="center"/>
          </w:tcPr>
          <w:p w14:paraId="7284DA89">
            <w:pPr>
              <w:widowControl/>
              <w:kinsoku w:val="0"/>
              <w:autoSpaceDE w:val="0"/>
              <w:autoSpaceDN w:val="0"/>
              <w:snapToGrid w:val="0"/>
              <w:spacing w:before="94" w:line="219" w:lineRule="auto"/>
              <w:jc w:val="center"/>
              <w:textAlignment w:val="baseline"/>
              <w:rPr>
                <w:rFonts w:ascii="宋体" w:hAnsi="宋体" w:cs="宋体"/>
                <w:spacing w:val="-1"/>
                <w:sz w:val="18"/>
                <w:szCs w:val="18"/>
              </w:rPr>
            </w:pPr>
            <w:r>
              <w:rPr>
                <w:rFonts w:hint="eastAsia" w:ascii="宋体" w:hAnsi="宋体" w:cs="宋体"/>
                <w:spacing w:val="-1"/>
                <w:sz w:val="18"/>
                <w:szCs w:val="18"/>
              </w:rPr>
              <w:t>接收</w:t>
            </w:r>
            <w:r>
              <w:rPr>
                <w:rFonts w:ascii="宋体" w:hAnsi="宋体" w:cs="宋体"/>
                <w:spacing w:val="-1"/>
                <w:sz w:val="18"/>
                <w:szCs w:val="18"/>
              </w:rPr>
              <w:t>AVC</w:t>
            </w:r>
            <w:r>
              <w:rPr>
                <w:rFonts w:hint="eastAsia" w:ascii="宋体" w:hAnsi="宋体" w:cs="宋体"/>
                <w:spacing w:val="-1"/>
                <w:sz w:val="18"/>
                <w:szCs w:val="18"/>
              </w:rPr>
              <w:t>指令试验</w:t>
            </w:r>
          </w:p>
        </w:tc>
        <w:tc>
          <w:tcPr>
            <w:tcW w:w="454" w:type="pct"/>
            <w:vAlign w:val="center"/>
          </w:tcPr>
          <w:p w14:paraId="670ECABC">
            <w:pPr>
              <w:widowControl/>
              <w:kinsoku w:val="0"/>
              <w:autoSpaceDE w:val="0"/>
              <w:autoSpaceDN w:val="0"/>
              <w:snapToGrid w:val="0"/>
              <w:spacing w:before="140" w:line="183" w:lineRule="auto"/>
              <w:jc w:val="center"/>
              <w:textAlignment w:val="baseline"/>
              <w:rPr>
                <w:rFonts w:ascii="宋体" w:hAnsi="宋体" w:cs="宋体"/>
                <w:spacing w:val="-2"/>
                <w:sz w:val="18"/>
                <w:szCs w:val="18"/>
              </w:rPr>
            </w:pPr>
          </w:p>
        </w:tc>
        <w:tc>
          <w:tcPr>
            <w:tcW w:w="454" w:type="pct"/>
          </w:tcPr>
          <w:p w14:paraId="3EDE82DD">
            <w:pPr>
              <w:widowControl/>
              <w:kinsoku w:val="0"/>
              <w:autoSpaceDE w:val="0"/>
              <w:autoSpaceDN w:val="0"/>
              <w:snapToGrid w:val="0"/>
              <w:spacing w:before="140" w:line="183" w:lineRule="auto"/>
              <w:jc w:val="center"/>
              <w:textAlignment w:val="baseline"/>
              <w:rPr>
                <w:rFonts w:ascii="宋体" w:hAnsi="宋体" w:cs="宋体"/>
                <w:sz w:val="18"/>
                <w:szCs w:val="18"/>
              </w:rPr>
            </w:pPr>
            <w:r>
              <w:rPr>
                <w:rFonts w:hint="eastAsia" w:ascii="宋体" w:hAnsi="宋体" w:cs="宋体"/>
                <w:spacing w:val="-2"/>
                <w:sz w:val="18"/>
                <w:szCs w:val="18"/>
              </w:rPr>
              <w:t>√</w:t>
            </w:r>
          </w:p>
        </w:tc>
        <w:tc>
          <w:tcPr>
            <w:tcW w:w="1136" w:type="pct"/>
            <w:vAlign w:val="center"/>
          </w:tcPr>
          <w:p w14:paraId="28F3885B">
            <w:pPr>
              <w:widowControl/>
              <w:kinsoku w:val="0"/>
              <w:autoSpaceDE w:val="0"/>
              <w:autoSpaceDN w:val="0"/>
              <w:snapToGrid w:val="0"/>
              <w:spacing w:before="140" w:line="183" w:lineRule="auto"/>
              <w:jc w:val="center"/>
              <w:textAlignment w:val="baseline"/>
              <w:rPr>
                <w:rFonts w:ascii="宋体" w:hAnsi="宋体" w:cs="宋体"/>
                <w:spacing w:val="-2"/>
                <w:sz w:val="18"/>
                <w:szCs w:val="18"/>
              </w:rPr>
            </w:pPr>
            <w:r>
              <w:rPr>
                <w:rFonts w:hint="eastAsia" w:ascii="宋体" w:hAnsi="宋体" w:cs="宋体"/>
                <w:sz w:val="18"/>
                <w:szCs w:val="18"/>
              </w:rPr>
              <w:t>6</w:t>
            </w:r>
            <w:r>
              <w:rPr>
                <w:rFonts w:ascii="宋体" w:hAnsi="宋体" w:cs="宋体"/>
                <w:sz w:val="18"/>
                <w:szCs w:val="18"/>
              </w:rPr>
              <w:t>.2.</w:t>
            </w:r>
            <w:r>
              <w:rPr>
                <w:rFonts w:hint="eastAsia" w:ascii="宋体" w:hAnsi="宋体" w:cs="宋体"/>
                <w:sz w:val="18"/>
                <w:szCs w:val="18"/>
              </w:rPr>
              <w:t>7</w:t>
            </w:r>
          </w:p>
        </w:tc>
      </w:tr>
      <w:tr w14:paraId="6F1DBC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263" w:type="pct"/>
            <w:vAlign w:val="center"/>
          </w:tcPr>
          <w:p w14:paraId="1F1CDF33">
            <w:pPr>
              <w:widowControl/>
              <w:kinsoku w:val="0"/>
              <w:autoSpaceDE w:val="0"/>
              <w:autoSpaceDN w:val="0"/>
              <w:snapToGrid w:val="0"/>
              <w:spacing w:before="140" w:line="183" w:lineRule="auto"/>
              <w:jc w:val="center"/>
              <w:textAlignment w:val="baseline"/>
              <w:rPr>
                <w:rFonts w:ascii="宋体" w:hAnsi="宋体" w:cs="宋体"/>
                <w:spacing w:val="-3"/>
                <w:sz w:val="18"/>
                <w:szCs w:val="18"/>
              </w:rPr>
            </w:pPr>
            <w:r>
              <w:rPr>
                <w:rFonts w:hint="eastAsia" w:ascii="宋体" w:hAnsi="宋体" w:cs="宋体"/>
                <w:spacing w:val="-3"/>
                <w:sz w:val="18"/>
                <w:szCs w:val="18"/>
              </w:rPr>
              <w:t>12</w:t>
            </w:r>
          </w:p>
        </w:tc>
        <w:tc>
          <w:tcPr>
            <w:tcW w:w="764" w:type="pct"/>
            <w:vMerge w:val="continue"/>
            <w:vAlign w:val="center"/>
          </w:tcPr>
          <w:p w14:paraId="0E3E32B6">
            <w:pPr>
              <w:widowControl/>
              <w:kinsoku w:val="0"/>
              <w:autoSpaceDE w:val="0"/>
              <w:autoSpaceDN w:val="0"/>
              <w:snapToGrid w:val="0"/>
              <w:spacing w:before="94" w:line="219" w:lineRule="auto"/>
              <w:jc w:val="center"/>
              <w:textAlignment w:val="baseline"/>
              <w:rPr>
                <w:rFonts w:ascii="宋体" w:hAnsi="宋体" w:cs="宋体"/>
                <w:spacing w:val="-1"/>
                <w:sz w:val="18"/>
                <w:szCs w:val="18"/>
              </w:rPr>
            </w:pPr>
          </w:p>
        </w:tc>
        <w:tc>
          <w:tcPr>
            <w:tcW w:w="1928" w:type="pct"/>
            <w:vAlign w:val="center"/>
          </w:tcPr>
          <w:p w14:paraId="4645690B">
            <w:pPr>
              <w:widowControl/>
              <w:kinsoku w:val="0"/>
              <w:autoSpaceDE w:val="0"/>
              <w:autoSpaceDN w:val="0"/>
              <w:snapToGrid w:val="0"/>
              <w:spacing w:before="94" w:line="219" w:lineRule="auto"/>
              <w:jc w:val="center"/>
              <w:textAlignment w:val="baseline"/>
              <w:rPr>
                <w:rFonts w:ascii="宋体" w:hAnsi="宋体" w:cs="宋体"/>
                <w:spacing w:val="-1"/>
                <w:sz w:val="18"/>
                <w:szCs w:val="18"/>
              </w:rPr>
            </w:pPr>
            <w:r>
              <w:rPr>
                <w:rFonts w:hint="eastAsia" w:ascii="宋体" w:hAnsi="宋体" w:cs="宋体"/>
                <w:spacing w:val="-1"/>
                <w:sz w:val="18"/>
                <w:szCs w:val="18"/>
              </w:rPr>
              <w:t>协调控制试验</w:t>
            </w:r>
          </w:p>
        </w:tc>
        <w:tc>
          <w:tcPr>
            <w:tcW w:w="454" w:type="pct"/>
            <w:vAlign w:val="center"/>
          </w:tcPr>
          <w:p w14:paraId="37D90DE2">
            <w:pPr>
              <w:widowControl/>
              <w:kinsoku w:val="0"/>
              <w:autoSpaceDE w:val="0"/>
              <w:autoSpaceDN w:val="0"/>
              <w:snapToGrid w:val="0"/>
              <w:spacing w:before="140" w:line="183" w:lineRule="auto"/>
              <w:jc w:val="center"/>
              <w:textAlignment w:val="baseline"/>
              <w:rPr>
                <w:rFonts w:ascii="宋体" w:hAnsi="宋体" w:cs="宋体"/>
                <w:b/>
                <w:spacing w:val="-2"/>
                <w:sz w:val="18"/>
                <w:szCs w:val="18"/>
              </w:rPr>
            </w:pPr>
          </w:p>
        </w:tc>
        <w:tc>
          <w:tcPr>
            <w:tcW w:w="454" w:type="pct"/>
          </w:tcPr>
          <w:p w14:paraId="141BF319">
            <w:pPr>
              <w:widowControl/>
              <w:kinsoku w:val="0"/>
              <w:autoSpaceDE w:val="0"/>
              <w:autoSpaceDN w:val="0"/>
              <w:snapToGrid w:val="0"/>
              <w:spacing w:before="141" w:line="183" w:lineRule="auto"/>
              <w:jc w:val="center"/>
              <w:textAlignment w:val="baseline"/>
              <w:rPr>
                <w:rFonts w:ascii="宋体" w:hAnsi="宋体" w:cs="宋体"/>
                <w:sz w:val="18"/>
                <w:szCs w:val="18"/>
              </w:rPr>
            </w:pPr>
            <w:r>
              <w:rPr>
                <w:rFonts w:hint="eastAsia" w:ascii="宋体" w:hAnsi="宋体" w:cs="宋体"/>
                <w:spacing w:val="-2"/>
                <w:sz w:val="18"/>
                <w:szCs w:val="18"/>
              </w:rPr>
              <w:t>√</w:t>
            </w:r>
          </w:p>
        </w:tc>
        <w:tc>
          <w:tcPr>
            <w:tcW w:w="1136" w:type="pct"/>
            <w:vAlign w:val="center"/>
          </w:tcPr>
          <w:p w14:paraId="01C26C68">
            <w:pPr>
              <w:widowControl/>
              <w:kinsoku w:val="0"/>
              <w:autoSpaceDE w:val="0"/>
              <w:autoSpaceDN w:val="0"/>
              <w:snapToGrid w:val="0"/>
              <w:spacing w:before="141" w:line="183" w:lineRule="auto"/>
              <w:jc w:val="center"/>
              <w:textAlignment w:val="baseline"/>
              <w:rPr>
                <w:rFonts w:ascii="宋体" w:hAnsi="宋体" w:cs="宋体"/>
                <w:sz w:val="18"/>
                <w:szCs w:val="18"/>
              </w:rPr>
            </w:pPr>
            <w:r>
              <w:rPr>
                <w:rFonts w:hint="eastAsia" w:ascii="宋体" w:hAnsi="宋体" w:cs="宋体"/>
                <w:sz w:val="18"/>
                <w:szCs w:val="18"/>
              </w:rPr>
              <w:t>6</w:t>
            </w:r>
            <w:r>
              <w:rPr>
                <w:rFonts w:ascii="宋体" w:hAnsi="宋体" w:cs="宋体"/>
                <w:sz w:val="18"/>
                <w:szCs w:val="18"/>
              </w:rPr>
              <w:t>.2.</w:t>
            </w:r>
            <w:r>
              <w:rPr>
                <w:rFonts w:hint="eastAsia" w:ascii="宋体" w:hAnsi="宋体" w:cs="宋体"/>
                <w:sz w:val="18"/>
                <w:szCs w:val="18"/>
              </w:rPr>
              <w:t>8</w:t>
            </w:r>
          </w:p>
        </w:tc>
      </w:tr>
      <w:tr w14:paraId="6395ED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263" w:type="pct"/>
            <w:vAlign w:val="center"/>
          </w:tcPr>
          <w:p w14:paraId="56C6A91F">
            <w:pPr>
              <w:widowControl/>
              <w:kinsoku w:val="0"/>
              <w:autoSpaceDE w:val="0"/>
              <w:autoSpaceDN w:val="0"/>
              <w:snapToGrid w:val="0"/>
              <w:spacing w:before="140" w:line="183" w:lineRule="auto"/>
              <w:jc w:val="center"/>
              <w:textAlignment w:val="baseline"/>
              <w:rPr>
                <w:rFonts w:ascii="宋体" w:hAnsi="宋体" w:cs="宋体"/>
                <w:spacing w:val="-3"/>
                <w:sz w:val="18"/>
                <w:szCs w:val="18"/>
              </w:rPr>
            </w:pPr>
            <w:r>
              <w:rPr>
                <w:rFonts w:hint="eastAsia" w:ascii="宋体" w:hAnsi="宋体" w:cs="宋体"/>
                <w:spacing w:val="-3"/>
                <w:sz w:val="18"/>
                <w:szCs w:val="18"/>
              </w:rPr>
              <w:t>13</w:t>
            </w:r>
          </w:p>
        </w:tc>
        <w:tc>
          <w:tcPr>
            <w:tcW w:w="764" w:type="pct"/>
            <w:vMerge w:val="continue"/>
            <w:vAlign w:val="center"/>
          </w:tcPr>
          <w:p w14:paraId="40B211ED">
            <w:pPr>
              <w:widowControl/>
              <w:kinsoku w:val="0"/>
              <w:autoSpaceDE w:val="0"/>
              <w:autoSpaceDN w:val="0"/>
              <w:snapToGrid w:val="0"/>
              <w:spacing w:before="94" w:line="219" w:lineRule="auto"/>
              <w:jc w:val="center"/>
              <w:textAlignment w:val="baseline"/>
              <w:rPr>
                <w:rFonts w:ascii="宋体" w:hAnsi="宋体" w:cs="宋体"/>
                <w:spacing w:val="-1"/>
                <w:sz w:val="18"/>
                <w:szCs w:val="18"/>
              </w:rPr>
            </w:pPr>
          </w:p>
        </w:tc>
        <w:tc>
          <w:tcPr>
            <w:tcW w:w="1928" w:type="pct"/>
            <w:vAlign w:val="center"/>
          </w:tcPr>
          <w:p w14:paraId="11ADD545">
            <w:pPr>
              <w:widowControl/>
              <w:kinsoku w:val="0"/>
              <w:autoSpaceDE w:val="0"/>
              <w:autoSpaceDN w:val="0"/>
              <w:snapToGrid w:val="0"/>
              <w:spacing w:before="94" w:line="219" w:lineRule="auto"/>
              <w:jc w:val="center"/>
              <w:textAlignment w:val="baseline"/>
              <w:rPr>
                <w:rFonts w:ascii="宋体" w:hAnsi="宋体" w:cs="宋体"/>
                <w:spacing w:val="-2"/>
                <w:sz w:val="18"/>
                <w:szCs w:val="18"/>
              </w:rPr>
            </w:pPr>
            <w:r>
              <w:rPr>
                <w:rFonts w:hint="eastAsia" w:ascii="宋体" w:hAnsi="宋体" w:cs="宋体"/>
                <w:spacing w:val="-2"/>
                <w:sz w:val="18"/>
                <w:szCs w:val="18"/>
              </w:rPr>
              <w:t>谐波补偿试验</w:t>
            </w:r>
          </w:p>
        </w:tc>
        <w:tc>
          <w:tcPr>
            <w:tcW w:w="454" w:type="pct"/>
            <w:vAlign w:val="center"/>
          </w:tcPr>
          <w:p w14:paraId="0A166C47">
            <w:pPr>
              <w:widowControl/>
              <w:kinsoku w:val="0"/>
              <w:autoSpaceDE w:val="0"/>
              <w:autoSpaceDN w:val="0"/>
              <w:snapToGrid w:val="0"/>
              <w:spacing w:before="140" w:line="183" w:lineRule="auto"/>
              <w:jc w:val="center"/>
              <w:textAlignment w:val="baseline"/>
              <w:rPr>
                <w:rFonts w:ascii="宋体" w:hAnsi="宋体" w:cs="宋体"/>
                <w:spacing w:val="-2"/>
                <w:sz w:val="18"/>
                <w:szCs w:val="18"/>
              </w:rPr>
            </w:pPr>
          </w:p>
        </w:tc>
        <w:tc>
          <w:tcPr>
            <w:tcW w:w="454" w:type="pct"/>
          </w:tcPr>
          <w:p w14:paraId="00DBBB21">
            <w:pPr>
              <w:widowControl/>
              <w:kinsoku w:val="0"/>
              <w:autoSpaceDE w:val="0"/>
              <w:autoSpaceDN w:val="0"/>
              <w:snapToGrid w:val="0"/>
              <w:spacing w:before="141" w:line="183" w:lineRule="auto"/>
              <w:jc w:val="center"/>
              <w:textAlignment w:val="baseline"/>
              <w:rPr>
                <w:rFonts w:ascii="宋体" w:hAnsi="宋体" w:cs="宋体"/>
                <w:spacing w:val="-2"/>
                <w:sz w:val="18"/>
                <w:szCs w:val="18"/>
              </w:rPr>
            </w:pPr>
            <w:r>
              <w:rPr>
                <w:rFonts w:hint="eastAsia" w:ascii="宋体" w:hAnsi="宋体" w:cs="宋体"/>
                <w:spacing w:val="-2"/>
                <w:sz w:val="18"/>
                <w:szCs w:val="18"/>
              </w:rPr>
              <w:t>√</w:t>
            </w:r>
          </w:p>
        </w:tc>
        <w:tc>
          <w:tcPr>
            <w:tcW w:w="1136" w:type="pct"/>
            <w:vAlign w:val="center"/>
          </w:tcPr>
          <w:p w14:paraId="7549828C">
            <w:pPr>
              <w:widowControl/>
              <w:kinsoku w:val="0"/>
              <w:autoSpaceDE w:val="0"/>
              <w:autoSpaceDN w:val="0"/>
              <w:snapToGrid w:val="0"/>
              <w:spacing w:before="141" w:line="183" w:lineRule="auto"/>
              <w:jc w:val="center"/>
              <w:textAlignment w:val="baseline"/>
              <w:rPr>
                <w:rFonts w:ascii="宋体" w:hAnsi="宋体" w:cs="宋体"/>
                <w:sz w:val="18"/>
                <w:szCs w:val="18"/>
              </w:rPr>
            </w:pPr>
            <w:r>
              <w:rPr>
                <w:rFonts w:hint="eastAsia" w:ascii="宋体" w:hAnsi="宋体" w:cs="宋体"/>
                <w:sz w:val="18"/>
                <w:szCs w:val="18"/>
              </w:rPr>
              <w:t>6</w:t>
            </w:r>
            <w:r>
              <w:rPr>
                <w:rFonts w:ascii="宋体" w:hAnsi="宋体" w:cs="宋体"/>
                <w:sz w:val="18"/>
                <w:szCs w:val="18"/>
              </w:rPr>
              <w:t>.2.</w:t>
            </w:r>
            <w:r>
              <w:rPr>
                <w:rFonts w:hint="eastAsia" w:ascii="宋体" w:hAnsi="宋体" w:cs="宋体"/>
                <w:sz w:val="18"/>
                <w:szCs w:val="18"/>
              </w:rPr>
              <w:t>9</w:t>
            </w:r>
          </w:p>
        </w:tc>
      </w:tr>
      <w:tr w14:paraId="066F01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263" w:type="pct"/>
            <w:vAlign w:val="center"/>
          </w:tcPr>
          <w:p w14:paraId="416713DA">
            <w:pPr>
              <w:widowControl/>
              <w:kinsoku w:val="0"/>
              <w:autoSpaceDE w:val="0"/>
              <w:autoSpaceDN w:val="0"/>
              <w:snapToGrid w:val="0"/>
              <w:spacing w:before="141" w:line="183" w:lineRule="auto"/>
              <w:jc w:val="center"/>
              <w:textAlignment w:val="baseline"/>
              <w:rPr>
                <w:rFonts w:ascii="宋体" w:hAnsi="宋体" w:cs="宋体"/>
                <w:spacing w:val="-3"/>
                <w:sz w:val="18"/>
                <w:szCs w:val="18"/>
              </w:rPr>
            </w:pPr>
            <w:r>
              <w:rPr>
                <w:rFonts w:hint="eastAsia" w:ascii="宋体" w:hAnsi="宋体" w:cs="宋体"/>
                <w:spacing w:val="-3"/>
                <w:sz w:val="18"/>
                <w:szCs w:val="18"/>
              </w:rPr>
              <w:t>1</w:t>
            </w:r>
            <w:r>
              <w:rPr>
                <w:rFonts w:ascii="宋体" w:hAnsi="宋体" w:cs="宋体"/>
                <w:spacing w:val="-3"/>
                <w:sz w:val="18"/>
                <w:szCs w:val="18"/>
              </w:rPr>
              <w:t>4</w:t>
            </w:r>
          </w:p>
        </w:tc>
        <w:tc>
          <w:tcPr>
            <w:tcW w:w="764" w:type="pct"/>
            <w:vMerge w:val="continue"/>
            <w:vAlign w:val="center"/>
          </w:tcPr>
          <w:p w14:paraId="2CDA52B9">
            <w:pPr>
              <w:widowControl/>
              <w:kinsoku w:val="0"/>
              <w:autoSpaceDE w:val="0"/>
              <w:autoSpaceDN w:val="0"/>
              <w:snapToGrid w:val="0"/>
              <w:spacing w:before="95" w:line="220" w:lineRule="auto"/>
              <w:jc w:val="center"/>
              <w:textAlignment w:val="baseline"/>
              <w:rPr>
                <w:rFonts w:ascii="宋体" w:hAnsi="宋体" w:cs="宋体"/>
                <w:spacing w:val="1"/>
                <w:sz w:val="18"/>
                <w:szCs w:val="18"/>
              </w:rPr>
            </w:pPr>
          </w:p>
        </w:tc>
        <w:tc>
          <w:tcPr>
            <w:tcW w:w="1928" w:type="pct"/>
            <w:vAlign w:val="center"/>
          </w:tcPr>
          <w:p w14:paraId="0E0570F2">
            <w:pPr>
              <w:widowControl/>
              <w:kinsoku w:val="0"/>
              <w:autoSpaceDE w:val="0"/>
              <w:autoSpaceDN w:val="0"/>
              <w:snapToGrid w:val="0"/>
              <w:spacing w:before="95" w:line="220" w:lineRule="auto"/>
              <w:jc w:val="center"/>
              <w:textAlignment w:val="baseline"/>
              <w:rPr>
                <w:rFonts w:ascii="宋体" w:hAnsi="宋体" w:cs="宋体"/>
                <w:sz w:val="18"/>
                <w:szCs w:val="18"/>
              </w:rPr>
            </w:pPr>
            <w:r>
              <w:rPr>
                <w:rFonts w:ascii="宋体" w:hAnsi="宋体" w:cs="宋体"/>
                <w:spacing w:val="1"/>
                <w:sz w:val="18"/>
                <w:szCs w:val="18"/>
              </w:rPr>
              <w:t>电能质量测试</w:t>
            </w:r>
          </w:p>
        </w:tc>
        <w:tc>
          <w:tcPr>
            <w:tcW w:w="454" w:type="pct"/>
            <w:vAlign w:val="center"/>
          </w:tcPr>
          <w:p w14:paraId="5A350A49">
            <w:pPr>
              <w:widowControl/>
              <w:kinsoku w:val="0"/>
              <w:autoSpaceDE w:val="0"/>
              <w:autoSpaceDN w:val="0"/>
              <w:snapToGrid w:val="0"/>
              <w:spacing w:before="141" w:line="183" w:lineRule="auto"/>
              <w:jc w:val="center"/>
              <w:textAlignment w:val="baseline"/>
              <w:rPr>
                <w:rFonts w:ascii="宋体" w:hAnsi="宋体" w:cs="宋体"/>
                <w:spacing w:val="-2"/>
                <w:sz w:val="18"/>
                <w:szCs w:val="18"/>
              </w:rPr>
            </w:pPr>
            <w:r>
              <w:rPr>
                <w:rFonts w:hint="eastAsia" w:ascii="宋体" w:hAnsi="宋体" w:cs="宋体"/>
                <w:spacing w:val="-2"/>
                <w:sz w:val="18"/>
                <w:szCs w:val="18"/>
              </w:rPr>
              <w:t>√</w:t>
            </w:r>
          </w:p>
        </w:tc>
        <w:tc>
          <w:tcPr>
            <w:tcW w:w="454" w:type="pct"/>
          </w:tcPr>
          <w:p w14:paraId="4484A843">
            <w:pPr>
              <w:widowControl/>
              <w:kinsoku w:val="0"/>
              <w:autoSpaceDE w:val="0"/>
              <w:autoSpaceDN w:val="0"/>
              <w:snapToGrid w:val="0"/>
              <w:spacing w:before="140" w:line="184" w:lineRule="auto"/>
              <w:jc w:val="center"/>
              <w:textAlignment w:val="baseline"/>
              <w:rPr>
                <w:rFonts w:ascii="宋体" w:hAnsi="宋体" w:cs="宋体"/>
                <w:sz w:val="18"/>
                <w:szCs w:val="18"/>
              </w:rPr>
            </w:pPr>
          </w:p>
        </w:tc>
        <w:tc>
          <w:tcPr>
            <w:tcW w:w="1136" w:type="pct"/>
            <w:vAlign w:val="center"/>
          </w:tcPr>
          <w:p w14:paraId="014BEDF1">
            <w:pPr>
              <w:widowControl/>
              <w:kinsoku w:val="0"/>
              <w:autoSpaceDE w:val="0"/>
              <w:autoSpaceDN w:val="0"/>
              <w:snapToGrid w:val="0"/>
              <w:spacing w:before="140" w:line="184" w:lineRule="auto"/>
              <w:jc w:val="center"/>
              <w:textAlignment w:val="baseline"/>
              <w:rPr>
                <w:rFonts w:ascii="宋体" w:hAnsi="宋体" w:cs="宋体"/>
                <w:sz w:val="18"/>
                <w:szCs w:val="18"/>
              </w:rPr>
            </w:pPr>
            <w:r>
              <w:rPr>
                <w:rFonts w:hint="eastAsia" w:ascii="宋体" w:hAnsi="宋体" w:cs="宋体"/>
                <w:sz w:val="18"/>
                <w:szCs w:val="18"/>
              </w:rPr>
              <w:t>6</w:t>
            </w:r>
            <w:r>
              <w:rPr>
                <w:rFonts w:ascii="宋体" w:hAnsi="宋体" w:cs="宋体"/>
                <w:sz w:val="18"/>
                <w:szCs w:val="18"/>
              </w:rPr>
              <w:t>.2.1</w:t>
            </w:r>
            <w:r>
              <w:rPr>
                <w:rFonts w:hint="eastAsia" w:ascii="宋体" w:hAnsi="宋体" w:cs="宋体"/>
                <w:sz w:val="18"/>
                <w:szCs w:val="18"/>
              </w:rPr>
              <w:t>0</w:t>
            </w:r>
          </w:p>
        </w:tc>
      </w:tr>
      <w:tr w14:paraId="761BC8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263" w:type="pct"/>
            <w:vAlign w:val="center"/>
          </w:tcPr>
          <w:p w14:paraId="0038E40C">
            <w:pPr>
              <w:widowControl/>
              <w:kinsoku w:val="0"/>
              <w:autoSpaceDE w:val="0"/>
              <w:autoSpaceDN w:val="0"/>
              <w:snapToGrid w:val="0"/>
              <w:spacing w:before="141" w:line="183" w:lineRule="auto"/>
              <w:jc w:val="center"/>
              <w:textAlignment w:val="baseline"/>
              <w:rPr>
                <w:rFonts w:ascii="宋体" w:hAnsi="宋体" w:cs="宋体"/>
                <w:spacing w:val="-3"/>
                <w:sz w:val="18"/>
                <w:szCs w:val="18"/>
              </w:rPr>
            </w:pPr>
            <w:r>
              <w:rPr>
                <w:rFonts w:hint="eastAsia" w:ascii="宋体" w:hAnsi="宋体" w:cs="宋体"/>
                <w:spacing w:val="-3"/>
                <w:sz w:val="18"/>
                <w:szCs w:val="18"/>
              </w:rPr>
              <w:t>1</w:t>
            </w:r>
            <w:r>
              <w:rPr>
                <w:rFonts w:ascii="宋体" w:hAnsi="宋体" w:cs="宋体"/>
                <w:spacing w:val="-3"/>
                <w:sz w:val="18"/>
                <w:szCs w:val="18"/>
              </w:rPr>
              <w:t>5</w:t>
            </w:r>
          </w:p>
        </w:tc>
        <w:tc>
          <w:tcPr>
            <w:tcW w:w="764" w:type="pct"/>
            <w:vMerge w:val="continue"/>
            <w:vAlign w:val="center"/>
          </w:tcPr>
          <w:p w14:paraId="72CB4328">
            <w:pPr>
              <w:widowControl/>
              <w:kinsoku w:val="0"/>
              <w:autoSpaceDE w:val="0"/>
              <w:autoSpaceDN w:val="0"/>
              <w:snapToGrid w:val="0"/>
              <w:spacing w:before="94" w:line="219" w:lineRule="auto"/>
              <w:jc w:val="center"/>
              <w:textAlignment w:val="baseline"/>
              <w:rPr>
                <w:rFonts w:ascii="宋体" w:hAnsi="宋体" w:cs="宋体"/>
                <w:sz w:val="18"/>
                <w:szCs w:val="18"/>
              </w:rPr>
            </w:pPr>
          </w:p>
        </w:tc>
        <w:tc>
          <w:tcPr>
            <w:tcW w:w="1928" w:type="pct"/>
            <w:vAlign w:val="center"/>
          </w:tcPr>
          <w:p w14:paraId="0DA8FC02">
            <w:pPr>
              <w:widowControl/>
              <w:kinsoku w:val="0"/>
              <w:autoSpaceDE w:val="0"/>
              <w:autoSpaceDN w:val="0"/>
              <w:snapToGrid w:val="0"/>
              <w:spacing w:before="94" w:line="219" w:lineRule="auto"/>
              <w:jc w:val="center"/>
              <w:textAlignment w:val="baseline"/>
              <w:rPr>
                <w:rFonts w:ascii="宋体" w:hAnsi="宋体" w:cs="宋体"/>
                <w:sz w:val="18"/>
                <w:szCs w:val="18"/>
              </w:rPr>
            </w:pPr>
            <w:r>
              <w:rPr>
                <w:rFonts w:ascii="宋体" w:hAnsi="宋体" w:cs="宋体"/>
                <w:sz w:val="18"/>
                <w:szCs w:val="18"/>
              </w:rPr>
              <w:t>噪声及干扰测量</w:t>
            </w:r>
          </w:p>
        </w:tc>
        <w:tc>
          <w:tcPr>
            <w:tcW w:w="454" w:type="pct"/>
            <w:vAlign w:val="center"/>
          </w:tcPr>
          <w:p w14:paraId="218D50E0">
            <w:pPr>
              <w:widowControl/>
              <w:kinsoku w:val="0"/>
              <w:autoSpaceDE w:val="0"/>
              <w:autoSpaceDN w:val="0"/>
              <w:snapToGrid w:val="0"/>
              <w:spacing w:before="141" w:line="183" w:lineRule="auto"/>
              <w:jc w:val="center"/>
              <w:textAlignment w:val="baseline"/>
              <w:rPr>
                <w:rFonts w:ascii="宋体" w:hAnsi="宋体" w:cs="宋体"/>
                <w:spacing w:val="-2"/>
                <w:sz w:val="18"/>
                <w:szCs w:val="18"/>
              </w:rPr>
            </w:pPr>
            <w:r>
              <w:rPr>
                <w:rFonts w:hint="eastAsia" w:ascii="宋体" w:hAnsi="宋体" w:cs="宋体"/>
                <w:spacing w:val="-2"/>
                <w:sz w:val="18"/>
                <w:szCs w:val="18"/>
              </w:rPr>
              <w:t>√</w:t>
            </w:r>
          </w:p>
        </w:tc>
        <w:tc>
          <w:tcPr>
            <w:tcW w:w="454" w:type="pct"/>
          </w:tcPr>
          <w:p w14:paraId="59563DB9">
            <w:pPr>
              <w:widowControl/>
              <w:kinsoku w:val="0"/>
              <w:autoSpaceDE w:val="0"/>
              <w:autoSpaceDN w:val="0"/>
              <w:snapToGrid w:val="0"/>
              <w:spacing w:before="140" w:line="184" w:lineRule="auto"/>
              <w:jc w:val="center"/>
              <w:textAlignment w:val="baseline"/>
              <w:rPr>
                <w:rFonts w:ascii="宋体" w:hAnsi="宋体" w:cs="宋体"/>
                <w:sz w:val="18"/>
                <w:szCs w:val="18"/>
              </w:rPr>
            </w:pPr>
          </w:p>
        </w:tc>
        <w:tc>
          <w:tcPr>
            <w:tcW w:w="1136" w:type="pct"/>
            <w:vAlign w:val="center"/>
          </w:tcPr>
          <w:p w14:paraId="69F03C76">
            <w:pPr>
              <w:widowControl/>
              <w:kinsoku w:val="0"/>
              <w:autoSpaceDE w:val="0"/>
              <w:autoSpaceDN w:val="0"/>
              <w:snapToGrid w:val="0"/>
              <w:spacing w:before="140" w:line="184" w:lineRule="auto"/>
              <w:jc w:val="center"/>
              <w:textAlignment w:val="baseline"/>
              <w:rPr>
                <w:rFonts w:ascii="宋体" w:hAnsi="宋体" w:cs="宋体"/>
                <w:spacing w:val="-2"/>
                <w:sz w:val="18"/>
                <w:szCs w:val="18"/>
              </w:rPr>
            </w:pPr>
            <w:r>
              <w:rPr>
                <w:rFonts w:hint="eastAsia" w:ascii="宋体" w:hAnsi="宋体" w:cs="宋体"/>
                <w:sz w:val="18"/>
                <w:szCs w:val="18"/>
              </w:rPr>
              <w:t>6</w:t>
            </w:r>
            <w:r>
              <w:rPr>
                <w:rFonts w:ascii="宋体" w:hAnsi="宋体" w:cs="宋体"/>
                <w:sz w:val="18"/>
                <w:szCs w:val="18"/>
              </w:rPr>
              <w:t>.2.1</w:t>
            </w:r>
            <w:r>
              <w:rPr>
                <w:rFonts w:hint="eastAsia" w:ascii="宋体" w:hAnsi="宋体" w:cs="宋体"/>
                <w:sz w:val="18"/>
                <w:szCs w:val="18"/>
              </w:rPr>
              <w:t>1</w:t>
            </w:r>
          </w:p>
        </w:tc>
      </w:tr>
      <w:tr w14:paraId="703BB4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263" w:type="pct"/>
            <w:vAlign w:val="center"/>
          </w:tcPr>
          <w:p w14:paraId="229603C6">
            <w:pPr>
              <w:widowControl/>
              <w:kinsoku w:val="0"/>
              <w:autoSpaceDE w:val="0"/>
              <w:autoSpaceDN w:val="0"/>
              <w:snapToGrid w:val="0"/>
              <w:spacing w:before="142" w:line="183" w:lineRule="auto"/>
              <w:jc w:val="center"/>
              <w:textAlignment w:val="baseline"/>
              <w:rPr>
                <w:rFonts w:ascii="宋体" w:hAnsi="宋体" w:cs="宋体"/>
                <w:sz w:val="18"/>
                <w:szCs w:val="18"/>
              </w:rPr>
            </w:pPr>
            <w:r>
              <w:rPr>
                <w:rFonts w:hint="eastAsia" w:ascii="宋体" w:hAnsi="宋体" w:cs="宋体"/>
                <w:sz w:val="18"/>
                <w:szCs w:val="18"/>
              </w:rPr>
              <w:t>1</w:t>
            </w:r>
            <w:r>
              <w:rPr>
                <w:rFonts w:ascii="宋体" w:hAnsi="宋体" w:cs="宋体"/>
                <w:sz w:val="18"/>
                <w:szCs w:val="18"/>
              </w:rPr>
              <w:t>6</w:t>
            </w:r>
          </w:p>
        </w:tc>
        <w:tc>
          <w:tcPr>
            <w:tcW w:w="764" w:type="pct"/>
            <w:vMerge w:val="continue"/>
            <w:vAlign w:val="center"/>
          </w:tcPr>
          <w:p w14:paraId="3DE8F85B">
            <w:pPr>
              <w:widowControl/>
              <w:kinsoku w:val="0"/>
              <w:autoSpaceDE w:val="0"/>
              <w:autoSpaceDN w:val="0"/>
              <w:snapToGrid w:val="0"/>
              <w:spacing w:before="96" w:line="221" w:lineRule="auto"/>
              <w:jc w:val="center"/>
              <w:textAlignment w:val="baseline"/>
              <w:rPr>
                <w:rFonts w:ascii="宋体" w:hAnsi="宋体" w:cs="宋体"/>
                <w:spacing w:val="-2"/>
                <w:sz w:val="18"/>
                <w:szCs w:val="18"/>
              </w:rPr>
            </w:pPr>
          </w:p>
        </w:tc>
        <w:tc>
          <w:tcPr>
            <w:tcW w:w="1928" w:type="pct"/>
            <w:vAlign w:val="center"/>
          </w:tcPr>
          <w:p w14:paraId="1B581695">
            <w:pPr>
              <w:widowControl/>
              <w:kinsoku w:val="0"/>
              <w:autoSpaceDE w:val="0"/>
              <w:autoSpaceDN w:val="0"/>
              <w:snapToGrid w:val="0"/>
              <w:spacing w:before="96" w:line="221" w:lineRule="auto"/>
              <w:jc w:val="center"/>
              <w:textAlignment w:val="baseline"/>
              <w:rPr>
                <w:rFonts w:ascii="宋体" w:hAnsi="宋体" w:cs="宋体"/>
                <w:sz w:val="18"/>
                <w:szCs w:val="18"/>
              </w:rPr>
            </w:pPr>
            <w:r>
              <w:rPr>
                <w:rFonts w:ascii="宋体" w:hAnsi="宋体" w:cs="宋体"/>
                <w:spacing w:val="-2"/>
                <w:sz w:val="18"/>
                <w:szCs w:val="18"/>
              </w:rPr>
              <w:t>温升试验</w:t>
            </w:r>
          </w:p>
        </w:tc>
        <w:tc>
          <w:tcPr>
            <w:tcW w:w="454" w:type="pct"/>
            <w:vAlign w:val="center"/>
          </w:tcPr>
          <w:p w14:paraId="0DF6BEFF">
            <w:pPr>
              <w:widowControl/>
              <w:kinsoku w:val="0"/>
              <w:autoSpaceDE w:val="0"/>
              <w:autoSpaceDN w:val="0"/>
              <w:snapToGrid w:val="0"/>
              <w:spacing w:before="140" w:line="184" w:lineRule="auto"/>
              <w:jc w:val="center"/>
              <w:textAlignment w:val="baseline"/>
              <w:rPr>
                <w:rFonts w:ascii="宋体" w:hAnsi="宋体" w:cs="宋体"/>
                <w:spacing w:val="-2"/>
                <w:sz w:val="18"/>
                <w:szCs w:val="18"/>
              </w:rPr>
            </w:pPr>
            <w:r>
              <w:rPr>
                <w:rFonts w:hint="eastAsia" w:ascii="宋体" w:hAnsi="宋体" w:cs="宋体"/>
                <w:spacing w:val="-2"/>
                <w:sz w:val="18"/>
                <w:szCs w:val="18"/>
              </w:rPr>
              <w:t>√</w:t>
            </w:r>
          </w:p>
        </w:tc>
        <w:tc>
          <w:tcPr>
            <w:tcW w:w="454" w:type="pct"/>
          </w:tcPr>
          <w:p w14:paraId="4D1E9D15">
            <w:pPr>
              <w:widowControl/>
              <w:kinsoku w:val="0"/>
              <w:autoSpaceDE w:val="0"/>
              <w:autoSpaceDN w:val="0"/>
              <w:snapToGrid w:val="0"/>
              <w:spacing w:before="141" w:line="184" w:lineRule="auto"/>
              <w:jc w:val="center"/>
              <w:textAlignment w:val="baseline"/>
              <w:rPr>
                <w:rFonts w:ascii="宋体" w:hAnsi="宋体" w:cs="宋体"/>
                <w:sz w:val="18"/>
                <w:szCs w:val="18"/>
              </w:rPr>
            </w:pPr>
          </w:p>
        </w:tc>
        <w:tc>
          <w:tcPr>
            <w:tcW w:w="1136" w:type="pct"/>
            <w:vAlign w:val="center"/>
          </w:tcPr>
          <w:p w14:paraId="4ECC6445">
            <w:pPr>
              <w:widowControl/>
              <w:kinsoku w:val="0"/>
              <w:autoSpaceDE w:val="0"/>
              <w:autoSpaceDN w:val="0"/>
              <w:snapToGrid w:val="0"/>
              <w:spacing w:before="141" w:line="184" w:lineRule="auto"/>
              <w:jc w:val="center"/>
              <w:textAlignment w:val="baseline"/>
              <w:rPr>
                <w:rFonts w:ascii="宋体" w:hAnsi="宋体" w:cs="宋体"/>
                <w:sz w:val="18"/>
                <w:szCs w:val="18"/>
              </w:rPr>
            </w:pPr>
            <w:r>
              <w:rPr>
                <w:rFonts w:hint="eastAsia" w:ascii="宋体" w:hAnsi="宋体" w:cs="宋体"/>
                <w:sz w:val="18"/>
                <w:szCs w:val="18"/>
              </w:rPr>
              <w:t>6</w:t>
            </w:r>
            <w:r>
              <w:rPr>
                <w:rFonts w:ascii="宋体" w:hAnsi="宋体" w:cs="宋体"/>
                <w:sz w:val="18"/>
                <w:szCs w:val="18"/>
              </w:rPr>
              <w:t>.2.</w:t>
            </w:r>
            <w:r>
              <w:rPr>
                <w:rFonts w:hint="eastAsia" w:ascii="宋体" w:hAnsi="宋体" w:cs="宋体"/>
                <w:sz w:val="18"/>
                <w:szCs w:val="18"/>
              </w:rPr>
              <w:t>12</w:t>
            </w:r>
          </w:p>
        </w:tc>
      </w:tr>
      <w:tr w14:paraId="04A560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263" w:type="pct"/>
            <w:vAlign w:val="center"/>
          </w:tcPr>
          <w:p w14:paraId="0C0B4965">
            <w:pPr>
              <w:widowControl/>
              <w:kinsoku w:val="0"/>
              <w:autoSpaceDE w:val="0"/>
              <w:autoSpaceDN w:val="0"/>
              <w:snapToGrid w:val="0"/>
              <w:spacing w:before="141" w:line="183" w:lineRule="auto"/>
              <w:jc w:val="center"/>
              <w:textAlignment w:val="baseline"/>
              <w:rPr>
                <w:rFonts w:ascii="宋体" w:hAnsi="宋体" w:cs="宋体"/>
                <w:spacing w:val="-3"/>
                <w:sz w:val="18"/>
                <w:szCs w:val="18"/>
              </w:rPr>
            </w:pPr>
            <w:r>
              <w:rPr>
                <w:rFonts w:hint="eastAsia" w:ascii="宋体" w:hAnsi="宋体" w:cs="宋体"/>
                <w:spacing w:val="-3"/>
                <w:sz w:val="18"/>
                <w:szCs w:val="18"/>
              </w:rPr>
              <w:t>17</w:t>
            </w:r>
          </w:p>
        </w:tc>
        <w:tc>
          <w:tcPr>
            <w:tcW w:w="764" w:type="pct"/>
            <w:vMerge w:val="continue"/>
            <w:vAlign w:val="center"/>
          </w:tcPr>
          <w:p w14:paraId="43D57348">
            <w:pPr>
              <w:widowControl/>
              <w:kinsoku w:val="0"/>
              <w:autoSpaceDE w:val="0"/>
              <w:autoSpaceDN w:val="0"/>
              <w:snapToGrid w:val="0"/>
              <w:spacing w:before="96" w:line="221" w:lineRule="auto"/>
              <w:jc w:val="center"/>
              <w:textAlignment w:val="baseline"/>
              <w:rPr>
                <w:rFonts w:ascii="宋体" w:hAnsi="宋体" w:cs="宋体"/>
                <w:spacing w:val="-2"/>
                <w:sz w:val="18"/>
                <w:szCs w:val="18"/>
              </w:rPr>
            </w:pPr>
          </w:p>
        </w:tc>
        <w:tc>
          <w:tcPr>
            <w:tcW w:w="1928" w:type="pct"/>
            <w:vAlign w:val="center"/>
          </w:tcPr>
          <w:p w14:paraId="49973427">
            <w:pPr>
              <w:widowControl/>
              <w:kinsoku w:val="0"/>
              <w:autoSpaceDE w:val="0"/>
              <w:autoSpaceDN w:val="0"/>
              <w:snapToGrid w:val="0"/>
              <w:spacing w:before="94" w:line="219" w:lineRule="auto"/>
              <w:jc w:val="center"/>
              <w:textAlignment w:val="baseline"/>
              <w:rPr>
                <w:rFonts w:ascii="宋体" w:hAnsi="宋体" w:cs="宋体"/>
                <w:sz w:val="18"/>
                <w:szCs w:val="18"/>
              </w:rPr>
            </w:pPr>
            <w:r>
              <w:rPr>
                <w:rFonts w:hint="eastAsia" w:ascii="宋体" w:hAnsi="宋体" w:cs="宋体"/>
                <w:spacing w:val="-1"/>
                <w:sz w:val="18"/>
                <w:szCs w:val="18"/>
              </w:rPr>
              <w:t>人工接地短路试验</w:t>
            </w:r>
          </w:p>
        </w:tc>
        <w:tc>
          <w:tcPr>
            <w:tcW w:w="454" w:type="pct"/>
            <w:vAlign w:val="center"/>
          </w:tcPr>
          <w:p w14:paraId="7B2E6913">
            <w:pPr>
              <w:widowControl/>
              <w:kinsoku w:val="0"/>
              <w:autoSpaceDE w:val="0"/>
              <w:autoSpaceDN w:val="0"/>
              <w:snapToGrid w:val="0"/>
              <w:spacing w:before="140" w:line="183" w:lineRule="auto"/>
              <w:jc w:val="center"/>
              <w:textAlignment w:val="baseline"/>
              <w:rPr>
                <w:rFonts w:ascii="宋体" w:hAnsi="宋体" w:cs="宋体"/>
                <w:spacing w:val="-2"/>
                <w:sz w:val="18"/>
                <w:szCs w:val="18"/>
              </w:rPr>
            </w:pPr>
          </w:p>
        </w:tc>
        <w:tc>
          <w:tcPr>
            <w:tcW w:w="454" w:type="pct"/>
          </w:tcPr>
          <w:p w14:paraId="5B2364CF">
            <w:pPr>
              <w:widowControl/>
              <w:kinsoku w:val="0"/>
              <w:autoSpaceDE w:val="0"/>
              <w:autoSpaceDN w:val="0"/>
              <w:snapToGrid w:val="0"/>
              <w:spacing w:before="140" w:line="183" w:lineRule="auto"/>
              <w:jc w:val="center"/>
              <w:textAlignment w:val="baseline"/>
              <w:rPr>
                <w:rFonts w:ascii="宋体" w:hAnsi="宋体" w:cs="宋体"/>
                <w:sz w:val="18"/>
                <w:szCs w:val="18"/>
              </w:rPr>
            </w:pPr>
            <w:r>
              <w:rPr>
                <w:rFonts w:hint="eastAsia" w:ascii="宋体" w:hAnsi="宋体" w:cs="宋体"/>
                <w:spacing w:val="-2"/>
                <w:sz w:val="18"/>
                <w:szCs w:val="18"/>
              </w:rPr>
              <w:t>√</w:t>
            </w:r>
          </w:p>
        </w:tc>
        <w:tc>
          <w:tcPr>
            <w:tcW w:w="1136" w:type="pct"/>
            <w:vAlign w:val="center"/>
          </w:tcPr>
          <w:p w14:paraId="4FA108E6">
            <w:pPr>
              <w:widowControl/>
              <w:kinsoku w:val="0"/>
              <w:autoSpaceDE w:val="0"/>
              <w:autoSpaceDN w:val="0"/>
              <w:snapToGrid w:val="0"/>
              <w:spacing w:before="140" w:line="183" w:lineRule="auto"/>
              <w:jc w:val="center"/>
              <w:textAlignment w:val="baseline"/>
              <w:rPr>
                <w:rFonts w:ascii="宋体" w:hAnsi="宋体" w:cs="宋体"/>
                <w:spacing w:val="-2"/>
                <w:sz w:val="18"/>
                <w:szCs w:val="18"/>
              </w:rPr>
            </w:pPr>
            <w:r>
              <w:rPr>
                <w:rFonts w:hint="eastAsia" w:ascii="宋体" w:hAnsi="宋体" w:cs="宋体"/>
                <w:sz w:val="18"/>
                <w:szCs w:val="18"/>
              </w:rPr>
              <w:t>6</w:t>
            </w:r>
            <w:r>
              <w:rPr>
                <w:rFonts w:ascii="宋体" w:hAnsi="宋体" w:cs="宋体"/>
                <w:sz w:val="18"/>
                <w:szCs w:val="18"/>
              </w:rPr>
              <w:t>.2.</w:t>
            </w:r>
            <w:r>
              <w:rPr>
                <w:rFonts w:hint="eastAsia" w:ascii="宋体" w:hAnsi="宋体" w:cs="宋体"/>
                <w:sz w:val="18"/>
                <w:szCs w:val="18"/>
              </w:rPr>
              <w:t>3</w:t>
            </w:r>
          </w:p>
        </w:tc>
      </w:tr>
      <w:tr w14:paraId="53B9E5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trPr>
        <w:tc>
          <w:tcPr>
            <w:tcW w:w="263" w:type="pct"/>
            <w:vAlign w:val="center"/>
          </w:tcPr>
          <w:p w14:paraId="320CF61A">
            <w:pPr>
              <w:widowControl/>
              <w:kinsoku w:val="0"/>
              <w:autoSpaceDE w:val="0"/>
              <w:autoSpaceDN w:val="0"/>
              <w:snapToGrid w:val="0"/>
              <w:spacing w:before="142" w:line="183" w:lineRule="auto"/>
              <w:jc w:val="center"/>
              <w:textAlignment w:val="baseline"/>
              <w:rPr>
                <w:rFonts w:ascii="宋体" w:hAnsi="宋体" w:cs="宋体"/>
                <w:sz w:val="18"/>
                <w:szCs w:val="18"/>
              </w:rPr>
            </w:pPr>
            <w:r>
              <w:rPr>
                <w:rFonts w:hint="eastAsia" w:ascii="宋体" w:hAnsi="宋体" w:cs="宋体"/>
                <w:sz w:val="18"/>
                <w:szCs w:val="18"/>
              </w:rPr>
              <w:t>18</w:t>
            </w:r>
          </w:p>
        </w:tc>
        <w:tc>
          <w:tcPr>
            <w:tcW w:w="764" w:type="pct"/>
            <w:vAlign w:val="center"/>
          </w:tcPr>
          <w:p w14:paraId="74C627EA">
            <w:pPr>
              <w:widowControl/>
              <w:kinsoku w:val="0"/>
              <w:autoSpaceDE w:val="0"/>
              <w:autoSpaceDN w:val="0"/>
              <w:snapToGrid w:val="0"/>
              <w:spacing w:before="97" w:line="220" w:lineRule="auto"/>
              <w:jc w:val="center"/>
              <w:textAlignment w:val="baseline"/>
              <w:rPr>
                <w:rFonts w:ascii="宋体" w:hAnsi="宋体" w:cs="宋体"/>
                <w:spacing w:val="-2"/>
                <w:sz w:val="18"/>
                <w:szCs w:val="18"/>
              </w:rPr>
            </w:pPr>
            <w:r>
              <w:rPr>
                <w:rFonts w:hint="eastAsia" w:ascii="宋体" w:hAnsi="宋体" w:cs="宋体"/>
                <w:spacing w:val="-2"/>
                <w:sz w:val="18"/>
                <w:szCs w:val="18"/>
              </w:rPr>
              <w:t>试运行</w:t>
            </w:r>
          </w:p>
        </w:tc>
        <w:tc>
          <w:tcPr>
            <w:tcW w:w="1928" w:type="pct"/>
            <w:vAlign w:val="center"/>
          </w:tcPr>
          <w:p w14:paraId="4D343EB1">
            <w:pPr>
              <w:widowControl/>
              <w:kinsoku w:val="0"/>
              <w:autoSpaceDE w:val="0"/>
              <w:autoSpaceDN w:val="0"/>
              <w:snapToGrid w:val="0"/>
              <w:spacing w:before="97" w:line="220" w:lineRule="auto"/>
              <w:jc w:val="center"/>
              <w:textAlignment w:val="baseline"/>
              <w:rPr>
                <w:rFonts w:ascii="宋体" w:hAnsi="宋体" w:cs="宋体"/>
                <w:sz w:val="18"/>
                <w:szCs w:val="18"/>
              </w:rPr>
            </w:pPr>
            <w:r>
              <w:rPr>
                <w:rFonts w:ascii="宋体" w:hAnsi="宋体" w:cs="宋体"/>
                <w:spacing w:val="-2"/>
                <w:sz w:val="18"/>
                <w:szCs w:val="18"/>
              </w:rPr>
              <w:t>试运行</w:t>
            </w:r>
          </w:p>
        </w:tc>
        <w:tc>
          <w:tcPr>
            <w:tcW w:w="454" w:type="pct"/>
            <w:vAlign w:val="center"/>
          </w:tcPr>
          <w:p w14:paraId="7C1E293D">
            <w:pPr>
              <w:widowControl/>
              <w:kinsoku w:val="0"/>
              <w:autoSpaceDE w:val="0"/>
              <w:autoSpaceDN w:val="0"/>
              <w:snapToGrid w:val="0"/>
              <w:spacing w:before="141" w:line="184" w:lineRule="auto"/>
              <w:jc w:val="center"/>
              <w:textAlignment w:val="baseline"/>
              <w:rPr>
                <w:rFonts w:ascii="宋体" w:hAnsi="宋体" w:cs="宋体"/>
                <w:spacing w:val="-2"/>
                <w:sz w:val="18"/>
                <w:szCs w:val="18"/>
              </w:rPr>
            </w:pPr>
            <w:r>
              <w:rPr>
                <w:rFonts w:hint="eastAsia" w:ascii="宋体" w:hAnsi="宋体" w:cs="宋体"/>
                <w:spacing w:val="-2"/>
                <w:sz w:val="18"/>
                <w:szCs w:val="18"/>
              </w:rPr>
              <w:t>√</w:t>
            </w:r>
          </w:p>
        </w:tc>
        <w:tc>
          <w:tcPr>
            <w:tcW w:w="454" w:type="pct"/>
          </w:tcPr>
          <w:p w14:paraId="50413A61">
            <w:pPr>
              <w:widowControl/>
              <w:kinsoku w:val="0"/>
              <w:autoSpaceDE w:val="0"/>
              <w:autoSpaceDN w:val="0"/>
              <w:snapToGrid w:val="0"/>
              <w:spacing w:before="141" w:line="184" w:lineRule="auto"/>
              <w:jc w:val="center"/>
              <w:textAlignment w:val="baseline"/>
              <w:rPr>
                <w:rFonts w:ascii="宋体" w:hAnsi="宋体" w:cs="宋体"/>
                <w:sz w:val="18"/>
                <w:szCs w:val="18"/>
              </w:rPr>
            </w:pPr>
          </w:p>
        </w:tc>
        <w:tc>
          <w:tcPr>
            <w:tcW w:w="1136" w:type="pct"/>
            <w:vAlign w:val="center"/>
          </w:tcPr>
          <w:p w14:paraId="083F7F84">
            <w:pPr>
              <w:widowControl/>
              <w:kinsoku w:val="0"/>
              <w:autoSpaceDE w:val="0"/>
              <w:autoSpaceDN w:val="0"/>
              <w:snapToGrid w:val="0"/>
              <w:spacing w:before="141" w:line="184" w:lineRule="auto"/>
              <w:jc w:val="center"/>
              <w:textAlignment w:val="baseline"/>
              <w:rPr>
                <w:rFonts w:ascii="宋体" w:hAnsi="宋体" w:cs="宋体"/>
                <w:sz w:val="18"/>
                <w:szCs w:val="18"/>
              </w:rPr>
            </w:pPr>
            <w:r>
              <w:rPr>
                <w:rFonts w:hint="eastAsia" w:ascii="宋体" w:hAnsi="宋体" w:cs="宋体"/>
                <w:sz w:val="18"/>
                <w:szCs w:val="18"/>
              </w:rPr>
              <w:t>6</w:t>
            </w:r>
            <w:r>
              <w:rPr>
                <w:rFonts w:ascii="宋体" w:hAnsi="宋体" w:cs="宋体"/>
                <w:sz w:val="18"/>
                <w:szCs w:val="18"/>
              </w:rPr>
              <w:t>.</w:t>
            </w:r>
            <w:r>
              <w:rPr>
                <w:rFonts w:hint="eastAsia" w:ascii="宋体" w:hAnsi="宋体" w:cs="宋体"/>
                <w:sz w:val="18"/>
                <w:szCs w:val="18"/>
              </w:rPr>
              <w:t>3</w:t>
            </w:r>
          </w:p>
        </w:tc>
      </w:tr>
      <w:bookmarkEnd w:id="69"/>
      <w:bookmarkEnd w:id="70"/>
      <w:bookmarkEnd w:id="71"/>
      <w:bookmarkEnd w:id="72"/>
      <w:bookmarkEnd w:id="73"/>
    </w:tbl>
    <w:p w14:paraId="3B905D70">
      <w:pPr>
        <w:pStyle w:val="106"/>
        <w:spacing w:before="120" w:after="120"/>
      </w:pPr>
      <w:bookmarkStart w:id="78" w:name="_Toc24150"/>
      <w:r>
        <w:t>试验</w:t>
      </w:r>
      <w:r>
        <w:rPr>
          <w:rFonts w:hint="eastAsia"/>
        </w:rPr>
        <w:t>前必须具备的条件</w:t>
      </w:r>
      <w:bookmarkEnd w:id="78"/>
    </w:p>
    <w:p w14:paraId="2846A72E">
      <w:pPr>
        <w:pStyle w:val="57"/>
        <w:ind w:firstLine="420"/>
      </w:pPr>
      <w:r>
        <w:rPr>
          <w:rFonts w:hint="eastAsia"/>
        </w:rPr>
        <w:t>现场系统调试试验需按照带电试验、性能试验、试运行的顺序开展试验。试验前必须具备如下条件：</w:t>
      </w:r>
    </w:p>
    <w:p w14:paraId="61C6AAA5">
      <w:pPr>
        <w:pStyle w:val="175"/>
        <w:numPr>
          <w:ilvl w:val="0"/>
          <w:numId w:val="35"/>
        </w:numPr>
      </w:pPr>
      <w:r>
        <w:t>即将进入</w:t>
      </w:r>
      <w:r>
        <w:rPr>
          <w:rFonts w:hint="eastAsia"/>
        </w:rPr>
        <w:t>现场</w:t>
      </w:r>
      <w:r>
        <w:t>系统调试</w:t>
      </w:r>
      <w:r>
        <w:rPr>
          <w:rFonts w:hint="eastAsia"/>
        </w:rPr>
        <w:t>试验</w:t>
      </w:r>
      <w:r>
        <w:t>的</w:t>
      </w:r>
      <w:r>
        <w:rPr>
          <w:rFonts w:hint="eastAsia"/>
        </w:rPr>
        <w:t>构网型静止无功发生器</w:t>
      </w:r>
      <w:r>
        <w:t>一、二次设备及通信设备已按照有关规程规定完成全部单体试验项目和分系统试验项目，并验收合格，具备启动调试条件。</w:t>
      </w:r>
    </w:p>
    <w:p w14:paraId="21913FB9">
      <w:pPr>
        <w:pStyle w:val="175"/>
        <w:numPr>
          <w:ilvl w:val="0"/>
          <w:numId w:val="35"/>
        </w:numPr>
      </w:pPr>
      <w:r>
        <w:rPr>
          <w:rFonts w:hint="eastAsia"/>
        </w:rPr>
        <w:t>构网型静止无功发生器</w:t>
      </w:r>
      <w:r>
        <w:t>冷却系统完成相关试验。</w:t>
      </w:r>
    </w:p>
    <w:p w14:paraId="3F7966CC">
      <w:pPr>
        <w:pStyle w:val="175"/>
        <w:numPr>
          <w:ilvl w:val="0"/>
          <w:numId w:val="35"/>
        </w:numPr>
      </w:pPr>
      <w:r>
        <w:t>换流</w:t>
      </w:r>
      <w:r>
        <w:rPr>
          <w:rFonts w:hint="eastAsia"/>
        </w:rPr>
        <w:t>阀</w:t>
      </w:r>
      <w:r>
        <w:t>已按照相关标准完成现场试验。</w:t>
      </w:r>
    </w:p>
    <w:p w14:paraId="40A33B45">
      <w:pPr>
        <w:pStyle w:val="175"/>
        <w:numPr>
          <w:ilvl w:val="0"/>
          <w:numId w:val="35"/>
        </w:numPr>
      </w:pPr>
      <w:r>
        <w:rPr>
          <w:rFonts w:hint="eastAsia"/>
        </w:rPr>
        <w:t>构网型静止无功发生器</w:t>
      </w:r>
      <w:r>
        <w:t>主回路有关的开关、刀闸具备操作条件。</w:t>
      </w:r>
    </w:p>
    <w:p w14:paraId="3D3137F3">
      <w:pPr>
        <w:pStyle w:val="175"/>
        <w:numPr>
          <w:ilvl w:val="0"/>
          <w:numId w:val="35"/>
        </w:numPr>
      </w:pPr>
      <w:r>
        <w:rPr>
          <w:rFonts w:hint="eastAsia"/>
        </w:rPr>
        <w:t>构网型静止无功发生器</w:t>
      </w:r>
      <w:r>
        <w:t>设备、场地、通讯、照明、安全设施、消防设施</w:t>
      </w:r>
      <w:r>
        <w:rPr>
          <w:rFonts w:hint="eastAsia"/>
        </w:rPr>
        <w:t>、辅助设施（如阀厅空调等）</w:t>
      </w:r>
      <w:r>
        <w:t>均已具备投运条件。</w:t>
      </w:r>
    </w:p>
    <w:p w14:paraId="1DBA3E06">
      <w:pPr>
        <w:pStyle w:val="175"/>
        <w:numPr>
          <w:ilvl w:val="0"/>
          <w:numId w:val="35"/>
        </w:numPr>
      </w:pPr>
      <w:r>
        <w:rPr>
          <w:rFonts w:hint="eastAsia"/>
        </w:rPr>
        <w:t>构网型静止无功发生器</w:t>
      </w:r>
      <w:r>
        <w:t>设备控制保护系统定值按有关单位的定值单定值整定并启用。</w:t>
      </w:r>
    </w:p>
    <w:p w14:paraId="01D4BA9B">
      <w:pPr>
        <w:pStyle w:val="175"/>
        <w:numPr>
          <w:ilvl w:val="0"/>
          <w:numId w:val="35"/>
        </w:numPr>
      </w:pPr>
      <w:r>
        <w:rPr>
          <w:rFonts w:hint="eastAsia"/>
        </w:rPr>
        <w:t>构网型静止无功发生器</w:t>
      </w:r>
      <w:r>
        <w:t>设备紧急停运按钮安装到位，验收通过。</w:t>
      </w:r>
    </w:p>
    <w:p w14:paraId="79909070">
      <w:pPr>
        <w:pStyle w:val="175"/>
        <w:numPr>
          <w:ilvl w:val="0"/>
          <w:numId w:val="35"/>
        </w:numPr>
      </w:pPr>
      <w:r>
        <w:t>控制室及试验现场联络</w:t>
      </w:r>
      <w:r>
        <w:rPr>
          <w:rFonts w:hint="eastAsia"/>
        </w:rPr>
        <w:t>通道</w:t>
      </w:r>
      <w:r>
        <w:t>应畅通。</w:t>
      </w:r>
    </w:p>
    <w:p w14:paraId="3786C28C">
      <w:pPr>
        <w:pStyle w:val="105"/>
        <w:spacing w:before="240" w:after="240"/>
        <w:rPr>
          <w:rFonts w:hint="eastAsia"/>
        </w:rPr>
      </w:pPr>
      <w:bookmarkStart w:id="79" w:name="_Toc26930"/>
      <w:r>
        <w:rPr>
          <w:rFonts w:hint="eastAsia"/>
        </w:rPr>
        <w:t>运行性能要求</w:t>
      </w:r>
      <w:bookmarkEnd w:id="79"/>
    </w:p>
    <w:p w14:paraId="6D56368A">
      <w:pPr>
        <w:pStyle w:val="106"/>
        <w:spacing w:before="120" w:after="120"/>
      </w:pPr>
      <w:bookmarkStart w:id="80" w:name="_Toc470"/>
      <w:bookmarkStart w:id="81" w:name="_Toc161865485"/>
      <w:bookmarkStart w:id="82" w:name="_Toc154147165"/>
      <w:r>
        <w:t>动态响应时间</w:t>
      </w:r>
      <w:bookmarkEnd w:id="80"/>
      <w:bookmarkEnd w:id="81"/>
    </w:p>
    <w:p w14:paraId="3579B6A5">
      <w:pPr>
        <w:pStyle w:val="57"/>
        <w:ind w:firstLine="420"/>
      </w:pPr>
      <w:r>
        <w:rPr>
          <w:rFonts w:hint="eastAsia"/>
        </w:rPr>
        <w:t>跟网模式下，构网型静止无功发生器</w:t>
      </w:r>
      <w:r>
        <w:t>动态响应时间应满足：在超调不大于20%时，控制系统响应时间不应大于12</w:t>
      </w:r>
      <w:r>
        <w:rPr>
          <w:rFonts w:hint="eastAsia"/>
        </w:rPr>
        <w:t>ms</w:t>
      </w:r>
      <w:r>
        <w:t>，阶跃响应时间不应大于20ms</w:t>
      </w:r>
      <w:r>
        <w:rPr>
          <w:rFonts w:hint="eastAsia"/>
        </w:rPr>
        <w:t>，</w:t>
      </w:r>
      <w:r>
        <w:t>补偿响应时间不应大于30ms</w:t>
      </w:r>
      <w:r>
        <w:rPr>
          <w:rFonts w:hint="eastAsia"/>
        </w:rPr>
        <w:t>，</w:t>
      </w:r>
      <w:r>
        <w:t>稳定时间不宜大于100ms</w:t>
      </w:r>
      <w:r>
        <w:rPr>
          <w:rFonts w:hint="eastAsia"/>
        </w:rPr>
        <w:t>。构网模式下，</w:t>
      </w:r>
      <w:r>
        <w:t>控制系统响应时间不大于5ms</w:t>
      </w:r>
      <w:bookmarkStart w:id="83" w:name="_Toc161865486"/>
      <w:r>
        <w:rPr>
          <w:rFonts w:hint="eastAsia"/>
        </w:rPr>
        <w:t>。</w:t>
      </w:r>
    </w:p>
    <w:p w14:paraId="23F668DF">
      <w:pPr>
        <w:pStyle w:val="106"/>
        <w:spacing w:before="120" w:after="120"/>
      </w:pPr>
      <w:bookmarkStart w:id="84" w:name="_Toc19053"/>
      <w:r>
        <w:t>检测及控制精度要求</w:t>
      </w:r>
      <w:bookmarkEnd w:id="83"/>
      <w:bookmarkEnd w:id="84"/>
    </w:p>
    <w:p w14:paraId="2BF52E8D">
      <w:pPr>
        <w:pStyle w:val="57"/>
        <w:ind w:firstLine="420"/>
      </w:pPr>
      <w:r>
        <w:t>电压测量的相对误差不大于0.5%，电流测量的相对误差不大于1%。</w:t>
      </w:r>
    </w:p>
    <w:p w14:paraId="3B009024">
      <w:pPr>
        <w:pStyle w:val="57"/>
        <w:ind w:firstLine="420"/>
      </w:pPr>
      <w:r>
        <w:rPr>
          <w:rFonts w:hint="eastAsia"/>
        </w:rPr>
        <w:t>构网型静止无功发生器</w:t>
      </w:r>
      <w:r>
        <w:t>稳态控制精度应满足以下要求：</w:t>
      </w:r>
      <w:bookmarkStart w:id="85" w:name="OLE_LINK2"/>
    </w:p>
    <w:p w14:paraId="17323F80">
      <w:pPr>
        <w:pStyle w:val="57"/>
        <w:ind w:firstLine="420"/>
      </w:pPr>
      <w:r>
        <w:rPr>
          <w:rFonts w:hint="eastAsia"/>
        </w:rPr>
        <w:t>系统</w:t>
      </w:r>
      <w:r>
        <w:t>稳态下</w:t>
      </w:r>
      <w:r>
        <w:rPr>
          <w:rFonts w:hint="eastAsia"/>
        </w:rPr>
        <w:t>，</w:t>
      </w:r>
      <w:r>
        <w:t>无功</w:t>
      </w:r>
      <w:r>
        <w:rPr>
          <w:rFonts w:hint="eastAsia"/>
        </w:rPr>
        <w:t>功率</w:t>
      </w:r>
      <w:r>
        <w:t>输出和设定值之间偏差的绝对值应符合表2的规定</w:t>
      </w:r>
      <w:r>
        <w:rPr>
          <w:rFonts w:hint="eastAsia"/>
        </w:rPr>
        <w:t>。</w:t>
      </w:r>
    </w:p>
    <w:bookmarkEnd w:id="85"/>
    <w:p w14:paraId="6EA49B47">
      <w:pPr>
        <w:widowControl/>
        <w:kinsoku w:val="0"/>
        <w:autoSpaceDE w:val="0"/>
        <w:autoSpaceDN w:val="0"/>
        <w:snapToGrid w:val="0"/>
        <w:spacing w:before="227" w:line="222" w:lineRule="auto"/>
        <w:jc w:val="center"/>
        <w:textAlignment w:val="baseline"/>
        <w:rPr>
          <w:rFonts w:ascii="黑体" w:hAnsi="黑体" w:eastAsia="黑体" w:cs="黑体"/>
          <w:snapToGrid w:val="0"/>
          <w:kern w:val="0"/>
        </w:rPr>
      </w:pPr>
      <w:r>
        <w:rPr>
          <w:rFonts w:hint="eastAsia" w:ascii="黑体" w:hAnsi="黑体" w:eastAsia="黑体" w:cs="黑体"/>
          <w:snapToGrid w:val="0"/>
          <w:spacing w:val="-1"/>
          <w:kern w:val="0"/>
        </w:rPr>
        <w:t>表</w:t>
      </w:r>
      <w:r>
        <w:rPr>
          <w:rFonts w:ascii="黑体" w:hAnsi="黑体" w:eastAsia="黑体" w:cs="黑体"/>
          <w:snapToGrid w:val="0"/>
          <w:spacing w:val="-1"/>
          <w:kern w:val="0"/>
        </w:rPr>
        <w:fldChar w:fldCharType="begin"/>
      </w:r>
      <w:r>
        <w:rPr>
          <w:rFonts w:ascii="黑体" w:hAnsi="黑体" w:eastAsia="黑体" w:cs="黑体"/>
          <w:snapToGrid w:val="0"/>
          <w:spacing w:val="-1"/>
          <w:kern w:val="0"/>
        </w:rPr>
        <w:instrText xml:space="preserve"> SEQ 表 \* ARABIC </w:instrText>
      </w:r>
      <w:r>
        <w:rPr>
          <w:rFonts w:ascii="黑体" w:hAnsi="黑体" w:eastAsia="黑体" w:cs="黑体"/>
          <w:snapToGrid w:val="0"/>
          <w:spacing w:val="-1"/>
          <w:kern w:val="0"/>
        </w:rPr>
        <w:fldChar w:fldCharType="separate"/>
      </w:r>
      <w:r>
        <w:rPr>
          <w:rFonts w:ascii="黑体" w:hAnsi="黑体" w:eastAsia="黑体" w:cs="黑体"/>
          <w:snapToGrid w:val="0"/>
          <w:spacing w:val="-1"/>
          <w:kern w:val="0"/>
        </w:rPr>
        <w:t>2</w:t>
      </w:r>
      <w:r>
        <w:rPr>
          <w:rFonts w:ascii="黑体" w:hAnsi="黑体" w:eastAsia="黑体" w:cs="黑体"/>
          <w:snapToGrid w:val="0"/>
          <w:spacing w:val="-1"/>
          <w:kern w:val="0"/>
        </w:rPr>
        <w:fldChar w:fldCharType="end"/>
      </w:r>
      <w:r>
        <w:rPr>
          <w:rFonts w:ascii="黑体" w:hAnsi="黑体" w:eastAsia="黑体" w:cs="黑体"/>
          <w:snapToGrid w:val="0"/>
          <w:spacing w:val="-1"/>
          <w:kern w:val="0"/>
        </w:rPr>
        <w:t xml:space="preserve"> </w:t>
      </w:r>
      <w:r>
        <w:rPr>
          <w:rFonts w:hint="eastAsia" w:ascii="黑体" w:hAnsi="黑体" w:eastAsia="黑体" w:cs="黑体"/>
          <w:bCs/>
          <w:snapToGrid w:val="0"/>
          <w:spacing w:val="-3"/>
          <w:kern w:val="0"/>
        </w:rPr>
        <w:t>构网型控制</w:t>
      </w:r>
      <w:r>
        <w:rPr>
          <w:rFonts w:ascii="黑体" w:hAnsi="黑体" w:eastAsia="黑体" w:cs="黑体"/>
          <w:bCs/>
          <w:snapToGrid w:val="0"/>
          <w:spacing w:val="-3"/>
          <w:kern w:val="0"/>
        </w:rPr>
        <w:t>模式</w:t>
      </w:r>
      <w:r>
        <w:rPr>
          <w:rFonts w:hint="eastAsia" w:ascii="黑体" w:hAnsi="黑体" w:eastAsia="黑体" w:cs="宋体"/>
          <w:snapToGrid w:val="0"/>
          <w:spacing w:val="-2"/>
          <w:kern w:val="0"/>
        </w:rPr>
        <w:t>和</w:t>
      </w:r>
      <w:r>
        <w:rPr>
          <w:rFonts w:hint="eastAsia" w:ascii="黑体" w:hAnsi="黑体" w:eastAsia="黑体" w:cs="宋体"/>
          <w:snapToGrid w:val="0"/>
          <w:spacing w:val="2"/>
          <w:kern w:val="0"/>
        </w:rPr>
        <w:t>跟网型</w:t>
      </w:r>
      <w:r>
        <w:rPr>
          <w:rFonts w:ascii="黑体" w:hAnsi="黑体" w:eastAsia="黑体" w:cs="宋体"/>
          <w:snapToGrid w:val="0"/>
          <w:spacing w:val="2"/>
          <w:kern w:val="0"/>
        </w:rPr>
        <w:t>恒无功运行模式</w:t>
      </w:r>
      <w:r>
        <w:rPr>
          <w:rFonts w:ascii="黑体" w:hAnsi="黑体" w:eastAsia="黑体" w:cs="黑体"/>
          <w:bCs/>
          <w:snapToGrid w:val="0"/>
          <w:spacing w:val="-3"/>
          <w:kern w:val="0"/>
        </w:rPr>
        <w:t>下稳态控制精度</w:t>
      </w:r>
    </w:p>
    <w:p w14:paraId="273401D8">
      <w:pPr>
        <w:widowControl/>
        <w:kinsoku w:val="0"/>
        <w:autoSpaceDE w:val="0"/>
        <w:autoSpaceDN w:val="0"/>
        <w:snapToGrid w:val="0"/>
        <w:spacing w:line="58" w:lineRule="exact"/>
        <w:jc w:val="left"/>
        <w:textAlignment w:val="baseline"/>
        <w:rPr>
          <w:rFonts w:ascii="Arial" w:hAnsi="Arial" w:cs="Arial" w:eastAsiaTheme="minorEastAsia"/>
          <w:snapToGrid w:val="0"/>
          <w:color w:val="FF0000"/>
          <w:kern w:val="0"/>
        </w:rPr>
      </w:pPr>
    </w:p>
    <w:tbl>
      <w:tblPr>
        <w:tblStyle w:val="238"/>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4691"/>
        <w:gridCol w:w="4673"/>
      </w:tblGrid>
      <w:tr w14:paraId="3BB18C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505" w:type="pct"/>
          </w:tcPr>
          <w:p w14:paraId="52A7AEBE">
            <w:pPr>
              <w:widowControl/>
              <w:kinsoku w:val="0"/>
              <w:autoSpaceDE w:val="0"/>
              <w:autoSpaceDN w:val="0"/>
              <w:snapToGrid w:val="0"/>
              <w:spacing w:line="240" w:lineRule="auto"/>
              <w:jc w:val="center"/>
              <w:textAlignment w:val="baseline"/>
              <w:rPr>
                <w:rFonts w:ascii="宋体" w:hAnsi="宋体" w:eastAsia="宋体" w:cs="宋体"/>
                <w:snapToGrid/>
                <w:color w:val="auto"/>
                <w:kern w:val="0"/>
                <w:sz w:val="18"/>
                <w:szCs w:val="18"/>
                <w:lang w:eastAsia="zh-CN"/>
              </w:rPr>
            </w:pPr>
            <w:r>
              <w:rPr>
                <w:rFonts w:hint="eastAsia" w:ascii="宋体" w:hAnsi="宋体" w:eastAsia="宋体" w:cs="宋体"/>
                <w:snapToGrid/>
                <w:color w:val="auto"/>
                <w:kern w:val="0"/>
                <w:sz w:val="18"/>
                <w:szCs w:val="18"/>
                <w:lang w:eastAsia="zh-CN"/>
              </w:rPr>
              <w:t>输出无功功率/额定功率</w:t>
            </w:r>
          </w:p>
        </w:tc>
        <w:tc>
          <w:tcPr>
            <w:tcW w:w="2495" w:type="pct"/>
          </w:tcPr>
          <w:p w14:paraId="2D283710">
            <w:pPr>
              <w:widowControl/>
              <w:kinsoku w:val="0"/>
              <w:autoSpaceDE w:val="0"/>
              <w:autoSpaceDN w:val="0"/>
              <w:snapToGrid w:val="0"/>
              <w:spacing w:line="240" w:lineRule="auto"/>
              <w:jc w:val="center"/>
              <w:textAlignment w:val="baseline"/>
              <w:rPr>
                <w:rFonts w:ascii="宋体" w:hAnsi="宋体" w:eastAsia="宋体" w:cs="宋体"/>
                <w:snapToGrid/>
                <w:color w:val="auto"/>
                <w:kern w:val="0"/>
                <w:sz w:val="18"/>
                <w:szCs w:val="18"/>
                <w:lang w:eastAsia="zh-CN"/>
              </w:rPr>
            </w:pPr>
            <w:r>
              <w:rPr>
                <w:rFonts w:hint="eastAsia" w:ascii="宋体" w:hAnsi="宋体" w:eastAsia="宋体" w:cs="宋体"/>
                <w:snapToGrid/>
                <w:color w:val="auto"/>
                <w:kern w:val="0"/>
                <w:sz w:val="18"/>
                <w:szCs w:val="18"/>
                <w:lang w:eastAsia="zh-CN"/>
              </w:rPr>
              <w:t>无功输出和设定值之间偏差的绝对值</w:t>
            </w:r>
          </w:p>
        </w:tc>
      </w:tr>
      <w:tr w14:paraId="52FC47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505" w:type="pct"/>
          </w:tcPr>
          <w:p w14:paraId="0788FA58">
            <w:pPr>
              <w:widowControl/>
              <w:kinsoku w:val="0"/>
              <w:autoSpaceDE w:val="0"/>
              <w:autoSpaceDN w:val="0"/>
              <w:snapToGrid w:val="0"/>
              <w:spacing w:line="240" w:lineRule="auto"/>
              <w:jc w:val="center"/>
              <w:textAlignment w:val="baseline"/>
              <w:rPr>
                <w:rFonts w:ascii="宋体" w:hAnsi="宋体" w:eastAsia="宋体" w:cs="宋体"/>
                <w:snapToGrid/>
                <w:color w:val="auto"/>
                <w:kern w:val="0"/>
                <w:sz w:val="18"/>
                <w:szCs w:val="18"/>
                <w:lang w:eastAsia="en-US"/>
              </w:rPr>
            </w:pPr>
            <w:r>
              <w:rPr>
                <w:rFonts w:hint="eastAsia" w:ascii="宋体" w:hAnsi="宋体" w:eastAsia="宋体" w:cs="宋体"/>
                <w:snapToGrid/>
                <w:color w:val="auto"/>
                <w:kern w:val="0"/>
                <w:sz w:val="18"/>
                <w:szCs w:val="18"/>
                <w:lang w:eastAsia="en-US"/>
              </w:rPr>
              <w:t>20%～50%</w:t>
            </w:r>
          </w:p>
        </w:tc>
        <w:tc>
          <w:tcPr>
            <w:tcW w:w="2495" w:type="pct"/>
          </w:tcPr>
          <w:p w14:paraId="588C865B">
            <w:pPr>
              <w:widowControl/>
              <w:kinsoku w:val="0"/>
              <w:autoSpaceDE w:val="0"/>
              <w:autoSpaceDN w:val="0"/>
              <w:snapToGrid w:val="0"/>
              <w:spacing w:line="240" w:lineRule="auto"/>
              <w:jc w:val="center"/>
              <w:textAlignment w:val="baseline"/>
              <w:rPr>
                <w:rFonts w:ascii="宋体" w:hAnsi="宋体" w:eastAsia="宋体" w:cs="宋体"/>
                <w:snapToGrid/>
                <w:color w:val="auto"/>
                <w:kern w:val="0"/>
                <w:sz w:val="18"/>
                <w:szCs w:val="18"/>
                <w:lang w:eastAsia="en-US"/>
              </w:rPr>
            </w:pPr>
            <w:r>
              <w:rPr>
                <w:rFonts w:hint="eastAsia" w:ascii="宋体" w:hAnsi="宋体" w:eastAsia="宋体" w:cs="宋体"/>
                <w:snapToGrid/>
                <w:color w:val="auto"/>
                <w:kern w:val="0"/>
                <w:sz w:val="18"/>
                <w:szCs w:val="18"/>
                <w:lang w:eastAsia="en-US"/>
              </w:rPr>
              <w:t>≤(5%×设定值)</w:t>
            </w:r>
          </w:p>
        </w:tc>
      </w:tr>
      <w:tr w14:paraId="757632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505" w:type="pct"/>
          </w:tcPr>
          <w:p w14:paraId="00BCE1C4">
            <w:pPr>
              <w:widowControl/>
              <w:kinsoku w:val="0"/>
              <w:autoSpaceDE w:val="0"/>
              <w:autoSpaceDN w:val="0"/>
              <w:snapToGrid w:val="0"/>
              <w:spacing w:line="240" w:lineRule="auto"/>
              <w:jc w:val="center"/>
              <w:textAlignment w:val="baseline"/>
              <w:rPr>
                <w:rFonts w:ascii="宋体" w:hAnsi="宋体" w:eastAsia="宋体" w:cs="宋体"/>
                <w:snapToGrid/>
                <w:color w:val="auto"/>
                <w:kern w:val="0"/>
                <w:sz w:val="18"/>
                <w:szCs w:val="18"/>
                <w:lang w:eastAsia="en-US"/>
              </w:rPr>
            </w:pPr>
            <w:r>
              <w:rPr>
                <w:rFonts w:hint="eastAsia" w:ascii="宋体" w:hAnsi="宋体" w:eastAsia="宋体" w:cs="宋体"/>
                <w:snapToGrid/>
                <w:color w:val="auto"/>
                <w:kern w:val="0"/>
                <w:sz w:val="18"/>
                <w:szCs w:val="18"/>
                <w:lang w:eastAsia="en-US"/>
              </w:rPr>
              <w:t>50%～110%</w:t>
            </w:r>
          </w:p>
        </w:tc>
        <w:tc>
          <w:tcPr>
            <w:tcW w:w="2495" w:type="pct"/>
          </w:tcPr>
          <w:p w14:paraId="041F8D83">
            <w:pPr>
              <w:widowControl/>
              <w:kinsoku w:val="0"/>
              <w:autoSpaceDE w:val="0"/>
              <w:autoSpaceDN w:val="0"/>
              <w:snapToGrid w:val="0"/>
              <w:spacing w:line="240" w:lineRule="auto"/>
              <w:jc w:val="center"/>
              <w:textAlignment w:val="baseline"/>
              <w:rPr>
                <w:rFonts w:ascii="宋体" w:hAnsi="宋体" w:eastAsia="宋体" w:cs="宋体"/>
                <w:snapToGrid/>
                <w:color w:val="auto"/>
                <w:kern w:val="0"/>
                <w:sz w:val="18"/>
                <w:szCs w:val="18"/>
                <w:lang w:eastAsia="en-US"/>
              </w:rPr>
            </w:pPr>
            <w:r>
              <w:rPr>
                <w:rFonts w:hint="eastAsia" w:ascii="宋体" w:hAnsi="宋体" w:eastAsia="宋体" w:cs="宋体"/>
                <w:snapToGrid/>
                <w:color w:val="auto"/>
                <w:kern w:val="0"/>
                <w:sz w:val="18"/>
                <w:szCs w:val="18"/>
                <w:lang w:eastAsia="en-US"/>
              </w:rPr>
              <w:t>≤(2.5%×额定值)</w:t>
            </w:r>
          </w:p>
        </w:tc>
      </w:tr>
    </w:tbl>
    <w:p w14:paraId="0511FD1C">
      <w:pPr>
        <w:pStyle w:val="106"/>
        <w:spacing w:before="120" w:after="120"/>
      </w:pPr>
      <w:bookmarkStart w:id="86" w:name="_Toc16018"/>
      <w:bookmarkStart w:id="87" w:name="_Toc161865487"/>
      <w:r>
        <w:t>电流过载能力</w:t>
      </w:r>
      <w:bookmarkEnd w:id="86"/>
      <w:bookmarkEnd w:id="87"/>
    </w:p>
    <w:p w14:paraId="5616CCA1">
      <w:pPr>
        <w:pStyle w:val="57"/>
        <w:ind w:firstLine="420"/>
      </w:pPr>
      <w:r>
        <w:rPr>
          <w:rFonts w:hint="eastAsia"/>
        </w:rPr>
        <w:t>构网型静止无功发生器应具备过载能力。一般要求为：</w:t>
      </w:r>
      <w:r>
        <w:t>在1.1</w:t>
      </w:r>
      <w:r>
        <w:rPr>
          <w:rFonts w:hint="eastAsia"/>
        </w:rPr>
        <w:t>倍</w:t>
      </w:r>
      <w:r>
        <w:t>额定电流下应能长期持续运行；在1.2</w:t>
      </w:r>
      <w:r>
        <w:rPr>
          <w:rFonts w:hint="eastAsia"/>
        </w:rPr>
        <w:t>倍</w:t>
      </w:r>
      <w:r>
        <w:t>额定电流下，持续运行时间应不少于2min；在1.5</w:t>
      </w:r>
      <w:r>
        <w:rPr>
          <w:rFonts w:hint="eastAsia"/>
        </w:rPr>
        <w:t>倍</w:t>
      </w:r>
      <w:r>
        <w:t>额定电流下，持续运行时间不少于1min</w:t>
      </w:r>
      <w:r>
        <w:rPr>
          <w:rFonts w:hint="eastAsia"/>
        </w:rPr>
        <w:t>；</w:t>
      </w:r>
      <w:r>
        <w:t>在3</w:t>
      </w:r>
      <w:r>
        <w:rPr>
          <w:rFonts w:hint="eastAsia"/>
        </w:rPr>
        <w:t>倍</w:t>
      </w:r>
      <w:r>
        <w:t>额定电流下，持续运行时间不少于10s</w:t>
      </w:r>
      <w:r>
        <w:rPr>
          <w:rFonts w:hint="eastAsia"/>
        </w:rPr>
        <w:t>。超出暂态过流倍数应具有限流能力。</w:t>
      </w:r>
    </w:p>
    <w:p w14:paraId="546479CB">
      <w:pPr>
        <w:pStyle w:val="106"/>
        <w:spacing w:before="120" w:after="120"/>
      </w:pPr>
      <w:bookmarkStart w:id="88" w:name="_Toc10265"/>
      <w:bookmarkStart w:id="89" w:name="_Toc161865491"/>
      <w:r>
        <w:t>电流谐波特性</w:t>
      </w:r>
      <w:bookmarkEnd w:id="88"/>
      <w:bookmarkEnd w:id="89"/>
    </w:p>
    <w:p w14:paraId="5C01879E">
      <w:pPr>
        <w:pStyle w:val="57"/>
        <w:ind w:firstLine="420"/>
      </w:pPr>
      <w:r>
        <w:rPr>
          <w:rFonts w:hint="eastAsia"/>
        </w:rPr>
        <w:t>在不投入谐波补偿功能的情况下，</w:t>
      </w:r>
      <w:r>
        <w:t>额定工作条件下，静止无功发生器输出电流的总谐波不大于额定电流的3%，且各次电流谐波需满足GB/T 14549的要求，引起的连接点电压间谐波需满足GB/T 24337的要求。</w:t>
      </w:r>
    </w:p>
    <w:p w14:paraId="4B9DDE06">
      <w:pPr>
        <w:pStyle w:val="106"/>
        <w:spacing w:before="120" w:after="120"/>
      </w:pPr>
      <w:bookmarkStart w:id="90" w:name="_Toc161865492"/>
      <w:bookmarkStart w:id="91" w:name="_Toc19087"/>
      <w:r>
        <w:t>噪声</w:t>
      </w:r>
      <w:bookmarkEnd w:id="90"/>
      <w:bookmarkEnd w:id="91"/>
    </w:p>
    <w:p w14:paraId="7E4D6FDD">
      <w:pPr>
        <w:pStyle w:val="57"/>
        <w:ind w:firstLine="420"/>
      </w:pPr>
      <w:r>
        <w:t>在</w:t>
      </w:r>
      <w:r>
        <w:rPr>
          <w:rFonts w:hint="eastAsia"/>
        </w:rPr>
        <w:t>构网型静止无功发生器</w:t>
      </w:r>
      <w:r>
        <w:t>输出额定容量和周围环境噪声不大于40dB的条件下，距离噪声源水平位置1m处，测得的装置噪声最大声级不宜大于</w:t>
      </w:r>
      <w:r>
        <w:fldChar w:fldCharType="begin"/>
      </w:r>
      <w:r>
        <w:instrText xml:space="preserve"> REF _Ref161864183 \h  \* MERGEFORMAT </w:instrText>
      </w:r>
      <w:r>
        <w:fldChar w:fldCharType="separate"/>
      </w:r>
      <w:r>
        <w:rPr>
          <w:rFonts w:hint="eastAsia"/>
        </w:rPr>
        <w:t>表</w:t>
      </w:r>
      <w:r>
        <w:t>3</w:t>
      </w:r>
      <w:r>
        <w:fldChar w:fldCharType="end"/>
      </w:r>
      <w:r>
        <w:t>规定的限值。噪声对周围的影响应满足GB 12348和GB 3096的要求。</w:t>
      </w:r>
    </w:p>
    <w:p w14:paraId="1740ED13">
      <w:pPr>
        <w:widowControl/>
        <w:kinsoku w:val="0"/>
        <w:autoSpaceDE w:val="0"/>
        <w:autoSpaceDN w:val="0"/>
        <w:snapToGrid w:val="0"/>
        <w:spacing w:before="227" w:line="222" w:lineRule="auto"/>
        <w:jc w:val="center"/>
        <w:textAlignment w:val="baseline"/>
        <w:rPr>
          <w:rFonts w:ascii="黑体" w:hAnsi="黑体" w:eastAsia="黑体" w:cs="黑体"/>
          <w:snapToGrid w:val="0"/>
          <w:spacing w:val="-1"/>
          <w:kern w:val="0"/>
        </w:rPr>
      </w:pPr>
      <w:bookmarkStart w:id="92" w:name="_Ref161864183"/>
      <w:r>
        <w:rPr>
          <w:rFonts w:hint="eastAsia" w:ascii="黑体" w:hAnsi="黑体" w:eastAsia="黑体" w:cs="黑体"/>
          <w:snapToGrid w:val="0"/>
          <w:spacing w:val="-1"/>
          <w:kern w:val="0"/>
        </w:rPr>
        <w:t>表</w:t>
      </w:r>
      <w:r>
        <w:rPr>
          <w:rFonts w:ascii="黑体" w:hAnsi="黑体" w:eastAsia="黑体" w:cs="黑体"/>
          <w:snapToGrid w:val="0"/>
          <w:spacing w:val="-1"/>
          <w:kern w:val="0"/>
        </w:rPr>
        <w:fldChar w:fldCharType="begin"/>
      </w:r>
      <w:r>
        <w:rPr>
          <w:rFonts w:ascii="黑体" w:hAnsi="黑体" w:eastAsia="黑体" w:cs="黑体"/>
          <w:snapToGrid w:val="0"/>
          <w:spacing w:val="-1"/>
          <w:kern w:val="0"/>
        </w:rPr>
        <w:instrText xml:space="preserve"> SEQ 表 \* ARABIC </w:instrText>
      </w:r>
      <w:r>
        <w:rPr>
          <w:rFonts w:ascii="黑体" w:hAnsi="黑体" w:eastAsia="黑体" w:cs="黑体"/>
          <w:snapToGrid w:val="0"/>
          <w:spacing w:val="-1"/>
          <w:kern w:val="0"/>
        </w:rPr>
        <w:fldChar w:fldCharType="separate"/>
      </w:r>
      <w:r>
        <w:rPr>
          <w:rFonts w:ascii="黑体" w:hAnsi="黑体" w:eastAsia="黑体" w:cs="黑体"/>
          <w:snapToGrid w:val="0"/>
          <w:spacing w:val="-1"/>
          <w:kern w:val="0"/>
        </w:rPr>
        <w:t>3</w:t>
      </w:r>
      <w:r>
        <w:rPr>
          <w:rFonts w:ascii="黑体" w:hAnsi="黑体" w:eastAsia="黑体" w:cs="黑体"/>
          <w:snapToGrid w:val="0"/>
          <w:spacing w:val="-1"/>
          <w:kern w:val="0"/>
        </w:rPr>
        <w:fldChar w:fldCharType="end"/>
      </w:r>
      <w:bookmarkEnd w:id="92"/>
      <w:r>
        <w:rPr>
          <w:rFonts w:ascii="黑体" w:hAnsi="黑体" w:eastAsia="黑体" w:cs="黑体"/>
          <w:snapToGrid w:val="0"/>
          <w:spacing w:val="-1"/>
          <w:kern w:val="0"/>
        </w:rPr>
        <w:t xml:space="preserve"> 噪声要求</w:t>
      </w:r>
    </w:p>
    <w:p w14:paraId="60B225F7">
      <w:pPr>
        <w:widowControl/>
        <w:kinsoku w:val="0"/>
        <w:autoSpaceDE w:val="0"/>
        <w:autoSpaceDN w:val="0"/>
        <w:snapToGrid w:val="0"/>
        <w:spacing w:line="57" w:lineRule="exact"/>
        <w:jc w:val="left"/>
        <w:textAlignment w:val="baseline"/>
        <w:rPr>
          <w:rFonts w:ascii="Arial" w:hAnsi="Arial" w:cs="Arial" w:eastAsiaTheme="minorEastAsia"/>
          <w:snapToGrid w:val="0"/>
          <w:kern w:val="0"/>
        </w:rPr>
      </w:pPr>
    </w:p>
    <w:tbl>
      <w:tblPr>
        <w:tblStyle w:val="23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938"/>
        <w:gridCol w:w="3291"/>
        <w:gridCol w:w="3135"/>
      </w:tblGrid>
      <w:tr w14:paraId="310998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 w:hRule="atLeast"/>
        </w:trPr>
        <w:tc>
          <w:tcPr>
            <w:tcW w:w="1569" w:type="pct"/>
            <w:vMerge w:val="restart"/>
            <w:tcBorders>
              <w:bottom w:val="nil"/>
            </w:tcBorders>
            <w:vAlign w:val="center"/>
          </w:tcPr>
          <w:p w14:paraId="1F15F451">
            <w:pPr>
              <w:widowControl/>
              <w:kinsoku w:val="0"/>
              <w:autoSpaceDE w:val="0"/>
              <w:autoSpaceDN w:val="0"/>
              <w:snapToGrid w:val="0"/>
              <w:spacing w:line="240" w:lineRule="auto"/>
              <w:jc w:val="center"/>
              <w:textAlignment w:val="baseline"/>
              <w:rPr>
                <w:rFonts w:ascii="宋体" w:hAnsi="宋体" w:eastAsia="宋体" w:cs="宋体"/>
                <w:snapToGrid/>
                <w:color w:val="auto"/>
                <w:kern w:val="0"/>
                <w:sz w:val="18"/>
                <w:szCs w:val="18"/>
                <w:lang w:eastAsia="en-US"/>
              </w:rPr>
            </w:pPr>
            <w:r>
              <w:rPr>
                <w:rFonts w:hint="eastAsia" w:ascii="宋体" w:hAnsi="宋体" w:eastAsia="宋体" w:cs="宋体"/>
                <w:snapToGrid/>
                <w:color w:val="auto"/>
                <w:kern w:val="0"/>
                <w:sz w:val="18"/>
                <w:szCs w:val="18"/>
                <w:lang w:eastAsia="en-US"/>
              </w:rPr>
              <w:t>环境</w:t>
            </w:r>
          </w:p>
        </w:tc>
        <w:tc>
          <w:tcPr>
            <w:tcW w:w="3431" w:type="pct"/>
            <w:gridSpan w:val="2"/>
            <w:vAlign w:val="center"/>
          </w:tcPr>
          <w:p w14:paraId="72C594C1">
            <w:pPr>
              <w:widowControl/>
              <w:kinsoku w:val="0"/>
              <w:autoSpaceDE w:val="0"/>
              <w:autoSpaceDN w:val="0"/>
              <w:snapToGrid w:val="0"/>
              <w:spacing w:line="240" w:lineRule="auto"/>
              <w:jc w:val="center"/>
              <w:textAlignment w:val="baseline"/>
              <w:rPr>
                <w:rFonts w:ascii="宋体" w:hAnsi="宋体" w:eastAsia="宋体" w:cs="宋体"/>
                <w:snapToGrid/>
                <w:color w:val="auto"/>
                <w:kern w:val="0"/>
                <w:sz w:val="18"/>
                <w:szCs w:val="18"/>
                <w:lang w:eastAsia="en-US"/>
              </w:rPr>
            </w:pPr>
            <w:r>
              <w:rPr>
                <w:rFonts w:hint="eastAsia" w:ascii="宋体" w:hAnsi="宋体" w:eastAsia="宋体" w:cs="宋体"/>
                <w:snapToGrid/>
                <w:color w:val="auto"/>
                <w:kern w:val="0"/>
                <w:sz w:val="18"/>
                <w:szCs w:val="18"/>
                <w:lang w:eastAsia="en-US"/>
              </w:rPr>
              <w:t>噪声最大值（dB）</w:t>
            </w:r>
          </w:p>
        </w:tc>
      </w:tr>
      <w:tr w14:paraId="39942A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 w:hRule="atLeast"/>
        </w:trPr>
        <w:tc>
          <w:tcPr>
            <w:tcW w:w="1569" w:type="pct"/>
            <w:vMerge w:val="continue"/>
            <w:tcBorders>
              <w:top w:val="nil"/>
            </w:tcBorders>
            <w:vAlign w:val="center"/>
          </w:tcPr>
          <w:p w14:paraId="3A5335ED">
            <w:pPr>
              <w:widowControl/>
              <w:kinsoku w:val="0"/>
              <w:autoSpaceDE w:val="0"/>
              <w:autoSpaceDN w:val="0"/>
              <w:snapToGrid w:val="0"/>
              <w:spacing w:line="240" w:lineRule="auto"/>
              <w:jc w:val="center"/>
              <w:textAlignment w:val="baseline"/>
              <w:rPr>
                <w:rFonts w:ascii="宋体" w:hAnsi="宋体" w:eastAsia="宋体" w:cs="宋体"/>
                <w:snapToGrid/>
                <w:color w:val="auto"/>
                <w:kern w:val="0"/>
                <w:sz w:val="18"/>
                <w:szCs w:val="18"/>
                <w:lang w:eastAsia="en-US"/>
              </w:rPr>
            </w:pPr>
          </w:p>
        </w:tc>
        <w:tc>
          <w:tcPr>
            <w:tcW w:w="1757" w:type="pct"/>
            <w:vAlign w:val="center"/>
          </w:tcPr>
          <w:p w14:paraId="3D42BE13">
            <w:pPr>
              <w:widowControl/>
              <w:kinsoku w:val="0"/>
              <w:autoSpaceDE w:val="0"/>
              <w:autoSpaceDN w:val="0"/>
              <w:snapToGrid w:val="0"/>
              <w:spacing w:before="82" w:line="240" w:lineRule="auto"/>
              <w:jc w:val="center"/>
              <w:textAlignment w:val="baseline"/>
              <w:rPr>
                <w:rFonts w:ascii="宋体" w:hAnsi="宋体" w:eastAsia="宋体" w:cs="宋体"/>
                <w:snapToGrid/>
                <w:color w:val="auto"/>
                <w:kern w:val="0"/>
                <w:sz w:val="18"/>
                <w:szCs w:val="18"/>
                <w:lang w:eastAsia="en-US"/>
              </w:rPr>
            </w:pPr>
            <w:r>
              <w:rPr>
                <w:rFonts w:hint="eastAsia" w:ascii="宋体" w:hAnsi="宋体" w:eastAsia="宋体" w:cs="宋体"/>
                <w:snapToGrid/>
                <w:color w:val="auto"/>
                <w:kern w:val="0"/>
                <w:sz w:val="18"/>
                <w:szCs w:val="18"/>
                <w:lang w:eastAsia="en-US"/>
              </w:rPr>
              <w:t>强迫风冷</w:t>
            </w:r>
          </w:p>
        </w:tc>
        <w:tc>
          <w:tcPr>
            <w:tcW w:w="1674" w:type="pct"/>
            <w:vAlign w:val="center"/>
          </w:tcPr>
          <w:p w14:paraId="7B5C9224">
            <w:pPr>
              <w:widowControl/>
              <w:kinsoku w:val="0"/>
              <w:autoSpaceDE w:val="0"/>
              <w:autoSpaceDN w:val="0"/>
              <w:snapToGrid w:val="0"/>
              <w:spacing w:before="81" w:line="240" w:lineRule="auto"/>
              <w:jc w:val="center"/>
              <w:textAlignment w:val="baseline"/>
              <w:rPr>
                <w:rFonts w:ascii="宋体" w:hAnsi="宋体" w:eastAsia="宋体" w:cs="宋体"/>
                <w:snapToGrid/>
                <w:color w:val="auto"/>
                <w:kern w:val="0"/>
                <w:sz w:val="18"/>
                <w:szCs w:val="18"/>
                <w:lang w:eastAsia="en-US"/>
              </w:rPr>
            </w:pPr>
            <w:r>
              <w:rPr>
                <w:rFonts w:hint="eastAsia" w:ascii="宋体" w:hAnsi="宋体" w:eastAsia="宋体" w:cs="宋体"/>
                <w:snapToGrid/>
                <w:color w:val="auto"/>
                <w:kern w:val="0"/>
                <w:sz w:val="18"/>
                <w:szCs w:val="18"/>
                <w:lang w:eastAsia="en-US"/>
              </w:rPr>
              <w:t>水冷</w:t>
            </w:r>
          </w:p>
        </w:tc>
      </w:tr>
      <w:tr w14:paraId="78DE3F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 w:hRule="atLeast"/>
        </w:trPr>
        <w:tc>
          <w:tcPr>
            <w:tcW w:w="1569" w:type="pct"/>
            <w:vAlign w:val="center"/>
          </w:tcPr>
          <w:p w14:paraId="5E18A40C">
            <w:pPr>
              <w:widowControl/>
              <w:kinsoku w:val="0"/>
              <w:autoSpaceDE w:val="0"/>
              <w:autoSpaceDN w:val="0"/>
              <w:snapToGrid w:val="0"/>
              <w:spacing w:line="240" w:lineRule="auto"/>
              <w:jc w:val="center"/>
              <w:textAlignment w:val="baseline"/>
              <w:rPr>
                <w:rFonts w:ascii="宋体" w:hAnsi="宋体" w:eastAsia="宋体" w:cs="宋体"/>
                <w:snapToGrid/>
                <w:color w:val="auto"/>
                <w:kern w:val="0"/>
                <w:sz w:val="18"/>
                <w:szCs w:val="18"/>
                <w:lang w:eastAsia="en-US"/>
              </w:rPr>
            </w:pPr>
            <w:r>
              <w:rPr>
                <w:rFonts w:hint="eastAsia" w:ascii="宋体" w:hAnsi="宋体" w:eastAsia="宋体" w:cs="宋体"/>
                <w:snapToGrid/>
                <w:color w:val="auto"/>
                <w:kern w:val="0"/>
                <w:sz w:val="18"/>
                <w:szCs w:val="18"/>
                <w:lang w:eastAsia="en-US"/>
              </w:rPr>
              <w:t>室内</w:t>
            </w:r>
          </w:p>
        </w:tc>
        <w:tc>
          <w:tcPr>
            <w:tcW w:w="1757" w:type="pct"/>
            <w:vAlign w:val="center"/>
          </w:tcPr>
          <w:p w14:paraId="3DCD3658">
            <w:pPr>
              <w:widowControl/>
              <w:kinsoku w:val="0"/>
              <w:autoSpaceDE w:val="0"/>
              <w:autoSpaceDN w:val="0"/>
              <w:snapToGrid w:val="0"/>
              <w:spacing w:line="240" w:lineRule="auto"/>
              <w:jc w:val="center"/>
              <w:textAlignment w:val="baseline"/>
              <w:rPr>
                <w:rFonts w:ascii="宋体" w:hAnsi="宋体" w:eastAsia="宋体" w:cs="宋体"/>
                <w:snapToGrid/>
                <w:color w:val="auto"/>
                <w:kern w:val="0"/>
                <w:sz w:val="18"/>
                <w:szCs w:val="18"/>
                <w:lang w:eastAsia="en-US"/>
              </w:rPr>
            </w:pPr>
            <w:r>
              <w:rPr>
                <w:rFonts w:hint="eastAsia" w:ascii="宋体" w:hAnsi="宋体" w:eastAsia="宋体" w:cs="宋体"/>
                <w:snapToGrid/>
                <w:color w:val="auto"/>
                <w:kern w:val="0"/>
                <w:sz w:val="18"/>
                <w:szCs w:val="18"/>
                <w:lang w:eastAsia="en-US"/>
              </w:rPr>
              <w:t>85</w:t>
            </w:r>
          </w:p>
        </w:tc>
        <w:tc>
          <w:tcPr>
            <w:tcW w:w="1674" w:type="pct"/>
            <w:vAlign w:val="center"/>
          </w:tcPr>
          <w:p w14:paraId="1F79AB75">
            <w:pPr>
              <w:widowControl/>
              <w:kinsoku w:val="0"/>
              <w:autoSpaceDE w:val="0"/>
              <w:autoSpaceDN w:val="0"/>
              <w:snapToGrid w:val="0"/>
              <w:spacing w:line="240" w:lineRule="auto"/>
              <w:jc w:val="center"/>
              <w:textAlignment w:val="baseline"/>
              <w:rPr>
                <w:rFonts w:ascii="宋体" w:hAnsi="宋体" w:eastAsia="宋体" w:cs="宋体"/>
                <w:snapToGrid/>
                <w:color w:val="auto"/>
                <w:kern w:val="0"/>
                <w:sz w:val="18"/>
                <w:szCs w:val="18"/>
                <w:lang w:eastAsia="en-US"/>
              </w:rPr>
            </w:pPr>
            <w:r>
              <w:rPr>
                <w:rFonts w:hint="eastAsia" w:ascii="宋体" w:hAnsi="宋体" w:eastAsia="宋体" w:cs="宋体"/>
                <w:snapToGrid/>
                <w:color w:val="auto"/>
                <w:kern w:val="0"/>
                <w:sz w:val="18"/>
                <w:szCs w:val="18"/>
                <w:lang w:eastAsia="en-US"/>
              </w:rPr>
              <w:t>78</w:t>
            </w:r>
          </w:p>
        </w:tc>
      </w:tr>
      <w:tr w14:paraId="18CA71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 w:hRule="atLeast"/>
        </w:trPr>
        <w:tc>
          <w:tcPr>
            <w:tcW w:w="1569" w:type="pct"/>
            <w:vAlign w:val="center"/>
          </w:tcPr>
          <w:p w14:paraId="350AF09E">
            <w:pPr>
              <w:widowControl/>
              <w:kinsoku w:val="0"/>
              <w:autoSpaceDE w:val="0"/>
              <w:autoSpaceDN w:val="0"/>
              <w:snapToGrid w:val="0"/>
              <w:spacing w:line="240" w:lineRule="auto"/>
              <w:jc w:val="center"/>
              <w:textAlignment w:val="baseline"/>
              <w:rPr>
                <w:rFonts w:ascii="宋体" w:hAnsi="宋体" w:eastAsia="宋体" w:cs="宋体"/>
                <w:snapToGrid/>
                <w:color w:val="auto"/>
                <w:kern w:val="0"/>
                <w:sz w:val="18"/>
                <w:szCs w:val="18"/>
                <w:lang w:eastAsia="en-US"/>
              </w:rPr>
            </w:pPr>
            <w:r>
              <w:rPr>
                <w:rFonts w:hint="eastAsia" w:ascii="宋体" w:hAnsi="宋体" w:eastAsia="宋体" w:cs="宋体"/>
                <w:snapToGrid/>
                <w:color w:val="auto"/>
                <w:kern w:val="0"/>
                <w:sz w:val="18"/>
                <w:szCs w:val="18"/>
                <w:lang w:eastAsia="en-US"/>
              </w:rPr>
              <w:t>室外</w:t>
            </w:r>
          </w:p>
        </w:tc>
        <w:tc>
          <w:tcPr>
            <w:tcW w:w="1757" w:type="pct"/>
            <w:vAlign w:val="center"/>
          </w:tcPr>
          <w:p w14:paraId="683C4F1E">
            <w:pPr>
              <w:widowControl/>
              <w:kinsoku w:val="0"/>
              <w:autoSpaceDE w:val="0"/>
              <w:autoSpaceDN w:val="0"/>
              <w:snapToGrid w:val="0"/>
              <w:spacing w:line="240" w:lineRule="auto"/>
              <w:jc w:val="center"/>
              <w:textAlignment w:val="baseline"/>
              <w:rPr>
                <w:rFonts w:ascii="宋体" w:hAnsi="宋体" w:eastAsia="宋体" w:cs="宋体"/>
                <w:snapToGrid/>
                <w:color w:val="auto"/>
                <w:kern w:val="0"/>
                <w:sz w:val="18"/>
                <w:szCs w:val="18"/>
                <w:lang w:eastAsia="en-US"/>
              </w:rPr>
            </w:pPr>
            <w:r>
              <w:rPr>
                <w:rFonts w:hint="eastAsia" w:ascii="宋体" w:hAnsi="宋体" w:eastAsia="宋体" w:cs="宋体"/>
                <w:snapToGrid/>
                <w:color w:val="auto"/>
                <w:kern w:val="0"/>
                <w:sz w:val="18"/>
                <w:szCs w:val="18"/>
                <w:lang w:eastAsia="en-US"/>
              </w:rPr>
              <w:t>85</w:t>
            </w:r>
          </w:p>
        </w:tc>
        <w:tc>
          <w:tcPr>
            <w:tcW w:w="1674" w:type="pct"/>
            <w:vAlign w:val="center"/>
          </w:tcPr>
          <w:p w14:paraId="10B53D7E">
            <w:pPr>
              <w:widowControl/>
              <w:kinsoku w:val="0"/>
              <w:autoSpaceDE w:val="0"/>
              <w:autoSpaceDN w:val="0"/>
              <w:snapToGrid w:val="0"/>
              <w:spacing w:line="240" w:lineRule="auto"/>
              <w:jc w:val="center"/>
              <w:textAlignment w:val="baseline"/>
              <w:rPr>
                <w:rFonts w:ascii="宋体" w:hAnsi="宋体" w:eastAsia="宋体" w:cs="宋体"/>
                <w:snapToGrid/>
                <w:color w:val="auto"/>
                <w:kern w:val="0"/>
                <w:sz w:val="18"/>
                <w:szCs w:val="18"/>
                <w:lang w:eastAsia="en-US"/>
              </w:rPr>
            </w:pPr>
            <w:r>
              <w:rPr>
                <w:rFonts w:hint="eastAsia" w:ascii="宋体" w:hAnsi="宋体" w:eastAsia="宋体" w:cs="宋体"/>
                <w:snapToGrid/>
                <w:color w:val="auto"/>
                <w:kern w:val="0"/>
                <w:sz w:val="18"/>
                <w:szCs w:val="18"/>
                <w:lang w:eastAsia="en-US"/>
              </w:rPr>
              <w:t>86</w:t>
            </w:r>
          </w:p>
        </w:tc>
      </w:tr>
    </w:tbl>
    <w:p w14:paraId="3C7F846C">
      <w:pPr>
        <w:pStyle w:val="106"/>
        <w:spacing w:before="120" w:after="120"/>
      </w:pPr>
      <w:bookmarkStart w:id="93" w:name="_Toc161865493"/>
      <w:bookmarkStart w:id="94" w:name="_Toc29502"/>
      <w:r>
        <w:t>温升</w:t>
      </w:r>
      <w:bookmarkEnd w:id="93"/>
      <w:bookmarkEnd w:id="94"/>
    </w:p>
    <w:p w14:paraId="1E845647">
      <w:pPr>
        <w:pStyle w:val="57"/>
        <w:ind w:firstLine="420"/>
      </w:pPr>
      <w:r>
        <w:t>在输出连续额定电流工作状态下，</w:t>
      </w:r>
      <w:r>
        <w:rPr>
          <w:rFonts w:hint="eastAsia"/>
        </w:rPr>
        <w:t>构网型静止无功发生器</w:t>
      </w:r>
      <w:r>
        <w:t>各部位达到热平衡后的温升不应超过</w:t>
      </w:r>
      <w:r>
        <w:fldChar w:fldCharType="begin"/>
      </w:r>
      <w:r>
        <w:instrText xml:space="preserve"> REF _Ref161859679 \h  \* MERGEFORMAT </w:instrText>
      </w:r>
      <w:r>
        <w:fldChar w:fldCharType="separate"/>
      </w:r>
      <w:r>
        <w:rPr>
          <w:rFonts w:hint="eastAsia"/>
        </w:rPr>
        <w:t>表</w:t>
      </w:r>
      <w:r>
        <w:t>4</w:t>
      </w:r>
      <w:r>
        <w:fldChar w:fldCharType="end"/>
      </w:r>
      <w:r>
        <w:t>规定的限值。</w:t>
      </w:r>
    </w:p>
    <w:p w14:paraId="4A1CABBF">
      <w:pPr>
        <w:widowControl/>
        <w:kinsoku w:val="0"/>
        <w:autoSpaceDE w:val="0"/>
        <w:autoSpaceDN w:val="0"/>
        <w:snapToGrid w:val="0"/>
        <w:spacing w:before="227" w:line="222" w:lineRule="auto"/>
        <w:jc w:val="center"/>
        <w:textAlignment w:val="baseline"/>
        <w:rPr>
          <w:rFonts w:ascii="黑体" w:hAnsi="黑体" w:eastAsia="黑体" w:cs="黑体"/>
          <w:snapToGrid w:val="0"/>
          <w:spacing w:val="-1"/>
          <w:kern w:val="0"/>
        </w:rPr>
      </w:pPr>
      <w:bookmarkStart w:id="95" w:name="_Ref161859679"/>
      <w:bookmarkStart w:id="96" w:name="_Ref161859669"/>
      <w:r>
        <w:rPr>
          <w:rFonts w:hint="eastAsia" w:ascii="黑体" w:hAnsi="黑体" w:eastAsia="黑体" w:cs="黑体"/>
          <w:snapToGrid w:val="0"/>
          <w:spacing w:val="-1"/>
          <w:kern w:val="0"/>
        </w:rPr>
        <w:t>表</w:t>
      </w:r>
      <w:r>
        <w:rPr>
          <w:rFonts w:ascii="黑体" w:hAnsi="黑体" w:eastAsia="黑体" w:cs="黑体"/>
          <w:snapToGrid w:val="0"/>
          <w:spacing w:val="-1"/>
          <w:kern w:val="0"/>
        </w:rPr>
        <w:fldChar w:fldCharType="begin"/>
      </w:r>
      <w:r>
        <w:rPr>
          <w:rFonts w:ascii="黑体" w:hAnsi="黑体" w:eastAsia="黑体" w:cs="黑体"/>
          <w:snapToGrid w:val="0"/>
          <w:spacing w:val="-1"/>
          <w:kern w:val="0"/>
        </w:rPr>
        <w:instrText xml:space="preserve"> SEQ 表 \* ARABIC </w:instrText>
      </w:r>
      <w:r>
        <w:rPr>
          <w:rFonts w:ascii="黑体" w:hAnsi="黑体" w:eastAsia="黑体" w:cs="黑体"/>
          <w:snapToGrid w:val="0"/>
          <w:spacing w:val="-1"/>
          <w:kern w:val="0"/>
        </w:rPr>
        <w:fldChar w:fldCharType="separate"/>
      </w:r>
      <w:r>
        <w:rPr>
          <w:rFonts w:ascii="黑体" w:hAnsi="黑体" w:eastAsia="黑体" w:cs="黑体"/>
          <w:snapToGrid w:val="0"/>
          <w:spacing w:val="-1"/>
          <w:kern w:val="0"/>
        </w:rPr>
        <w:t>4</w:t>
      </w:r>
      <w:r>
        <w:rPr>
          <w:rFonts w:ascii="黑体" w:hAnsi="黑体" w:eastAsia="黑体" w:cs="黑体"/>
          <w:snapToGrid w:val="0"/>
          <w:spacing w:val="-1"/>
          <w:kern w:val="0"/>
        </w:rPr>
        <w:fldChar w:fldCharType="end"/>
      </w:r>
      <w:bookmarkEnd w:id="95"/>
      <w:r>
        <w:rPr>
          <w:rFonts w:ascii="黑体" w:hAnsi="黑体" w:eastAsia="黑体" w:cs="黑体"/>
          <w:snapToGrid w:val="0"/>
          <w:spacing w:val="-1"/>
          <w:kern w:val="0"/>
        </w:rPr>
        <w:t xml:space="preserve"> 装置各部位的温升限值</w:t>
      </w:r>
      <w:bookmarkEnd w:id="96"/>
    </w:p>
    <w:p w14:paraId="7C036ECF">
      <w:pPr>
        <w:widowControl/>
        <w:kinsoku w:val="0"/>
        <w:autoSpaceDE w:val="0"/>
        <w:autoSpaceDN w:val="0"/>
        <w:snapToGrid w:val="0"/>
        <w:spacing w:line="67" w:lineRule="exact"/>
        <w:jc w:val="left"/>
        <w:textAlignment w:val="baseline"/>
        <w:rPr>
          <w:rFonts w:ascii="Arial" w:hAnsi="Arial" w:cs="Arial" w:eastAsiaTheme="minorEastAsia"/>
          <w:snapToGrid w:val="0"/>
          <w:kern w:val="0"/>
        </w:rPr>
      </w:pPr>
    </w:p>
    <w:tbl>
      <w:tblPr>
        <w:tblStyle w:val="238"/>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996"/>
        <w:gridCol w:w="730"/>
        <w:gridCol w:w="676"/>
        <w:gridCol w:w="2051"/>
        <w:gridCol w:w="3911"/>
      </w:tblGrid>
      <w:tr w14:paraId="67DCEE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912" w:type="pct"/>
            <w:gridSpan w:val="4"/>
            <w:vAlign w:val="center"/>
          </w:tcPr>
          <w:p w14:paraId="64EFFF44">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r>
              <w:rPr>
                <w:rFonts w:hint="eastAsia" w:ascii="宋体" w:hAnsi="宋体" w:eastAsia="宋体" w:cs="宋体"/>
                <w:snapToGrid w:val="0"/>
                <w:color w:val="000000"/>
                <w:spacing w:val="12"/>
                <w:sz w:val="18"/>
                <w:szCs w:val="18"/>
                <w:lang w:eastAsia="en-US"/>
              </w:rPr>
              <w:t>部位名称</w:t>
            </w:r>
          </w:p>
        </w:tc>
        <w:tc>
          <w:tcPr>
            <w:tcW w:w="2088" w:type="pct"/>
            <w:vAlign w:val="center"/>
          </w:tcPr>
          <w:p w14:paraId="7A94C8A8">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r>
              <w:rPr>
                <w:rFonts w:hint="eastAsia" w:ascii="宋体" w:hAnsi="宋体" w:eastAsia="宋体" w:cs="宋体"/>
                <w:snapToGrid w:val="0"/>
                <w:color w:val="000000"/>
                <w:spacing w:val="12"/>
                <w:sz w:val="18"/>
                <w:szCs w:val="18"/>
                <w:lang w:eastAsia="en-US"/>
              </w:rPr>
              <w:t>温升限值（K）</w:t>
            </w:r>
          </w:p>
        </w:tc>
      </w:tr>
      <w:tr w14:paraId="624112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1066" w:type="pct"/>
            <w:vMerge w:val="restart"/>
            <w:tcBorders>
              <w:bottom w:val="nil"/>
            </w:tcBorders>
            <w:vAlign w:val="center"/>
          </w:tcPr>
          <w:p w14:paraId="1FEF136C">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r>
              <w:rPr>
                <w:rFonts w:hint="eastAsia" w:ascii="宋体" w:hAnsi="宋体" w:eastAsia="宋体" w:cs="宋体"/>
                <w:snapToGrid w:val="0"/>
                <w:color w:val="000000"/>
                <w:spacing w:val="12"/>
                <w:sz w:val="18"/>
                <w:szCs w:val="18"/>
                <w:lang w:eastAsia="en-US"/>
              </w:rPr>
              <w:t>干式变压器(电抗器)</w:t>
            </w:r>
          </w:p>
        </w:tc>
        <w:tc>
          <w:tcPr>
            <w:tcW w:w="751" w:type="pct"/>
            <w:gridSpan w:val="2"/>
            <w:vMerge w:val="restart"/>
            <w:tcBorders>
              <w:bottom w:val="nil"/>
            </w:tcBorders>
            <w:vAlign w:val="center"/>
          </w:tcPr>
          <w:p w14:paraId="09013E15">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r>
              <w:rPr>
                <w:rFonts w:hint="eastAsia" w:ascii="宋体" w:hAnsi="宋体" w:eastAsia="宋体" w:cs="宋体"/>
                <w:snapToGrid w:val="0"/>
                <w:color w:val="000000"/>
                <w:spacing w:val="12"/>
                <w:sz w:val="18"/>
                <w:szCs w:val="18"/>
                <w:lang w:eastAsia="en-US"/>
              </w:rPr>
              <w:t>绕组</w:t>
            </w:r>
          </w:p>
        </w:tc>
        <w:tc>
          <w:tcPr>
            <w:tcW w:w="1095" w:type="pct"/>
            <w:vAlign w:val="center"/>
          </w:tcPr>
          <w:p w14:paraId="391B2646">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r>
              <w:rPr>
                <w:rFonts w:hint="eastAsia" w:ascii="宋体" w:hAnsi="宋体" w:eastAsia="宋体" w:cs="宋体"/>
                <w:snapToGrid w:val="0"/>
                <w:color w:val="000000"/>
                <w:spacing w:val="12"/>
                <w:sz w:val="18"/>
                <w:szCs w:val="18"/>
                <w:lang w:eastAsia="en-US"/>
              </w:rPr>
              <w:t>A级绝缘</w:t>
            </w:r>
          </w:p>
        </w:tc>
        <w:tc>
          <w:tcPr>
            <w:tcW w:w="2088" w:type="pct"/>
            <w:vAlign w:val="center"/>
          </w:tcPr>
          <w:p w14:paraId="29A18F5F">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r>
              <w:rPr>
                <w:rFonts w:hint="eastAsia" w:ascii="宋体" w:hAnsi="宋体" w:eastAsia="宋体" w:cs="宋体"/>
                <w:snapToGrid w:val="0"/>
                <w:color w:val="000000"/>
                <w:spacing w:val="12"/>
                <w:sz w:val="18"/>
                <w:szCs w:val="18"/>
                <w:lang w:eastAsia="en-US"/>
              </w:rPr>
              <w:t>60</w:t>
            </w:r>
          </w:p>
        </w:tc>
      </w:tr>
      <w:tr w14:paraId="754A9A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1066" w:type="pct"/>
            <w:vMerge w:val="continue"/>
            <w:tcBorders>
              <w:top w:val="nil"/>
              <w:bottom w:val="nil"/>
            </w:tcBorders>
            <w:vAlign w:val="center"/>
          </w:tcPr>
          <w:p w14:paraId="351D6956">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p>
        </w:tc>
        <w:tc>
          <w:tcPr>
            <w:tcW w:w="751" w:type="pct"/>
            <w:gridSpan w:val="2"/>
            <w:vMerge w:val="continue"/>
            <w:tcBorders>
              <w:top w:val="nil"/>
              <w:bottom w:val="nil"/>
            </w:tcBorders>
            <w:vAlign w:val="center"/>
          </w:tcPr>
          <w:p w14:paraId="02BAACDC">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p>
        </w:tc>
        <w:tc>
          <w:tcPr>
            <w:tcW w:w="1095" w:type="pct"/>
            <w:vAlign w:val="center"/>
          </w:tcPr>
          <w:p w14:paraId="09A6A44B">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r>
              <w:rPr>
                <w:rFonts w:hint="eastAsia" w:ascii="宋体" w:hAnsi="宋体" w:eastAsia="宋体" w:cs="宋体"/>
                <w:snapToGrid w:val="0"/>
                <w:color w:val="000000"/>
                <w:spacing w:val="12"/>
                <w:sz w:val="18"/>
                <w:szCs w:val="18"/>
                <w:lang w:eastAsia="en-US"/>
              </w:rPr>
              <w:t>B级绝缘</w:t>
            </w:r>
          </w:p>
        </w:tc>
        <w:tc>
          <w:tcPr>
            <w:tcW w:w="2088" w:type="pct"/>
            <w:vAlign w:val="center"/>
          </w:tcPr>
          <w:p w14:paraId="5BB41189">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r>
              <w:rPr>
                <w:rFonts w:hint="eastAsia" w:ascii="宋体" w:hAnsi="宋体" w:eastAsia="宋体" w:cs="宋体"/>
                <w:snapToGrid w:val="0"/>
                <w:color w:val="000000"/>
                <w:spacing w:val="12"/>
                <w:sz w:val="18"/>
                <w:szCs w:val="18"/>
                <w:lang w:eastAsia="en-US"/>
              </w:rPr>
              <w:t>80</w:t>
            </w:r>
          </w:p>
        </w:tc>
      </w:tr>
      <w:tr w14:paraId="60C79C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1066" w:type="pct"/>
            <w:vMerge w:val="continue"/>
            <w:tcBorders>
              <w:top w:val="nil"/>
              <w:bottom w:val="nil"/>
            </w:tcBorders>
            <w:vAlign w:val="center"/>
          </w:tcPr>
          <w:p w14:paraId="175CEC56">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p>
        </w:tc>
        <w:tc>
          <w:tcPr>
            <w:tcW w:w="751" w:type="pct"/>
            <w:gridSpan w:val="2"/>
            <w:vMerge w:val="continue"/>
            <w:tcBorders>
              <w:top w:val="nil"/>
              <w:bottom w:val="nil"/>
            </w:tcBorders>
            <w:vAlign w:val="center"/>
          </w:tcPr>
          <w:p w14:paraId="0F213F0B">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p>
        </w:tc>
        <w:tc>
          <w:tcPr>
            <w:tcW w:w="1095" w:type="pct"/>
            <w:vAlign w:val="center"/>
          </w:tcPr>
          <w:p w14:paraId="28FEA099">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r>
              <w:rPr>
                <w:rFonts w:hint="eastAsia" w:ascii="宋体" w:hAnsi="宋体" w:eastAsia="宋体" w:cs="宋体"/>
                <w:snapToGrid w:val="0"/>
                <w:color w:val="000000"/>
                <w:spacing w:val="12"/>
                <w:sz w:val="18"/>
                <w:szCs w:val="18"/>
                <w:lang w:eastAsia="en-US"/>
              </w:rPr>
              <w:t>F级绝缘</w:t>
            </w:r>
          </w:p>
        </w:tc>
        <w:tc>
          <w:tcPr>
            <w:tcW w:w="2088" w:type="pct"/>
            <w:vAlign w:val="center"/>
          </w:tcPr>
          <w:p w14:paraId="677ACBE9">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r>
              <w:rPr>
                <w:rFonts w:hint="eastAsia" w:ascii="宋体" w:hAnsi="宋体" w:eastAsia="宋体" w:cs="宋体"/>
                <w:snapToGrid w:val="0"/>
                <w:color w:val="000000"/>
                <w:spacing w:val="12"/>
                <w:sz w:val="18"/>
                <w:szCs w:val="18"/>
                <w:lang w:eastAsia="en-US"/>
              </w:rPr>
              <w:t>100</w:t>
            </w:r>
          </w:p>
        </w:tc>
      </w:tr>
      <w:tr w14:paraId="19D048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1066" w:type="pct"/>
            <w:vMerge w:val="continue"/>
            <w:tcBorders>
              <w:top w:val="nil"/>
              <w:bottom w:val="nil"/>
            </w:tcBorders>
            <w:vAlign w:val="center"/>
          </w:tcPr>
          <w:p w14:paraId="76B8D60A">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p>
        </w:tc>
        <w:tc>
          <w:tcPr>
            <w:tcW w:w="751" w:type="pct"/>
            <w:gridSpan w:val="2"/>
            <w:vMerge w:val="continue"/>
            <w:tcBorders>
              <w:top w:val="nil"/>
            </w:tcBorders>
            <w:vAlign w:val="center"/>
          </w:tcPr>
          <w:p w14:paraId="6BCA2299">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p>
        </w:tc>
        <w:tc>
          <w:tcPr>
            <w:tcW w:w="1095" w:type="pct"/>
            <w:vAlign w:val="center"/>
          </w:tcPr>
          <w:p w14:paraId="4C3A412A">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r>
              <w:rPr>
                <w:rFonts w:hint="eastAsia" w:ascii="宋体" w:hAnsi="宋体" w:eastAsia="宋体" w:cs="宋体"/>
                <w:snapToGrid w:val="0"/>
                <w:color w:val="000000"/>
                <w:spacing w:val="12"/>
                <w:sz w:val="18"/>
                <w:szCs w:val="18"/>
                <w:lang w:eastAsia="en-US"/>
              </w:rPr>
              <w:t>H级绝缘</w:t>
            </w:r>
          </w:p>
        </w:tc>
        <w:tc>
          <w:tcPr>
            <w:tcW w:w="2088" w:type="pct"/>
            <w:vAlign w:val="center"/>
          </w:tcPr>
          <w:p w14:paraId="685F58F8">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r>
              <w:rPr>
                <w:rFonts w:hint="eastAsia" w:ascii="宋体" w:hAnsi="宋体" w:eastAsia="宋体" w:cs="宋体"/>
                <w:snapToGrid w:val="0"/>
                <w:color w:val="000000"/>
                <w:spacing w:val="12"/>
                <w:sz w:val="18"/>
                <w:szCs w:val="18"/>
                <w:lang w:eastAsia="en-US"/>
              </w:rPr>
              <w:t>125</w:t>
            </w:r>
          </w:p>
        </w:tc>
      </w:tr>
      <w:tr w14:paraId="2409DE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1066" w:type="pct"/>
            <w:vMerge w:val="continue"/>
            <w:tcBorders>
              <w:top w:val="nil"/>
            </w:tcBorders>
            <w:vAlign w:val="center"/>
          </w:tcPr>
          <w:p w14:paraId="22C95119">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p>
        </w:tc>
        <w:tc>
          <w:tcPr>
            <w:tcW w:w="1846" w:type="pct"/>
            <w:gridSpan w:val="3"/>
            <w:vAlign w:val="center"/>
          </w:tcPr>
          <w:p w14:paraId="1D83CC2B">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r>
              <w:rPr>
                <w:rFonts w:hint="eastAsia" w:ascii="宋体" w:hAnsi="宋体" w:eastAsia="宋体" w:cs="宋体"/>
                <w:snapToGrid w:val="0"/>
                <w:color w:val="000000"/>
                <w:spacing w:val="12"/>
                <w:sz w:val="18"/>
                <w:szCs w:val="18"/>
                <w:lang w:eastAsia="en-US"/>
              </w:rPr>
              <w:t>铁心</w:t>
            </w:r>
          </w:p>
        </w:tc>
        <w:tc>
          <w:tcPr>
            <w:tcW w:w="2088" w:type="pct"/>
            <w:vAlign w:val="center"/>
          </w:tcPr>
          <w:p w14:paraId="596E2693">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zh-CN"/>
              </w:rPr>
            </w:pPr>
            <w:r>
              <w:rPr>
                <w:rFonts w:hint="eastAsia" w:ascii="宋体" w:hAnsi="宋体" w:eastAsia="宋体" w:cs="宋体"/>
                <w:snapToGrid w:val="0"/>
                <w:color w:val="000000"/>
                <w:spacing w:val="12"/>
                <w:sz w:val="18"/>
                <w:szCs w:val="18"/>
                <w:lang w:eastAsia="zh-CN"/>
              </w:rPr>
              <w:t>在任何情况下不出现使铁心本身、其他部件或与其相邻的材料受到损害的程度</w:t>
            </w:r>
          </w:p>
        </w:tc>
      </w:tr>
      <w:tr w14:paraId="2EAC48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912" w:type="pct"/>
            <w:gridSpan w:val="4"/>
            <w:vAlign w:val="center"/>
          </w:tcPr>
          <w:p w14:paraId="2EDE2903">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zh-CN"/>
              </w:rPr>
            </w:pPr>
            <w:r>
              <w:rPr>
                <w:rFonts w:hint="eastAsia" w:ascii="宋体" w:hAnsi="宋体" w:eastAsia="宋体" w:cs="宋体"/>
                <w:snapToGrid w:val="0"/>
                <w:color w:val="000000"/>
                <w:spacing w:val="12"/>
                <w:sz w:val="18"/>
                <w:szCs w:val="18"/>
                <w:lang w:eastAsia="zh-CN"/>
              </w:rPr>
              <w:t>油浸变压器(字母代号为O)绕组</w:t>
            </w:r>
          </w:p>
        </w:tc>
        <w:tc>
          <w:tcPr>
            <w:tcW w:w="2088" w:type="pct"/>
            <w:vAlign w:val="center"/>
          </w:tcPr>
          <w:p w14:paraId="5603CC0D">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r>
              <w:rPr>
                <w:rFonts w:hint="eastAsia" w:ascii="宋体" w:hAnsi="宋体" w:eastAsia="宋体" w:cs="宋体"/>
                <w:snapToGrid w:val="0"/>
                <w:color w:val="000000"/>
                <w:spacing w:val="12"/>
                <w:sz w:val="18"/>
                <w:szCs w:val="18"/>
                <w:lang w:eastAsia="en-US"/>
              </w:rPr>
              <w:t>65</w:t>
            </w:r>
          </w:p>
        </w:tc>
      </w:tr>
      <w:tr w14:paraId="4B0E3A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912" w:type="pct"/>
            <w:gridSpan w:val="4"/>
            <w:vAlign w:val="center"/>
          </w:tcPr>
          <w:p w14:paraId="19DCDC9D">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r>
              <w:rPr>
                <w:rFonts w:hint="eastAsia" w:ascii="宋体" w:hAnsi="宋体" w:eastAsia="宋体" w:cs="宋体"/>
                <w:snapToGrid w:val="0"/>
                <w:color w:val="000000"/>
                <w:spacing w:val="12"/>
                <w:sz w:val="18"/>
                <w:szCs w:val="18"/>
                <w:lang w:eastAsia="en-US"/>
              </w:rPr>
              <w:t>铜母线</w:t>
            </w:r>
          </w:p>
        </w:tc>
        <w:tc>
          <w:tcPr>
            <w:tcW w:w="2088" w:type="pct"/>
            <w:vAlign w:val="center"/>
          </w:tcPr>
          <w:p w14:paraId="2F1D7B3C">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r>
              <w:rPr>
                <w:rFonts w:hint="eastAsia" w:ascii="宋体" w:hAnsi="宋体" w:eastAsia="宋体" w:cs="宋体"/>
                <w:snapToGrid w:val="0"/>
                <w:color w:val="000000"/>
                <w:spacing w:val="12"/>
                <w:sz w:val="18"/>
                <w:szCs w:val="18"/>
                <w:lang w:eastAsia="en-US"/>
              </w:rPr>
              <w:t>35</w:t>
            </w:r>
          </w:p>
        </w:tc>
      </w:tr>
      <w:tr w14:paraId="7843E0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1817" w:type="pct"/>
            <w:gridSpan w:val="3"/>
            <w:vMerge w:val="restart"/>
            <w:tcBorders>
              <w:bottom w:val="nil"/>
            </w:tcBorders>
            <w:vAlign w:val="center"/>
          </w:tcPr>
          <w:p w14:paraId="6679098C">
            <w:pPr>
              <w:widowControl/>
              <w:kinsoku w:val="0"/>
              <w:autoSpaceDE w:val="0"/>
              <w:autoSpaceDN w:val="0"/>
              <w:snapToGrid w:val="0"/>
              <w:spacing w:before="58" w:line="240" w:lineRule="auto"/>
              <w:jc w:val="center"/>
              <w:textAlignment w:val="baseline"/>
              <w:rPr>
                <w:rFonts w:ascii="宋体" w:hAnsi="宋体" w:eastAsia="宋体" w:cs="宋体"/>
                <w:snapToGrid w:val="0"/>
                <w:color w:val="000000"/>
                <w:spacing w:val="12"/>
                <w:sz w:val="18"/>
                <w:szCs w:val="18"/>
                <w:lang w:eastAsia="en-US"/>
              </w:rPr>
            </w:pPr>
            <w:r>
              <w:rPr>
                <w:rFonts w:hint="eastAsia" w:ascii="宋体" w:hAnsi="宋体" w:eastAsia="宋体" w:cs="宋体"/>
                <w:snapToGrid w:val="0"/>
                <w:color w:val="000000"/>
                <w:spacing w:val="12"/>
                <w:sz w:val="18"/>
                <w:szCs w:val="18"/>
                <w:lang w:eastAsia="en-US"/>
              </w:rPr>
              <w:t>铜母线连接处</w:t>
            </w:r>
          </w:p>
        </w:tc>
        <w:tc>
          <w:tcPr>
            <w:tcW w:w="1095" w:type="pct"/>
            <w:vAlign w:val="center"/>
          </w:tcPr>
          <w:p w14:paraId="58655FBB">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r>
              <w:rPr>
                <w:rFonts w:hint="eastAsia" w:ascii="宋体" w:hAnsi="宋体" w:eastAsia="宋体" w:cs="宋体"/>
                <w:snapToGrid w:val="0"/>
                <w:color w:val="000000"/>
                <w:spacing w:val="12"/>
                <w:sz w:val="18"/>
                <w:szCs w:val="18"/>
                <w:lang w:eastAsia="en-US"/>
              </w:rPr>
              <w:t>无保护层</w:t>
            </w:r>
          </w:p>
        </w:tc>
        <w:tc>
          <w:tcPr>
            <w:tcW w:w="2088" w:type="pct"/>
            <w:vAlign w:val="center"/>
          </w:tcPr>
          <w:p w14:paraId="46FE6D32">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r>
              <w:rPr>
                <w:rFonts w:hint="eastAsia" w:ascii="宋体" w:hAnsi="宋体" w:eastAsia="宋体" w:cs="宋体"/>
                <w:snapToGrid w:val="0"/>
                <w:color w:val="000000"/>
                <w:spacing w:val="12"/>
                <w:sz w:val="18"/>
                <w:szCs w:val="18"/>
                <w:lang w:eastAsia="en-US"/>
              </w:rPr>
              <w:t>45</w:t>
            </w:r>
          </w:p>
        </w:tc>
      </w:tr>
      <w:tr w14:paraId="3786B4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1817" w:type="pct"/>
            <w:gridSpan w:val="3"/>
            <w:vMerge w:val="continue"/>
            <w:tcBorders>
              <w:top w:val="nil"/>
              <w:bottom w:val="nil"/>
            </w:tcBorders>
            <w:vAlign w:val="center"/>
          </w:tcPr>
          <w:p w14:paraId="5BE1D717">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p>
        </w:tc>
        <w:tc>
          <w:tcPr>
            <w:tcW w:w="1095" w:type="pct"/>
            <w:vAlign w:val="center"/>
          </w:tcPr>
          <w:p w14:paraId="56B14D1E">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r>
              <w:rPr>
                <w:rFonts w:hint="eastAsia" w:ascii="宋体" w:hAnsi="宋体" w:eastAsia="宋体" w:cs="宋体"/>
                <w:snapToGrid w:val="0"/>
                <w:color w:val="000000"/>
                <w:spacing w:val="12"/>
                <w:sz w:val="18"/>
                <w:szCs w:val="18"/>
                <w:lang w:eastAsia="en-US"/>
              </w:rPr>
              <w:t>有锡和铜保护层</w:t>
            </w:r>
          </w:p>
        </w:tc>
        <w:tc>
          <w:tcPr>
            <w:tcW w:w="2088" w:type="pct"/>
            <w:vAlign w:val="center"/>
          </w:tcPr>
          <w:p w14:paraId="7AD579B8">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r>
              <w:rPr>
                <w:rFonts w:hint="eastAsia" w:ascii="宋体" w:hAnsi="宋体" w:eastAsia="宋体" w:cs="宋体"/>
                <w:snapToGrid w:val="0"/>
                <w:color w:val="000000"/>
                <w:spacing w:val="12"/>
                <w:sz w:val="18"/>
                <w:szCs w:val="18"/>
                <w:lang w:eastAsia="en-US"/>
              </w:rPr>
              <w:t>55</w:t>
            </w:r>
          </w:p>
        </w:tc>
      </w:tr>
      <w:tr w14:paraId="6B8AF8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1817" w:type="pct"/>
            <w:gridSpan w:val="3"/>
            <w:vMerge w:val="continue"/>
            <w:tcBorders>
              <w:top w:val="nil"/>
            </w:tcBorders>
            <w:vAlign w:val="center"/>
          </w:tcPr>
          <w:p w14:paraId="3D6A67BB">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p>
        </w:tc>
        <w:tc>
          <w:tcPr>
            <w:tcW w:w="1095" w:type="pct"/>
            <w:vAlign w:val="center"/>
          </w:tcPr>
          <w:p w14:paraId="2475FFDD">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r>
              <w:rPr>
                <w:rFonts w:hint="eastAsia" w:ascii="宋体" w:hAnsi="宋体" w:eastAsia="宋体" w:cs="宋体"/>
                <w:snapToGrid w:val="0"/>
                <w:color w:val="000000"/>
                <w:spacing w:val="12"/>
                <w:sz w:val="18"/>
                <w:szCs w:val="18"/>
                <w:lang w:eastAsia="en-US"/>
              </w:rPr>
              <w:t>有银保护层</w:t>
            </w:r>
          </w:p>
        </w:tc>
        <w:tc>
          <w:tcPr>
            <w:tcW w:w="2088" w:type="pct"/>
            <w:vAlign w:val="center"/>
          </w:tcPr>
          <w:p w14:paraId="4EF56785">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r>
              <w:rPr>
                <w:rFonts w:hint="eastAsia" w:ascii="宋体" w:hAnsi="宋体" w:eastAsia="宋体" w:cs="宋体"/>
                <w:snapToGrid w:val="0"/>
                <w:color w:val="000000"/>
                <w:spacing w:val="12"/>
                <w:sz w:val="18"/>
                <w:szCs w:val="18"/>
                <w:lang w:eastAsia="en-US"/>
              </w:rPr>
              <w:t>70</w:t>
            </w:r>
          </w:p>
        </w:tc>
      </w:tr>
      <w:tr w14:paraId="5627A5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912" w:type="pct"/>
            <w:gridSpan w:val="4"/>
            <w:vAlign w:val="center"/>
          </w:tcPr>
          <w:p w14:paraId="0DFA9F56">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r>
              <w:rPr>
                <w:rFonts w:hint="eastAsia" w:ascii="宋体" w:hAnsi="宋体" w:eastAsia="宋体" w:cs="宋体"/>
                <w:snapToGrid w:val="0"/>
                <w:color w:val="000000"/>
                <w:spacing w:val="12"/>
                <w:sz w:val="18"/>
                <w:szCs w:val="18"/>
                <w:lang w:eastAsia="en-US"/>
              </w:rPr>
              <w:t>铝母线</w:t>
            </w:r>
          </w:p>
        </w:tc>
        <w:tc>
          <w:tcPr>
            <w:tcW w:w="2088" w:type="pct"/>
            <w:vAlign w:val="center"/>
          </w:tcPr>
          <w:p w14:paraId="45DFCDA4">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r>
              <w:rPr>
                <w:rFonts w:hint="eastAsia" w:ascii="宋体" w:hAnsi="宋体" w:eastAsia="宋体" w:cs="宋体"/>
                <w:snapToGrid w:val="0"/>
                <w:color w:val="000000"/>
                <w:spacing w:val="12"/>
                <w:sz w:val="18"/>
                <w:szCs w:val="18"/>
                <w:lang w:eastAsia="en-US"/>
              </w:rPr>
              <w:t>25</w:t>
            </w:r>
          </w:p>
        </w:tc>
      </w:tr>
      <w:tr w14:paraId="0C2993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912" w:type="pct"/>
            <w:gridSpan w:val="4"/>
            <w:vAlign w:val="center"/>
          </w:tcPr>
          <w:p w14:paraId="14DB9CC4">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r>
              <w:rPr>
                <w:rFonts w:hint="eastAsia" w:ascii="宋体" w:hAnsi="宋体" w:eastAsia="宋体" w:cs="宋体"/>
                <w:snapToGrid w:val="0"/>
                <w:color w:val="000000"/>
                <w:spacing w:val="12"/>
                <w:sz w:val="18"/>
                <w:szCs w:val="18"/>
                <w:lang w:eastAsia="en-US"/>
              </w:rPr>
              <w:t>铝母线连接处</w:t>
            </w:r>
          </w:p>
        </w:tc>
        <w:tc>
          <w:tcPr>
            <w:tcW w:w="2088" w:type="pct"/>
            <w:vAlign w:val="center"/>
          </w:tcPr>
          <w:p w14:paraId="08227608">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r>
              <w:rPr>
                <w:rFonts w:hint="eastAsia" w:ascii="宋体" w:hAnsi="宋体" w:eastAsia="宋体" w:cs="宋体"/>
                <w:snapToGrid w:val="0"/>
                <w:color w:val="000000"/>
                <w:spacing w:val="12"/>
                <w:sz w:val="18"/>
                <w:szCs w:val="18"/>
                <w:lang w:eastAsia="en-US"/>
              </w:rPr>
              <w:t>30</w:t>
            </w:r>
          </w:p>
        </w:tc>
      </w:tr>
      <w:tr w14:paraId="450C05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1456" w:type="pct"/>
            <w:gridSpan w:val="2"/>
            <w:vMerge w:val="restart"/>
            <w:vAlign w:val="center"/>
          </w:tcPr>
          <w:p w14:paraId="404902F7">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r>
              <w:rPr>
                <w:rFonts w:hint="eastAsia" w:ascii="宋体" w:hAnsi="宋体" w:eastAsia="宋体" w:cs="宋体"/>
                <w:snapToGrid w:val="0"/>
                <w:color w:val="000000"/>
                <w:spacing w:val="12"/>
                <w:sz w:val="18"/>
                <w:szCs w:val="18"/>
                <w:lang w:eastAsia="en-US"/>
              </w:rPr>
              <w:t>电阻元件</w:t>
            </w:r>
          </w:p>
        </w:tc>
        <w:tc>
          <w:tcPr>
            <w:tcW w:w="1456" w:type="pct"/>
            <w:gridSpan w:val="2"/>
            <w:vAlign w:val="center"/>
          </w:tcPr>
          <w:p w14:paraId="52953593">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zh-CN"/>
              </w:rPr>
            </w:pPr>
            <w:r>
              <w:rPr>
                <w:rFonts w:hint="eastAsia" w:ascii="宋体" w:hAnsi="宋体" w:eastAsia="宋体" w:cs="宋体"/>
                <w:snapToGrid w:val="0"/>
                <w:color w:val="000000"/>
                <w:spacing w:val="12"/>
                <w:sz w:val="18"/>
                <w:szCs w:val="18"/>
                <w:lang w:eastAsia="zh-CN"/>
              </w:rPr>
              <w:t>距电阻表面30mm处的空气</w:t>
            </w:r>
          </w:p>
        </w:tc>
        <w:tc>
          <w:tcPr>
            <w:tcW w:w="2088" w:type="pct"/>
            <w:vAlign w:val="center"/>
          </w:tcPr>
          <w:p w14:paraId="6DF3A302">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r>
              <w:rPr>
                <w:rFonts w:hint="eastAsia" w:ascii="宋体" w:hAnsi="宋体" w:eastAsia="宋体" w:cs="宋体"/>
                <w:snapToGrid w:val="0"/>
                <w:color w:val="000000"/>
                <w:spacing w:val="12"/>
                <w:sz w:val="18"/>
                <w:szCs w:val="18"/>
                <w:lang w:eastAsia="en-US"/>
              </w:rPr>
              <w:t>25</w:t>
            </w:r>
          </w:p>
        </w:tc>
      </w:tr>
      <w:tr w14:paraId="51DFED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1456" w:type="pct"/>
            <w:gridSpan w:val="2"/>
            <w:vMerge w:val="continue"/>
            <w:vAlign w:val="center"/>
          </w:tcPr>
          <w:p w14:paraId="2782F43A">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p>
        </w:tc>
        <w:tc>
          <w:tcPr>
            <w:tcW w:w="1456" w:type="pct"/>
            <w:gridSpan w:val="2"/>
            <w:vAlign w:val="center"/>
          </w:tcPr>
          <w:p w14:paraId="4F1AF579">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zh-CN"/>
              </w:rPr>
            </w:pPr>
            <w:r>
              <w:rPr>
                <w:rFonts w:hint="eastAsia" w:ascii="宋体" w:hAnsi="宋体" w:eastAsia="宋体" w:cs="宋体"/>
                <w:snapToGrid w:val="0"/>
                <w:color w:val="000000"/>
                <w:spacing w:val="12"/>
                <w:sz w:val="18"/>
                <w:szCs w:val="18"/>
                <w:lang w:eastAsia="zh-CN"/>
              </w:rPr>
              <w:t>印刷电路板上电阻表面</w:t>
            </w:r>
          </w:p>
        </w:tc>
        <w:tc>
          <w:tcPr>
            <w:tcW w:w="2088" w:type="pct"/>
            <w:vAlign w:val="center"/>
          </w:tcPr>
          <w:p w14:paraId="5D0A5A68">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r>
              <w:rPr>
                <w:rFonts w:hint="eastAsia" w:ascii="宋体" w:hAnsi="宋体" w:eastAsia="宋体" w:cs="宋体"/>
                <w:snapToGrid w:val="0"/>
                <w:color w:val="000000"/>
                <w:spacing w:val="12"/>
                <w:sz w:val="18"/>
                <w:szCs w:val="18"/>
                <w:lang w:eastAsia="en-US"/>
              </w:rPr>
              <w:t>30</w:t>
            </w:r>
          </w:p>
        </w:tc>
      </w:tr>
      <w:tr w14:paraId="72D434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912" w:type="pct"/>
            <w:gridSpan w:val="4"/>
            <w:vAlign w:val="center"/>
          </w:tcPr>
          <w:p w14:paraId="440D52B5">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zh-CN"/>
              </w:rPr>
            </w:pPr>
            <w:r>
              <w:rPr>
                <w:rFonts w:hint="eastAsia" w:ascii="宋体" w:hAnsi="宋体" w:eastAsia="宋体" w:cs="宋体"/>
                <w:snapToGrid w:val="0"/>
                <w:color w:val="000000"/>
                <w:spacing w:val="12"/>
                <w:sz w:val="18"/>
                <w:szCs w:val="18"/>
                <w:lang w:eastAsia="zh-CN"/>
              </w:rPr>
              <w:t>塑料、橡皮、漆膜绝缘导线</w:t>
            </w:r>
          </w:p>
        </w:tc>
        <w:tc>
          <w:tcPr>
            <w:tcW w:w="2088" w:type="pct"/>
            <w:vAlign w:val="center"/>
          </w:tcPr>
          <w:p w14:paraId="33C93976">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r>
              <w:rPr>
                <w:rFonts w:hint="eastAsia" w:ascii="宋体" w:hAnsi="宋体" w:eastAsia="宋体" w:cs="宋体"/>
                <w:snapToGrid w:val="0"/>
                <w:color w:val="000000"/>
                <w:spacing w:val="12"/>
                <w:sz w:val="18"/>
                <w:szCs w:val="18"/>
                <w:lang w:eastAsia="en-US"/>
              </w:rPr>
              <w:t>20</w:t>
            </w:r>
          </w:p>
        </w:tc>
      </w:tr>
      <w:tr w14:paraId="1AD5D8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912" w:type="pct"/>
            <w:gridSpan w:val="4"/>
            <w:vAlign w:val="center"/>
          </w:tcPr>
          <w:p w14:paraId="009F377D">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r>
              <w:rPr>
                <w:rFonts w:hint="eastAsia" w:ascii="宋体" w:hAnsi="宋体" w:eastAsia="宋体" w:cs="宋体"/>
                <w:snapToGrid w:val="0"/>
                <w:color w:val="000000"/>
                <w:spacing w:val="12"/>
                <w:sz w:val="18"/>
                <w:szCs w:val="18"/>
                <w:lang w:eastAsia="en-US"/>
              </w:rPr>
              <w:t>功率半导体器件</w:t>
            </w:r>
          </w:p>
        </w:tc>
        <w:tc>
          <w:tcPr>
            <w:tcW w:w="2088" w:type="pct"/>
            <w:vAlign w:val="center"/>
          </w:tcPr>
          <w:p w14:paraId="7A6306BF">
            <w:pPr>
              <w:widowControl/>
              <w:kinsoku w:val="0"/>
              <w:autoSpaceDE w:val="0"/>
              <w:autoSpaceDN w:val="0"/>
              <w:snapToGrid w:val="0"/>
              <w:spacing w:line="240" w:lineRule="auto"/>
              <w:jc w:val="center"/>
              <w:textAlignment w:val="baseline"/>
              <w:rPr>
                <w:rFonts w:ascii="宋体" w:hAnsi="宋体" w:eastAsia="宋体" w:cs="宋体"/>
                <w:snapToGrid w:val="0"/>
                <w:color w:val="000000"/>
                <w:spacing w:val="12"/>
                <w:sz w:val="18"/>
                <w:szCs w:val="18"/>
                <w:lang w:eastAsia="en-US"/>
              </w:rPr>
            </w:pPr>
            <w:r>
              <w:rPr>
                <w:rFonts w:hint="eastAsia" w:ascii="宋体" w:hAnsi="宋体" w:eastAsia="宋体" w:cs="宋体"/>
                <w:snapToGrid w:val="0"/>
                <w:color w:val="000000"/>
                <w:spacing w:val="12"/>
                <w:sz w:val="18"/>
                <w:szCs w:val="18"/>
                <w:lang w:eastAsia="en-US"/>
              </w:rPr>
              <w:t>按各自元件标准规定</w:t>
            </w:r>
          </w:p>
        </w:tc>
      </w:tr>
      <w:bookmarkEnd w:id="82"/>
    </w:tbl>
    <w:p w14:paraId="73C4DBEF">
      <w:pPr>
        <w:pStyle w:val="105"/>
        <w:spacing w:before="240" w:after="240"/>
      </w:pPr>
      <w:bookmarkStart w:id="97" w:name="_Toc360"/>
      <w:r>
        <w:rPr>
          <w:rFonts w:hint="eastAsia"/>
        </w:rPr>
        <w:t>试验方法</w:t>
      </w:r>
      <w:bookmarkEnd w:id="97"/>
    </w:p>
    <w:p w14:paraId="3B34238C">
      <w:pPr>
        <w:pStyle w:val="106"/>
        <w:spacing w:before="120" w:after="120"/>
      </w:pPr>
      <w:bookmarkStart w:id="98" w:name="_Toc21754"/>
      <w:r>
        <w:rPr>
          <w:rFonts w:hint="eastAsia"/>
        </w:rPr>
        <w:t>带电试验</w:t>
      </w:r>
      <w:bookmarkEnd w:id="98"/>
    </w:p>
    <w:p w14:paraId="2EF2F71D">
      <w:pPr>
        <w:pStyle w:val="66"/>
        <w:spacing w:before="120" w:after="120"/>
      </w:pPr>
      <w:bookmarkStart w:id="99" w:name="_Toc161865497"/>
      <w:r>
        <w:t>带电前检查</w:t>
      </w:r>
      <w:bookmarkEnd w:id="99"/>
    </w:p>
    <w:p w14:paraId="5EA77A57">
      <w:pPr>
        <w:pStyle w:val="57"/>
        <w:ind w:firstLine="420"/>
      </w:pPr>
      <w:r>
        <w:t>带电前最后的检查应保证拉开所有的接地开关，临时接地</w:t>
      </w:r>
      <w:r>
        <w:rPr>
          <w:rFonts w:hint="eastAsia"/>
        </w:rPr>
        <w:t>装置</w:t>
      </w:r>
      <w:r>
        <w:t>已被拆除，松动的母线连接处已复原；所有闭锁装置与保护电路的功能都已经检查并正常</w:t>
      </w:r>
      <w:r>
        <w:rPr>
          <w:rFonts w:hint="eastAsia"/>
        </w:rPr>
        <w:t>、相关保护装置已启用</w:t>
      </w:r>
      <w:r>
        <w:t>；换流链冷却系统已投入运行</w:t>
      </w:r>
      <w:r>
        <w:rPr>
          <w:rFonts w:hint="eastAsia"/>
        </w:rPr>
        <w:t>；构网型静止无功发生器安装点处系统电压在</w:t>
      </w:r>
      <w:r>
        <w:t>标称电压</w:t>
      </w:r>
      <w:r>
        <w:rPr>
          <w:rFonts w:hint="eastAsia"/>
        </w:rPr>
        <w:t>的0.9</w:t>
      </w:r>
      <w:r>
        <w:t>倍～</w:t>
      </w:r>
      <w:r>
        <w:rPr>
          <w:rFonts w:hint="eastAsia"/>
        </w:rPr>
        <w:t>1.1倍以内</w:t>
      </w:r>
      <w:r>
        <w:t>。</w:t>
      </w:r>
    </w:p>
    <w:p w14:paraId="1012E6FD">
      <w:pPr>
        <w:pStyle w:val="66"/>
        <w:spacing w:before="120" w:after="120"/>
      </w:pPr>
      <w:bookmarkStart w:id="100" w:name="_Toc161865498"/>
      <w:r>
        <w:t>初通电试验</w:t>
      </w:r>
      <w:bookmarkEnd w:id="100"/>
    </w:p>
    <w:p w14:paraId="40C0519D">
      <w:pPr>
        <w:pStyle w:val="57"/>
        <w:ind w:firstLine="420"/>
      </w:pPr>
      <w:r>
        <w:rPr>
          <w:rFonts w:hint="eastAsia"/>
        </w:rPr>
        <w:t>根据启动方式的不同，构网型静止无功发生器</w:t>
      </w:r>
      <w:r>
        <w:t>并网前应处于闭锁状态</w:t>
      </w:r>
      <w:r>
        <w:rPr>
          <w:rFonts w:hint="eastAsia"/>
        </w:rPr>
        <w:t>。</w:t>
      </w:r>
      <w:r>
        <w:t>并网后，</w:t>
      </w:r>
      <w:r>
        <w:rPr>
          <w:rFonts w:hint="eastAsia"/>
        </w:rPr>
        <w:t>构网型静止无功发生器</w:t>
      </w:r>
      <w:r>
        <w:t>应</w:t>
      </w:r>
      <w:r>
        <w:rPr>
          <w:rFonts w:hint="eastAsia"/>
        </w:rPr>
        <w:t>始终保持</w:t>
      </w:r>
      <w:r>
        <w:t>闭锁状态</w:t>
      </w:r>
      <w:r>
        <w:rPr>
          <w:rFonts w:hint="eastAsia"/>
        </w:rPr>
        <w:t>，并开展如下检查：</w:t>
      </w:r>
    </w:p>
    <w:p w14:paraId="6D20347A">
      <w:pPr>
        <w:pStyle w:val="175"/>
        <w:numPr>
          <w:ilvl w:val="0"/>
          <w:numId w:val="36"/>
        </w:numPr>
      </w:pPr>
      <w:r>
        <w:rPr>
          <w:rFonts w:hint="eastAsia"/>
        </w:rPr>
        <w:t>检验构网型静止无功发生器的电压耐受能力；</w:t>
      </w:r>
    </w:p>
    <w:p w14:paraId="6DC8DC2B">
      <w:pPr>
        <w:pStyle w:val="175"/>
        <w:numPr>
          <w:ilvl w:val="0"/>
          <w:numId w:val="36"/>
        </w:numPr>
      </w:pPr>
      <w:r>
        <w:rPr>
          <w:rFonts w:hint="eastAsia"/>
        </w:rPr>
        <w:t>检查构网型静止无功发生器软启动电路投退功能是否正常；</w:t>
      </w:r>
    </w:p>
    <w:p w14:paraId="38C71785">
      <w:pPr>
        <w:pStyle w:val="175"/>
        <w:numPr>
          <w:ilvl w:val="0"/>
          <w:numId w:val="36"/>
        </w:numPr>
      </w:pPr>
      <w:r>
        <w:rPr>
          <w:rFonts w:hint="eastAsia"/>
        </w:rPr>
        <w:t>检验构网型静止无功发生器闭锁状态下维持各链节直流电压平衡的能力；</w:t>
      </w:r>
    </w:p>
    <w:p w14:paraId="6122CFD2">
      <w:pPr>
        <w:pStyle w:val="175"/>
        <w:numPr>
          <w:ilvl w:val="0"/>
          <w:numId w:val="36"/>
        </w:numPr>
      </w:pPr>
      <w:r>
        <w:rPr>
          <w:rFonts w:hint="eastAsia"/>
        </w:rPr>
        <w:t>检查构网型静止无功发生器</w:t>
      </w:r>
      <w:r>
        <w:t>装置不应</w:t>
      </w:r>
      <w:r>
        <w:rPr>
          <w:rFonts w:hint="eastAsia"/>
        </w:rPr>
        <w:t>出现</w:t>
      </w:r>
      <w:r>
        <w:t>闪络及放电现象</w:t>
      </w:r>
      <w:r>
        <w:rPr>
          <w:rFonts w:hint="eastAsia"/>
        </w:rPr>
        <w:t>。</w:t>
      </w:r>
    </w:p>
    <w:p w14:paraId="07AF14DA">
      <w:pPr>
        <w:pStyle w:val="57"/>
        <w:ind w:firstLine="420"/>
      </w:pPr>
      <w:r>
        <w:t>初通电试验可以重复多次，间隔时间应确保</w:t>
      </w:r>
      <w:r>
        <w:rPr>
          <w:rFonts w:hint="eastAsia"/>
        </w:rPr>
        <w:t>构网型静止无功补偿装置</w:t>
      </w:r>
      <w:r>
        <w:t>的热量能够充分散出</w:t>
      </w:r>
      <w:r>
        <w:rPr>
          <w:rFonts w:hint="eastAsia"/>
        </w:rPr>
        <w:t>，宜不小于3</w:t>
      </w:r>
      <w:r>
        <w:t>0</w:t>
      </w:r>
      <w:r>
        <w:rPr>
          <w:rFonts w:hint="eastAsia"/>
        </w:rPr>
        <w:t>min</w:t>
      </w:r>
      <w:r>
        <w:t>。</w:t>
      </w:r>
    </w:p>
    <w:p w14:paraId="04FCB1B3">
      <w:pPr>
        <w:pStyle w:val="66"/>
        <w:spacing w:before="120" w:after="120"/>
      </w:pPr>
      <w:bookmarkStart w:id="101" w:name="OLE_LINK1"/>
      <w:r>
        <w:rPr>
          <w:rFonts w:hint="eastAsia"/>
        </w:rPr>
        <w:t>紧急停止</w:t>
      </w:r>
      <w:bookmarkEnd w:id="101"/>
      <w:r>
        <w:rPr>
          <w:rFonts w:hint="eastAsia"/>
        </w:rPr>
        <w:t>试验</w:t>
      </w:r>
    </w:p>
    <w:p w14:paraId="196E9FED">
      <w:pPr>
        <w:pStyle w:val="175"/>
        <w:numPr>
          <w:ilvl w:val="0"/>
          <w:numId w:val="0"/>
        </w:numPr>
        <w:ind w:firstLine="420" w:firstLineChars="200"/>
      </w:pPr>
      <w:r>
        <w:rPr>
          <w:rFonts w:hint="eastAsia"/>
        </w:rPr>
        <w:t>在充电完成且</w:t>
      </w:r>
      <w:r>
        <w:t>系统稳定后，</w:t>
      </w:r>
      <w:r>
        <w:rPr>
          <w:rFonts w:hint="eastAsia"/>
        </w:rPr>
        <w:t>对构网型静止无功发生器进行</w:t>
      </w:r>
      <w:r>
        <w:t>紧急停机</w:t>
      </w:r>
      <w:r>
        <w:rPr>
          <w:rFonts w:hint="eastAsia"/>
        </w:rPr>
        <w:t>，验证其工作可靠性。</w:t>
      </w:r>
    </w:p>
    <w:p w14:paraId="653993D3">
      <w:pPr>
        <w:pStyle w:val="66"/>
        <w:spacing w:before="120" w:after="120"/>
      </w:pPr>
      <w:bookmarkStart w:id="102" w:name="_Toc161865500"/>
      <w:r>
        <w:t>启停试验</w:t>
      </w:r>
      <w:bookmarkEnd w:id="102"/>
    </w:p>
    <w:p w14:paraId="1749CE26">
      <w:pPr>
        <w:pStyle w:val="57"/>
        <w:ind w:firstLine="420"/>
      </w:pPr>
      <w:r>
        <w:rPr>
          <w:rFonts w:hint="eastAsia"/>
        </w:rPr>
        <w:t>试验应按以下步骤进行：</w:t>
      </w:r>
    </w:p>
    <w:p w14:paraId="6CB8A534">
      <w:pPr>
        <w:pStyle w:val="175"/>
        <w:numPr>
          <w:ilvl w:val="0"/>
          <w:numId w:val="37"/>
        </w:numPr>
      </w:pPr>
      <w:r>
        <w:rPr>
          <w:rFonts w:hint="eastAsia"/>
        </w:rPr>
        <w:t>启停试验前，应确认电网能吸收或发出所要求的无功功率，并能适应可能发生的无功变化。如果无法达到这一要求，试验时应适当降低无功功率的输出。</w:t>
      </w:r>
    </w:p>
    <w:p w14:paraId="4BB27AFD">
      <w:pPr>
        <w:pStyle w:val="175"/>
        <w:numPr>
          <w:ilvl w:val="0"/>
          <w:numId w:val="37"/>
        </w:numPr>
      </w:pPr>
      <w:r>
        <w:rPr>
          <w:rFonts w:hint="eastAsia"/>
        </w:rPr>
        <w:t>在跟网控制模式下开展构网型静止无功发生器启停试验，记录构网型静止无功发生器装置启动/停止过程的电压电流波形；</w:t>
      </w:r>
    </w:p>
    <w:p w14:paraId="72C2B50F">
      <w:pPr>
        <w:pStyle w:val="175"/>
        <w:numPr>
          <w:ilvl w:val="0"/>
          <w:numId w:val="37"/>
        </w:numPr>
      </w:pPr>
      <w:r>
        <w:rPr>
          <w:rFonts w:hint="eastAsia"/>
        </w:rPr>
        <w:t>在构网控制模式下开展构网型静止无功发生器启停试验，记录构网型静止无功发生器装置启动/停止过程的电压电流波形。</w:t>
      </w:r>
    </w:p>
    <w:p w14:paraId="1DED9575">
      <w:pPr>
        <w:pStyle w:val="175"/>
        <w:numPr>
          <w:ilvl w:val="0"/>
          <w:numId w:val="0"/>
        </w:numPr>
        <w:ind w:left="425"/>
      </w:pPr>
      <w:r>
        <w:rPr>
          <w:rFonts w:hint="eastAsia"/>
        </w:rPr>
        <w:t>启停试验中对如下内容进行检查：</w:t>
      </w:r>
    </w:p>
    <w:p w14:paraId="4E0135D3">
      <w:pPr>
        <w:pStyle w:val="175"/>
        <w:numPr>
          <w:ilvl w:val="0"/>
          <w:numId w:val="38"/>
        </w:numPr>
      </w:pPr>
      <w:r>
        <w:rPr>
          <w:rFonts w:hint="eastAsia"/>
        </w:rPr>
        <w:t>检验构网型静止无功发生器正常启停逻辑正常；</w:t>
      </w:r>
    </w:p>
    <w:p w14:paraId="4BEB82BE">
      <w:pPr>
        <w:pStyle w:val="175"/>
        <w:numPr>
          <w:ilvl w:val="0"/>
          <w:numId w:val="38"/>
        </w:numPr>
      </w:pPr>
      <w:r>
        <w:rPr>
          <w:rFonts w:hint="eastAsia"/>
        </w:rPr>
        <w:t>检查冷却系统工作正常；</w:t>
      </w:r>
    </w:p>
    <w:p w14:paraId="250F1AEF">
      <w:pPr>
        <w:pStyle w:val="175"/>
        <w:numPr>
          <w:ilvl w:val="0"/>
          <w:numId w:val="38"/>
        </w:numPr>
      </w:pPr>
      <w:r>
        <w:rPr>
          <w:rFonts w:hint="eastAsia"/>
        </w:rPr>
        <w:t>检查相关二次回路极性正确；</w:t>
      </w:r>
    </w:p>
    <w:p w14:paraId="2546C19E">
      <w:pPr>
        <w:pStyle w:val="175"/>
        <w:numPr>
          <w:ilvl w:val="0"/>
          <w:numId w:val="38"/>
        </w:numPr>
      </w:pPr>
      <w:r>
        <w:rPr>
          <w:rFonts w:hint="eastAsia"/>
        </w:rPr>
        <w:t>检查构网型静止无功发生器闭锁及解锁功能正常；</w:t>
      </w:r>
    </w:p>
    <w:p w14:paraId="56F3E759">
      <w:pPr>
        <w:pStyle w:val="66"/>
        <w:spacing w:before="120" w:after="120"/>
      </w:pPr>
      <w:r>
        <w:t>备用设备试验(可选试验)</w:t>
      </w:r>
    </w:p>
    <w:p w14:paraId="556ECFF1">
      <w:pPr>
        <w:pStyle w:val="57"/>
        <w:ind w:firstLine="420"/>
      </w:pPr>
      <w:r>
        <w:rPr>
          <w:rFonts w:hint="eastAsia"/>
        </w:rPr>
        <w:t>若构网型静止无功发生器具备备用设备，需开展备用设备试验。</w:t>
      </w:r>
    </w:p>
    <w:p w14:paraId="11520B74">
      <w:pPr>
        <w:pStyle w:val="224"/>
        <w:numPr>
          <w:ilvl w:val="0"/>
          <w:numId w:val="0"/>
        </w:numPr>
        <w:ind w:firstLine="420" w:firstLineChars="200"/>
      </w:pPr>
      <w:r>
        <w:t>应对</w:t>
      </w:r>
      <w:r>
        <w:rPr>
          <w:rFonts w:hint="eastAsia"/>
        </w:rPr>
        <w:t>控保装置、水冷控制系统、电源等</w:t>
      </w:r>
      <w:r>
        <w:t>备用设备进行试验，在带电工作状态下完成切换操作，以检验转换时间及抗干扰能力。</w:t>
      </w:r>
    </w:p>
    <w:p w14:paraId="36A31086">
      <w:pPr>
        <w:pStyle w:val="106"/>
        <w:spacing w:before="120" w:after="120"/>
      </w:pPr>
      <w:bookmarkStart w:id="103" w:name="_Toc23560"/>
      <w:bookmarkStart w:id="104" w:name="_Toc161865501"/>
      <w:r>
        <w:t>性能试验</w:t>
      </w:r>
      <w:bookmarkEnd w:id="103"/>
      <w:bookmarkEnd w:id="104"/>
    </w:p>
    <w:p w14:paraId="32675306">
      <w:pPr>
        <w:pStyle w:val="66"/>
        <w:spacing w:before="120" w:after="120"/>
      </w:pPr>
      <w:bookmarkStart w:id="105" w:name="_Toc161865503"/>
      <w:r>
        <w:t>连续运行范围试验</w:t>
      </w:r>
      <w:bookmarkEnd w:id="105"/>
    </w:p>
    <w:p w14:paraId="08748752">
      <w:pPr>
        <w:pStyle w:val="224"/>
        <w:numPr>
          <w:ilvl w:val="0"/>
          <w:numId w:val="0"/>
        </w:numPr>
        <w:ind w:firstLine="420" w:firstLineChars="200"/>
      </w:pPr>
      <w:r>
        <w:rPr>
          <w:rFonts w:hint="eastAsia"/>
        </w:rPr>
        <w:t>连续运行范围试验</w:t>
      </w:r>
      <w:r>
        <w:t>检验</w:t>
      </w:r>
      <w:r>
        <w:rPr>
          <w:rFonts w:hint="eastAsia"/>
        </w:rPr>
        <w:t>构网型静止无功发生器</w:t>
      </w:r>
      <w:r>
        <w:t>从最大容性无功功率到最大感性无功功率区间连续运行的能力</w:t>
      </w:r>
      <w:r>
        <w:rPr>
          <w:rFonts w:hint="eastAsia"/>
        </w:rPr>
        <w:t>。</w:t>
      </w:r>
      <w:r>
        <w:t>具备</w:t>
      </w:r>
      <w:r>
        <w:rPr>
          <w:rFonts w:hint="eastAsia"/>
        </w:rPr>
        <w:t>跟、构网两种</w:t>
      </w:r>
      <w:r>
        <w:t>控制方式</w:t>
      </w:r>
      <w:r>
        <w:rPr>
          <w:rFonts w:hint="eastAsia"/>
        </w:rPr>
        <w:t>的静止无功发生器</w:t>
      </w:r>
      <w:r>
        <w:t>需在每种控制方式下分别进行试验，一般可分别在</w:t>
      </w:r>
      <w:r>
        <w:rPr>
          <w:rFonts w:hint="eastAsia"/>
        </w:rPr>
        <w:t>构网型控制、跟网型</w:t>
      </w:r>
      <w:r>
        <w:t>恒无功控制、</w:t>
      </w:r>
      <w:r>
        <w:rPr>
          <w:rFonts w:hint="eastAsia"/>
        </w:rPr>
        <w:t>跟网型</w:t>
      </w:r>
      <w:r>
        <w:t>电压控制等模式下进行。</w:t>
      </w:r>
    </w:p>
    <w:p w14:paraId="230427D7">
      <w:pPr>
        <w:pStyle w:val="224"/>
        <w:numPr>
          <w:ilvl w:val="0"/>
          <w:numId w:val="0"/>
        </w:numPr>
        <w:ind w:firstLine="420" w:firstLineChars="200"/>
      </w:pPr>
      <w:r>
        <w:t>试验期间，记录并检查控制点和</w:t>
      </w:r>
      <w:r>
        <w:rPr>
          <w:rFonts w:hint="eastAsia"/>
        </w:rPr>
        <w:t>构网型静止无功发生器的</w:t>
      </w:r>
      <w:r>
        <w:t>电压、电流和功率，并密切监视系统母线电压的变化以防产生系统电压振荡。</w:t>
      </w:r>
    </w:p>
    <w:p w14:paraId="26DFF201">
      <w:pPr>
        <w:pStyle w:val="224"/>
        <w:numPr>
          <w:ilvl w:val="0"/>
          <w:numId w:val="0"/>
        </w:numPr>
        <w:ind w:firstLine="420" w:firstLineChars="200"/>
      </w:pPr>
      <w:r>
        <w:t>构网型静止无功发生器在额定电压下输出的无功功率折算值可由实测电流值按式(1)计算：</w:t>
      </w:r>
    </w:p>
    <w:p w14:paraId="2BB4BFC3">
      <w:pPr>
        <w:widowControl/>
        <w:kinsoku w:val="0"/>
        <w:wordWrap w:val="0"/>
        <w:autoSpaceDE w:val="0"/>
        <w:autoSpaceDN w:val="0"/>
        <w:snapToGrid w:val="0"/>
        <w:spacing w:before="62" w:line="261" w:lineRule="auto"/>
        <w:ind w:right="40" w:firstLine="409"/>
        <w:jc w:val="right"/>
        <w:textAlignment w:val="baseline"/>
        <w:rPr>
          <w:rFonts w:ascii="宋体" w:hAnsi="宋体" w:cs="宋体"/>
          <w:snapToGrid w:val="0"/>
          <w:color w:val="000000"/>
          <w:spacing w:val="-6"/>
          <w:kern w:val="0"/>
        </w:rPr>
      </w:pPr>
      <m:oMath>
        <m:sSub>
          <m:sSubPr>
            <m:ctrlPr>
              <w:rPr>
                <w:rFonts w:ascii="Cambria Math" w:hAnsi="Cambria Math" w:cs="宋体"/>
                <w:i/>
                <w:snapToGrid w:val="0"/>
                <w:color w:val="000000"/>
                <w:spacing w:val="-6"/>
                <w:kern w:val="0"/>
              </w:rPr>
            </m:ctrlPr>
          </m:sSubPr>
          <m:e>
            <m:r>
              <m:rPr/>
              <w:rPr>
                <w:rFonts w:ascii="Cambria Math" w:hAnsi="Cambria Math" w:cs="宋体"/>
                <w:snapToGrid w:val="0"/>
                <w:color w:val="000000"/>
                <w:spacing w:val="-6"/>
                <w:kern w:val="0"/>
              </w:rPr>
              <m:t>Q</m:t>
            </m:r>
            <m:ctrlPr>
              <w:rPr>
                <w:rFonts w:ascii="Cambria Math" w:hAnsi="Cambria Math" w:cs="宋体"/>
                <w:i/>
                <w:snapToGrid w:val="0"/>
                <w:color w:val="000000"/>
                <w:spacing w:val="-6"/>
                <w:kern w:val="0"/>
              </w:rPr>
            </m:ctrlPr>
          </m:e>
          <m:sub>
            <m:r>
              <m:rPr/>
              <w:rPr>
                <w:rFonts w:ascii="Cambria Math" w:hAnsi="Cambria Math" w:cs="宋体"/>
                <w:snapToGrid w:val="0"/>
                <w:color w:val="000000"/>
                <w:spacing w:val="-6"/>
                <w:kern w:val="0"/>
              </w:rPr>
              <m:t>act</m:t>
            </m:r>
            <m:ctrlPr>
              <w:rPr>
                <w:rFonts w:ascii="Cambria Math" w:hAnsi="Cambria Math" w:cs="宋体"/>
                <w:i/>
                <w:snapToGrid w:val="0"/>
                <w:color w:val="000000"/>
                <w:spacing w:val="-6"/>
                <w:kern w:val="0"/>
              </w:rPr>
            </m:ctrlPr>
          </m:sub>
        </m:sSub>
        <m:r>
          <m:rPr>
            <m:sty m:val="p"/>
          </m:rPr>
          <w:rPr>
            <w:rFonts w:ascii="Cambria Math" w:hAnsi="Cambria Math" w:cs="宋体"/>
            <w:snapToGrid w:val="0"/>
            <w:color w:val="000000"/>
            <w:spacing w:val="-6"/>
            <w:kern w:val="0"/>
          </w:rPr>
          <m:t>=</m:t>
        </m:r>
        <m:rad>
          <m:radPr>
            <m:degHide m:val="1"/>
            <m:ctrlPr>
              <w:rPr>
                <w:rFonts w:ascii="Cambria Math" w:hAnsi="Cambria Math" w:cs="宋体"/>
                <w:snapToGrid w:val="0"/>
                <w:color w:val="000000"/>
                <w:spacing w:val="-6"/>
                <w:kern w:val="0"/>
              </w:rPr>
            </m:ctrlPr>
          </m:radPr>
          <m:deg>
            <m:ctrlPr>
              <w:rPr>
                <w:rFonts w:ascii="Cambria Math" w:hAnsi="Cambria Math" w:cs="宋体"/>
                <w:snapToGrid w:val="0"/>
                <w:color w:val="000000"/>
                <w:spacing w:val="-6"/>
                <w:kern w:val="0"/>
              </w:rPr>
            </m:ctrlPr>
          </m:deg>
          <m:e>
            <m:r>
              <m:rPr/>
              <w:rPr>
                <w:rFonts w:ascii="Cambria Math" w:hAnsi="Cambria Math" w:cs="宋体"/>
                <w:snapToGrid w:val="0"/>
                <w:color w:val="000000"/>
                <w:spacing w:val="-6"/>
                <w:kern w:val="0"/>
              </w:rPr>
              <m:t>3</m:t>
            </m:r>
            <m:ctrlPr>
              <w:rPr>
                <w:rFonts w:ascii="Cambria Math" w:hAnsi="Cambria Math" w:cs="宋体"/>
                <w:snapToGrid w:val="0"/>
                <w:color w:val="000000"/>
                <w:spacing w:val="-6"/>
                <w:kern w:val="0"/>
              </w:rPr>
            </m:ctrlPr>
          </m:e>
        </m:rad>
        <m:r>
          <m:rPr/>
          <w:rPr>
            <w:rFonts w:ascii="Cambria Math" w:hAnsi="Cambria Math" w:cs="宋体"/>
            <w:snapToGrid w:val="0"/>
            <w:color w:val="000000"/>
            <w:spacing w:val="-6"/>
            <w:kern w:val="0"/>
          </w:rPr>
          <m:t>I</m:t>
        </m:r>
        <m:sSub>
          <m:sSubPr>
            <m:ctrlPr>
              <w:rPr>
                <w:rFonts w:ascii="Cambria Math" w:hAnsi="Cambria Math" w:cs="宋体"/>
                <w:snapToGrid w:val="0"/>
                <w:color w:val="000000"/>
                <w:spacing w:val="-6"/>
                <w:kern w:val="0"/>
              </w:rPr>
            </m:ctrlPr>
          </m:sSubPr>
          <m:e>
            <m:r>
              <m:rPr/>
              <w:rPr>
                <w:rFonts w:ascii="Cambria Math" w:hAnsi="Cambria Math" w:cs="宋体"/>
                <w:snapToGrid w:val="0"/>
                <w:color w:val="000000"/>
                <w:spacing w:val="-6"/>
                <w:kern w:val="0"/>
              </w:rPr>
              <m:t>U</m:t>
            </m:r>
            <m:ctrlPr>
              <w:rPr>
                <w:rFonts w:ascii="Cambria Math" w:hAnsi="Cambria Math" w:cs="宋体"/>
                <w:snapToGrid w:val="0"/>
                <w:color w:val="000000"/>
                <w:spacing w:val="-6"/>
                <w:kern w:val="0"/>
              </w:rPr>
            </m:ctrlPr>
          </m:e>
          <m:sub>
            <m:r>
              <m:rPr/>
              <w:rPr>
                <w:rFonts w:hint="eastAsia" w:ascii="Cambria Math" w:hAnsi="Cambria Math" w:cs="宋体"/>
                <w:snapToGrid w:val="0"/>
                <w:color w:val="000000"/>
                <w:spacing w:val="-6"/>
                <w:kern w:val="0"/>
              </w:rPr>
              <m:t>n</m:t>
            </m:r>
            <m:ctrlPr>
              <w:rPr>
                <w:rFonts w:ascii="Cambria Math" w:hAnsi="Cambria Math" w:cs="宋体"/>
                <w:snapToGrid w:val="0"/>
                <w:color w:val="000000"/>
                <w:spacing w:val="-6"/>
                <w:kern w:val="0"/>
              </w:rPr>
            </m:ctrlPr>
          </m:sub>
        </m:sSub>
      </m:oMath>
      <w:r>
        <w:rPr>
          <w:rFonts w:hint="eastAsia" w:ascii="宋体" w:hAnsi="宋体" w:cs="宋体"/>
          <w:snapToGrid w:val="0"/>
          <w:color w:val="000000"/>
          <w:spacing w:val="-6"/>
          <w:kern w:val="0"/>
        </w:rPr>
        <w:t xml:space="preserve"> </w:t>
      </w:r>
      <w:r>
        <w:rPr>
          <w:rFonts w:ascii="宋体" w:hAnsi="宋体" w:cs="宋体"/>
          <w:snapToGrid w:val="0"/>
          <w:color w:val="000000"/>
          <w:spacing w:val="-6"/>
          <w:kern w:val="0"/>
        </w:rPr>
        <w:t xml:space="preserve">                                        （</w:t>
      </w:r>
      <w:r>
        <w:rPr>
          <w:rFonts w:hint="eastAsia" w:ascii="宋体" w:hAnsi="宋体" w:cs="宋体"/>
          <w:snapToGrid w:val="0"/>
          <w:color w:val="000000"/>
          <w:spacing w:val="-6"/>
          <w:kern w:val="0"/>
        </w:rPr>
        <w:t>1</w:t>
      </w:r>
      <w:r>
        <w:rPr>
          <w:rFonts w:ascii="宋体" w:hAnsi="宋体" w:cs="宋体"/>
          <w:snapToGrid w:val="0"/>
          <w:color w:val="000000"/>
          <w:spacing w:val="-6"/>
          <w:kern w:val="0"/>
        </w:rPr>
        <w:t>）</w:t>
      </w:r>
    </w:p>
    <w:p w14:paraId="67C4AC46">
      <w:pPr>
        <w:pStyle w:val="224"/>
        <w:numPr>
          <w:ilvl w:val="0"/>
          <w:numId w:val="0"/>
        </w:numPr>
        <w:ind w:firstLine="420" w:firstLineChars="200"/>
      </w:pPr>
      <w:r>
        <w:t>式中：</w:t>
      </w:r>
    </w:p>
    <w:p w14:paraId="5E9B829B">
      <w:pPr>
        <w:pStyle w:val="224"/>
        <w:numPr>
          <w:ilvl w:val="0"/>
          <w:numId w:val="0"/>
        </w:numPr>
        <w:ind w:firstLine="396" w:firstLineChars="200"/>
      </w:pPr>
      <m:oMath>
        <m:sSub>
          <m:sSubPr>
            <m:ctrlPr>
              <w:rPr>
                <w:rFonts w:ascii="Cambria Math" w:hAnsi="Cambria Math" w:cs="宋体"/>
                <w:i/>
                <w:snapToGrid w:val="0"/>
                <w:color w:val="000000"/>
                <w:spacing w:val="-6"/>
              </w:rPr>
            </m:ctrlPr>
          </m:sSubPr>
          <m:e>
            <m:r>
              <m:rPr/>
              <w:rPr>
                <w:rFonts w:ascii="Cambria Math" w:hAnsi="Cambria Math" w:cs="宋体"/>
                <w:snapToGrid w:val="0"/>
                <w:color w:val="000000"/>
                <w:spacing w:val="-6"/>
              </w:rPr>
              <m:t>Q</m:t>
            </m:r>
            <m:ctrlPr>
              <w:rPr>
                <w:rFonts w:ascii="Cambria Math" w:hAnsi="Cambria Math" w:cs="宋体"/>
                <w:i/>
                <w:snapToGrid w:val="0"/>
                <w:color w:val="000000"/>
                <w:spacing w:val="-6"/>
              </w:rPr>
            </m:ctrlPr>
          </m:e>
          <m:sub>
            <m:r>
              <m:rPr/>
              <w:rPr>
                <w:rFonts w:ascii="Cambria Math" w:hAnsi="Cambria Math" w:cs="宋体"/>
                <w:snapToGrid w:val="0"/>
                <w:color w:val="000000"/>
                <w:spacing w:val="-6"/>
              </w:rPr>
              <m:t>act</m:t>
            </m:r>
            <m:ctrlPr>
              <w:rPr>
                <w:rFonts w:ascii="Cambria Math" w:hAnsi="Cambria Math" w:cs="宋体"/>
                <w:i/>
                <w:snapToGrid w:val="0"/>
                <w:color w:val="000000"/>
                <w:spacing w:val="-6"/>
              </w:rPr>
            </m:ctrlPr>
          </m:sub>
        </m:sSub>
      </m:oMath>
      <w:r>
        <w:t>——额定电压下构网型静止无功发生器输出的无功功率折算值；</w:t>
      </w:r>
    </w:p>
    <w:p w14:paraId="5B3D45FD">
      <w:pPr>
        <w:pStyle w:val="224"/>
        <w:numPr>
          <w:ilvl w:val="0"/>
          <w:numId w:val="0"/>
        </w:numPr>
        <w:ind w:firstLine="420" w:firstLineChars="200"/>
      </w:pPr>
      <m:oMath>
        <m:r>
          <m:rPr/>
          <w:rPr>
            <w:rFonts w:ascii="Cambria Math" w:hAnsi="Cambria Math"/>
          </w:rPr>
          <m:t>I</m:t>
        </m:r>
      </m:oMath>
      <w:r>
        <w:t>——构网型静止无功发生器输出电流测量值；</w:t>
      </w:r>
    </w:p>
    <w:p w14:paraId="259B4DF0">
      <w:pPr>
        <w:pStyle w:val="224"/>
        <w:numPr>
          <w:ilvl w:val="0"/>
          <w:numId w:val="0"/>
        </w:numPr>
        <w:ind w:firstLine="420" w:firstLineChars="200"/>
      </w:pPr>
      <m:oMath>
        <m:sSub>
          <m:sSubPr>
            <m:ctrlPr>
              <w:rPr>
                <w:rFonts w:ascii="Cambria Math" w:hAnsi="Cambria Math"/>
              </w:rPr>
            </m:ctrlPr>
          </m:sSubPr>
          <m:e>
            <m:r>
              <m:rPr/>
              <w:rPr>
                <w:rFonts w:ascii="Cambria Math" w:hAnsi="Cambria Math"/>
              </w:rPr>
              <m:t>U</m:t>
            </m:r>
            <m:ctrlPr>
              <w:rPr>
                <w:rFonts w:ascii="Cambria Math" w:hAnsi="Cambria Math"/>
              </w:rPr>
            </m:ctrlPr>
          </m:e>
          <m:sub>
            <m:r>
              <m:rPr/>
              <w:rPr>
                <w:rFonts w:hint="eastAsia" w:ascii="Cambria Math" w:hAnsi="Cambria Math"/>
              </w:rPr>
              <m:t>n</m:t>
            </m:r>
            <m:ctrlPr>
              <w:rPr>
                <w:rFonts w:ascii="Cambria Math" w:hAnsi="Cambria Math"/>
              </w:rPr>
            </m:ctrlPr>
          </m:sub>
        </m:sSub>
      </m:oMath>
      <w:r>
        <w:t>——额定电压</w:t>
      </w:r>
      <w:r>
        <w:rPr>
          <w:rFonts w:hint="eastAsia"/>
        </w:rPr>
        <w:t>。</w:t>
      </w:r>
    </w:p>
    <w:p w14:paraId="46CBACD3">
      <w:pPr>
        <w:pStyle w:val="95"/>
        <w:spacing w:before="120" w:after="120"/>
      </w:pPr>
      <w:r>
        <w:rPr>
          <w:rFonts w:hint="eastAsia"/>
        </w:rPr>
        <w:t>构网型控制模式</w:t>
      </w:r>
    </w:p>
    <w:p w14:paraId="6EED2885">
      <w:pPr>
        <w:pStyle w:val="57"/>
        <w:ind w:firstLine="420"/>
      </w:pPr>
      <w:r>
        <w:rPr>
          <w:rFonts w:hint="eastAsia"/>
        </w:rPr>
        <w:t>试验应按以下步骤进行：</w:t>
      </w:r>
    </w:p>
    <w:p w14:paraId="0F36F086">
      <w:pPr>
        <w:pStyle w:val="175"/>
        <w:numPr>
          <w:ilvl w:val="0"/>
          <w:numId w:val="39"/>
        </w:numPr>
      </w:pPr>
      <w:r>
        <w:rPr>
          <w:rFonts w:hint="eastAsia"/>
        </w:rPr>
        <w:t>将控制器设定为构网型控制方式；</w:t>
      </w:r>
    </w:p>
    <w:p w14:paraId="6F9CFBB6">
      <w:pPr>
        <w:pStyle w:val="175"/>
        <w:numPr>
          <w:ilvl w:val="0"/>
          <w:numId w:val="39"/>
        </w:numPr>
      </w:pPr>
      <w:r>
        <w:rPr>
          <w:rFonts w:hint="eastAsia"/>
        </w:rPr>
        <w:t>在连接点允许的电压范围内，将无功指令值从零开始，选取适当的步长调节构网型静止无功发生器感性无功设置值，直至感性无功电流或功率达到额定值；</w:t>
      </w:r>
    </w:p>
    <w:p w14:paraId="3085ABAC">
      <w:pPr>
        <w:pStyle w:val="175"/>
        <w:numPr>
          <w:ilvl w:val="0"/>
          <w:numId w:val="39"/>
        </w:numPr>
      </w:pPr>
      <w:r>
        <w:rPr>
          <w:rFonts w:hint="eastAsia"/>
        </w:rPr>
        <w:t>在连接点允许的电压范围内，将无功指令值从零开始，选取适当的步长调节构网型静止无功发生器容性无功设置值，直至容性无功电流或功率达到额定值；</w:t>
      </w:r>
    </w:p>
    <w:p w14:paraId="0208771A">
      <w:pPr>
        <w:pStyle w:val="175"/>
        <w:numPr>
          <w:ilvl w:val="0"/>
          <w:numId w:val="39"/>
        </w:numPr>
      </w:pPr>
      <w:r>
        <w:rPr>
          <w:rFonts w:hint="eastAsia"/>
        </w:rPr>
        <w:t>试验过程采用测试设备记录连接点电压以及构网型静止无功发生器输出电流和无功功率等，计算无功调节误差，试验结果应满足5.2的要求。</w:t>
      </w:r>
    </w:p>
    <w:p w14:paraId="618B9CA6">
      <w:pPr>
        <w:pStyle w:val="175"/>
        <w:numPr>
          <w:ilvl w:val="0"/>
          <w:numId w:val="0"/>
        </w:numPr>
        <w:ind w:left="425"/>
      </w:pPr>
      <w:r>
        <w:rPr>
          <w:rFonts w:hint="eastAsia"/>
        </w:rPr>
        <w:t>试验期间构网型静止无功发生器应能稳定运行，不应出现闭锁、故障或告警等现象。</w:t>
      </w:r>
    </w:p>
    <w:p w14:paraId="12FB817B">
      <w:pPr>
        <w:pStyle w:val="95"/>
        <w:spacing w:before="120" w:after="120"/>
      </w:pPr>
      <w:r>
        <w:rPr>
          <w:rFonts w:hint="eastAsia"/>
        </w:rPr>
        <w:t>跟网型</w:t>
      </w:r>
      <w:r>
        <w:t>恒无功控制模式</w:t>
      </w:r>
    </w:p>
    <w:p w14:paraId="78AAB0C3">
      <w:pPr>
        <w:pStyle w:val="57"/>
        <w:ind w:firstLine="420"/>
      </w:pPr>
      <w:r>
        <w:rPr>
          <w:rFonts w:hint="eastAsia"/>
        </w:rPr>
        <w:t>试验应按以下步骤进行：</w:t>
      </w:r>
    </w:p>
    <w:p w14:paraId="7A362504">
      <w:pPr>
        <w:pStyle w:val="175"/>
        <w:numPr>
          <w:ilvl w:val="0"/>
          <w:numId w:val="40"/>
        </w:numPr>
      </w:pPr>
      <w:r>
        <w:t>将控制器设定为</w:t>
      </w:r>
      <w:r>
        <w:rPr>
          <w:rFonts w:hint="eastAsia"/>
        </w:rPr>
        <w:t>跟网型</w:t>
      </w:r>
      <w:r>
        <w:t>恒无功控制方式</w:t>
      </w:r>
      <w:r>
        <w:rPr>
          <w:rFonts w:hint="eastAsia"/>
        </w:rPr>
        <w:t>；</w:t>
      </w:r>
    </w:p>
    <w:p w14:paraId="39A8DCC8">
      <w:pPr>
        <w:pStyle w:val="175"/>
        <w:numPr>
          <w:ilvl w:val="0"/>
          <w:numId w:val="40"/>
        </w:numPr>
      </w:pPr>
      <w:r>
        <w:rPr>
          <w:rFonts w:hint="eastAsia"/>
        </w:rPr>
        <w:t>在连接点允许的电压范围内，将无功指令值从零开始，选取适当的步长调节构网型静止无功发生器感性无功设置值，直至感性无功电流或功率达到额定值。</w:t>
      </w:r>
    </w:p>
    <w:p w14:paraId="1EA93245">
      <w:pPr>
        <w:pStyle w:val="175"/>
        <w:numPr>
          <w:ilvl w:val="0"/>
          <w:numId w:val="40"/>
        </w:numPr>
      </w:pPr>
      <w:r>
        <w:rPr>
          <w:rFonts w:hint="eastAsia"/>
        </w:rPr>
        <w:t>在连接点允许的电压范围内，将无功指令值从零开始，选取适当的步长调节构网型静止无功发生器容性无功设置值，直至容性无功电流或功率达到额定值。</w:t>
      </w:r>
    </w:p>
    <w:p w14:paraId="2EFBCDF9">
      <w:pPr>
        <w:pStyle w:val="175"/>
        <w:numPr>
          <w:ilvl w:val="0"/>
          <w:numId w:val="40"/>
        </w:numPr>
      </w:pPr>
      <w:r>
        <w:rPr>
          <w:rFonts w:hint="eastAsia"/>
        </w:rPr>
        <w:t>试验过程采用测试设备记录连接点电压以及构网型静止无功发生器输出电流和无功功率等，计算无功调节误差，试验结果应满足5.2的要求。</w:t>
      </w:r>
    </w:p>
    <w:p w14:paraId="3ACD8136">
      <w:pPr>
        <w:pStyle w:val="175"/>
        <w:numPr>
          <w:ilvl w:val="0"/>
          <w:numId w:val="0"/>
        </w:numPr>
        <w:ind w:left="425"/>
      </w:pPr>
      <w:r>
        <w:rPr>
          <w:rFonts w:hint="eastAsia"/>
        </w:rPr>
        <w:t>试验期间构网型静止无功发生器应能稳定运行，不应出现闭锁、故障或告警等现象。</w:t>
      </w:r>
    </w:p>
    <w:p w14:paraId="58A094AB">
      <w:pPr>
        <w:pStyle w:val="95"/>
        <w:spacing w:before="120" w:after="120"/>
      </w:pPr>
      <w:r>
        <w:rPr>
          <w:rFonts w:hint="eastAsia"/>
        </w:rPr>
        <w:t>跟网型</w:t>
      </w:r>
      <w:r>
        <w:t>电压控制模式</w:t>
      </w:r>
    </w:p>
    <w:p w14:paraId="41193216">
      <w:pPr>
        <w:pStyle w:val="57"/>
        <w:ind w:firstLine="420"/>
      </w:pPr>
      <w:r>
        <w:rPr>
          <w:rFonts w:hint="eastAsia"/>
        </w:rPr>
        <w:t>试验应按以下步骤进行：</w:t>
      </w:r>
    </w:p>
    <w:p w14:paraId="013C04E6">
      <w:pPr>
        <w:pStyle w:val="175"/>
        <w:numPr>
          <w:ilvl w:val="0"/>
          <w:numId w:val="41"/>
        </w:numPr>
      </w:pPr>
      <w:r>
        <w:t>将控制器设定为</w:t>
      </w:r>
      <w:r>
        <w:rPr>
          <w:rFonts w:hint="eastAsia"/>
        </w:rPr>
        <w:t>跟网型电压</w:t>
      </w:r>
      <w:r>
        <w:t>控制方式</w:t>
      </w:r>
      <w:r>
        <w:rPr>
          <w:rFonts w:hint="eastAsia"/>
        </w:rPr>
        <w:t>。</w:t>
      </w:r>
    </w:p>
    <w:p w14:paraId="1E80AC76">
      <w:pPr>
        <w:pStyle w:val="175"/>
        <w:numPr>
          <w:ilvl w:val="0"/>
          <w:numId w:val="41"/>
        </w:numPr>
      </w:pPr>
      <w:r>
        <w:rPr>
          <w:rFonts w:hint="eastAsia"/>
        </w:rPr>
        <w:t>在连接点允许的电压范围内，将电压指令值从当前连接点处电压开始，选取适当的步长减少构网型静止无功发生器电压指令，直至感性无功电流或功率达到额定值。</w:t>
      </w:r>
    </w:p>
    <w:p w14:paraId="6FA47FEF">
      <w:pPr>
        <w:pStyle w:val="175"/>
        <w:numPr>
          <w:ilvl w:val="0"/>
          <w:numId w:val="41"/>
        </w:numPr>
      </w:pPr>
      <w:r>
        <w:rPr>
          <w:rFonts w:hint="eastAsia"/>
        </w:rPr>
        <w:t>在连接点允许的电压范围内，将电压指令值从当前连接点处电压开始，选取适当的步长增加构网型静止无功发生器电压指令，直至容性无功电流或功率达到额定值。</w:t>
      </w:r>
    </w:p>
    <w:p w14:paraId="3F668C08">
      <w:pPr>
        <w:pStyle w:val="175"/>
        <w:numPr>
          <w:ilvl w:val="0"/>
          <w:numId w:val="41"/>
        </w:numPr>
      </w:pPr>
      <w:r>
        <w:rPr>
          <w:rFonts w:hint="eastAsia"/>
        </w:rPr>
        <w:t>试验过程采用测试设备记录连接点电压以及构网型静止无功发生器输出电流和无功功率等，计算电压调节误差。</w:t>
      </w:r>
    </w:p>
    <w:p w14:paraId="7EC7ED22">
      <w:pPr>
        <w:pStyle w:val="175"/>
        <w:numPr>
          <w:ilvl w:val="0"/>
          <w:numId w:val="0"/>
        </w:numPr>
        <w:ind w:left="425"/>
      </w:pPr>
      <w:r>
        <w:rPr>
          <w:rFonts w:hint="eastAsia"/>
        </w:rPr>
        <w:t>试验期间构网型静止无功发生器应能稳定运行，不应出现闭锁、故障或告警等现象。</w:t>
      </w:r>
    </w:p>
    <w:p w14:paraId="1616F0B7">
      <w:pPr>
        <w:pStyle w:val="66"/>
        <w:spacing w:before="120" w:after="120"/>
      </w:pPr>
      <w:bookmarkStart w:id="106" w:name="_Toc161865504"/>
      <w:r>
        <w:t>动态特性试验</w:t>
      </w:r>
      <w:bookmarkEnd w:id="106"/>
    </w:p>
    <w:p w14:paraId="31CD483B">
      <w:pPr>
        <w:pStyle w:val="95"/>
        <w:spacing w:before="120" w:after="120"/>
      </w:pPr>
      <w:r>
        <w:rPr>
          <w:rFonts w:hint="eastAsia"/>
        </w:rPr>
        <w:t>构网型控制模式</w:t>
      </w:r>
    </w:p>
    <w:p w14:paraId="03024B20">
      <w:pPr>
        <w:pStyle w:val="57"/>
        <w:ind w:firstLine="420"/>
      </w:pPr>
      <w:r>
        <w:rPr>
          <w:rFonts w:hint="eastAsia"/>
        </w:rPr>
        <w:t>试验应按以下步骤进行：</w:t>
      </w:r>
    </w:p>
    <w:p w14:paraId="12AFD368">
      <w:pPr>
        <w:pStyle w:val="175"/>
        <w:numPr>
          <w:ilvl w:val="0"/>
          <w:numId w:val="42"/>
        </w:numPr>
      </w:pPr>
      <w:r>
        <w:rPr>
          <w:rFonts w:hint="eastAsia"/>
        </w:rPr>
        <w:t>静止无功发生器设定为构网型控制模式。</w:t>
      </w:r>
    </w:p>
    <w:p w14:paraId="41CEC095">
      <w:pPr>
        <w:pStyle w:val="175"/>
        <w:numPr>
          <w:ilvl w:val="0"/>
          <w:numId w:val="42"/>
        </w:numPr>
      </w:pPr>
      <w:r>
        <w:rPr>
          <w:rFonts w:hint="eastAsia"/>
        </w:rPr>
        <w:t>在系统母线电压不超限的条件下，通过修改无功参考值的方法分别进行容性至感性和感性至容性两项无功阶跃试验，使装置直接从容性满发阶跃至感性满发，待稳定后，再使装置从感性满发阶跃至容性满发。</w:t>
      </w:r>
    </w:p>
    <w:p w14:paraId="401F70E5">
      <w:pPr>
        <w:pStyle w:val="175"/>
        <w:numPr>
          <w:ilvl w:val="0"/>
          <w:numId w:val="0"/>
        </w:numPr>
        <w:ind w:left="851"/>
      </w:pPr>
      <w:r>
        <w:rPr>
          <w:rFonts w:hint="eastAsia" w:ascii="方正黑体_GBK" w:hAnsi="方正黑体_GBK" w:eastAsia="方正黑体_GBK" w:cs="方正黑体_GBK"/>
          <w:sz w:val="18"/>
          <w:szCs w:val="16"/>
        </w:rPr>
        <w:t>注：</w:t>
      </w:r>
      <w:r>
        <w:rPr>
          <w:rFonts w:hint="eastAsia"/>
          <w:sz w:val="18"/>
          <w:szCs w:val="16"/>
        </w:rPr>
        <w:t>试验过程中应密切关注并网点电压变化，必要时应调整主变分接头，保证电压在允许范围之内。</w:t>
      </w:r>
    </w:p>
    <w:p w14:paraId="6E21E1C7">
      <w:pPr>
        <w:pStyle w:val="175"/>
        <w:numPr>
          <w:ilvl w:val="0"/>
          <w:numId w:val="42"/>
        </w:numPr>
      </w:pPr>
      <w:r>
        <w:rPr>
          <w:rFonts w:hint="eastAsia"/>
        </w:rPr>
        <w:t>通过修改电压参考值的方法分别进行容性至感性和感性至容性两项电压阶跃试验。</w:t>
      </w:r>
    </w:p>
    <w:p w14:paraId="10825ACE">
      <w:pPr>
        <w:pStyle w:val="175"/>
        <w:numPr>
          <w:ilvl w:val="0"/>
          <w:numId w:val="43"/>
        </w:numPr>
      </w:pPr>
      <w:r>
        <w:rPr>
          <w:rFonts w:hint="eastAsia"/>
        </w:rPr>
        <w:t>采用测试设备记录连接点电压及静止无功发生器输出电流、电压、无功波形，分析计算阶跃响应时间、稳定时间、补偿响应时间、控制系统响应时间，测试结果应满足</w:t>
      </w:r>
      <w:r>
        <w:t>5.1</w:t>
      </w:r>
      <w:r>
        <w:rPr>
          <w:rFonts w:hint="eastAsia"/>
        </w:rPr>
        <w:t>的要求。</w:t>
      </w:r>
    </w:p>
    <w:p w14:paraId="70F2D186">
      <w:pPr>
        <w:pStyle w:val="95"/>
        <w:spacing w:before="120" w:after="120"/>
      </w:pPr>
      <w:r>
        <w:rPr>
          <w:rFonts w:hint="eastAsia"/>
        </w:rPr>
        <w:t>跟网型</w:t>
      </w:r>
      <w:r>
        <w:t>恒无功控制模式</w:t>
      </w:r>
    </w:p>
    <w:p w14:paraId="48E7C18A">
      <w:pPr>
        <w:pStyle w:val="57"/>
        <w:ind w:firstLine="420"/>
      </w:pPr>
      <w:r>
        <w:rPr>
          <w:rFonts w:hint="eastAsia"/>
        </w:rPr>
        <w:t>试验应按以下步骤进行：</w:t>
      </w:r>
    </w:p>
    <w:p w14:paraId="59760507">
      <w:pPr>
        <w:pStyle w:val="175"/>
        <w:numPr>
          <w:ilvl w:val="0"/>
          <w:numId w:val="44"/>
        </w:numPr>
      </w:pPr>
      <w:r>
        <w:rPr>
          <w:rFonts w:hint="eastAsia"/>
        </w:rPr>
        <w:t>静止无功发生器投入跟网型恒无功控制模式。</w:t>
      </w:r>
    </w:p>
    <w:p w14:paraId="00408E44">
      <w:pPr>
        <w:pStyle w:val="175"/>
        <w:numPr>
          <w:ilvl w:val="0"/>
          <w:numId w:val="44"/>
        </w:numPr>
      </w:pPr>
      <w:r>
        <w:rPr>
          <w:rFonts w:hint="eastAsia"/>
        </w:rPr>
        <w:t>在系统母线电压不超限的条件下，通过修改无功参考值的方法分别进行容性至感性和感性至容性两项无功阶跃试验</w:t>
      </w:r>
      <w:bookmarkStart w:id="107" w:name="OLE_LINK4"/>
      <w:r>
        <w:rPr>
          <w:rFonts w:hint="eastAsia"/>
        </w:rPr>
        <w:t>，使装置直接从容性满发阶跃至感性满发，待稳定后，再使装置从感性满发阶跃至容性满发。</w:t>
      </w:r>
    </w:p>
    <w:p w14:paraId="08FCF629">
      <w:pPr>
        <w:pStyle w:val="175"/>
        <w:numPr>
          <w:ilvl w:val="0"/>
          <w:numId w:val="0"/>
        </w:numPr>
        <w:ind w:left="425" w:firstLine="360" w:firstLineChars="200"/>
      </w:pPr>
      <w:r>
        <w:rPr>
          <w:rFonts w:hint="eastAsia" w:ascii="方正黑体_GBK" w:hAnsi="方正黑体_GBK" w:eastAsia="方正黑体_GBK" w:cs="方正黑体_GBK"/>
          <w:sz w:val="18"/>
          <w:szCs w:val="16"/>
        </w:rPr>
        <w:t>注：</w:t>
      </w:r>
      <w:r>
        <w:rPr>
          <w:rFonts w:hint="eastAsia"/>
          <w:sz w:val="18"/>
          <w:szCs w:val="16"/>
        </w:rPr>
        <w:t>试验过程中应密切关注并网点电压变化，必要时应调整主变分接头，保证电压在允许范围之内。</w:t>
      </w:r>
    </w:p>
    <w:p w14:paraId="08E4D191">
      <w:pPr>
        <w:pStyle w:val="175"/>
        <w:numPr>
          <w:ilvl w:val="0"/>
          <w:numId w:val="43"/>
        </w:numPr>
      </w:pPr>
      <w:r>
        <w:rPr>
          <w:rFonts w:hint="eastAsia"/>
        </w:rPr>
        <w:t>采用测试设备记录连接点电压及静止无功发生器输出电流、电压、无功波形，分析计算阶跃响应时间、稳定时间、补偿响应时间、控制系统响应时间，测试结果应满足</w:t>
      </w:r>
      <w:r>
        <w:t>5.1</w:t>
      </w:r>
      <w:r>
        <w:rPr>
          <w:rFonts w:hint="eastAsia"/>
        </w:rPr>
        <w:t>的要求。</w:t>
      </w:r>
    </w:p>
    <w:p w14:paraId="74BE9D8E">
      <w:pPr>
        <w:pStyle w:val="95"/>
        <w:spacing w:before="120" w:after="120"/>
      </w:pPr>
      <w:r>
        <w:rPr>
          <w:rFonts w:hint="eastAsia"/>
        </w:rPr>
        <w:t>跟网型</w:t>
      </w:r>
      <w:r>
        <w:t>电压控制模式</w:t>
      </w:r>
    </w:p>
    <w:p w14:paraId="19D3D0DD">
      <w:pPr>
        <w:pStyle w:val="57"/>
        <w:ind w:firstLine="420"/>
      </w:pPr>
      <w:r>
        <w:rPr>
          <w:rFonts w:hint="eastAsia"/>
        </w:rPr>
        <w:t>试验应按以下步骤进行：</w:t>
      </w:r>
    </w:p>
    <w:p w14:paraId="661494D0">
      <w:pPr>
        <w:pStyle w:val="175"/>
        <w:numPr>
          <w:ilvl w:val="0"/>
          <w:numId w:val="45"/>
        </w:numPr>
      </w:pPr>
      <w:r>
        <w:t>静止无功发生器</w:t>
      </w:r>
      <w:r>
        <w:rPr>
          <w:rFonts w:hint="eastAsia"/>
        </w:rPr>
        <w:t>投入跟网型电压控制模式</w:t>
      </w:r>
      <w:bookmarkEnd w:id="107"/>
      <w:r>
        <w:rPr>
          <w:rFonts w:hint="eastAsia"/>
        </w:rPr>
        <w:t>；</w:t>
      </w:r>
    </w:p>
    <w:p w14:paraId="008FD0C1">
      <w:pPr>
        <w:pStyle w:val="175"/>
        <w:numPr>
          <w:ilvl w:val="0"/>
          <w:numId w:val="45"/>
        </w:numPr>
      </w:pPr>
      <w:r>
        <w:rPr>
          <w:rFonts w:hint="eastAsia"/>
        </w:rPr>
        <w:t>通过修改电压参考值的方法分别进行容性至感性和感性至容性两项电压阶跃试验；</w:t>
      </w:r>
    </w:p>
    <w:p w14:paraId="4AACD021">
      <w:pPr>
        <w:pStyle w:val="175"/>
        <w:numPr>
          <w:ilvl w:val="0"/>
          <w:numId w:val="45"/>
        </w:numPr>
      </w:pPr>
      <w:r>
        <w:rPr>
          <w:rFonts w:hint="eastAsia"/>
        </w:rPr>
        <w:t>采用测试设备记录连接点电压及静止无功发生器输出电流、电压、无功波形，分析计算阶跃响应时间、稳定时间、补偿响应时间、控制系统响应时间，测试结果应满足</w:t>
      </w:r>
      <w:r>
        <w:t>5.1</w:t>
      </w:r>
      <w:r>
        <w:rPr>
          <w:rFonts w:hint="eastAsia"/>
        </w:rPr>
        <w:t>的要求。</w:t>
      </w:r>
    </w:p>
    <w:p w14:paraId="77386147">
      <w:pPr>
        <w:pStyle w:val="66"/>
        <w:spacing w:before="120" w:after="120"/>
      </w:pPr>
      <w:r>
        <w:rPr>
          <w:rFonts w:hint="eastAsia"/>
        </w:rPr>
        <w:t>电压斜率试验</w:t>
      </w:r>
    </w:p>
    <w:p w14:paraId="559DC786">
      <w:pPr>
        <w:pStyle w:val="224"/>
        <w:numPr>
          <w:ilvl w:val="0"/>
          <w:numId w:val="0"/>
        </w:numPr>
        <w:ind w:firstLine="420" w:firstLineChars="200"/>
      </w:pPr>
      <w:r>
        <w:rPr>
          <w:rFonts w:hint="eastAsia"/>
        </w:rPr>
        <w:t>构网型静止无功发生器的斜率是在构网型静止无功发生器控制范围内，电压、电流变化的标幺值之比，见图2。构网型静止无功发生器的斜率特性应由测量和计算结果进行验证。</w:t>
      </w:r>
    </w:p>
    <w:p w14:paraId="60934870">
      <w:pPr>
        <w:pStyle w:val="224"/>
        <w:numPr>
          <w:ilvl w:val="0"/>
          <w:numId w:val="0"/>
        </w:numPr>
        <w:ind w:firstLine="420" w:firstLineChars="200"/>
      </w:pPr>
      <w:r>
        <w:rPr>
          <w:rFonts w:hint="eastAsia"/>
        </w:rPr>
        <w:t>静止无功发生器投入跟网型电压控制模式，通过逐步增加/减小交流电压定值来调节构网型静止无功发生器的无功功率输出，直到达到构网型静止无功发生器额定容性/感性无功电流输出，记录额定容性/感性无功电流下对应的交流电压定值，根据（2）-（4）计算电压斜率。</w:t>
      </w:r>
    </w:p>
    <w:p w14:paraId="148BBFE7">
      <w:pPr>
        <w:pStyle w:val="57"/>
        <w:ind w:firstLine="420"/>
        <w:jc w:val="center"/>
      </w:pPr>
      <w:r>
        <w:object>
          <v:shape id="_x0000_i1026" o:spt="75" type="#_x0000_t75" style="height:193.75pt;width:235.15pt;" o:ole="t" filled="f" o:preferrelative="t" stroked="f" coordsize="21600,21600">
            <v:path/>
            <v:fill on="f" focussize="0,0"/>
            <v:stroke on="f" joinstyle="miter"/>
            <v:imagedata r:id="rId25" o:title=""/>
            <o:lock v:ext="edit" aspectratio="f"/>
            <w10:wrap type="none"/>
            <w10:anchorlock/>
          </v:shape>
          <o:OLEObject Type="Embed" ProgID="Visio.Drawing.15" ShapeID="_x0000_i1026" DrawAspect="Content" ObjectID="_1468075726" r:id="rId24">
            <o:LockedField>false</o:LockedField>
          </o:OLEObject>
        </w:object>
      </w:r>
    </w:p>
    <w:p w14:paraId="3B06203B">
      <w:pPr>
        <w:pStyle w:val="224"/>
        <w:numPr>
          <w:ilvl w:val="0"/>
          <w:numId w:val="0"/>
        </w:numPr>
        <w:ind w:firstLine="420" w:firstLineChars="200"/>
        <w:jc w:val="center"/>
      </w:pPr>
      <m:oMath>
        <m:sSub>
          <m:sSubPr>
            <m:ctrlPr>
              <w:rPr>
                <w:rFonts w:ascii="Cambria Math" w:hAnsi="Cambria Math"/>
              </w:rPr>
            </m:ctrlPr>
          </m:sSubPr>
          <m:e>
            <m:r>
              <m:rPr>
                <m:sty m:val="p"/>
              </m:rPr>
              <w:rPr>
                <w:rFonts w:ascii="Cambria Math" w:hAnsi="Cambria Math"/>
              </w:rPr>
              <m:t>I</m:t>
            </m:r>
            <m:ctrlPr>
              <w:rPr>
                <w:rFonts w:ascii="Cambria Math" w:hAnsi="Cambria Math"/>
              </w:rPr>
            </m:ctrlPr>
          </m:e>
          <m:sub>
            <m:r>
              <m:rPr>
                <m:sty m:val="p"/>
              </m:rPr>
              <w:rPr>
                <w:rFonts w:ascii="Cambria Math" w:hAnsi="Cambria Math"/>
              </w:rPr>
              <m:t>CN</m:t>
            </m:r>
            <m:ctrlPr>
              <w:rPr>
                <w:rFonts w:ascii="Cambria Math" w:hAnsi="Cambria Math"/>
              </w:rPr>
            </m:ctrlPr>
          </m:sub>
        </m:sSub>
      </m:oMath>
      <w:r>
        <w:rPr>
          <w:rFonts w:hint="eastAsia"/>
        </w:rPr>
        <w:t xml:space="preserve">——额定容性电流； </w:t>
      </w:r>
      <m:oMath>
        <m:sSub>
          <m:sSubPr>
            <m:ctrlPr>
              <w:rPr>
                <w:rFonts w:ascii="Cambria Math" w:hAnsi="Cambria Math"/>
              </w:rPr>
            </m:ctrlPr>
          </m:sSubPr>
          <m:e>
            <m:r>
              <m:rPr>
                <m:sty m:val="p"/>
              </m:rPr>
              <w:rPr>
                <w:rFonts w:ascii="Cambria Math" w:hAnsi="Cambria Math"/>
              </w:rPr>
              <m:t>I</m:t>
            </m:r>
            <m:ctrlPr>
              <w:rPr>
                <w:rFonts w:ascii="Cambria Math" w:hAnsi="Cambria Math"/>
              </w:rPr>
            </m:ctrlPr>
          </m:e>
          <m:sub>
            <m:r>
              <m:rPr>
                <m:sty m:val="p"/>
              </m:rPr>
              <w:rPr>
                <w:rFonts w:ascii="Cambria Math" w:hAnsi="Cambria Math"/>
              </w:rPr>
              <m:t>LN</m:t>
            </m:r>
            <m:ctrlPr>
              <w:rPr>
                <w:rFonts w:ascii="Cambria Math" w:hAnsi="Cambria Math"/>
              </w:rPr>
            </m:ctrlPr>
          </m:sub>
        </m:sSub>
      </m:oMath>
      <w:r>
        <w:rPr>
          <w:rFonts w:hint="eastAsia"/>
        </w:rPr>
        <w:t xml:space="preserve">—— 额定感性电流； </w:t>
      </w:r>
      <m:oMath>
        <m:sSub>
          <m:sSubPr>
            <m:ctrlPr>
              <w:rPr>
                <w:rFonts w:ascii="Cambria Math" w:hAnsi="Cambria Math"/>
              </w:rPr>
            </m:ctrlPr>
          </m:sSubPr>
          <m:e>
            <m:r>
              <m:rPr>
                <m:sty m:val="p"/>
              </m:rPr>
              <w:rPr>
                <w:rFonts w:ascii="Cambria Math" w:hAnsi="Cambria Math"/>
              </w:rPr>
              <m:t>U</m:t>
            </m:r>
            <m:ctrlPr>
              <w:rPr>
                <w:rFonts w:ascii="Cambria Math" w:hAnsi="Cambria Math"/>
              </w:rPr>
            </m:ctrlPr>
          </m:e>
          <m:sub>
            <m:r>
              <m:rPr>
                <m:sty m:val="p"/>
              </m:rPr>
              <w:rPr>
                <w:rFonts w:ascii="Cambria Math" w:hAnsi="Cambria Math"/>
              </w:rPr>
              <m:t>2</m:t>
            </m:r>
            <m:ctrlPr>
              <w:rPr>
                <w:rFonts w:ascii="Cambria Math" w:hAnsi="Cambria Math"/>
              </w:rPr>
            </m:ctrlPr>
          </m:sub>
        </m:sSub>
      </m:oMath>
      <w:r>
        <w:rPr>
          <w:rFonts w:hint="eastAsia"/>
        </w:rPr>
        <w:t>——在额定容性电流时的被控电压；</w:t>
      </w:r>
    </w:p>
    <w:p w14:paraId="13A69088">
      <w:pPr>
        <w:pStyle w:val="224"/>
        <w:numPr>
          <w:ilvl w:val="0"/>
          <w:numId w:val="0"/>
        </w:numPr>
        <w:ind w:firstLine="420" w:firstLineChars="200"/>
        <w:jc w:val="center"/>
      </w:pPr>
      <m:oMath>
        <m:sSub>
          <m:sSubPr>
            <m:ctrlPr>
              <w:rPr>
                <w:rFonts w:ascii="Cambria Math" w:hAnsi="Cambria Math"/>
              </w:rPr>
            </m:ctrlPr>
          </m:sSubPr>
          <m:e>
            <m:r>
              <m:rPr>
                <m:sty m:val="p"/>
              </m:rPr>
              <w:rPr>
                <w:rFonts w:ascii="Cambria Math" w:hAnsi="Cambria Math"/>
              </w:rPr>
              <m:t>U</m:t>
            </m:r>
            <m:ctrlPr>
              <w:rPr>
                <w:rFonts w:ascii="Cambria Math" w:hAnsi="Cambria Math"/>
              </w:rPr>
            </m:ctrlPr>
          </m:e>
          <m:sub>
            <m:r>
              <m:rPr>
                <m:sty m:val="p"/>
              </m:rPr>
              <w:rPr>
                <w:rFonts w:ascii="Cambria Math" w:hAnsi="Cambria Math"/>
              </w:rPr>
              <m:t>1</m:t>
            </m:r>
            <m:ctrlPr>
              <w:rPr>
                <w:rFonts w:ascii="Cambria Math" w:hAnsi="Cambria Math"/>
              </w:rPr>
            </m:ctrlPr>
          </m:sub>
        </m:sSub>
      </m:oMath>
      <w:r>
        <w:rPr>
          <w:rFonts w:hint="eastAsia"/>
        </w:rPr>
        <w:t xml:space="preserve">——在额定感性电流时的被控电压； </w:t>
      </w:r>
      <m:oMath>
        <m:sSub>
          <m:sSubPr>
            <m:ctrlPr>
              <w:rPr>
                <w:rFonts w:ascii="Cambria Math" w:hAnsi="Cambria Math"/>
              </w:rPr>
            </m:ctrlPr>
          </m:sSubPr>
          <m:e>
            <m:r>
              <m:rPr>
                <m:sty m:val="p"/>
              </m:rPr>
              <w:rPr>
                <w:rFonts w:ascii="Cambria Math" w:hAnsi="Cambria Math"/>
              </w:rPr>
              <m:t>U</m:t>
            </m:r>
            <m:ctrlPr>
              <w:rPr>
                <w:rFonts w:ascii="Cambria Math" w:hAnsi="Cambria Math"/>
              </w:rPr>
            </m:ctrlPr>
          </m:e>
          <m:sub>
            <m:r>
              <m:rPr>
                <m:sty m:val="p"/>
              </m:rPr>
              <w:rPr>
                <w:rFonts w:ascii="Cambria Math" w:hAnsi="Cambria Math"/>
              </w:rPr>
              <m:t>ref1</m:t>
            </m:r>
            <m:ctrlPr>
              <w:rPr>
                <w:rFonts w:ascii="Cambria Math" w:hAnsi="Cambria Math"/>
              </w:rPr>
            </m:ctrlPr>
          </m:sub>
        </m:sSub>
      </m:oMath>
      <w:r>
        <w:rPr>
          <w:rFonts w:hint="eastAsia"/>
        </w:rPr>
        <w:t>——在额定感性电流时的参考电压；</w:t>
      </w:r>
      <m:oMath>
        <m:sSub>
          <m:sSubPr>
            <m:ctrlPr>
              <w:rPr>
                <w:rFonts w:ascii="Cambria Math" w:hAnsi="Cambria Math"/>
              </w:rPr>
            </m:ctrlPr>
          </m:sSubPr>
          <m:e>
            <m:r>
              <m:rPr>
                <m:sty m:val="p"/>
              </m:rPr>
              <w:rPr>
                <w:rFonts w:ascii="Cambria Math" w:hAnsi="Cambria Math"/>
              </w:rPr>
              <m:t>U</m:t>
            </m:r>
            <m:ctrlPr>
              <w:rPr>
                <w:rFonts w:ascii="Cambria Math" w:hAnsi="Cambria Math"/>
              </w:rPr>
            </m:ctrlPr>
          </m:e>
          <m:sub>
            <m:r>
              <m:rPr>
                <m:sty m:val="p"/>
              </m:rPr>
              <w:rPr>
                <w:rFonts w:ascii="Cambria Math" w:hAnsi="Cambria Math"/>
              </w:rPr>
              <m:t>ref2</m:t>
            </m:r>
            <m:ctrlPr>
              <w:rPr>
                <w:rFonts w:ascii="Cambria Math" w:hAnsi="Cambria Math"/>
              </w:rPr>
            </m:ctrlPr>
          </m:sub>
        </m:sSub>
      </m:oMath>
      <w:r>
        <w:rPr>
          <w:rFonts w:hint="eastAsia"/>
        </w:rPr>
        <w:t>——在额定容性电流时的参考电压</w:t>
      </w:r>
    </w:p>
    <w:p w14:paraId="03E6C89A">
      <w:pPr>
        <w:pStyle w:val="224"/>
        <w:numPr>
          <w:ilvl w:val="0"/>
          <w:numId w:val="0"/>
        </w:numPr>
        <w:ind w:firstLine="420" w:firstLineChars="200"/>
        <w:jc w:val="center"/>
        <w:rPr>
          <w:highlight w:val="green"/>
        </w:rPr>
      </w:pPr>
    </w:p>
    <w:p w14:paraId="363AD746">
      <w:pPr>
        <w:pStyle w:val="57"/>
        <w:ind w:firstLine="0" w:firstLineChars="0"/>
        <w:jc w:val="center"/>
        <w:rPr>
          <w:rFonts w:ascii="黑体" w:hAnsi="黑体" w:eastAsia="黑体"/>
          <w:b/>
          <w:bCs/>
        </w:rPr>
      </w:pPr>
      <w:r>
        <w:rPr>
          <w:rFonts w:ascii="黑体" w:hAnsi="黑体" w:eastAsia="黑体"/>
          <w:b/>
          <w:bCs/>
        </w:rPr>
        <w:t xml:space="preserve">图 </w:t>
      </w:r>
      <w:r>
        <w:rPr>
          <w:rFonts w:hint="eastAsia" w:ascii="黑体" w:hAnsi="黑体" w:eastAsia="黑体"/>
          <w:b/>
          <w:bCs/>
        </w:rPr>
        <w:t>2</w:t>
      </w:r>
      <w:r>
        <w:rPr>
          <w:rFonts w:ascii="黑体" w:hAnsi="黑体" w:eastAsia="黑体"/>
          <w:b/>
          <w:bCs/>
        </w:rPr>
        <w:t xml:space="preserve"> </w:t>
      </w:r>
      <w:r>
        <w:rPr>
          <w:rFonts w:hint="eastAsia" w:ascii="黑体" w:hAnsi="黑体" w:eastAsia="黑体"/>
          <w:b/>
          <w:bCs/>
        </w:rPr>
        <w:t>构网型静止无功发生器电压</w:t>
      </w:r>
      <w:r>
        <w:rPr>
          <w:rFonts w:ascii="黑体" w:hAnsi="黑体" w:eastAsia="黑体"/>
          <w:b/>
          <w:bCs/>
        </w:rPr>
        <w:t>斜率</w:t>
      </w:r>
    </w:p>
    <w:p w14:paraId="2BE863FB">
      <w:pPr>
        <w:pStyle w:val="13"/>
        <w:spacing w:before="250" w:line="219" w:lineRule="auto"/>
        <w:ind w:left="479"/>
        <w:rPr>
          <w:rFonts w:ascii="Cambria Math" w:hAnsi="Cambria Math"/>
        </w:rPr>
      </w:pPr>
      <w:r>
        <w:rPr>
          <w:rFonts w:hint="eastAsia" w:ascii="Cambria Math" w:hAnsi="Cambria Math"/>
        </w:rPr>
        <w:t>构网型静止无功发生器</w:t>
      </w:r>
      <w:r>
        <w:rPr>
          <w:rFonts w:ascii="Cambria Math" w:hAnsi="Cambria Math"/>
        </w:rPr>
        <w:t>的</w:t>
      </w:r>
      <w:r>
        <w:rPr>
          <w:rFonts w:hint="eastAsia" w:ascii="Cambria Math" w:hAnsi="Cambria Math"/>
        </w:rPr>
        <w:t>容性和感性</w:t>
      </w:r>
      <w:r>
        <w:rPr>
          <w:rFonts w:ascii="Cambria Math" w:hAnsi="Cambria Math"/>
        </w:rPr>
        <w:t>斜率</w:t>
      </w:r>
      <w:r>
        <w:rPr>
          <w:rFonts w:hint="eastAsia" w:ascii="Cambria Math" w:hAnsi="Cambria Math"/>
        </w:rPr>
        <w:t>分别</w:t>
      </w:r>
      <w:r>
        <w:rPr>
          <w:rFonts w:ascii="Cambria Math" w:hAnsi="Cambria Math"/>
        </w:rPr>
        <w:t>按式(2)和式(3)计算：</w:t>
      </w:r>
    </w:p>
    <w:p w14:paraId="527DE653">
      <w:pPr>
        <w:pStyle w:val="13"/>
        <w:spacing w:before="250" w:line="219" w:lineRule="auto"/>
        <w:ind w:left="479"/>
        <w:jc w:val="right"/>
        <w:rPr>
          <w:rFonts w:ascii="Cambria Math" w:hAnsi="Cambria Math"/>
        </w:rPr>
      </w:pPr>
      <m:oMath>
        <m:sSub>
          <m:sSubPr>
            <m:ctrlPr>
              <w:rPr>
                <w:rFonts w:ascii="Cambria Math" w:hAnsi="Cambria Math"/>
              </w:rPr>
            </m:ctrlPr>
          </m:sSubPr>
          <m:e>
            <m:r>
              <m:rPr>
                <m:sty m:val="p"/>
              </m:rPr>
              <w:rPr>
                <w:rFonts w:ascii="Cambria Math" w:hAnsi="Cambria Math"/>
              </w:rPr>
              <m:t>k</m:t>
            </m:r>
            <m:ctrlPr>
              <w:rPr>
                <w:rFonts w:ascii="Cambria Math" w:hAnsi="Cambria Math"/>
              </w:rPr>
            </m:ctrlPr>
          </m:e>
          <m:sub>
            <m:r>
              <m:rPr>
                <m:sty m:val="p"/>
              </m:rPr>
              <w:rPr>
                <w:rFonts w:ascii="Cambria Math" w:hAnsi="Cambria Math"/>
              </w:rPr>
              <m:t>C</m:t>
            </m:r>
            <m:ctrlPr>
              <w:rPr>
                <w:rFonts w:ascii="Cambria Math" w:hAnsi="Cambria Math"/>
              </w:rPr>
            </m:ctrlP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U</m:t>
                </m:r>
                <m:ctrlPr>
                  <w:rPr>
                    <w:rFonts w:ascii="Cambria Math" w:hAnsi="Cambria Math"/>
                  </w:rPr>
                </m:ctrlPr>
              </m:e>
              <m:sub>
                <m:r>
                  <m:rPr>
                    <m:sty m:val="p"/>
                  </m:rPr>
                  <w:rPr>
                    <w:rFonts w:ascii="Cambria Math" w:hAnsi="Cambria Math"/>
                  </w:rPr>
                  <m:t>ref2</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U</m:t>
                </m:r>
                <m:ctrlPr>
                  <w:rPr>
                    <w:rFonts w:ascii="Cambria Math" w:hAnsi="Cambria Math"/>
                  </w:rPr>
                </m:ctrlPr>
              </m:e>
              <m:sub>
                <m:r>
                  <m:rPr>
                    <m:sty m:val="p"/>
                  </m:rPr>
                  <w:rPr>
                    <w:rFonts w:ascii="Cambria Math" w:hAnsi="Cambria Math"/>
                  </w:rPr>
                  <m:t>2</m:t>
                </m:r>
                <m:ctrlPr>
                  <w:rPr>
                    <w:rFonts w:ascii="Cambria Math" w:hAnsi="Cambria Math"/>
                  </w:rPr>
                </m:ctrlPr>
              </m:sub>
            </m:sSub>
            <m:ctrlPr>
              <w:rPr>
                <w:rFonts w:ascii="Cambria Math" w:hAnsi="Cambria Math"/>
              </w:rPr>
            </m:ctrlPr>
          </m:num>
          <m:den>
            <m:sSub>
              <m:sSubPr>
                <m:ctrlPr>
                  <w:rPr>
                    <w:rFonts w:ascii="Cambria Math" w:hAnsi="Cambria Math"/>
                  </w:rPr>
                </m:ctrlPr>
              </m:sSubPr>
              <m:e>
                <m:r>
                  <m:rPr>
                    <m:sty m:val="p"/>
                  </m:rPr>
                  <w:rPr>
                    <w:rFonts w:ascii="Cambria Math" w:hAnsi="Cambria Math"/>
                  </w:rPr>
                  <m:t>I</m:t>
                </m:r>
                <m:ctrlPr>
                  <w:rPr>
                    <w:rFonts w:ascii="Cambria Math" w:hAnsi="Cambria Math"/>
                  </w:rPr>
                </m:ctrlPr>
              </m:e>
              <m:sub>
                <m:r>
                  <m:rPr>
                    <m:sty m:val="p"/>
                  </m:rPr>
                  <w:rPr>
                    <w:rFonts w:ascii="Cambria Math" w:hAnsi="Cambria Math"/>
                  </w:rPr>
                  <m:t>CN</m:t>
                </m:r>
                <m:ctrlPr>
                  <w:rPr>
                    <w:rFonts w:ascii="Cambria Math" w:hAnsi="Cambria Math"/>
                  </w:rPr>
                </m:ctrlPr>
              </m:sub>
            </m:sSub>
            <m:ctrlPr>
              <w:rPr>
                <w:rFonts w:ascii="Cambria Math" w:hAnsi="Cambria Math"/>
              </w:rPr>
            </m:ctrlPr>
          </m:den>
        </m:f>
      </m:oMath>
      <w:r>
        <w:rPr>
          <w:rFonts w:hint="eastAsia" w:ascii="Cambria Math" w:hAnsi="Cambria Math"/>
        </w:rPr>
        <w:t xml:space="preserve">                              （2）</w:t>
      </w:r>
    </w:p>
    <w:p w14:paraId="5E620946">
      <w:pPr>
        <w:pStyle w:val="13"/>
        <w:spacing w:before="250" w:line="219" w:lineRule="auto"/>
        <w:ind w:left="479"/>
        <w:jc w:val="right"/>
        <w:rPr>
          <w:rFonts w:ascii="Cambria Math" w:hAnsi="Cambria Math"/>
        </w:rPr>
      </w:pPr>
      <m:oMath>
        <m:sSub>
          <m:sSubPr>
            <m:ctrlPr>
              <w:rPr>
                <w:rFonts w:ascii="Cambria Math" w:hAnsi="Cambria Math"/>
              </w:rPr>
            </m:ctrlPr>
          </m:sSubPr>
          <m:e>
            <m:r>
              <m:rPr>
                <m:sty m:val="p"/>
              </m:rPr>
              <w:rPr>
                <w:rFonts w:ascii="Cambria Math" w:hAnsi="Cambria Math"/>
              </w:rPr>
              <m:t>k</m:t>
            </m:r>
            <m:ctrlPr>
              <w:rPr>
                <w:rFonts w:ascii="Cambria Math" w:hAnsi="Cambria Math"/>
              </w:rPr>
            </m:ctrlPr>
          </m:e>
          <m:sub>
            <m:r>
              <m:rPr>
                <m:sty m:val="p"/>
              </m:rPr>
              <w:rPr>
                <w:rFonts w:ascii="Cambria Math" w:hAnsi="Cambria Math"/>
              </w:rPr>
              <m:t>L</m:t>
            </m:r>
            <m:ctrlPr>
              <w:rPr>
                <w:rFonts w:ascii="Cambria Math" w:hAnsi="Cambria Math"/>
              </w:rPr>
            </m:ctrlP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U</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U</m:t>
                </m:r>
                <m:ctrlPr>
                  <w:rPr>
                    <w:rFonts w:ascii="Cambria Math" w:hAnsi="Cambria Math"/>
                  </w:rPr>
                </m:ctrlPr>
              </m:e>
              <m:sub>
                <m:r>
                  <m:rPr>
                    <m:sty m:val="p"/>
                  </m:rPr>
                  <w:rPr>
                    <w:rFonts w:ascii="Cambria Math" w:hAnsi="Cambria Math"/>
                  </w:rPr>
                  <m:t>ref1</m:t>
                </m:r>
                <m:ctrlPr>
                  <w:rPr>
                    <w:rFonts w:ascii="Cambria Math" w:hAnsi="Cambria Math"/>
                  </w:rPr>
                </m:ctrlPr>
              </m:sub>
            </m:sSub>
            <m:ctrlPr>
              <w:rPr>
                <w:rFonts w:ascii="Cambria Math" w:hAnsi="Cambria Math"/>
              </w:rPr>
            </m:ctrlPr>
          </m:num>
          <m:den>
            <m:sSub>
              <m:sSubPr>
                <m:ctrlPr>
                  <w:rPr>
                    <w:rFonts w:ascii="Cambria Math" w:hAnsi="Cambria Math"/>
                  </w:rPr>
                </m:ctrlPr>
              </m:sSubPr>
              <m:e>
                <m:r>
                  <m:rPr>
                    <m:sty m:val="p"/>
                  </m:rPr>
                  <w:rPr>
                    <w:rFonts w:ascii="Cambria Math" w:hAnsi="Cambria Math"/>
                  </w:rPr>
                  <m:t>I</m:t>
                </m:r>
                <m:ctrlPr>
                  <w:rPr>
                    <w:rFonts w:ascii="Cambria Math" w:hAnsi="Cambria Math"/>
                  </w:rPr>
                </m:ctrlPr>
              </m:e>
              <m:sub>
                <m:r>
                  <m:rPr>
                    <m:sty m:val="p"/>
                  </m:rPr>
                  <w:rPr>
                    <w:rFonts w:ascii="Cambria Math" w:hAnsi="Cambria Math"/>
                  </w:rPr>
                  <m:t>LN</m:t>
                </m:r>
                <m:ctrlPr>
                  <w:rPr>
                    <w:rFonts w:ascii="Cambria Math" w:hAnsi="Cambria Math"/>
                  </w:rPr>
                </m:ctrlPr>
              </m:sub>
            </m:sSub>
            <m:ctrlPr>
              <w:rPr>
                <w:rFonts w:ascii="Cambria Math" w:hAnsi="Cambria Math"/>
              </w:rPr>
            </m:ctrlPr>
          </m:den>
        </m:f>
      </m:oMath>
      <w:r>
        <w:rPr>
          <w:rFonts w:hint="eastAsia" w:ascii="Cambria Math" w:hAnsi="Cambria Math"/>
        </w:rPr>
        <w:t xml:space="preserve">                              （3）</w:t>
      </w:r>
    </w:p>
    <w:p w14:paraId="38D2A23E">
      <w:pPr>
        <w:pStyle w:val="13"/>
        <w:spacing w:before="250" w:line="219" w:lineRule="auto"/>
        <w:ind w:left="479"/>
        <w:rPr>
          <w:rFonts w:ascii="Cambria Math" w:hAnsi="Cambria Math"/>
        </w:rPr>
      </w:pPr>
      <w:r>
        <w:rPr>
          <w:rFonts w:hint="eastAsia" w:ascii="Cambria Math" w:hAnsi="Cambria Math"/>
        </w:rPr>
        <w:t>电压斜率计算公式为：</w:t>
      </w:r>
    </w:p>
    <w:p w14:paraId="574372D7">
      <w:pPr>
        <w:pStyle w:val="13"/>
        <w:spacing w:before="250" w:line="219" w:lineRule="auto"/>
        <w:ind w:left="479"/>
        <w:jc w:val="right"/>
        <w:rPr>
          <w:rFonts w:ascii="Cambria Math" w:hAnsi="Cambria Math"/>
        </w:rPr>
      </w:pPr>
      <m:oMath>
        <m:sSub>
          <m:sSubPr>
            <m:ctrlPr>
              <w:rPr>
                <w:rFonts w:ascii="Cambria Math" w:hAnsi="Cambria Math"/>
              </w:rPr>
            </m:ctrlPr>
          </m:sSubPr>
          <m:e>
            <m:r>
              <m:rPr>
                <m:sty m:val="p"/>
              </m:rPr>
              <w:rPr>
                <w:rFonts w:ascii="Cambria Math" w:hAnsi="Cambria Math"/>
              </w:rPr>
              <m:t>k</m:t>
            </m:r>
            <m:ctrlPr>
              <w:rPr>
                <w:rFonts w:ascii="Cambria Math" w:hAnsi="Cambria Math"/>
              </w:rPr>
            </m:ctrlPr>
          </m:e>
          <m:sub>
            <m:r>
              <m:rPr>
                <m:sty m:val="p"/>
              </m:rPr>
              <w:rPr>
                <w:rFonts w:ascii="Cambria Math" w:hAnsi="Cambria Math"/>
              </w:rPr>
              <m:t>U</m:t>
            </m:r>
            <m:ctrlPr>
              <w:rPr>
                <w:rFonts w:ascii="Cambria Math" w:hAnsi="Cambria Math"/>
              </w:rPr>
            </m:ctrlP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ctrlPr>
                  <w:rPr>
                    <w:rFonts w:ascii="Cambria Math" w:hAnsi="Cambria Math"/>
                  </w:rPr>
                </m:ctrlPr>
              </m:e>
              <m:sub>
                <m:r>
                  <m:rPr>
                    <m:sty m:val="p"/>
                  </m:rPr>
                  <w:rPr>
                    <w:rFonts w:ascii="Cambria Math" w:hAnsi="Cambria Math"/>
                  </w:rPr>
                  <m:t>C</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k</m:t>
                </m:r>
                <m:ctrlPr>
                  <w:rPr>
                    <w:rFonts w:ascii="Cambria Math" w:hAnsi="Cambria Math"/>
                  </w:rPr>
                </m:ctrlPr>
              </m:e>
              <m:sub>
                <m:r>
                  <m:rPr>
                    <m:sty m:val="p"/>
                  </m:rPr>
                  <w:rPr>
                    <w:rFonts w:ascii="Cambria Math" w:hAnsi="Cambria Math"/>
                  </w:rPr>
                  <m:t>L</m:t>
                </m:r>
                <m:ctrlPr>
                  <w:rPr>
                    <w:rFonts w:ascii="Cambria Math" w:hAnsi="Cambria Math"/>
                  </w:rPr>
                </m:ctrlPr>
              </m:sub>
            </m:sSub>
            <m:ctrlPr>
              <w:rPr>
                <w:rFonts w:ascii="Cambria Math" w:hAnsi="Cambria Math"/>
              </w:rPr>
            </m:ctrlPr>
          </m:num>
          <m:den>
            <m:r>
              <m:rPr>
                <m:sty m:val="p"/>
              </m:rPr>
              <w:rPr>
                <w:rFonts w:ascii="Cambria Math" w:hAnsi="Cambria Math"/>
              </w:rPr>
              <m:t>2</m:t>
            </m:r>
            <m:ctrlPr>
              <w:rPr>
                <w:rFonts w:ascii="Cambria Math" w:hAnsi="Cambria Math"/>
              </w:rPr>
            </m:ctrlPr>
          </m:den>
        </m:f>
      </m:oMath>
      <w:r>
        <w:rPr>
          <w:rFonts w:hint="eastAsia" w:ascii="Cambria Math" w:hAnsi="Cambria Math"/>
        </w:rPr>
        <w:t xml:space="preserve">                               （4）</w:t>
      </w:r>
    </w:p>
    <w:p w14:paraId="4DD77A71">
      <w:pPr>
        <w:pStyle w:val="13"/>
        <w:spacing w:before="51" w:line="279" w:lineRule="auto"/>
        <w:ind w:left="29" w:right="4" w:firstLine="429"/>
        <w:rPr>
          <w:rFonts w:ascii="Cambria Math" w:hAnsi="Cambria Math"/>
        </w:rPr>
      </w:pPr>
      <w:r>
        <w:rPr>
          <w:rFonts w:hint="eastAsia" w:ascii="Cambria Math" w:hAnsi="Cambria Math"/>
        </w:rPr>
        <w:t>构网型静止无功发生器</w:t>
      </w:r>
      <w:r>
        <w:rPr>
          <w:rFonts w:ascii="Cambria Math" w:hAnsi="Cambria Math"/>
        </w:rPr>
        <w:t>的测量斜率值应与斜率设定值相符。</w:t>
      </w:r>
    </w:p>
    <w:p w14:paraId="538EA600">
      <w:pPr>
        <w:pStyle w:val="66"/>
        <w:spacing w:before="120" w:after="120"/>
      </w:pPr>
      <w:bookmarkStart w:id="108" w:name="_Toc161865508"/>
      <w:bookmarkStart w:id="109" w:name="_Toc161865505"/>
      <w:r>
        <w:rPr>
          <w:rFonts w:hint="eastAsia"/>
        </w:rPr>
        <w:t xml:space="preserve">电压小扰动试验 </w:t>
      </w:r>
      <w:bookmarkEnd w:id="108"/>
    </w:p>
    <w:p w14:paraId="2B087CC2">
      <w:pPr>
        <w:pStyle w:val="224"/>
        <w:numPr>
          <w:ilvl w:val="0"/>
          <w:numId w:val="0"/>
        </w:numPr>
        <w:ind w:firstLine="420" w:firstLineChars="200"/>
      </w:pPr>
      <w:r>
        <w:rPr>
          <w:rFonts w:hint="eastAsia"/>
        </w:rPr>
        <w:t>构网控制模式下，验证构网型静止无功发生器的小扰动稳定性。控制点电压小扰动可通过</w:t>
      </w:r>
      <w:r>
        <w:t>固定电容器组或电抗器组的投切、</w:t>
      </w:r>
      <w:r>
        <w:rPr>
          <w:rFonts w:hint="eastAsia"/>
        </w:rPr>
        <w:t>静止无功补偿器或常规跟网型静止无功发生器输出功率的调节、有载调压</w:t>
      </w:r>
      <w:r>
        <w:t>变压器分接开关的</w:t>
      </w:r>
      <w:r>
        <w:rPr>
          <w:rFonts w:hint="eastAsia"/>
        </w:rPr>
        <w:t>改变进行模拟。</w:t>
      </w:r>
    </w:p>
    <w:bookmarkEnd w:id="109"/>
    <w:p w14:paraId="69D1A6E4">
      <w:pPr>
        <w:pStyle w:val="66"/>
        <w:spacing w:before="120" w:after="120"/>
      </w:pPr>
      <w:bookmarkStart w:id="110" w:name="_Toc161865506"/>
      <w:r>
        <w:rPr>
          <w:rFonts w:hint="eastAsia"/>
        </w:rPr>
        <w:t>控制方式间切换能力试验（可选试验）</w:t>
      </w:r>
    </w:p>
    <w:p w14:paraId="10C3BFC6">
      <w:pPr>
        <w:pStyle w:val="224"/>
        <w:numPr>
          <w:ilvl w:val="0"/>
          <w:numId w:val="0"/>
        </w:numPr>
        <w:ind w:firstLine="420" w:firstLineChars="200"/>
      </w:pPr>
      <w:r>
        <w:rPr>
          <w:rFonts w:hint="eastAsia"/>
        </w:rPr>
        <w:t>对于含有跟网型和构网型两种控制模式的构网型静止无功发生器，可进行控制方式间切换能力试验，测试控制模式切换过程的灵活性和控制器输出的平稳性。</w:t>
      </w:r>
    </w:p>
    <w:p w14:paraId="616F97E7">
      <w:pPr>
        <w:pStyle w:val="57"/>
        <w:ind w:firstLine="420"/>
      </w:pPr>
      <w:r>
        <w:rPr>
          <w:rFonts w:hint="eastAsia"/>
        </w:rPr>
        <w:t>试验应按以下步骤进行：</w:t>
      </w:r>
    </w:p>
    <w:p w14:paraId="5B3D1745">
      <w:pPr>
        <w:pStyle w:val="175"/>
        <w:numPr>
          <w:ilvl w:val="0"/>
          <w:numId w:val="46"/>
        </w:numPr>
      </w:pPr>
      <w:r>
        <w:t>静止无功发生器</w:t>
      </w:r>
      <w:r>
        <w:rPr>
          <w:rFonts w:hint="eastAsia"/>
        </w:rPr>
        <w:t>投入构网型控制模式；</w:t>
      </w:r>
    </w:p>
    <w:p w14:paraId="20EB2BA6">
      <w:pPr>
        <w:pStyle w:val="175"/>
        <w:numPr>
          <w:ilvl w:val="0"/>
          <w:numId w:val="46"/>
        </w:numPr>
      </w:pPr>
      <w:r>
        <w:rPr>
          <w:rFonts w:hint="eastAsia"/>
        </w:rPr>
        <w:t>设定跟网型恒无功模式的无功指令与构网型控制模式一致，投入跟网型恒无功模式；</w:t>
      </w:r>
    </w:p>
    <w:p w14:paraId="307133BB">
      <w:pPr>
        <w:pStyle w:val="175"/>
        <w:numPr>
          <w:ilvl w:val="0"/>
          <w:numId w:val="46"/>
        </w:numPr>
      </w:pPr>
      <w:r>
        <w:rPr>
          <w:rFonts w:hint="eastAsia"/>
        </w:rPr>
        <w:t>设定构网型控制模式的电压指令为实际连接点处电压、无功指令与跟网型恒无功模式一致，将跟网型恒无功模式切换为构网型控制模式；</w:t>
      </w:r>
    </w:p>
    <w:p w14:paraId="701A39AD">
      <w:pPr>
        <w:pStyle w:val="175"/>
        <w:numPr>
          <w:ilvl w:val="0"/>
          <w:numId w:val="46"/>
        </w:numPr>
      </w:pPr>
      <w:r>
        <w:rPr>
          <w:rFonts w:hint="eastAsia"/>
        </w:rPr>
        <w:t>设定跟网型电压模式电压指令为实际连接点处电压，将构网型控制模式切换为跟网型电压模式；</w:t>
      </w:r>
    </w:p>
    <w:p w14:paraId="15E083C2">
      <w:pPr>
        <w:pStyle w:val="175"/>
        <w:numPr>
          <w:ilvl w:val="0"/>
          <w:numId w:val="46"/>
        </w:numPr>
      </w:pPr>
      <w:r>
        <w:rPr>
          <w:rFonts w:hint="eastAsia"/>
        </w:rPr>
        <w:t>设定电压指令为实际连接点处电压、无功指令为实际无功出力，将跟网型电压模式切换为构网型控制模式。</w:t>
      </w:r>
    </w:p>
    <w:p w14:paraId="3FB70676">
      <w:pPr>
        <w:pStyle w:val="224"/>
        <w:numPr>
          <w:ilvl w:val="0"/>
          <w:numId w:val="0"/>
        </w:numPr>
        <w:ind w:firstLine="420" w:firstLineChars="200"/>
      </w:pPr>
      <w:r>
        <w:rPr>
          <w:rFonts w:hint="eastAsia"/>
        </w:rPr>
        <w:t>如果构网型静止无功发生器没有跟网型控制模式，该项试验不进行。</w:t>
      </w:r>
    </w:p>
    <w:p w14:paraId="58B4E102">
      <w:pPr>
        <w:pStyle w:val="66"/>
        <w:spacing w:before="120" w:after="120"/>
      </w:pPr>
      <w:r>
        <w:rPr>
          <w:rFonts w:hint="eastAsia"/>
        </w:rPr>
        <w:t>稳态过载能力</w:t>
      </w:r>
      <w:r>
        <w:t>试验</w:t>
      </w:r>
    </w:p>
    <w:p w14:paraId="0C14711C">
      <w:pPr>
        <w:pStyle w:val="224"/>
        <w:numPr>
          <w:ilvl w:val="0"/>
          <w:numId w:val="0"/>
        </w:numPr>
        <w:ind w:firstLine="420" w:firstLineChars="200"/>
      </w:pPr>
      <w:r>
        <w:rPr>
          <w:rFonts w:hint="eastAsia"/>
        </w:rPr>
        <w:t>系统稳</w:t>
      </w:r>
      <w:r>
        <w:t>态过载能力试验步骤如下：</w:t>
      </w:r>
    </w:p>
    <w:p w14:paraId="51202D9A">
      <w:pPr>
        <w:pStyle w:val="175"/>
        <w:numPr>
          <w:ilvl w:val="0"/>
          <w:numId w:val="47"/>
        </w:numPr>
      </w:pPr>
      <w:r>
        <w:rPr>
          <w:rFonts w:hint="eastAsia"/>
        </w:rPr>
        <w:t>构网型静止无功发生器设定为构网型控制方式，调节无功功率参考值使输出感性无功电流为额定无功电流值的1.1倍，测量连接点处时序功率，静止无功发生器应能正常持续运行不少于</w:t>
      </w:r>
      <w:r>
        <w:t>10</w:t>
      </w:r>
      <w:r>
        <w:rPr>
          <w:rFonts w:hint="eastAsia"/>
        </w:rPr>
        <w:t>min，系统运行逻辑合理，各部件不应出现故障；</w:t>
      </w:r>
    </w:p>
    <w:p w14:paraId="72BCF84C">
      <w:pPr>
        <w:pStyle w:val="175"/>
        <w:numPr>
          <w:ilvl w:val="0"/>
          <w:numId w:val="47"/>
        </w:numPr>
      </w:pPr>
      <w:r>
        <w:rPr>
          <w:rFonts w:hint="eastAsia"/>
        </w:rPr>
        <w:t>调节无功功率参考值使感性输出无功电流为额定无功电流值的1.</w:t>
      </w:r>
      <w:r>
        <w:t>2</w:t>
      </w:r>
      <w:r>
        <w:rPr>
          <w:rFonts w:hint="eastAsia"/>
        </w:rPr>
        <w:t>倍，测量连接点处时序功率，静止无功发生器应能正常持续运行不少于</w:t>
      </w:r>
      <w:r>
        <w:t>2</w:t>
      </w:r>
      <w:r>
        <w:rPr>
          <w:rFonts w:hint="eastAsia"/>
        </w:rPr>
        <w:t>min，系统运行逻辑合理，各部件不应出现故障；</w:t>
      </w:r>
    </w:p>
    <w:p w14:paraId="2D72144E">
      <w:pPr>
        <w:pStyle w:val="175"/>
        <w:numPr>
          <w:ilvl w:val="0"/>
          <w:numId w:val="47"/>
        </w:numPr>
      </w:pPr>
      <w:r>
        <w:rPr>
          <w:rFonts w:hint="eastAsia"/>
        </w:rPr>
        <w:t>调节无功功率参考值使感性输出无功电流为额定无功电流值的</w:t>
      </w:r>
      <w:r>
        <w:t>1.5</w:t>
      </w:r>
      <w:r>
        <w:rPr>
          <w:rFonts w:hint="eastAsia"/>
        </w:rPr>
        <w:t>倍，测量连接点处时序功率，静止无功发生器应能正常持续运行不少于</w:t>
      </w:r>
      <w:r>
        <w:t>1</w:t>
      </w:r>
      <w:r>
        <w:rPr>
          <w:rFonts w:hint="eastAsia"/>
        </w:rPr>
        <w:t>min，系统运行逻辑合理，各部件不应出现故障；</w:t>
      </w:r>
    </w:p>
    <w:p w14:paraId="232BEA7A">
      <w:pPr>
        <w:pStyle w:val="175"/>
        <w:numPr>
          <w:ilvl w:val="0"/>
          <w:numId w:val="47"/>
        </w:numPr>
      </w:pPr>
      <w:r>
        <w:rPr>
          <w:rFonts w:hint="eastAsia"/>
        </w:rPr>
        <w:t>调节无功功率参考值使感性输出无功电流为额定无功电流值的</w:t>
      </w:r>
      <w:r>
        <w:t>3</w:t>
      </w:r>
      <w:r>
        <w:rPr>
          <w:rFonts w:hint="eastAsia"/>
        </w:rPr>
        <w:t>倍，测量连接点处时序功率，静止无功发生器应能正常持续运行不少于</w:t>
      </w:r>
      <w:r>
        <w:t>10s</w:t>
      </w:r>
      <w:r>
        <w:rPr>
          <w:rFonts w:hint="eastAsia"/>
        </w:rPr>
        <w:t>，系统运行逻辑合理，各部件不应出现故障；</w:t>
      </w:r>
    </w:p>
    <w:p w14:paraId="66F7E6D5">
      <w:pPr>
        <w:pStyle w:val="175"/>
        <w:numPr>
          <w:ilvl w:val="0"/>
          <w:numId w:val="47"/>
        </w:numPr>
      </w:pPr>
      <w:r>
        <w:rPr>
          <w:rFonts w:hint="eastAsia"/>
        </w:rPr>
        <w:t>在容性输出范围内重复上述试验。</w:t>
      </w:r>
    </w:p>
    <w:p w14:paraId="4562961F">
      <w:pPr>
        <w:pStyle w:val="224"/>
        <w:numPr>
          <w:ilvl w:val="0"/>
          <w:numId w:val="0"/>
        </w:numPr>
        <w:ind w:firstLine="420" w:firstLineChars="200"/>
      </w:pPr>
      <w:r>
        <w:rPr>
          <w:rFonts w:hint="eastAsia"/>
        </w:rPr>
        <w:t>该试验可与</w:t>
      </w:r>
      <w:r>
        <w:t>6.2.</w:t>
      </w:r>
      <w:r>
        <w:rPr>
          <w:rFonts w:hint="eastAsia"/>
        </w:rPr>
        <w:t>12温升试验结合进行。</w:t>
      </w:r>
    </w:p>
    <w:p w14:paraId="12FB4CC5">
      <w:pPr>
        <w:pStyle w:val="66"/>
        <w:spacing w:before="120" w:after="120"/>
      </w:pPr>
      <w:r>
        <w:rPr>
          <w:rFonts w:hint="eastAsia"/>
        </w:rPr>
        <w:t>接收AVC指令试验</w:t>
      </w:r>
      <w:r>
        <w:t>(可选试验)</w:t>
      </w:r>
    </w:p>
    <w:p w14:paraId="396B1AFC">
      <w:pPr>
        <w:pStyle w:val="224"/>
        <w:numPr>
          <w:ilvl w:val="0"/>
          <w:numId w:val="0"/>
        </w:numPr>
        <w:ind w:firstLine="420" w:firstLineChars="200"/>
      </w:pPr>
      <w:bookmarkStart w:id="111" w:name="OLE_LINK10"/>
      <w:r>
        <w:rPr>
          <w:rFonts w:hint="eastAsia"/>
        </w:rPr>
        <w:t>可根据应用要求，如构网型静止无功发生器由AVC控制，可进行构网型静止无功发生器接收AVC指令试验。通过AVC下发构网型静止无功发生器无功功率指令以及构网型静止无功发生器控制模式切换指令，检验构网型静止无功发生器接收AVC指令正确输出无功、以及在跟网无功模式与构网模式之间正常切换的能力。</w:t>
      </w:r>
    </w:p>
    <w:bookmarkEnd w:id="111"/>
    <w:p w14:paraId="277D306C">
      <w:pPr>
        <w:pStyle w:val="66"/>
        <w:spacing w:before="120" w:after="120"/>
      </w:pPr>
      <w:r>
        <w:rPr>
          <w:rFonts w:hint="eastAsia"/>
        </w:rPr>
        <w:t>协调控制试验</w:t>
      </w:r>
      <w:bookmarkEnd w:id="110"/>
      <w:r>
        <w:t>(可选试验)</w:t>
      </w:r>
    </w:p>
    <w:p w14:paraId="46FF5C22">
      <w:pPr>
        <w:pStyle w:val="224"/>
        <w:numPr>
          <w:ilvl w:val="0"/>
          <w:numId w:val="0"/>
        </w:numPr>
        <w:ind w:firstLine="420" w:firstLineChars="200"/>
      </w:pPr>
      <w:r>
        <w:rPr>
          <w:rFonts w:hint="eastAsia"/>
        </w:rPr>
        <w:t>可</w:t>
      </w:r>
      <w:r>
        <w:t>根据应用要求，</w:t>
      </w:r>
      <w:r>
        <w:rPr>
          <w:rFonts w:hint="eastAsia"/>
        </w:rPr>
        <w:t>如</w:t>
      </w:r>
      <w:r>
        <w:t>多</w:t>
      </w:r>
      <w:r>
        <w:rPr>
          <w:rFonts w:hint="eastAsia"/>
        </w:rPr>
        <w:t>套</w:t>
      </w:r>
      <w:r>
        <w:t>静止无功发生器</w:t>
      </w:r>
      <w:r>
        <w:rPr>
          <w:rFonts w:hint="eastAsia"/>
        </w:rPr>
        <w:t>配合调节共同支撑某一控制点电压时，可对</w:t>
      </w:r>
      <w:r>
        <w:t>多</w:t>
      </w:r>
      <w:r>
        <w:rPr>
          <w:rFonts w:hint="eastAsia"/>
        </w:rPr>
        <w:t>套</w:t>
      </w:r>
      <w:r>
        <w:t>静止无功发生器配置合理的</w:t>
      </w:r>
      <w:r>
        <w:rPr>
          <w:rFonts w:hint="eastAsia"/>
        </w:rPr>
        <w:t>控制模式</w:t>
      </w:r>
      <w:r>
        <w:t>，设定合理的控制目标，测试各台静止无功发生器</w:t>
      </w:r>
      <w:r>
        <w:rPr>
          <w:rFonts w:hint="eastAsia"/>
        </w:rPr>
        <w:t>协调控制下的稳态和动态性能</w:t>
      </w:r>
      <w:r>
        <w:t>，应满足5.</w:t>
      </w:r>
      <w:r>
        <w:rPr>
          <w:rFonts w:hint="eastAsia"/>
        </w:rPr>
        <w:t>1、</w:t>
      </w:r>
      <w:r>
        <w:t>5.4规定的要求。</w:t>
      </w:r>
    </w:p>
    <w:p w14:paraId="38210820">
      <w:pPr>
        <w:pStyle w:val="66"/>
        <w:spacing w:before="120" w:after="120"/>
      </w:pPr>
      <w:r>
        <w:rPr>
          <w:rFonts w:hint="eastAsia"/>
        </w:rPr>
        <w:t>谐波电流补偿能力测试（可选试验）</w:t>
      </w:r>
    </w:p>
    <w:p w14:paraId="2407E560">
      <w:pPr>
        <w:pStyle w:val="224"/>
        <w:numPr>
          <w:ilvl w:val="0"/>
          <w:numId w:val="0"/>
        </w:numPr>
        <w:ind w:firstLine="420" w:firstLineChars="200"/>
      </w:pPr>
      <w:r>
        <w:rPr>
          <w:rFonts w:hint="eastAsia"/>
        </w:rPr>
        <w:t>在系统有谐波补偿需求的条件下，装置投入对应次数谐波补偿功能，通过电能质量分析仪检测构网型静止无功发生器谐波补偿功能投入前后补偿点的三相电流的波形、电流各次谐波含有率和谐波电流总畸变率，并参照</w:t>
      </w:r>
      <w:r>
        <w:t>NB/T 41006-2014</w:t>
      </w:r>
      <w:r>
        <w:rPr>
          <w:rFonts w:hint="eastAsia"/>
        </w:rPr>
        <w:t>计算单次谐波电流补偿率和总谐波电流补偿率。</w:t>
      </w:r>
    </w:p>
    <w:p w14:paraId="457769E1">
      <w:pPr>
        <w:pStyle w:val="66"/>
        <w:spacing w:before="120" w:after="120"/>
      </w:pPr>
      <w:bookmarkStart w:id="112" w:name="_Toc161865510"/>
      <w:r>
        <w:t>电能质量测试</w:t>
      </w:r>
      <w:bookmarkEnd w:id="112"/>
    </w:p>
    <w:p w14:paraId="2A8C36D4">
      <w:pPr>
        <w:pStyle w:val="224"/>
        <w:numPr>
          <w:ilvl w:val="0"/>
          <w:numId w:val="0"/>
        </w:numPr>
        <w:ind w:firstLine="420" w:firstLineChars="200"/>
      </w:pPr>
      <w:r>
        <w:t>静止无功发生器设定为</w:t>
      </w:r>
      <w:r>
        <w:rPr>
          <w:rFonts w:hint="eastAsia"/>
        </w:rPr>
        <w:t>构网型</w:t>
      </w:r>
      <w:r>
        <w:t>控制方式</w:t>
      </w:r>
      <w:r>
        <w:rPr>
          <w:rFonts w:hint="eastAsia"/>
        </w:rPr>
        <w:t>，</w:t>
      </w:r>
      <w:r>
        <w:t>在构网型静止无功发生器投入前、后(空载、容性无功输出、感性无功输出状态)，分别测量</w:t>
      </w:r>
      <w:r>
        <w:rPr>
          <w:rFonts w:hint="eastAsia"/>
        </w:rPr>
        <w:t>连接点处</w:t>
      </w:r>
      <w:r>
        <w:t>电压及静止无功发生器输出电流的数值和波形等。检验构网型静止无功发生器的谐波发生情况，评估构网型静止无功发生器投入运行后对系统谐波水平的影响，试验结果应满足</w:t>
      </w:r>
      <w:r>
        <w:rPr>
          <w:rFonts w:hint="eastAsia"/>
        </w:rPr>
        <w:t>5</w:t>
      </w:r>
      <w:r>
        <w:t>.</w:t>
      </w:r>
      <w:r>
        <w:rPr>
          <w:rFonts w:hint="eastAsia"/>
        </w:rPr>
        <w:t>4</w:t>
      </w:r>
      <w:r>
        <w:t>的要求。</w:t>
      </w:r>
    </w:p>
    <w:p w14:paraId="2B817A5E">
      <w:pPr>
        <w:pStyle w:val="224"/>
        <w:numPr>
          <w:ilvl w:val="0"/>
          <w:numId w:val="0"/>
        </w:numPr>
        <w:ind w:firstLine="420" w:firstLineChars="200"/>
      </w:pPr>
      <w:r>
        <w:t>检验系统背景谐波是否对构网型静止无功发生器的控制产生干扰。根据合同要求，对电压波动和闪变、三相不平衡度、电压偏差以及调压的效果等进行测试。</w:t>
      </w:r>
    </w:p>
    <w:p w14:paraId="2DA1D857">
      <w:pPr>
        <w:pStyle w:val="224"/>
        <w:numPr>
          <w:ilvl w:val="0"/>
          <w:numId w:val="0"/>
        </w:numPr>
        <w:ind w:firstLine="420" w:firstLineChars="200"/>
      </w:pPr>
      <w:r>
        <w:rPr>
          <w:rFonts w:hint="eastAsia"/>
        </w:rPr>
        <w:t>如构网型</w:t>
      </w:r>
      <w:r>
        <w:t>静止无功发生器</w:t>
      </w:r>
      <w:r>
        <w:rPr>
          <w:rFonts w:hint="eastAsia"/>
        </w:rPr>
        <w:t>具备跟网型控制模式，应在跟网型控制模式下重复上述试验步骤，进行电能质量测试。</w:t>
      </w:r>
    </w:p>
    <w:p w14:paraId="1F344ED0">
      <w:pPr>
        <w:pStyle w:val="66"/>
        <w:spacing w:before="120" w:after="120"/>
      </w:pPr>
      <w:bookmarkStart w:id="113" w:name="_Toc161865511"/>
      <w:r>
        <w:t>噪声及干扰测量</w:t>
      </w:r>
      <w:bookmarkEnd w:id="113"/>
    </w:p>
    <w:p w14:paraId="5F58B557">
      <w:pPr>
        <w:pStyle w:val="224"/>
        <w:numPr>
          <w:ilvl w:val="0"/>
          <w:numId w:val="0"/>
        </w:numPr>
        <w:ind w:firstLine="420" w:firstLineChars="200"/>
      </w:pPr>
      <w:r>
        <w:t>在构网型静止无功发生器投入和退出状态，</w:t>
      </w:r>
      <w:r>
        <w:rPr>
          <w:rFonts w:hint="eastAsia"/>
        </w:rPr>
        <w:t>按照GB/T 3768中4.13规定的测试方法，测量静止无功发生器的噪声，</w:t>
      </w:r>
      <w:r>
        <w:t>测量结果应满足5.</w:t>
      </w:r>
      <w:r>
        <w:rPr>
          <w:rFonts w:hint="eastAsia"/>
        </w:rPr>
        <w:t>6</w:t>
      </w:r>
      <w:r>
        <w:t>的要求。</w:t>
      </w:r>
    </w:p>
    <w:p w14:paraId="05926419">
      <w:pPr>
        <w:pStyle w:val="224"/>
        <w:numPr>
          <w:ilvl w:val="0"/>
          <w:numId w:val="0"/>
        </w:numPr>
        <w:ind w:firstLine="420" w:firstLineChars="200"/>
      </w:pPr>
      <w:r>
        <w:t>在构网型静止无功发生器投入和退出状态</w:t>
      </w:r>
      <w:r>
        <w:rPr>
          <w:rFonts w:hint="eastAsia"/>
        </w:rPr>
        <w:t>分别</w:t>
      </w:r>
      <w:r>
        <w:t>对干扰(无线电干扰、电话干扰等)进行测量</w:t>
      </w:r>
      <w:r>
        <w:rPr>
          <w:rFonts w:hint="eastAsia"/>
        </w:rPr>
        <w:t>，</w:t>
      </w:r>
      <w:r>
        <w:t>干扰应满足合同技术规范的要求</w:t>
      </w:r>
      <w:r>
        <w:rPr>
          <w:rFonts w:hint="eastAsia"/>
        </w:rPr>
        <w:t>。</w:t>
      </w:r>
    </w:p>
    <w:p w14:paraId="643059A9">
      <w:pPr>
        <w:pStyle w:val="57"/>
        <w:ind w:firstLine="420"/>
      </w:pPr>
      <w:r>
        <w:rPr>
          <w:rFonts w:hint="eastAsia"/>
        </w:rPr>
        <w:t>如构网型静止无功发生器具备跟网型控制模式，应在跟网型控制模式下重复上述试验步骤，进行噪声及干扰水平测试。</w:t>
      </w:r>
    </w:p>
    <w:p w14:paraId="4AA94434">
      <w:pPr>
        <w:pStyle w:val="66"/>
        <w:spacing w:before="120" w:after="120"/>
      </w:pPr>
      <w:bookmarkStart w:id="114" w:name="_Toc161865512"/>
      <w:r>
        <w:t>温升试验</w:t>
      </w:r>
      <w:bookmarkEnd w:id="114"/>
    </w:p>
    <w:p w14:paraId="68DF9C26">
      <w:pPr>
        <w:pStyle w:val="224"/>
        <w:numPr>
          <w:ilvl w:val="0"/>
          <w:numId w:val="0"/>
        </w:numPr>
        <w:ind w:firstLine="420" w:firstLineChars="200"/>
      </w:pPr>
      <w:r>
        <w:t>在构网型静止无功发生器额定运行电流下对系统部件、设备内部或母线连接处潜在的发热点进行检查、检验。</w:t>
      </w:r>
    </w:p>
    <w:p w14:paraId="5195D62E">
      <w:pPr>
        <w:pStyle w:val="224"/>
        <w:numPr>
          <w:ilvl w:val="0"/>
          <w:numId w:val="0"/>
        </w:numPr>
        <w:ind w:firstLine="420" w:firstLineChars="200"/>
      </w:pPr>
      <w:r>
        <w:rPr>
          <w:rFonts w:hint="eastAsia"/>
        </w:rPr>
        <w:t>静止无功发生器设定为构网型控制方式，设定静止无功发生器的输出无功，使电流分别为额定容性无功电流值和额定感性无功电流值，按照</w:t>
      </w:r>
      <w:r>
        <w:fldChar w:fldCharType="begin"/>
      </w:r>
      <w:r>
        <w:instrText xml:space="preserve"> REF _Ref161859679 \h  \* MERGEFORMAT </w:instrText>
      </w:r>
      <w:r>
        <w:fldChar w:fldCharType="separate"/>
      </w:r>
      <w:r>
        <w:rPr>
          <w:rFonts w:hint="eastAsia"/>
        </w:rPr>
        <w:t>表</w:t>
      </w:r>
      <w:r>
        <w:t>4</w:t>
      </w:r>
      <w:r>
        <w:fldChar w:fldCharType="end"/>
      </w:r>
      <w:r>
        <w:rPr>
          <w:rFonts w:hint="eastAsia"/>
        </w:rPr>
        <w:t>测量静止无功发生器内部部件及连接点的温度及周围空气温度，当各测量点温度上升值的变化持续0.5h不超过0.5K时，认为达到热平衡状态，</w:t>
      </w:r>
      <w:r>
        <w:t>最高温度应校正到大气环境最高温度，</w:t>
      </w:r>
      <w:r>
        <w:rPr>
          <w:rFonts w:hint="eastAsia"/>
        </w:rPr>
        <w:t>此时各部件及连接点的温升应符合</w:t>
      </w:r>
      <w:r>
        <w:t>5.</w:t>
      </w:r>
      <w:r>
        <w:rPr>
          <w:rFonts w:hint="eastAsia"/>
        </w:rPr>
        <w:t>7的规定。</w:t>
      </w:r>
    </w:p>
    <w:p w14:paraId="6DAF3F6C">
      <w:pPr>
        <w:pStyle w:val="224"/>
        <w:numPr>
          <w:ilvl w:val="0"/>
          <w:numId w:val="0"/>
        </w:numPr>
        <w:ind w:firstLine="420" w:firstLineChars="200"/>
        <w:rPr>
          <w:rFonts w:hint="eastAsia"/>
        </w:rPr>
      </w:pPr>
      <w:r>
        <w:t>应对设备、母线、接地连接点、围栏等处进行温度测量，检测出潜在发热点、连结不紧处或传导性发热部位。</w:t>
      </w:r>
    </w:p>
    <w:p w14:paraId="133FD000">
      <w:pPr>
        <w:pStyle w:val="66"/>
        <w:spacing w:before="120" w:after="120"/>
      </w:pPr>
      <w:r>
        <w:rPr>
          <w:rFonts w:hint="eastAsia"/>
        </w:rPr>
        <w:t>人工接地短路试验</w:t>
      </w:r>
    </w:p>
    <w:p w14:paraId="174EBE89">
      <w:pPr>
        <w:pStyle w:val="224"/>
        <w:numPr>
          <w:ilvl w:val="0"/>
          <w:numId w:val="0"/>
        </w:numPr>
        <w:ind w:firstLine="420" w:firstLineChars="200"/>
      </w:pPr>
      <w:r>
        <w:rPr>
          <w:rFonts w:hint="eastAsia"/>
        </w:rPr>
        <w:t>人工接地短路试验主要用于检验构网型静止无功发生器装置控制保护逻辑是否正常、装置在暂态情况下动作是否正常、暂态过流能力等是否满足</w:t>
      </w:r>
      <w:r>
        <w:t>合同技术规范</w:t>
      </w:r>
      <w:r>
        <w:rPr>
          <w:rFonts w:hint="eastAsia"/>
        </w:rPr>
        <w:t>。</w:t>
      </w:r>
    </w:p>
    <w:p w14:paraId="77F71338">
      <w:pPr>
        <w:pStyle w:val="224"/>
        <w:numPr>
          <w:ilvl w:val="0"/>
          <w:numId w:val="0"/>
        </w:numPr>
        <w:ind w:firstLine="420" w:firstLineChars="200"/>
      </w:pPr>
      <w:r>
        <w:rPr>
          <w:rFonts w:hint="eastAsia"/>
        </w:rPr>
        <w:t>人工接地短路点、故障类型的选取应考虑以下因素：</w:t>
      </w:r>
    </w:p>
    <w:p w14:paraId="099F48DC">
      <w:pPr>
        <w:pStyle w:val="175"/>
        <w:numPr>
          <w:ilvl w:val="0"/>
          <w:numId w:val="48"/>
        </w:numPr>
      </w:pPr>
      <w:r>
        <w:rPr>
          <w:rFonts w:hint="eastAsia"/>
        </w:rPr>
        <w:t>所选短路点、故障类型能触发构网型静止无功发生器进入暂态控制模式，并能检验构网型静止无功发生器的暂态响应延时、暂态过流能力是否满足5</w:t>
      </w:r>
      <w:r>
        <w:t>.</w:t>
      </w:r>
      <w:r>
        <w:rPr>
          <w:rFonts w:hint="eastAsia"/>
        </w:rPr>
        <w:t>1、5</w:t>
      </w:r>
      <w:r>
        <w:t>.</w:t>
      </w:r>
      <w:r>
        <w:rPr>
          <w:rFonts w:hint="eastAsia"/>
        </w:rPr>
        <w:t>3的规定。</w:t>
      </w:r>
    </w:p>
    <w:p w14:paraId="7D8C149C">
      <w:pPr>
        <w:pStyle w:val="175"/>
        <w:numPr>
          <w:ilvl w:val="0"/>
          <w:numId w:val="48"/>
        </w:numPr>
      </w:pPr>
      <w:r>
        <w:rPr>
          <w:rFonts w:hint="eastAsia"/>
        </w:rPr>
        <w:t>满足电网安全性约束条件，人工接地短路故障点设置应满足系统短路电流、电网暂态稳定性、负荷安全性等要求。</w:t>
      </w:r>
    </w:p>
    <w:p w14:paraId="10FDA8F4">
      <w:pPr>
        <w:pStyle w:val="175"/>
        <w:numPr>
          <w:ilvl w:val="0"/>
          <w:numId w:val="0"/>
        </w:numPr>
        <w:ind w:left="425"/>
      </w:pPr>
      <w:r>
        <w:rPr>
          <w:rFonts w:hint="eastAsia"/>
        </w:rPr>
        <w:t>为了满足试验过程中的电网安全性约束以及人身、设备安全，试验前需开展以下分析：</w:t>
      </w:r>
    </w:p>
    <w:p w14:paraId="6F865B4B">
      <w:pPr>
        <w:pStyle w:val="175"/>
        <w:numPr>
          <w:ilvl w:val="0"/>
          <w:numId w:val="49"/>
        </w:numPr>
      </w:pPr>
      <w:r>
        <w:rPr>
          <w:rFonts w:hint="eastAsia"/>
        </w:rPr>
        <w:t>短路电流计算。构网型静止无功发生器接入后电网短路电流水平不应超过开关开断能力。</w:t>
      </w:r>
    </w:p>
    <w:p w14:paraId="7F1CA648">
      <w:pPr>
        <w:pStyle w:val="175"/>
        <w:numPr>
          <w:ilvl w:val="0"/>
          <w:numId w:val="49"/>
        </w:numPr>
      </w:pPr>
      <w:r>
        <w:rPr>
          <w:rFonts w:hint="eastAsia"/>
        </w:rPr>
        <w:t>暂态稳定分析。短路试验过程中电网应保持暂态稳定。</w:t>
      </w:r>
    </w:p>
    <w:p w14:paraId="6F313577">
      <w:pPr>
        <w:pStyle w:val="175"/>
        <w:numPr>
          <w:ilvl w:val="0"/>
          <w:numId w:val="49"/>
        </w:numPr>
      </w:pPr>
      <w:r>
        <w:rPr>
          <w:rFonts w:hint="eastAsia"/>
        </w:rPr>
        <w:t>短路故障近区负荷低压脱扣风险分析。在负荷中心实施短路试验时，需根据该地区实际配置的低压脱扣装置动作阈值，结合仿真结果评估负荷低压脱扣风险。</w:t>
      </w:r>
    </w:p>
    <w:p w14:paraId="5B932E24">
      <w:pPr>
        <w:pStyle w:val="175"/>
        <w:numPr>
          <w:ilvl w:val="0"/>
          <w:numId w:val="49"/>
        </w:numPr>
      </w:pPr>
      <w:r>
        <w:rPr>
          <w:rFonts w:hint="eastAsia"/>
        </w:rPr>
        <w:t>接地点跨步电压计算。单相接地短路入地电流引起的跨步电位差等应满足 GB/T 50065—2011的规定，必要时应采取增大试验设备与散流杆塔接地装置之间距离等防护措施。</w:t>
      </w:r>
    </w:p>
    <w:p w14:paraId="31EBA538">
      <w:pPr>
        <w:pStyle w:val="175"/>
        <w:numPr>
          <w:ilvl w:val="0"/>
          <w:numId w:val="49"/>
        </w:numPr>
      </w:pPr>
      <w:r>
        <w:rPr>
          <w:rFonts w:hint="eastAsia"/>
        </w:rPr>
        <w:t>人工接地短路试验设备（如引弧线、引流框等）在短路电流冲击下的热稳定、动稳定校核。短路电流冲击下人工接地短路试验设备不应因过热而熔断或受</w:t>
      </w:r>
      <w:r>
        <w:t>电动力作用而遭到损坏</w:t>
      </w:r>
      <w:r>
        <w:rPr>
          <w:rFonts w:hint="eastAsia"/>
        </w:rPr>
        <w:t>。</w:t>
      </w:r>
    </w:p>
    <w:p w14:paraId="2A4EEB29">
      <w:pPr>
        <w:pStyle w:val="175"/>
        <w:numPr>
          <w:ilvl w:val="0"/>
          <w:numId w:val="0"/>
        </w:numPr>
        <w:ind w:left="425" w:firstLine="420" w:firstLineChars="200"/>
      </w:pPr>
      <w:r>
        <w:rPr>
          <w:rFonts w:hint="eastAsia"/>
        </w:rPr>
        <w:t>试验中，在系统故障期间，构网型静止无功发生器装置需满足以下要求：</w:t>
      </w:r>
    </w:p>
    <w:p w14:paraId="65BF10ED">
      <w:pPr>
        <w:pStyle w:val="175"/>
        <w:numPr>
          <w:ilvl w:val="0"/>
          <w:numId w:val="50"/>
        </w:numPr>
      </w:pPr>
      <w:r>
        <w:rPr>
          <w:rFonts w:hint="eastAsia"/>
        </w:rPr>
        <w:t>故障瞬间，构网型静止无功发生器内电势幅值保持不变，无功电流的动态响应时间满足5</w:t>
      </w:r>
      <w:r>
        <w:t>.</w:t>
      </w:r>
      <w:r>
        <w:rPr>
          <w:rFonts w:hint="eastAsia"/>
        </w:rPr>
        <w:t>1要求。在3倍过流范围内，构网型静止无功发生器应能持续提供暂态电压支撑不少于1</w:t>
      </w:r>
      <w:r>
        <w:t>0</w:t>
      </w:r>
      <w:r>
        <w:rPr>
          <w:rFonts w:hint="eastAsia"/>
        </w:rPr>
        <w:t>s，并且装置不发生闭锁，超出暂态过流倍数应具有限流能力；</w:t>
      </w:r>
    </w:p>
    <w:p w14:paraId="7DAB23BB">
      <w:pPr>
        <w:pStyle w:val="175"/>
        <w:numPr>
          <w:ilvl w:val="0"/>
          <w:numId w:val="50"/>
        </w:numPr>
      </w:pPr>
      <w:r>
        <w:rPr>
          <w:rFonts w:hint="eastAsia"/>
        </w:rPr>
        <w:t>多套构网型静止无功发生器同时响应时，每套构网型静止无功发生器响应正确，控制器保持稳定，不出现任何异常动作；</w:t>
      </w:r>
    </w:p>
    <w:p w14:paraId="2F52F6D5">
      <w:pPr>
        <w:pStyle w:val="175"/>
        <w:numPr>
          <w:ilvl w:val="0"/>
          <w:numId w:val="50"/>
        </w:numPr>
      </w:pPr>
      <w:r>
        <w:rPr>
          <w:rFonts w:hint="eastAsia"/>
        </w:rPr>
        <w:t>故障穿越期间，换流链及其辅助系统工作正常，没有异常报警；</w:t>
      </w:r>
    </w:p>
    <w:p w14:paraId="69CB3CC6">
      <w:pPr>
        <w:pStyle w:val="175"/>
        <w:numPr>
          <w:ilvl w:val="0"/>
          <w:numId w:val="50"/>
        </w:numPr>
      </w:pPr>
      <w:r>
        <w:rPr>
          <w:rFonts w:hint="eastAsia"/>
        </w:rPr>
        <w:t>系统故障清除后，构网型静止无功发生器无功反调特性应符合</w:t>
      </w:r>
      <w:r>
        <w:t>合同技术规范</w:t>
      </w:r>
      <w:r>
        <w:rPr>
          <w:rFonts w:hint="eastAsia"/>
        </w:rPr>
        <w:t>，并按预设逻辑实现系统暂态稳定控制。</w:t>
      </w:r>
    </w:p>
    <w:p w14:paraId="0A0D3593">
      <w:pPr>
        <w:pStyle w:val="106"/>
        <w:spacing w:before="120" w:after="120"/>
      </w:pPr>
      <w:bookmarkStart w:id="115" w:name="_Toc161865514"/>
      <w:bookmarkStart w:id="116" w:name="_Toc3517"/>
      <w:r>
        <w:t>试运行</w:t>
      </w:r>
      <w:bookmarkEnd w:id="115"/>
      <w:bookmarkEnd w:id="116"/>
    </w:p>
    <w:p w14:paraId="55E1FB6D">
      <w:pPr>
        <w:pStyle w:val="224"/>
        <w:numPr>
          <w:ilvl w:val="0"/>
          <w:numId w:val="0"/>
        </w:numPr>
        <w:ind w:firstLine="420" w:firstLineChars="200"/>
      </w:pPr>
      <w:r>
        <w:t>在通过上述系统调试试验后，应投入电网进行试运行试验，试运行时间不小于72h。如果试运行期间出现装置故障，试运行中断，试验必须重新开始。试运行工况由供需双方</w:t>
      </w:r>
      <w:r>
        <w:rPr>
          <w:rFonts w:hint="eastAsia"/>
        </w:rPr>
        <w:t>商定。</w:t>
      </w:r>
    </w:p>
    <w:p w14:paraId="4257DAB3">
      <w:pPr>
        <w:pStyle w:val="57"/>
        <w:ind w:firstLine="420"/>
        <w:sectPr>
          <w:headerReference r:id="rId13" w:type="default"/>
          <w:footerReference r:id="rId15" w:type="default"/>
          <w:headerReference r:id="rId14" w:type="even"/>
          <w:footerReference r:id="rId16" w:type="even"/>
          <w:pgSz w:w="11906" w:h="16838"/>
          <w:pgMar w:top="1928" w:right="1134" w:bottom="1134" w:left="1134" w:header="1418" w:footer="1134" w:gutter="284"/>
          <w:pgNumType w:start="1"/>
          <w:cols w:space="425" w:num="1"/>
          <w:formProt w:val="0"/>
          <w:docGrid w:linePitch="312" w:charSpace="0"/>
        </w:sectPr>
      </w:pPr>
    </w:p>
    <w:p w14:paraId="7E8274AC">
      <w:pPr>
        <w:pStyle w:val="64"/>
        <w:spacing w:after="120"/>
      </w:pPr>
      <w:bookmarkStart w:id="117" w:name="_Toc155628760"/>
      <w:bookmarkStart w:id="118" w:name="_Toc155714378"/>
      <w:bookmarkStart w:id="119" w:name="_Toc32624"/>
      <w:bookmarkStart w:id="120" w:name="_Toc155714318"/>
      <w:bookmarkStart w:id="121" w:name="_Toc155604599"/>
      <w:bookmarkStart w:id="122" w:name="_Toc155628823"/>
      <w:r>
        <w:rPr>
          <w:rFonts w:hint="eastAsia"/>
          <w:spacing w:val="105"/>
        </w:rPr>
        <w:t>参考文</w:t>
      </w:r>
      <w:r>
        <w:rPr>
          <w:rFonts w:hint="eastAsia"/>
        </w:rPr>
        <w:t>献</w:t>
      </w:r>
      <w:bookmarkEnd w:id="117"/>
      <w:bookmarkEnd w:id="118"/>
      <w:bookmarkEnd w:id="119"/>
      <w:bookmarkEnd w:id="120"/>
      <w:bookmarkEnd w:id="121"/>
      <w:bookmarkEnd w:id="122"/>
    </w:p>
    <w:p w14:paraId="7F8A08D5">
      <w:pPr>
        <w:pStyle w:val="57"/>
        <w:numPr>
          <w:ilvl w:val="0"/>
          <w:numId w:val="51"/>
        </w:numPr>
        <w:ind w:firstLineChars="0"/>
      </w:pPr>
      <w:r>
        <w:rPr>
          <w:rFonts w:hint="eastAsia"/>
        </w:rPr>
        <w:t>DL/T 1215.1 链式静止同步补偿器 第1部分：功能规范</w:t>
      </w:r>
    </w:p>
    <w:p w14:paraId="5C514A52">
      <w:pPr>
        <w:pStyle w:val="57"/>
        <w:numPr>
          <w:ilvl w:val="0"/>
          <w:numId w:val="51"/>
        </w:numPr>
        <w:ind w:firstLineChars="0"/>
      </w:pPr>
      <w:r>
        <w:rPr>
          <w:rFonts w:hint="eastAsia"/>
        </w:rPr>
        <w:t>DL/T 1215.4 链式静止同步补偿器 第4部分：现场试验</w:t>
      </w:r>
    </w:p>
    <w:p w14:paraId="5156AE77">
      <w:pPr>
        <w:pStyle w:val="57"/>
        <w:numPr>
          <w:ilvl w:val="0"/>
          <w:numId w:val="51"/>
        </w:numPr>
        <w:ind w:firstLineChars="0"/>
      </w:pPr>
      <w:r>
        <w:rPr>
          <w:rFonts w:hint="eastAsia"/>
        </w:rPr>
        <w:t>GB/T 14549 电能质量 公用电网谐波</w:t>
      </w:r>
    </w:p>
    <w:p w14:paraId="021F0A11">
      <w:pPr>
        <w:pStyle w:val="57"/>
        <w:numPr>
          <w:ilvl w:val="0"/>
          <w:numId w:val="51"/>
        </w:numPr>
        <w:ind w:firstLineChars="0"/>
      </w:pPr>
      <w:r>
        <w:rPr>
          <w:rFonts w:hint="eastAsia"/>
        </w:rPr>
        <w:t>GB/T 24337 电能质量 公用电网间谐波</w:t>
      </w:r>
    </w:p>
    <w:p w14:paraId="13F333A1">
      <w:pPr>
        <w:pStyle w:val="57"/>
        <w:numPr>
          <w:ilvl w:val="0"/>
          <w:numId w:val="51"/>
        </w:numPr>
        <w:ind w:firstLineChars="0"/>
      </w:pPr>
      <w:r>
        <w:rPr>
          <w:rFonts w:hint="eastAsia"/>
        </w:rPr>
        <w:t>GB 12348 工业企业厂界环境噪声排放标准</w:t>
      </w:r>
    </w:p>
    <w:p w14:paraId="5FE665CD">
      <w:pPr>
        <w:pStyle w:val="57"/>
        <w:numPr>
          <w:ilvl w:val="0"/>
          <w:numId w:val="51"/>
        </w:numPr>
        <w:ind w:firstLineChars="0"/>
      </w:pPr>
      <w:r>
        <w:rPr>
          <w:rFonts w:hint="eastAsia"/>
        </w:rPr>
        <w:t>GB 3096 声环境质量标准</w:t>
      </w:r>
    </w:p>
    <w:p w14:paraId="49278D0D">
      <w:pPr>
        <w:pStyle w:val="57"/>
        <w:numPr>
          <w:ilvl w:val="0"/>
          <w:numId w:val="51"/>
        </w:numPr>
        <w:ind w:firstLineChars="0"/>
      </w:pPr>
      <w:r>
        <w:rPr>
          <w:rFonts w:hint="eastAsia"/>
        </w:rPr>
        <w:t>GB/T3768 声学 声压法测定噪声源声功率级和声能量级 采用反射面上方包络测量面的简易法</w:t>
      </w:r>
    </w:p>
    <w:p w14:paraId="5FAD380E">
      <w:pPr>
        <w:pStyle w:val="57"/>
        <w:numPr>
          <w:ilvl w:val="0"/>
          <w:numId w:val="51"/>
        </w:numPr>
        <w:ind w:firstLineChars="0"/>
      </w:pPr>
      <w:r>
        <w:t>T/CNESA 1008</w:t>
      </w:r>
      <w:r>
        <w:rPr>
          <w:rFonts w:hint="eastAsia"/>
        </w:rPr>
        <w:t>构网型储能变流器技术规范</w:t>
      </w:r>
    </w:p>
    <w:p w14:paraId="358DB32B">
      <w:pPr>
        <w:pStyle w:val="57"/>
        <w:numPr>
          <w:ilvl w:val="0"/>
          <w:numId w:val="51"/>
        </w:numPr>
        <w:ind w:firstLineChars="0"/>
      </w:pPr>
      <w:r>
        <w:rPr>
          <w:rFonts w:hint="eastAsia"/>
        </w:rPr>
        <w:t>T/CES 244 构网型储能系统并网测试规范</w:t>
      </w:r>
    </w:p>
    <w:p w14:paraId="32ABFE6D">
      <w:pPr>
        <w:pStyle w:val="57"/>
        <w:numPr>
          <w:ilvl w:val="0"/>
          <w:numId w:val="51"/>
        </w:numPr>
        <w:ind w:firstLineChars="0"/>
      </w:pPr>
      <w:r>
        <w:rPr>
          <w:rFonts w:hint="eastAsia"/>
        </w:rPr>
        <w:t>T/CES 243 构网型储能系统并网技术规范</w:t>
      </w:r>
    </w:p>
    <w:p w14:paraId="54163B8E">
      <w:pPr>
        <w:pStyle w:val="57"/>
        <w:numPr>
          <w:ilvl w:val="0"/>
          <w:numId w:val="51"/>
        </w:numPr>
        <w:ind w:firstLineChars="0"/>
      </w:pPr>
      <w:r>
        <w:rPr>
          <w:rFonts w:hint="eastAsia"/>
        </w:rPr>
        <w:t>GB/T 50065—2011 交流电气装置的接地设计规范</w:t>
      </w:r>
    </w:p>
    <w:p w14:paraId="4A72240F">
      <w:pPr>
        <w:pStyle w:val="57"/>
        <w:numPr>
          <w:ilvl w:val="0"/>
          <w:numId w:val="51"/>
        </w:numPr>
        <w:ind w:firstLineChars="0"/>
      </w:pPr>
      <w:r>
        <w:rPr>
          <w:rFonts w:hint="eastAsia"/>
        </w:rPr>
        <w:t>DL/T 2232—2021 500kV及以上输电线路瞬时人工接地短路试验导则</w:t>
      </w:r>
    </w:p>
    <w:p w14:paraId="052C0B65">
      <w:pPr>
        <w:pStyle w:val="57"/>
        <w:numPr>
          <w:ilvl w:val="0"/>
          <w:numId w:val="51"/>
        </w:numPr>
        <w:ind w:firstLineChars="0"/>
      </w:pPr>
      <w:r>
        <w:rPr>
          <w:rFonts w:hint="eastAsia"/>
        </w:rPr>
        <w:t>Q/GDW 11064-2013 风电场无功补偿装置技术性能和测试规范</w:t>
      </w:r>
    </w:p>
    <w:p w14:paraId="7532D6CA">
      <w:pPr>
        <w:pStyle w:val="57"/>
        <w:numPr>
          <w:ilvl w:val="0"/>
          <w:numId w:val="51"/>
        </w:numPr>
        <w:ind w:firstLineChars="0"/>
      </w:pPr>
      <w:r>
        <w:t>NB/T 41006-2014</w:t>
      </w:r>
      <w:r>
        <w:rPr>
          <w:rFonts w:hint="eastAsia"/>
        </w:rPr>
        <w:t xml:space="preserve"> 低压有源无功综合补充装置</w:t>
      </w:r>
    </w:p>
    <w:p w14:paraId="792052FB">
      <w:pPr>
        <w:pStyle w:val="57"/>
        <w:numPr>
          <w:ilvl w:val="0"/>
          <w:numId w:val="51"/>
        </w:numPr>
        <w:ind w:firstLineChars="0"/>
      </w:pPr>
      <w:r>
        <w:rPr>
          <w:rFonts w:hint="eastAsia"/>
        </w:rPr>
        <w:t>GB/T 34133-2017 储能变流器检测技术规程</w:t>
      </w:r>
    </w:p>
    <w:p w14:paraId="16306AAD">
      <w:pPr>
        <w:pStyle w:val="57"/>
        <w:numPr>
          <w:ilvl w:val="0"/>
          <w:numId w:val="51"/>
        </w:numPr>
        <w:ind w:firstLineChars="0"/>
      </w:pPr>
      <w:r>
        <w:rPr>
          <w:rFonts w:hint="eastAsia"/>
        </w:rPr>
        <w:t>GB/T 38983.1-2020 虚拟同步机 第1部分：总则</w:t>
      </w:r>
    </w:p>
    <w:bookmarkEnd w:id="26"/>
    <w:p w14:paraId="69F8FCB1">
      <w:pPr>
        <w:pStyle w:val="199"/>
        <w:rPr>
          <w:vanish w:val="0"/>
        </w:rPr>
      </w:pPr>
    </w:p>
    <w:sectPr>
      <w:headerReference r:id="rId17" w:type="default"/>
      <w:footerReference r:id="rId19" w:type="default"/>
      <w:headerReference r:id="rId18" w:type="even"/>
      <w:footerReference r:id="rId20"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7490206-7C89-4A43-8105-05B8DA845551}"/>
  </w:font>
  <w:font w:name="黑体">
    <w:panose1 w:val="02010609060101010101"/>
    <w:charset w:val="86"/>
    <w:family w:val="auto"/>
    <w:pitch w:val="default"/>
    <w:sig w:usb0="800002BF" w:usb1="38CF7CFA" w:usb2="00000016" w:usb3="00000000" w:csb0="00040001" w:csb1="00000000"/>
    <w:embedRegular r:id="rId2" w:fontKey="{7D29D51B-6374-4A8A-9BE3-7305D421513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B51ABA1B-55B6-4B90-B44F-009C1C594FF4}"/>
  </w:font>
  <w:font w:name="等线">
    <w:panose1 w:val="02010600030101010101"/>
    <w:charset w:val="86"/>
    <w:family w:val="auto"/>
    <w:pitch w:val="default"/>
    <w:sig w:usb0="A00002BF" w:usb1="38CF7CFA" w:usb2="00000016" w:usb3="00000000" w:csb0="0004000F" w:csb1="00000000"/>
    <w:embedRegular r:id="rId4" w:fontKey="{E41835D4-C34C-4715-9482-8E0021B4EB59}"/>
  </w:font>
  <w:font w:name="等线 Light">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embedRegular r:id="rId5" w:fontKey="{64C9807A-5018-40FE-BD15-896605C42649}"/>
  </w:font>
  <w:font w:name="方正黑体_GBK">
    <w:panose1 w:val="02010600010101010101"/>
    <w:charset w:val="86"/>
    <w:family w:val="script"/>
    <w:pitch w:val="default"/>
    <w:sig w:usb0="00000001" w:usb1="080E0000" w:usb2="00000000" w:usb3="00000000" w:csb0="00040000" w:csb1="00000000"/>
    <w:embedRegular r:id="rId6" w:fontKey="{98661AC7-7DE4-4B05-81D6-4722492FDF7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AF042E">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98917">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5362E2">
    <w:pPr>
      <w:pStyle w:val="53"/>
    </w:pPr>
    <w:r>
      <w:fldChar w:fldCharType="begin"/>
    </w:r>
    <w:r>
      <w:instrText xml:space="preserve">PAGE   \* MERGEFORMAT</w:instrText>
    </w:r>
    <w:r>
      <w:fldChar w:fldCharType="separate"/>
    </w:r>
    <w:r>
      <w:rPr>
        <w:lang w:val="zh-CN"/>
      </w:rPr>
      <w:t>II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06C048">
    <w:pPr>
      <w:pStyle w:val="52"/>
    </w:pPr>
    <w:r>
      <w:fldChar w:fldCharType="begin"/>
    </w:r>
    <w:r>
      <w:instrText xml:space="preserve"> PAGE   \* MERGEFORMAT \* MERGEFORMAT </w:instrText>
    </w:r>
    <w:r>
      <w:fldChar w:fldCharType="separate"/>
    </w:r>
    <w:r>
      <w:t>III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9E9A5">
    <w:pPr>
      <w:pStyle w:val="53"/>
    </w:pPr>
    <w:r>
      <w:fldChar w:fldCharType="begin"/>
    </w:r>
    <w:r>
      <w:instrText xml:space="preserve">PAGE   \* MERGEFORMAT</w:instrText>
    </w:r>
    <w:r>
      <w:fldChar w:fldCharType="separate"/>
    </w:r>
    <w:r>
      <w:rPr>
        <w:lang w:val="zh-CN"/>
      </w:rPr>
      <w:t>12</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D7D17">
    <w:pPr>
      <w:pStyle w:val="52"/>
    </w:pPr>
    <w:r>
      <w:fldChar w:fldCharType="begin"/>
    </w:r>
    <w:r>
      <w:instrText xml:space="preserve"> PAGE   \* MERGEFORMAT \* MERGEFORMAT </w:instrText>
    </w:r>
    <w:r>
      <w:fldChar w:fldCharType="separate"/>
    </w:r>
    <w:r>
      <w:t>30</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817D0">
    <w:pPr>
      <w:pStyle w:val="53"/>
    </w:pPr>
    <w:r>
      <w:fldChar w:fldCharType="begin"/>
    </w:r>
    <w:r>
      <w:instrText xml:space="preserve">PAGE   \* MERGEFORMAT</w:instrText>
    </w:r>
    <w:r>
      <w:fldChar w:fldCharType="separate"/>
    </w:r>
    <w:r>
      <w:rPr>
        <w:lang w:val="zh-CN"/>
      </w:rPr>
      <w:t>13</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A6F37D">
    <w:pPr>
      <w:pStyle w:val="52"/>
    </w:pPr>
    <w:r>
      <w:fldChar w:fldCharType="begin"/>
    </w:r>
    <w:r>
      <w:instrText xml:space="preserve"> PAGE   \* MERGEFORMAT \* MERGEFORMAT </w:instrText>
    </w:r>
    <w:r>
      <w:fldChar w:fldCharType="separate"/>
    </w:r>
    <w:r>
      <w:t>30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D692B">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1DCD24">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DC777">
    <w:pPr>
      <w:pStyle w:val="62"/>
    </w:pPr>
    <w:r>
      <w:fldChar w:fldCharType="begin"/>
    </w:r>
    <w:r>
      <w:instrText xml:space="preserve"> STYLEREF  标准文件_文件编号  \* MERGEFORMAT </w:instrText>
    </w:r>
    <w:r>
      <w:fldChar w:fldCharType="separate"/>
    </w:r>
    <w:r>
      <w:t>T/CEPCA 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909B6">
    <w:pPr>
      <w:pStyle w:val="63"/>
    </w:pPr>
    <w:r>
      <w:fldChar w:fldCharType="begin"/>
    </w:r>
    <w:r>
      <w:instrText xml:space="preserve"> STYLEREF  标准文件_文件编号 \* MERGEFORMAT </w:instrText>
    </w:r>
    <w:r>
      <w:fldChar w:fldCharType="separate"/>
    </w:r>
    <w:r>
      <w:t>T/CEPCA 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6C17B7">
    <w:pPr>
      <w:pStyle w:val="62"/>
    </w:pPr>
    <w:r>
      <w:fldChar w:fldCharType="begin"/>
    </w:r>
    <w:r>
      <w:instrText xml:space="preserve"> STYLEREF  标准文件_文件编号  \* MERGEFORMAT </w:instrText>
    </w:r>
    <w:r>
      <w:fldChar w:fldCharType="separate"/>
    </w:r>
    <w:r>
      <w:t>T/CEPCA 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75395">
    <w:pPr>
      <w:pStyle w:val="63"/>
    </w:pPr>
    <w:r>
      <w:fldChar w:fldCharType="begin"/>
    </w:r>
    <w:r>
      <w:instrText xml:space="preserve"> STYLEREF  标准文件_文件编号 \* MERGEFORMAT </w:instrText>
    </w:r>
    <w:r>
      <w:fldChar w:fldCharType="separate"/>
    </w:r>
    <w:r>
      <w:t>T/CEPCA 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EDAC9C">
    <w:pPr>
      <w:pStyle w:val="62"/>
    </w:pPr>
    <w:r>
      <w:fldChar w:fldCharType="begin"/>
    </w:r>
    <w:r>
      <w:instrText xml:space="preserve"> STYLEREF  标准文件_文件编号  \* MERGEFORMAT </w:instrText>
    </w:r>
    <w:r>
      <w:fldChar w:fldCharType="separate"/>
    </w:r>
    <w:r>
      <w:t>T/CEPCA 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65FD7">
    <w:pPr>
      <w:pStyle w:val="63"/>
    </w:pPr>
    <w:r>
      <w:fldChar w:fldCharType="begin"/>
    </w:r>
    <w:r>
      <w:instrText xml:space="preserve"> STYLEREF  标准文件_文件编号 \* MERGEFORMAT </w:instrText>
    </w:r>
    <w:r>
      <w:fldChar w:fldCharType="separate"/>
    </w:r>
    <w:r>
      <w:t>T/CEPCA 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2F70B5"/>
    <w:multiLevelType w:val="multilevel"/>
    <w:tmpl w:val="862F70B5"/>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9375053E"/>
    <w:multiLevelType w:val="multilevel"/>
    <w:tmpl w:val="9375053E"/>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ADB1B19D"/>
    <w:multiLevelType w:val="singleLevel"/>
    <w:tmpl w:val="ADB1B19D"/>
    <w:lvl w:ilvl="0" w:tentative="0">
      <w:start w:val="1"/>
      <w:numFmt w:val="decimal"/>
      <w:suff w:val="nothing"/>
      <w:lvlText w:val="[%1]  "/>
      <w:lvlJc w:val="left"/>
      <w:pPr>
        <w:tabs>
          <w:tab w:val="left" w:pos="0"/>
        </w:tabs>
        <w:ind w:left="0" w:firstLine="420"/>
      </w:pPr>
      <w:rPr>
        <w:rFonts w:hint="default" w:cs="宋体"/>
        <w:sz w:val="21"/>
        <w:szCs w:val="21"/>
      </w:rPr>
    </w:lvl>
  </w:abstractNum>
  <w:abstractNum w:abstractNumId="3">
    <w:nsid w:val="BDD45B58"/>
    <w:multiLevelType w:val="multilevel"/>
    <w:tmpl w:val="BDD45B58"/>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
    <w:nsid w:val="CF274FDF"/>
    <w:multiLevelType w:val="multilevel"/>
    <w:tmpl w:val="CF274FDF"/>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5">
    <w:nsid w:val="D55D24DE"/>
    <w:multiLevelType w:val="multilevel"/>
    <w:tmpl w:val="D55D24DE"/>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6">
    <w:nsid w:val="ED8E7869"/>
    <w:multiLevelType w:val="multilevel"/>
    <w:tmpl w:val="ED8E7869"/>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7">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8">
    <w:nsid w:val="028B2BC5"/>
    <w:multiLevelType w:val="multilevel"/>
    <w:tmpl w:val="028B2BC5"/>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9">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1">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2">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3">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5">
    <w:nsid w:val="0E5D5E08"/>
    <w:multiLevelType w:val="multilevel"/>
    <w:tmpl w:val="0E5D5E08"/>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6">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8">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9">
    <w:nsid w:val="21D22135"/>
    <w:multiLevelType w:val="multilevel"/>
    <w:tmpl w:val="21D22135"/>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2">
    <w:nsid w:val="3395EAE0"/>
    <w:multiLevelType w:val="multilevel"/>
    <w:tmpl w:val="3395EAE0"/>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3">
    <w:nsid w:val="37561FBE"/>
    <w:multiLevelType w:val="multilevel"/>
    <w:tmpl w:val="37561FBE"/>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4">
    <w:nsid w:val="44A40606"/>
    <w:multiLevelType w:val="multilevel"/>
    <w:tmpl w:val="44A40606"/>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5">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6">
    <w:nsid w:val="476771E4"/>
    <w:multiLevelType w:val="multilevel"/>
    <w:tmpl w:val="476771E4"/>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7">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8">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9">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5365211B"/>
    <w:multiLevelType w:val="multilevel"/>
    <w:tmpl w:val="5365211B"/>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1">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32">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3">
    <w:nsid w:val="55E9220B"/>
    <w:multiLevelType w:val="multilevel"/>
    <w:tmpl w:val="55E9220B"/>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4">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5">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6">
    <w:nsid w:val="5DF64A53"/>
    <w:multiLevelType w:val="multilevel"/>
    <w:tmpl w:val="5DF64A53"/>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7">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38">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9">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40">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1">
    <w:nsid w:val="6924491B"/>
    <w:multiLevelType w:val="multilevel"/>
    <w:tmpl w:val="6924491B"/>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2">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43">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4">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5">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1134" w:firstLine="0"/>
      </w:pPr>
      <w:rPr>
        <w:rFonts w:hint="eastAsia" w:ascii="黑体" w:eastAsia="黑体"/>
        <w:b w:val="0"/>
        <w:i w:val="0"/>
        <w:sz w:val="21"/>
      </w:rPr>
    </w:lvl>
    <w:lvl w:ilvl="2" w:tentative="0">
      <w:start w:val="1"/>
      <w:numFmt w:val="decimal"/>
      <w:pStyle w:val="106"/>
      <w:suff w:val="nothing"/>
      <w:lvlText w:val="%1%2.%3　"/>
      <w:lvlJc w:val="left"/>
      <w:pPr>
        <w:ind w:left="241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1984"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6">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47">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8">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9">
    <w:nsid w:val="7CDE2B93"/>
    <w:multiLevelType w:val="multilevel"/>
    <w:tmpl w:val="7CDE2B93"/>
    <w:lvl w:ilvl="0" w:tentative="0">
      <w:start w:val="1"/>
      <w:numFmt w:val="decimal"/>
      <w:lvlText w:val="%1)"/>
      <w:lvlJc w:val="left"/>
      <w:pPr>
        <w:ind w:left="1271" w:hanging="420"/>
      </w:p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50">
    <w:nsid w:val="7D86D6CD"/>
    <w:multiLevelType w:val="multilevel"/>
    <w:tmpl w:val="7D86D6CD"/>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7"/>
  </w:num>
  <w:num w:numId="2">
    <w:abstractNumId w:val="45"/>
  </w:num>
  <w:num w:numId="3">
    <w:abstractNumId w:val="13"/>
  </w:num>
  <w:num w:numId="4">
    <w:abstractNumId w:val="40"/>
  </w:num>
  <w:num w:numId="5">
    <w:abstractNumId w:val="34"/>
  </w:num>
  <w:num w:numId="6">
    <w:abstractNumId w:val="27"/>
  </w:num>
  <w:num w:numId="7">
    <w:abstractNumId w:val="17"/>
  </w:num>
  <w:num w:numId="8">
    <w:abstractNumId w:val="11"/>
  </w:num>
  <w:num w:numId="9">
    <w:abstractNumId w:val="18"/>
  </w:num>
  <w:num w:numId="10">
    <w:abstractNumId w:val="31"/>
  </w:num>
  <w:num w:numId="11">
    <w:abstractNumId w:val="43"/>
  </w:num>
  <w:num w:numId="12">
    <w:abstractNumId w:val="21"/>
  </w:num>
  <w:num w:numId="13">
    <w:abstractNumId w:val="25"/>
  </w:num>
  <w:num w:numId="14">
    <w:abstractNumId w:val="16"/>
  </w:num>
  <w:num w:numId="15">
    <w:abstractNumId w:val="35"/>
  </w:num>
  <w:num w:numId="16">
    <w:abstractNumId w:val="38"/>
  </w:num>
  <w:num w:numId="17">
    <w:abstractNumId w:val="32"/>
  </w:num>
  <w:num w:numId="18">
    <w:abstractNumId w:val="47"/>
  </w:num>
  <w:num w:numId="19">
    <w:abstractNumId w:val="29"/>
  </w:num>
  <w:num w:numId="20">
    <w:abstractNumId w:val="9"/>
  </w:num>
  <w:num w:numId="21">
    <w:abstractNumId w:val="20"/>
  </w:num>
  <w:num w:numId="22">
    <w:abstractNumId w:val="48"/>
  </w:num>
  <w:num w:numId="23">
    <w:abstractNumId w:val="37"/>
  </w:num>
  <w:num w:numId="24">
    <w:abstractNumId w:val="14"/>
  </w:num>
  <w:num w:numId="25">
    <w:abstractNumId w:val="44"/>
  </w:num>
  <w:num w:numId="26">
    <w:abstractNumId w:val="46"/>
  </w:num>
  <w:num w:numId="27">
    <w:abstractNumId w:val="10"/>
  </w:num>
  <w:num w:numId="28">
    <w:abstractNumId w:val="12"/>
  </w:num>
  <w:num w:numId="29">
    <w:abstractNumId w:val="28"/>
  </w:num>
  <w:num w:numId="30">
    <w:abstractNumId w:val="42"/>
  </w:num>
  <w:num w:numId="31">
    <w:abstractNumId w:val="39"/>
  </w:num>
  <w:num w:numId="32">
    <w:abstractNumId w:val="23"/>
  </w:num>
  <w:num w:numId="33">
    <w:abstractNumId w:val="49"/>
  </w:num>
  <w:num w:numId="34">
    <w:abstractNumId w:val="33"/>
  </w:num>
  <w:num w:numId="35">
    <w:abstractNumId w:val="24"/>
  </w:num>
  <w:num w:numId="36">
    <w:abstractNumId w:val="19"/>
  </w:num>
  <w:num w:numId="37">
    <w:abstractNumId w:val="1"/>
  </w:num>
  <w:num w:numId="38">
    <w:abstractNumId w:val="50"/>
  </w:num>
  <w:num w:numId="39">
    <w:abstractNumId w:val="3"/>
  </w:num>
  <w:num w:numId="40">
    <w:abstractNumId w:val="6"/>
  </w:num>
  <w:num w:numId="41">
    <w:abstractNumId w:val="26"/>
  </w:num>
  <w:num w:numId="42">
    <w:abstractNumId w:val="0"/>
  </w:num>
  <w:num w:numId="43">
    <w:abstractNumId w:val="5"/>
  </w:num>
  <w:num w:numId="44">
    <w:abstractNumId w:val="15"/>
  </w:num>
  <w:num w:numId="45">
    <w:abstractNumId w:val="4"/>
  </w:num>
  <w:num w:numId="46">
    <w:abstractNumId w:val="36"/>
  </w:num>
  <w:num w:numId="47">
    <w:abstractNumId w:val="41"/>
  </w:num>
  <w:num w:numId="48">
    <w:abstractNumId w:val="30"/>
  </w:num>
  <w:num w:numId="49">
    <w:abstractNumId w:val="22"/>
  </w:num>
  <w:num w:numId="50">
    <w:abstractNumId w:val="8"/>
  </w:num>
  <w:num w:numId="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attachedTemplate r:id="rId1"/>
  <w:documentProtection w:edit="forms" w:enforcement="1"/>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4F2"/>
    <w:rsid w:val="0000040A"/>
    <w:rsid w:val="00000A94"/>
    <w:rsid w:val="0000122A"/>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1D32"/>
    <w:rsid w:val="00033175"/>
    <w:rsid w:val="000331D3"/>
    <w:rsid w:val="000346A5"/>
    <w:rsid w:val="000359C3"/>
    <w:rsid w:val="00035A7D"/>
    <w:rsid w:val="000365ED"/>
    <w:rsid w:val="00036646"/>
    <w:rsid w:val="0004249A"/>
    <w:rsid w:val="00042884"/>
    <w:rsid w:val="00043282"/>
    <w:rsid w:val="00044286"/>
    <w:rsid w:val="00047F28"/>
    <w:rsid w:val="000503AA"/>
    <w:rsid w:val="000506A1"/>
    <w:rsid w:val="0005079E"/>
    <w:rsid w:val="000515DD"/>
    <w:rsid w:val="0005265A"/>
    <w:rsid w:val="000539DD"/>
    <w:rsid w:val="00053BD3"/>
    <w:rsid w:val="000556ED"/>
    <w:rsid w:val="00055FE2"/>
    <w:rsid w:val="0005616F"/>
    <w:rsid w:val="00060C2E"/>
    <w:rsid w:val="00061033"/>
    <w:rsid w:val="0006179A"/>
    <w:rsid w:val="000619E9"/>
    <w:rsid w:val="000622D4"/>
    <w:rsid w:val="0006357D"/>
    <w:rsid w:val="00063AB9"/>
    <w:rsid w:val="00067F1E"/>
    <w:rsid w:val="00070825"/>
    <w:rsid w:val="00071CC0"/>
    <w:rsid w:val="00071CFC"/>
    <w:rsid w:val="00073C8C"/>
    <w:rsid w:val="00075230"/>
    <w:rsid w:val="0007602F"/>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6BA"/>
    <w:rsid w:val="000A0B60"/>
    <w:rsid w:val="000A0EB8"/>
    <w:rsid w:val="000A19FC"/>
    <w:rsid w:val="000A296B"/>
    <w:rsid w:val="000A43A5"/>
    <w:rsid w:val="000A6F35"/>
    <w:rsid w:val="000A7311"/>
    <w:rsid w:val="000B060F"/>
    <w:rsid w:val="000B1592"/>
    <w:rsid w:val="000B1FF2"/>
    <w:rsid w:val="000B3CDA"/>
    <w:rsid w:val="000B4053"/>
    <w:rsid w:val="000B6A0B"/>
    <w:rsid w:val="000C04D0"/>
    <w:rsid w:val="000C0F6C"/>
    <w:rsid w:val="000C11DB"/>
    <w:rsid w:val="000C1492"/>
    <w:rsid w:val="000C2FBD"/>
    <w:rsid w:val="000C4B41"/>
    <w:rsid w:val="000C57D6"/>
    <w:rsid w:val="000C6362"/>
    <w:rsid w:val="000C7666"/>
    <w:rsid w:val="000D0A9C"/>
    <w:rsid w:val="000D1795"/>
    <w:rsid w:val="000D329A"/>
    <w:rsid w:val="000D3E28"/>
    <w:rsid w:val="000D4B9C"/>
    <w:rsid w:val="000D4EB6"/>
    <w:rsid w:val="000D753B"/>
    <w:rsid w:val="000E4C9E"/>
    <w:rsid w:val="000E5EDC"/>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09F6"/>
    <w:rsid w:val="001642FA"/>
    <w:rsid w:val="001649EB"/>
    <w:rsid w:val="00164BAF"/>
    <w:rsid w:val="00164FA8"/>
    <w:rsid w:val="00165065"/>
    <w:rsid w:val="00165434"/>
    <w:rsid w:val="0016580B"/>
    <w:rsid w:val="00165F49"/>
    <w:rsid w:val="00166B88"/>
    <w:rsid w:val="0016770A"/>
    <w:rsid w:val="00170804"/>
    <w:rsid w:val="001708E9"/>
    <w:rsid w:val="0017340B"/>
    <w:rsid w:val="00173903"/>
    <w:rsid w:val="00173FB1"/>
    <w:rsid w:val="00176BD0"/>
    <w:rsid w:val="00176DFD"/>
    <w:rsid w:val="001813C2"/>
    <w:rsid w:val="001852C9"/>
    <w:rsid w:val="00187A0B"/>
    <w:rsid w:val="00187F86"/>
    <w:rsid w:val="00190087"/>
    <w:rsid w:val="001913C4"/>
    <w:rsid w:val="0019348F"/>
    <w:rsid w:val="00193A07"/>
    <w:rsid w:val="00194C95"/>
    <w:rsid w:val="00195C34"/>
    <w:rsid w:val="00196EF5"/>
    <w:rsid w:val="001A1A53"/>
    <w:rsid w:val="001A1B45"/>
    <w:rsid w:val="001A234A"/>
    <w:rsid w:val="001A35FA"/>
    <w:rsid w:val="001A4CF3"/>
    <w:rsid w:val="001A6696"/>
    <w:rsid w:val="001B06E8"/>
    <w:rsid w:val="001B3653"/>
    <w:rsid w:val="001B71D0"/>
    <w:rsid w:val="001B71EE"/>
    <w:rsid w:val="001C04A8"/>
    <w:rsid w:val="001C2C03"/>
    <w:rsid w:val="001C4057"/>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34EF"/>
    <w:rsid w:val="001F4816"/>
    <w:rsid w:val="001F69B4"/>
    <w:rsid w:val="001F77C7"/>
    <w:rsid w:val="00200183"/>
    <w:rsid w:val="00200333"/>
    <w:rsid w:val="0020107D"/>
    <w:rsid w:val="00202AA4"/>
    <w:rsid w:val="002031F7"/>
    <w:rsid w:val="00203DAA"/>
    <w:rsid w:val="002040E6"/>
    <w:rsid w:val="00204CC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374C5"/>
    <w:rsid w:val="00243540"/>
    <w:rsid w:val="0024497B"/>
    <w:rsid w:val="0024515B"/>
    <w:rsid w:val="00246021"/>
    <w:rsid w:val="0024666E"/>
    <w:rsid w:val="00247F52"/>
    <w:rsid w:val="00250B25"/>
    <w:rsid w:val="00250BBE"/>
    <w:rsid w:val="002515C2"/>
    <w:rsid w:val="0025194F"/>
    <w:rsid w:val="00255912"/>
    <w:rsid w:val="0026148A"/>
    <w:rsid w:val="00262696"/>
    <w:rsid w:val="00262ABB"/>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261"/>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E6888"/>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6A47"/>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1C35"/>
    <w:rsid w:val="003A3D9C"/>
    <w:rsid w:val="003A4077"/>
    <w:rsid w:val="003A4AA7"/>
    <w:rsid w:val="003B09AD"/>
    <w:rsid w:val="003B0E5B"/>
    <w:rsid w:val="003B1F18"/>
    <w:rsid w:val="003B5778"/>
    <w:rsid w:val="003B5BF0"/>
    <w:rsid w:val="003B60BF"/>
    <w:rsid w:val="003B6BE3"/>
    <w:rsid w:val="003B79AA"/>
    <w:rsid w:val="003C010C"/>
    <w:rsid w:val="003C0A6C"/>
    <w:rsid w:val="003C14F8"/>
    <w:rsid w:val="003C5A43"/>
    <w:rsid w:val="003C6941"/>
    <w:rsid w:val="003D0519"/>
    <w:rsid w:val="003D0FF6"/>
    <w:rsid w:val="003D262C"/>
    <w:rsid w:val="003D6403"/>
    <w:rsid w:val="003D6D61"/>
    <w:rsid w:val="003E019F"/>
    <w:rsid w:val="003E091D"/>
    <w:rsid w:val="003E1C53"/>
    <w:rsid w:val="003E2A69"/>
    <w:rsid w:val="003E2D49"/>
    <w:rsid w:val="003E2FD4"/>
    <w:rsid w:val="003E49F6"/>
    <w:rsid w:val="003E548F"/>
    <w:rsid w:val="003E660F"/>
    <w:rsid w:val="003F0841"/>
    <w:rsid w:val="003F23D3"/>
    <w:rsid w:val="003F3F08"/>
    <w:rsid w:val="003F49F1"/>
    <w:rsid w:val="003F5A8F"/>
    <w:rsid w:val="003F6272"/>
    <w:rsid w:val="00400E72"/>
    <w:rsid w:val="00401400"/>
    <w:rsid w:val="00404869"/>
    <w:rsid w:val="00405884"/>
    <w:rsid w:val="00407D39"/>
    <w:rsid w:val="00410A65"/>
    <w:rsid w:val="0041477A"/>
    <w:rsid w:val="004167A3"/>
    <w:rsid w:val="00432DAA"/>
    <w:rsid w:val="00434305"/>
    <w:rsid w:val="00435DF7"/>
    <w:rsid w:val="0043741A"/>
    <w:rsid w:val="0044083F"/>
    <w:rsid w:val="00441523"/>
    <w:rsid w:val="00441AE7"/>
    <w:rsid w:val="00445574"/>
    <w:rsid w:val="004467FB"/>
    <w:rsid w:val="0044691C"/>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4982"/>
    <w:rsid w:val="004A12DF"/>
    <w:rsid w:val="004A1BA8"/>
    <w:rsid w:val="004A4B57"/>
    <w:rsid w:val="004A63FA"/>
    <w:rsid w:val="004A6A3D"/>
    <w:rsid w:val="004B0272"/>
    <w:rsid w:val="004B0E26"/>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142F"/>
    <w:rsid w:val="004D2253"/>
    <w:rsid w:val="004D40E4"/>
    <w:rsid w:val="004D4406"/>
    <w:rsid w:val="004D7C42"/>
    <w:rsid w:val="004E0465"/>
    <w:rsid w:val="004E127B"/>
    <w:rsid w:val="004E1C0A"/>
    <w:rsid w:val="004E30C5"/>
    <w:rsid w:val="004E4AA5"/>
    <w:rsid w:val="004E4AEE"/>
    <w:rsid w:val="004E59E3"/>
    <w:rsid w:val="004E67C0"/>
    <w:rsid w:val="004F2DB5"/>
    <w:rsid w:val="004F391A"/>
    <w:rsid w:val="004F3CFB"/>
    <w:rsid w:val="004F5E6E"/>
    <w:rsid w:val="004F6456"/>
    <w:rsid w:val="004F696E"/>
    <w:rsid w:val="004F6C71"/>
    <w:rsid w:val="00501139"/>
    <w:rsid w:val="0050363E"/>
    <w:rsid w:val="005039BC"/>
    <w:rsid w:val="005043BB"/>
    <w:rsid w:val="00504A3D"/>
    <w:rsid w:val="00505767"/>
    <w:rsid w:val="00507360"/>
    <w:rsid w:val="005073F0"/>
    <w:rsid w:val="00510A7B"/>
    <w:rsid w:val="00512F6E"/>
    <w:rsid w:val="00513038"/>
    <w:rsid w:val="00514174"/>
    <w:rsid w:val="00516088"/>
    <w:rsid w:val="00516B0B"/>
    <w:rsid w:val="00520534"/>
    <w:rsid w:val="005220EC"/>
    <w:rsid w:val="00523F95"/>
    <w:rsid w:val="00524D65"/>
    <w:rsid w:val="00525B16"/>
    <w:rsid w:val="005274F9"/>
    <w:rsid w:val="00533D04"/>
    <w:rsid w:val="00534804"/>
    <w:rsid w:val="00534BDF"/>
    <w:rsid w:val="005354EA"/>
    <w:rsid w:val="0053585F"/>
    <w:rsid w:val="00535EC4"/>
    <w:rsid w:val="00535ED9"/>
    <w:rsid w:val="0053692B"/>
    <w:rsid w:val="00541853"/>
    <w:rsid w:val="00543BDA"/>
    <w:rsid w:val="005441CC"/>
    <w:rsid w:val="005471EA"/>
    <w:rsid w:val="005479DA"/>
    <w:rsid w:val="00547BCC"/>
    <w:rsid w:val="0055013B"/>
    <w:rsid w:val="00551F6F"/>
    <w:rsid w:val="00555044"/>
    <w:rsid w:val="005558B4"/>
    <w:rsid w:val="00561475"/>
    <w:rsid w:val="00562308"/>
    <w:rsid w:val="0056487B"/>
    <w:rsid w:val="00564FB9"/>
    <w:rsid w:val="005670B6"/>
    <w:rsid w:val="00573D9E"/>
    <w:rsid w:val="005801E3"/>
    <w:rsid w:val="00581802"/>
    <w:rsid w:val="005836A8"/>
    <w:rsid w:val="0058409C"/>
    <w:rsid w:val="00584262"/>
    <w:rsid w:val="00586630"/>
    <w:rsid w:val="00587ADD"/>
    <w:rsid w:val="00593A49"/>
    <w:rsid w:val="00596160"/>
    <w:rsid w:val="005966E2"/>
    <w:rsid w:val="00597007"/>
    <w:rsid w:val="005A0966"/>
    <w:rsid w:val="005A0DBB"/>
    <w:rsid w:val="005A11B7"/>
    <w:rsid w:val="005A260B"/>
    <w:rsid w:val="005A4A1B"/>
    <w:rsid w:val="005A7830"/>
    <w:rsid w:val="005A7FCE"/>
    <w:rsid w:val="005B055A"/>
    <w:rsid w:val="005B0F3F"/>
    <w:rsid w:val="005B191C"/>
    <w:rsid w:val="005B4903"/>
    <w:rsid w:val="005B51CE"/>
    <w:rsid w:val="005B5885"/>
    <w:rsid w:val="005B599B"/>
    <w:rsid w:val="005B5CD7"/>
    <w:rsid w:val="005B6CF6"/>
    <w:rsid w:val="005B7422"/>
    <w:rsid w:val="005C29B8"/>
    <w:rsid w:val="005C35A5"/>
    <w:rsid w:val="005C5F21"/>
    <w:rsid w:val="005C7156"/>
    <w:rsid w:val="005D0AFC"/>
    <w:rsid w:val="005D0C75"/>
    <w:rsid w:val="005D0F63"/>
    <w:rsid w:val="005D230D"/>
    <w:rsid w:val="005D4171"/>
    <w:rsid w:val="005D6A95"/>
    <w:rsid w:val="005D6B2C"/>
    <w:rsid w:val="005D6D9C"/>
    <w:rsid w:val="005D6F3A"/>
    <w:rsid w:val="005E2335"/>
    <w:rsid w:val="005E34CA"/>
    <w:rsid w:val="005E3C18"/>
    <w:rsid w:val="005E4250"/>
    <w:rsid w:val="005E5FFC"/>
    <w:rsid w:val="005E6812"/>
    <w:rsid w:val="005E7881"/>
    <w:rsid w:val="005E78E0"/>
    <w:rsid w:val="005F0D9C"/>
    <w:rsid w:val="005F284E"/>
    <w:rsid w:val="005F2E4D"/>
    <w:rsid w:val="005F3132"/>
    <w:rsid w:val="005F4259"/>
    <w:rsid w:val="006015CE"/>
    <w:rsid w:val="00603732"/>
    <w:rsid w:val="00604784"/>
    <w:rsid w:val="00606419"/>
    <w:rsid w:val="00607D29"/>
    <w:rsid w:val="00612952"/>
    <w:rsid w:val="00614CC1"/>
    <w:rsid w:val="00615A9D"/>
    <w:rsid w:val="00617387"/>
    <w:rsid w:val="006205D6"/>
    <w:rsid w:val="006252D8"/>
    <w:rsid w:val="006259BC"/>
    <w:rsid w:val="0062636B"/>
    <w:rsid w:val="00631668"/>
    <w:rsid w:val="00632182"/>
    <w:rsid w:val="00632AE0"/>
    <w:rsid w:val="00633C17"/>
    <w:rsid w:val="00634D9E"/>
    <w:rsid w:val="00636979"/>
    <w:rsid w:val="00636E3E"/>
    <w:rsid w:val="006379F7"/>
    <w:rsid w:val="00637E4D"/>
    <w:rsid w:val="00640620"/>
    <w:rsid w:val="00641A1F"/>
    <w:rsid w:val="00645904"/>
    <w:rsid w:val="00651ACB"/>
    <w:rsid w:val="00651C47"/>
    <w:rsid w:val="00651DD3"/>
    <w:rsid w:val="00652AB2"/>
    <w:rsid w:val="00653FED"/>
    <w:rsid w:val="00654EC0"/>
    <w:rsid w:val="0065525B"/>
    <w:rsid w:val="00655D4F"/>
    <w:rsid w:val="0065645A"/>
    <w:rsid w:val="00656D29"/>
    <w:rsid w:val="00662457"/>
    <w:rsid w:val="006640E5"/>
    <w:rsid w:val="00664220"/>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4690"/>
    <w:rsid w:val="006B2672"/>
    <w:rsid w:val="006B54BF"/>
    <w:rsid w:val="006B5F44"/>
    <w:rsid w:val="006B5F90"/>
    <w:rsid w:val="006B62E4"/>
    <w:rsid w:val="006B6639"/>
    <w:rsid w:val="006B7636"/>
    <w:rsid w:val="006C1BBA"/>
    <w:rsid w:val="006C2079"/>
    <w:rsid w:val="006C5A62"/>
    <w:rsid w:val="006C5D68"/>
    <w:rsid w:val="006C6976"/>
    <w:rsid w:val="006C6DD0"/>
    <w:rsid w:val="006D04EA"/>
    <w:rsid w:val="006D16C4"/>
    <w:rsid w:val="006D3E96"/>
    <w:rsid w:val="006D4515"/>
    <w:rsid w:val="006D4BB1"/>
    <w:rsid w:val="006D6593"/>
    <w:rsid w:val="006E603F"/>
    <w:rsid w:val="006F03A8"/>
    <w:rsid w:val="006F2ACA"/>
    <w:rsid w:val="006F2ADC"/>
    <w:rsid w:val="006F2BFE"/>
    <w:rsid w:val="006F31E9"/>
    <w:rsid w:val="006F6284"/>
    <w:rsid w:val="007002C5"/>
    <w:rsid w:val="00704387"/>
    <w:rsid w:val="00707669"/>
    <w:rsid w:val="00711CBA"/>
    <w:rsid w:val="00711FB5"/>
    <w:rsid w:val="00712A01"/>
    <w:rsid w:val="00714F58"/>
    <w:rsid w:val="00720566"/>
    <w:rsid w:val="00722FBF"/>
    <w:rsid w:val="00722FC2"/>
    <w:rsid w:val="00724E1B"/>
    <w:rsid w:val="00725949"/>
    <w:rsid w:val="00727FA2"/>
    <w:rsid w:val="007322D9"/>
    <w:rsid w:val="00732BC0"/>
    <w:rsid w:val="0073675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1471"/>
    <w:rsid w:val="007959E8"/>
    <w:rsid w:val="00795E9C"/>
    <w:rsid w:val="007A0521"/>
    <w:rsid w:val="007A2E12"/>
    <w:rsid w:val="007A3475"/>
    <w:rsid w:val="007A41C8"/>
    <w:rsid w:val="007A502E"/>
    <w:rsid w:val="007A54CE"/>
    <w:rsid w:val="007A5D3A"/>
    <w:rsid w:val="007A6FD9"/>
    <w:rsid w:val="007A7FFA"/>
    <w:rsid w:val="007B04EB"/>
    <w:rsid w:val="007B0D4F"/>
    <w:rsid w:val="007B4E53"/>
    <w:rsid w:val="007B5A3D"/>
    <w:rsid w:val="007B5B95"/>
    <w:rsid w:val="007B6032"/>
    <w:rsid w:val="007B68EA"/>
    <w:rsid w:val="007B7453"/>
    <w:rsid w:val="007C2D89"/>
    <w:rsid w:val="007C4593"/>
    <w:rsid w:val="007C5309"/>
    <w:rsid w:val="007C6069"/>
    <w:rsid w:val="007C7842"/>
    <w:rsid w:val="007D06C4"/>
    <w:rsid w:val="007D1352"/>
    <w:rsid w:val="007D2508"/>
    <w:rsid w:val="007D346A"/>
    <w:rsid w:val="007D6518"/>
    <w:rsid w:val="007D76BD"/>
    <w:rsid w:val="007E0BF1"/>
    <w:rsid w:val="007F0608"/>
    <w:rsid w:val="007F0ED8"/>
    <w:rsid w:val="007F0F63"/>
    <w:rsid w:val="007F54D5"/>
    <w:rsid w:val="007F693B"/>
    <w:rsid w:val="007F75CE"/>
    <w:rsid w:val="008013A4"/>
    <w:rsid w:val="008027CE"/>
    <w:rsid w:val="00802F42"/>
    <w:rsid w:val="00804383"/>
    <w:rsid w:val="0080474A"/>
    <w:rsid w:val="00804BB7"/>
    <w:rsid w:val="00804D41"/>
    <w:rsid w:val="00810257"/>
    <w:rsid w:val="008104F5"/>
    <w:rsid w:val="00811072"/>
    <w:rsid w:val="00811369"/>
    <w:rsid w:val="00815419"/>
    <w:rsid w:val="008163C8"/>
    <w:rsid w:val="008164A1"/>
    <w:rsid w:val="00817325"/>
    <w:rsid w:val="008209E6"/>
    <w:rsid w:val="00821D19"/>
    <w:rsid w:val="00822606"/>
    <w:rsid w:val="00823303"/>
    <w:rsid w:val="008233B2"/>
    <w:rsid w:val="00823A9F"/>
    <w:rsid w:val="00823C85"/>
    <w:rsid w:val="008240E4"/>
    <w:rsid w:val="00825138"/>
    <w:rsid w:val="008269DD"/>
    <w:rsid w:val="00830621"/>
    <w:rsid w:val="0083348C"/>
    <w:rsid w:val="008373D3"/>
    <w:rsid w:val="00840617"/>
    <w:rsid w:val="00840F84"/>
    <w:rsid w:val="00842A47"/>
    <w:rsid w:val="00843C13"/>
    <w:rsid w:val="00843DEF"/>
    <w:rsid w:val="008454F8"/>
    <w:rsid w:val="008503EE"/>
    <w:rsid w:val="0085173A"/>
    <w:rsid w:val="0085505E"/>
    <w:rsid w:val="008556F0"/>
    <w:rsid w:val="008603CE"/>
    <w:rsid w:val="008620FC"/>
    <w:rsid w:val="00862205"/>
    <w:rsid w:val="008627A5"/>
    <w:rsid w:val="00863E05"/>
    <w:rsid w:val="00865ACA"/>
    <w:rsid w:val="00865D28"/>
    <w:rsid w:val="00865F85"/>
    <w:rsid w:val="00867C10"/>
    <w:rsid w:val="00870439"/>
    <w:rsid w:val="00870DA1"/>
    <w:rsid w:val="0087574D"/>
    <w:rsid w:val="00880623"/>
    <w:rsid w:val="00883F93"/>
    <w:rsid w:val="00884DB3"/>
    <w:rsid w:val="00885A9D"/>
    <w:rsid w:val="008864F6"/>
    <w:rsid w:val="0089049D"/>
    <w:rsid w:val="008928C9"/>
    <w:rsid w:val="008930CB"/>
    <w:rsid w:val="008938DC"/>
    <w:rsid w:val="00893FD1"/>
    <w:rsid w:val="008944EF"/>
    <w:rsid w:val="00894836"/>
    <w:rsid w:val="00895172"/>
    <w:rsid w:val="00895680"/>
    <w:rsid w:val="00896DFF"/>
    <w:rsid w:val="0089762C"/>
    <w:rsid w:val="008A173B"/>
    <w:rsid w:val="008A1893"/>
    <w:rsid w:val="008A3DEA"/>
    <w:rsid w:val="008A3EBC"/>
    <w:rsid w:val="008A57E6"/>
    <w:rsid w:val="008A6863"/>
    <w:rsid w:val="008A6F81"/>
    <w:rsid w:val="008A704C"/>
    <w:rsid w:val="008A769A"/>
    <w:rsid w:val="008B0B6A"/>
    <w:rsid w:val="008B0C9C"/>
    <w:rsid w:val="008B166D"/>
    <w:rsid w:val="008B17F4"/>
    <w:rsid w:val="008B3615"/>
    <w:rsid w:val="008B461E"/>
    <w:rsid w:val="008B4AC4"/>
    <w:rsid w:val="008B50C8"/>
    <w:rsid w:val="008B5281"/>
    <w:rsid w:val="008B7E05"/>
    <w:rsid w:val="008C1797"/>
    <w:rsid w:val="008C219C"/>
    <w:rsid w:val="008C2D46"/>
    <w:rsid w:val="008C4404"/>
    <w:rsid w:val="008C475E"/>
    <w:rsid w:val="008C619A"/>
    <w:rsid w:val="008D0CE8"/>
    <w:rsid w:val="008D2D1D"/>
    <w:rsid w:val="008D41FF"/>
    <w:rsid w:val="008D453D"/>
    <w:rsid w:val="008D53AD"/>
    <w:rsid w:val="008D562B"/>
    <w:rsid w:val="008D5733"/>
    <w:rsid w:val="008D5825"/>
    <w:rsid w:val="008D622B"/>
    <w:rsid w:val="008D666C"/>
    <w:rsid w:val="008D7B54"/>
    <w:rsid w:val="008E070A"/>
    <w:rsid w:val="008E0C9D"/>
    <w:rsid w:val="008E1216"/>
    <w:rsid w:val="008E1648"/>
    <w:rsid w:val="008E1B3E"/>
    <w:rsid w:val="008E1BCF"/>
    <w:rsid w:val="008E2319"/>
    <w:rsid w:val="008E4BB6"/>
    <w:rsid w:val="008E5518"/>
    <w:rsid w:val="008E6A84"/>
    <w:rsid w:val="008F0CDC"/>
    <w:rsid w:val="008F17A3"/>
    <w:rsid w:val="008F1ED3"/>
    <w:rsid w:val="008F3C9C"/>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30D5"/>
    <w:rsid w:val="0093572F"/>
    <w:rsid w:val="009378DD"/>
    <w:rsid w:val="009407A9"/>
    <w:rsid w:val="009429D5"/>
    <w:rsid w:val="00942BF1"/>
    <w:rsid w:val="00945180"/>
    <w:rsid w:val="00945428"/>
    <w:rsid w:val="0094607B"/>
    <w:rsid w:val="00953604"/>
    <w:rsid w:val="0095496B"/>
    <w:rsid w:val="00960F1E"/>
    <w:rsid w:val="009610DC"/>
    <w:rsid w:val="00961490"/>
    <w:rsid w:val="009624CB"/>
    <w:rsid w:val="0096381A"/>
    <w:rsid w:val="00965E04"/>
    <w:rsid w:val="009674AD"/>
    <w:rsid w:val="00970CDC"/>
    <w:rsid w:val="00975727"/>
    <w:rsid w:val="00977010"/>
    <w:rsid w:val="00977D02"/>
    <w:rsid w:val="00977FF9"/>
    <w:rsid w:val="0098065F"/>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1B5"/>
    <w:rsid w:val="009C27F1"/>
    <w:rsid w:val="009C3152"/>
    <w:rsid w:val="009C3257"/>
    <w:rsid w:val="009C4CFA"/>
    <w:rsid w:val="009C5070"/>
    <w:rsid w:val="009C7E67"/>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330C"/>
    <w:rsid w:val="00A064E9"/>
    <w:rsid w:val="00A06A6B"/>
    <w:rsid w:val="00A07E47"/>
    <w:rsid w:val="00A129D0"/>
    <w:rsid w:val="00A12C33"/>
    <w:rsid w:val="00A138BA"/>
    <w:rsid w:val="00A14C8E"/>
    <w:rsid w:val="00A153D9"/>
    <w:rsid w:val="00A15F09"/>
    <w:rsid w:val="00A169B6"/>
    <w:rsid w:val="00A17691"/>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67CC2"/>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C78EE"/>
    <w:rsid w:val="00AD0AEF"/>
    <w:rsid w:val="00AD11B7"/>
    <w:rsid w:val="00AD1A94"/>
    <w:rsid w:val="00AD1C05"/>
    <w:rsid w:val="00AD4126"/>
    <w:rsid w:val="00AD421C"/>
    <w:rsid w:val="00AD44FA"/>
    <w:rsid w:val="00AD5661"/>
    <w:rsid w:val="00AE070A"/>
    <w:rsid w:val="00AE101C"/>
    <w:rsid w:val="00AE1E92"/>
    <w:rsid w:val="00AE2A69"/>
    <w:rsid w:val="00AE37E5"/>
    <w:rsid w:val="00AE5E57"/>
    <w:rsid w:val="00AE5EB4"/>
    <w:rsid w:val="00AF0C18"/>
    <w:rsid w:val="00AF47C5"/>
    <w:rsid w:val="00AF5398"/>
    <w:rsid w:val="00AF7841"/>
    <w:rsid w:val="00B049AF"/>
    <w:rsid w:val="00B07242"/>
    <w:rsid w:val="00B10534"/>
    <w:rsid w:val="00B113DB"/>
    <w:rsid w:val="00B11D8A"/>
    <w:rsid w:val="00B12981"/>
    <w:rsid w:val="00B140E3"/>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26AF"/>
    <w:rsid w:val="00B5317D"/>
    <w:rsid w:val="00B53CE4"/>
    <w:rsid w:val="00B54ABC"/>
    <w:rsid w:val="00B56FBE"/>
    <w:rsid w:val="00B60ACF"/>
    <w:rsid w:val="00B62B58"/>
    <w:rsid w:val="00B65149"/>
    <w:rsid w:val="00B66567"/>
    <w:rsid w:val="00B66F52"/>
    <w:rsid w:val="00B66FE5"/>
    <w:rsid w:val="00B71994"/>
    <w:rsid w:val="00B72880"/>
    <w:rsid w:val="00B758BF"/>
    <w:rsid w:val="00B77EC8"/>
    <w:rsid w:val="00B80355"/>
    <w:rsid w:val="00B827A6"/>
    <w:rsid w:val="00B831CE"/>
    <w:rsid w:val="00B86677"/>
    <w:rsid w:val="00B868BC"/>
    <w:rsid w:val="00B87131"/>
    <w:rsid w:val="00B90B45"/>
    <w:rsid w:val="00B939B1"/>
    <w:rsid w:val="00B96D40"/>
    <w:rsid w:val="00B97386"/>
    <w:rsid w:val="00BA263B"/>
    <w:rsid w:val="00BA42B2"/>
    <w:rsid w:val="00BA58D4"/>
    <w:rsid w:val="00BA5B9E"/>
    <w:rsid w:val="00BA75AF"/>
    <w:rsid w:val="00BA7C9A"/>
    <w:rsid w:val="00BB541F"/>
    <w:rsid w:val="00BB5F8F"/>
    <w:rsid w:val="00BB657A"/>
    <w:rsid w:val="00BC1A4E"/>
    <w:rsid w:val="00BC3752"/>
    <w:rsid w:val="00BC5DC7"/>
    <w:rsid w:val="00BC6B8B"/>
    <w:rsid w:val="00BC73D8"/>
    <w:rsid w:val="00BC7DFC"/>
    <w:rsid w:val="00BD52D7"/>
    <w:rsid w:val="00BD5AD2"/>
    <w:rsid w:val="00BD6554"/>
    <w:rsid w:val="00BE026D"/>
    <w:rsid w:val="00BE22F3"/>
    <w:rsid w:val="00BE5B52"/>
    <w:rsid w:val="00BE7B8D"/>
    <w:rsid w:val="00BE7E11"/>
    <w:rsid w:val="00BF0993"/>
    <w:rsid w:val="00BF10A9"/>
    <w:rsid w:val="00BF1703"/>
    <w:rsid w:val="00BF231C"/>
    <w:rsid w:val="00BF51E5"/>
    <w:rsid w:val="00BF74A6"/>
    <w:rsid w:val="00BF7F39"/>
    <w:rsid w:val="00C013AD"/>
    <w:rsid w:val="00C01C7B"/>
    <w:rsid w:val="00C04904"/>
    <w:rsid w:val="00C056B3"/>
    <w:rsid w:val="00C103E5"/>
    <w:rsid w:val="00C11A2B"/>
    <w:rsid w:val="00C13319"/>
    <w:rsid w:val="00C13EE9"/>
    <w:rsid w:val="00C21540"/>
    <w:rsid w:val="00C21906"/>
    <w:rsid w:val="00C21BFA"/>
    <w:rsid w:val="00C23CF9"/>
    <w:rsid w:val="00C24C8D"/>
    <w:rsid w:val="00C25FE2"/>
    <w:rsid w:val="00C269FF"/>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767A"/>
    <w:rsid w:val="00C77845"/>
    <w:rsid w:val="00C80CB8"/>
    <w:rsid w:val="00C817C7"/>
    <w:rsid w:val="00C819F8"/>
    <w:rsid w:val="00C8248C"/>
    <w:rsid w:val="00C84E33"/>
    <w:rsid w:val="00C86D6F"/>
    <w:rsid w:val="00C905FC"/>
    <w:rsid w:val="00C92D03"/>
    <w:rsid w:val="00C9319C"/>
    <w:rsid w:val="00C9435D"/>
    <w:rsid w:val="00C94DF2"/>
    <w:rsid w:val="00C96741"/>
    <w:rsid w:val="00CA1506"/>
    <w:rsid w:val="00CA2D1B"/>
    <w:rsid w:val="00CA375D"/>
    <w:rsid w:val="00CA506F"/>
    <w:rsid w:val="00CA54EE"/>
    <w:rsid w:val="00CA5BF2"/>
    <w:rsid w:val="00CA662A"/>
    <w:rsid w:val="00CA79E5"/>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80B"/>
    <w:rsid w:val="00CC5DE6"/>
    <w:rsid w:val="00CC6E4E"/>
    <w:rsid w:val="00CC6FE8"/>
    <w:rsid w:val="00CC7202"/>
    <w:rsid w:val="00CD0A0F"/>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4F3E"/>
    <w:rsid w:val="00D352A2"/>
    <w:rsid w:val="00D4162B"/>
    <w:rsid w:val="00D4514F"/>
    <w:rsid w:val="00D451E2"/>
    <w:rsid w:val="00D45E89"/>
    <w:rsid w:val="00D45E8D"/>
    <w:rsid w:val="00D466AE"/>
    <w:rsid w:val="00D4734F"/>
    <w:rsid w:val="00D51BF3"/>
    <w:rsid w:val="00D54EF9"/>
    <w:rsid w:val="00D66797"/>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05F6"/>
    <w:rsid w:val="00DA1E08"/>
    <w:rsid w:val="00DA24F8"/>
    <w:rsid w:val="00DA28E8"/>
    <w:rsid w:val="00DA38D3"/>
    <w:rsid w:val="00DA3932"/>
    <w:rsid w:val="00DA3AFC"/>
    <w:rsid w:val="00DA64F8"/>
    <w:rsid w:val="00DA6C15"/>
    <w:rsid w:val="00DB0258"/>
    <w:rsid w:val="00DB2C56"/>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34F2"/>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4C06"/>
    <w:rsid w:val="00E06404"/>
    <w:rsid w:val="00E11A85"/>
    <w:rsid w:val="00E12495"/>
    <w:rsid w:val="00E15CCD"/>
    <w:rsid w:val="00E202EF"/>
    <w:rsid w:val="00E210B5"/>
    <w:rsid w:val="00E246ED"/>
    <w:rsid w:val="00E2552F"/>
    <w:rsid w:val="00E3137A"/>
    <w:rsid w:val="00E32CCF"/>
    <w:rsid w:val="00E34A98"/>
    <w:rsid w:val="00E35D1E"/>
    <w:rsid w:val="00E364F9"/>
    <w:rsid w:val="00E365FA"/>
    <w:rsid w:val="00E36789"/>
    <w:rsid w:val="00E42341"/>
    <w:rsid w:val="00E44A83"/>
    <w:rsid w:val="00E502C1"/>
    <w:rsid w:val="00E502DD"/>
    <w:rsid w:val="00E50D3A"/>
    <w:rsid w:val="00E51387"/>
    <w:rsid w:val="00E51E68"/>
    <w:rsid w:val="00E52EFD"/>
    <w:rsid w:val="00E5408A"/>
    <w:rsid w:val="00E56800"/>
    <w:rsid w:val="00E60C63"/>
    <w:rsid w:val="00E62FF9"/>
    <w:rsid w:val="00E635D6"/>
    <w:rsid w:val="00E639BC"/>
    <w:rsid w:val="00E64155"/>
    <w:rsid w:val="00E6453E"/>
    <w:rsid w:val="00E664CC"/>
    <w:rsid w:val="00E667EB"/>
    <w:rsid w:val="00E676B8"/>
    <w:rsid w:val="00E70388"/>
    <w:rsid w:val="00E70F92"/>
    <w:rsid w:val="00E74313"/>
    <w:rsid w:val="00E74629"/>
    <w:rsid w:val="00E74C54"/>
    <w:rsid w:val="00E77A03"/>
    <w:rsid w:val="00E80F21"/>
    <w:rsid w:val="00E822E8"/>
    <w:rsid w:val="00E82554"/>
    <w:rsid w:val="00E82606"/>
    <w:rsid w:val="00E831C1"/>
    <w:rsid w:val="00E8378F"/>
    <w:rsid w:val="00E83DFB"/>
    <w:rsid w:val="00E83FD2"/>
    <w:rsid w:val="00E846C8"/>
    <w:rsid w:val="00E84957"/>
    <w:rsid w:val="00E84A55"/>
    <w:rsid w:val="00E85BFF"/>
    <w:rsid w:val="00E90391"/>
    <w:rsid w:val="00E906C2"/>
    <w:rsid w:val="00E92B34"/>
    <w:rsid w:val="00E930CF"/>
    <w:rsid w:val="00E9311F"/>
    <w:rsid w:val="00E934D1"/>
    <w:rsid w:val="00E94AF0"/>
    <w:rsid w:val="00E95D13"/>
    <w:rsid w:val="00E95DD3"/>
    <w:rsid w:val="00E969D5"/>
    <w:rsid w:val="00EA576F"/>
    <w:rsid w:val="00EA58D1"/>
    <w:rsid w:val="00EA61BC"/>
    <w:rsid w:val="00EA681A"/>
    <w:rsid w:val="00EA735B"/>
    <w:rsid w:val="00EB1E69"/>
    <w:rsid w:val="00EB2086"/>
    <w:rsid w:val="00EB31ED"/>
    <w:rsid w:val="00EB46E1"/>
    <w:rsid w:val="00EB5EDF"/>
    <w:rsid w:val="00EB60FE"/>
    <w:rsid w:val="00EB74DB"/>
    <w:rsid w:val="00EC5359"/>
    <w:rsid w:val="00EC562A"/>
    <w:rsid w:val="00EC7EC6"/>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176A"/>
    <w:rsid w:val="00F32780"/>
    <w:rsid w:val="00F33817"/>
    <w:rsid w:val="00F420D5"/>
    <w:rsid w:val="00F451EA"/>
    <w:rsid w:val="00F45447"/>
    <w:rsid w:val="00F456C6"/>
    <w:rsid w:val="00F4577B"/>
    <w:rsid w:val="00F46496"/>
    <w:rsid w:val="00F474D0"/>
    <w:rsid w:val="00F50179"/>
    <w:rsid w:val="00F515EE"/>
    <w:rsid w:val="00F5368D"/>
    <w:rsid w:val="00F56511"/>
    <w:rsid w:val="00F56BE0"/>
    <w:rsid w:val="00F60F75"/>
    <w:rsid w:val="00F6194E"/>
    <w:rsid w:val="00F623AC"/>
    <w:rsid w:val="00F6412A"/>
    <w:rsid w:val="00F65893"/>
    <w:rsid w:val="00F66A4A"/>
    <w:rsid w:val="00F71E22"/>
    <w:rsid w:val="00F72142"/>
    <w:rsid w:val="00F7224B"/>
    <w:rsid w:val="00F72AE7"/>
    <w:rsid w:val="00F7489C"/>
    <w:rsid w:val="00F76BA5"/>
    <w:rsid w:val="00F833BA"/>
    <w:rsid w:val="00F84FD0"/>
    <w:rsid w:val="00F859A8"/>
    <w:rsid w:val="00F86D87"/>
    <w:rsid w:val="00F908CF"/>
    <w:rsid w:val="00F9108B"/>
    <w:rsid w:val="00F91349"/>
    <w:rsid w:val="00F93A8A"/>
    <w:rsid w:val="00F95248"/>
    <w:rsid w:val="00F956A9"/>
    <w:rsid w:val="00F963ED"/>
    <w:rsid w:val="00F966CF"/>
    <w:rsid w:val="00F96CAE"/>
    <w:rsid w:val="00F97C99"/>
    <w:rsid w:val="00FA1B08"/>
    <w:rsid w:val="00FA394C"/>
    <w:rsid w:val="00FA662D"/>
    <w:rsid w:val="00FA73B1"/>
    <w:rsid w:val="00FB0CB9"/>
    <w:rsid w:val="00FB231D"/>
    <w:rsid w:val="00FB308F"/>
    <w:rsid w:val="00FB45F1"/>
    <w:rsid w:val="00FB4A72"/>
    <w:rsid w:val="00FB4EEF"/>
    <w:rsid w:val="00FB54E8"/>
    <w:rsid w:val="00FB7054"/>
    <w:rsid w:val="00FB7731"/>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28B4"/>
    <w:rsid w:val="00FF3E7D"/>
    <w:rsid w:val="00FF5B99"/>
    <w:rsid w:val="00FF730C"/>
    <w:rsid w:val="00FF73F4"/>
    <w:rsid w:val="00FF7CE4"/>
    <w:rsid w:val="00FF7E39"/>
    <w:rsid w:val="09DB3837"/>
    <w:rsid w:val="0ADF36E6"/>
    <w:rsid w:val="0DD52338"/>
    <w:rsid w:val="1995300C"/>
    <w:rsid w:val="1D0E7857"/>
    <w:rsid w:val="218A2FB2"/>
    <w:rsid w:val="26365852"/>
    <w:rsid w:val="305F04F5"/>
    <w:rsid w:val="38C123E1"/>
    <w:rsid w:val="3AFF58B8"/>
    <w:rsid w:val="45EC441A"/>
    <w:rsid w:val="4EA679BD"/>
    <w:rsid w:val="529C772B"/>
    <w:rsid w:val="5CC177B3"/>
    <w:rsid w:val="5F601BC4"/>
    <w:rsid w:val="5F6B1B44"/>
    <w:rsid w:val="5FB42F5F"/>
    <w:rsid w:val="67F866C4"/>
    <w:rsid w:val="68C1492A"/>
    <w:rsid w:val="6BDB4BF6"/>
    <w:rsid w:val="6CC5217B"/>
    <w:rsid w:val="73783B0A"/>
    <w:rsid w:val="7C6F2735"/>
    <w:rsid w:val="7E942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spacing w:beforeAutospacing="1" w:afterAutospacing="1"/>
      <w:jc w:val="left"/>
    </w:pPr>
    <w:rPr>
      <w:kern w:val="0"/>
      <w:sz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ind w:left="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ind w:left="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pPr>
      <w:ind w:left="0"/>
    </w:pPr>
    <w:rPr>
      <w:rFonts w:hAnsi="宋体"/>
    </w:rPr>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Table Text"/>
    <w:basedOn w:val="1"/>
    <w:semiHidden/>
    <w:qFormat/>
    <w:uiPriority w:val="0"/>
    <w:pPr>
      <w:jc w:val="center"/>
    </w:pPr>
    <w:rPr>
      <w:rFonts w:ascii="宋体" w:hAnsi="宋体" w:cs="宋体"/>
      <w:sz w:val="18"/>
      <w:szCs w:val="18"/>
      <w:lang w:eastAsia="en-US"/>
    </w:rPr>
  </w:style>
  <w:style w:type="table" w:customStyle="1" w:styleId="232">
    <w:name w:val="Table Normal"/>
    <w:semiHidden/>
    <w:unhideWhenUsed/>
    <w:qFormat/>
    <w:uiPriority w:val="0"/>
    <w:tblPr>
      <w:tblCellMar>
        <w:top w:w="0" w:type="dxa"/>
        <w:left w:w="0" w:type="dxa"/>
        <w:bottom w:w="0" w:type="dxa"/>
        <w:right w:w="0" w:type="dxa"/>
      </w:tblCellMar>
    </w:tblPr>
  </w:style>
  <w:style w:type="paragraph" w:styleId="233">
    <w:name w:val="List Paragraph"/>
    <w:basedOn w:val="1"/>
    <w:unhideWhenUsed/>
    <w:qFormat/>
    <w:uiPriority w:val="1"/>
    <w:pPr>
      <w:snapToGrid w:val="0"/>
      <w:spacing w:line="360" w:lineRule="auto"/>
      <w:ind w:firstLine="420" w:firstLineChars="200"/>
    </w:pPr>
    <w:rPr>
      <w:rFonts w:ascii="宋体" w:hAnsi="宋体"/>
      <w:spacing w:val="-3"/>
    </w:rPr>
  </w:style>
  <w:style w:type="paragraph" w:customStyle="1" w:styleId="234">
    <w:name w:val="正文1"/>
    <w:basedOn w:val="1"/>
    <w:link w:val="235"/>
    <w:qFormat/>
    <w:uiPriority w:val="0"/>
    <w:pPr>
      <w:widowControl/>
      <w:autoSpaceDE w:val="0"/>
      <w:autoSpaceDN w:val="0"/>
      <w:snapToGrid w:val="0"/>
      <w:spacing w:line="300" w:lineRule="auto"/>
      <w:ind w:left="431"/>
      <w:jc w:val="left"/>
      <w:textAlignment w:val="baseline"/>
    </w:pPr>
    <w:rPr>
      <w:rFonts w:ascii="Times New Roman" w:hAnsi="Times New Roman" w:cs="黑体"/>
      <w:bCs/>
      <w:snapToGrid w:val="0"/>
      <w:color w:val="000000"/>
      <w:spacing w:val="-3"/>
      <w:kern w:val="0"/>
    </w:rPr>
  </w:style>
  <w:style w:type="character" w:customStyle="1" w:styleId="235">
    <w:name w:val="正文1 字符"/>
    <w:basedOn w:val="29"/>
    <w:link w:val="234"/>
    <w:qFormat/>
    <w:uiPriority w:val="0"/>
    <w:rPr>
      <w:rFonts w:ascii="Times New Roman" w:hAnsi="Times New Roman" w:cs="黑体"/>
      <w:bCs/>
      <w:snapToGrid w:val="0"/>
      <w:color w:val="000000"/>
      <w:spacing w:val="-3"/>
      <w:sz w:val="21"/>
      <w:szCs w:val="21"/>
    </w:rPr>
  </w:style>
  <w:style w:type="character" w:customStyle="1" w:styleId="236">
    <w:name w:val="fontstyle01"/>
    <w:basedOn w:val="29"/>
    <w:qFormat/>
    <w:uiPriority w:val="0"/>
    <w:rPr>
      <w:rFonts w:hint="eastAsia" w:ascii="宋体" w:hAnsi="宋体" w:eastAsia="宋体"/>
      <w:color w:val="000000"/>
      <w:sz w:val="22"/>
      <w:szCs w:val="22"/>
    </w:rPr>
  </w:style>
  <w:style w:type="character" w:customStyle="1" w:styleId="237">
    <w:name w:val="fontstyle21"/>
    <w:basedOn w:val="29"/>
    <w:qFormat/>
    <w:uiPriority w:val="0"/>
    <w:rPr>
      <w:rFonts w:hint="default" w:ascii="TimesNewRomanPSMT" w:hAnsi="TimesNewRomanPSMT"/>
      <w:color w:val="000000"/>
      <w:sz w:val="22"/>
      <w:szCs w:val="22"/>
    </w:rPr>
  </w:style>
  <w:style w:type="table" w:customStyle="1" w:styleId="238">
    <w:name w:val="Table Normal1"/>
    <w:semiHidden/>
    <w:unhideWhenUsed/>
    <w:qFormat/>
    <w:uiPriority w:val="0"/>
    <w:rPr>
      <w:rFonts w:ascii="Arial" w:hAnsi="Arial" w:cs="Arial" w:eastAsiaTheme="minorEastAsia"/>
      <w:snapToGrid w:val="0"/>
      <w:color w:val="000000"/>
      <w:sz w:val="21"/>
      <w:szCs w:val="21"/>
      <w:lang w:eastAsia="en-US"/>
    </w:rPr>
    <w:tblPr>
      <w:tblCellMar>
        <w:top w:w="0" w:type="dxa"/>
        <w:left w:w="0" w:type="dxa"/>
        <w:bottom w:w="0" w:type="dxa"/>
        <w:right w:w="0" w:type="dxa"/>
      </w:tblCellMar>
    </w:tblPr>
  </w:style>
  <w:style w:type="character" w:customStyle="1" w:styleId="239">
    <w:name w:val="fontstyle11"/>
    <w:basedOn w:val="29"/>
    <w:qFormat/>
    <w:uiPriority w:val="0"/>
    <w:rPr>
      <w:rFonts w:ascii="宋体" w:hAnsi="宋体" w:eastAsia="宋体" w:cs="宋体"/>
      <w:color w:val="000000"/>
      <w:sz w:val="24"/>
      <w:szCs w:val="24"/>
    </w:rPr>
  </w:style>
  <w:style w:type="character" w:customStyle="1" w:styleId="240">
    <w:name w:val="fontstyle31"/>
    <w:basedOn w:val="29"/>
    <w:qFormat/>
    <w:uiPriority w:val="0"/>
    <w:rPr>
      <w:rFonts w:ascii="宋体" w:hAnsi="宋体" w:eastAsia="宋体" w:cs="宋体"/>
      <w:color w:val="000000"/>
      <w:sz w:val="22"/>
      <w:szCs w:val="22"/>
    </w:rPr>
  </w:style>
  <w:style w:type="paragraph" w:customStyle="1" w:styleId="241">
    <w:name w:val="修订1"/>
    <w:hidden/>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0" Type="http://schemas.openxmlformats.org/officeDocument/2006/relationships/glossaryDocument" Target="glossary/document.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2.emf"/><Relationship Id="rId24" Type="http://schemas.openxmlformats.org/officeDocument/2006/relationships/package" Target="embeddings/Microsoft_Visio___2.vsdx"/><Relationship Id="rId23" Type="http://schemas.openxmlformats.org/officeDocument/2006/relationships/image" Target="media/image1.emf"/><Relationship Id="rId22" Type="http://schemas.openxmlformats.org/officeDocument/2006/relationships/package" Target="embeddings/Microsoft_Visio___1.vsdx"/><Relationship Id="rId21" Type="http://schemas.openxmlformats.org/officeDocument/2006/relationships/theme" Target="theme/theme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51352E7AD924050A8BF6A3E089E980F"/>
        <w:style w:val=""/>
        <w:category>
          <w:name w:val="常规"/>
          <w:gallery w:val="placeholder"/>
        </w:category>
        <w:types>
          <w:type w:val="bbPlcHdr"/>
        </w:types>
        <w:behaviors>
          <w:behavior w:val="content"/>
        </w:behaviors>
        <w:description w:val=""/>
        <w:guid w:val="{95E9C89B-D06F-4CBC-8C5D-F86F44E25206}"/>
      </w:docPartPr>
      <w:docPartBody>
        <w:p w14:paraId="02180B75">
          <w:pPr>
            <w:pStyle w:val="5"/>
          </w:pPr>
          <w:r>
            <w:rPr>
              <w:rStyle w:val="4"/>
              <w:rFonts w:hint="eastAsia"/>
            </w:rPr>
            <w:t>单击或点击此处输入文字。</w:t>
          </w:r>
        </w:p>
      </w:docPartBody>
    </w:docPart>
    <w:docPart>
      <w:docPartPr>
        <w:name w:val="7D8091A419844FBDA8554C0D7F75ECFE"/>
        <w:style w:val=""/>
        <w:category>
          <w:name w:val="常规"/>
          <w:gallery w:val="placeholder"/>
        </w:category>
        <w:types>
          <w:type w:val="bbPlcHdr"/>
        </w:types>
        <w:behaviors>
          <w:behavior w:val="content"/>
        </w:behaviors>
        <w:description w:val=""/>
        <w:guid w:val="{D4623AE3-C4F4-4BA8-A5A2-AE0FB83D1870}"/>
      </w:docPartPr>
      <w:docPartBody>
        <w:p w14:paraId="0F09F487">
          <w:pPr>
            <w:pStyle w:val="6"/>
          </w:pPr>
          <w:r>
            <w:rPr>
              <w:rStyle w:val="4"/>
              <w:rFonts w:hint="eastAsia"/>
            </w:rPr>
            <w:t>选择一项。</w:t>
          </w:r>
        </w:p>
      </w:docPartBody>
    </w:docPart>
    <w:docPart>
      <w:docPartPr>
        <w:name w:val="BB29B35BC62740FA8C8DFBFE47F06031"/>
        <w:style w:val=""/>
        <w:category>
          <w:name w:val="常规"/>
          <w:gallery w:val="placeholder"/>
        </w:category>
        <w:types>
          <w:type w:val="bbPlcHdr"/>
        </w:types>
        <w:behaviors>
          <w:behavior w:val="content"/>
        </w:behaviors>
        <w:description w:val=""/>
        <w:guid w:val="{3BC664C3-A3C2-4723-86FD-BF7855E77964}"/>
      </w:docPartPr>
      <w:docPartBody>
        <w:p w14:paraId="1B4F1DE9">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5D7F"/>
    <w:rsid w:val="001675A5"/>
    <w:rsid w:val="00193A48"/>
    <w:rsid w:val="001B394D"/>
    <w:rsid w:val="002048A1"/>
    <w:rsid w:val="00216BFC"/>
    <w:rsid w:val="002B4D7B"/>
    <w:rsid w:val="002C21FC"/>
    <w:rsid w:val="0035120B"/>
    <w:rsid w:val="003C1136"/>
    <w:rsid w:val="003E717B"/>
    <w:rsid w:val="00404CD3"/>
    <w:rsid w:val="00421323"/>
    <w:rsid w:val="004542BA"/>
    <w:rsid w:val="004A46B4"/>
    <w:rsid w:val="0054435A"/>
    <w:rsid w:val="00590942"/>
    <w:rsid w:val="005958E5"/>
    <w:rsid w:val="0061039B"/>
    <w:rsid w:val="00625849"/>
    <w:rsid w:val="007141F1"/>
    <w:rsid w:val="00743105"/>
    <w:rsid w:val="007D49E3"/>
    <w:rsid w:val="00807B0A"/>
    <w:rsid w:val="0083774B"/>
    <w:rsid w:val="00857E66"/>
    <w:rsid w:val="00B4509F"/>
    <w:rsid w:val="00B55D7F"/>
    <w:rsid w:val="00B80355"/>
    <w:rsid w:val="00C92E15"/>
    <w:rsid w:val="00D94A3D"/>
    <w:rsid w:val="00E108A1"/>
    <w:rsid w:val="00E9095C"/>
    <w:rsid w:val="00EA2D35"/>
    <w:rsid w:val="00F85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51352E7AD924050A8BF6A3E089E980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7D8091A419844FBDA8554C0D7F75ECF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BB29B35BC62740FA8C8DFBFE47F0603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35DA1B-38A4-430B-A3AE-627CDA366FED}">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15</Pages>
  <Words>1379</Words>
  <Characters>1800</Characters>
  <Lines>103</Lines>
  <Paragraphs>29</Paragraphs>
  <TotalTime>1</TotalTime>
  <ScaleCrop>false</ScaleCrop>
  <LinksUpToDate>false</LinksUpToDate>
  <CharactersWithSpaces>1967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2025-07-14T00:33:00Z</dcterms:created>
  <dc:creator>Ke Sun</dc:creator>
  <cp:lastModifiedBy>16555</cp:lastModifiedBy>
  <cp:lastPrinted>2025-07-15T08:46:00Z</cp:lastPrinted>
  <dcterms:modified xsi:type="dcterms:W3CDTF">2025-07-25T01:00:18Z</dcterms:modified>
  <dc:title>团体标准</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false</vt:lpwstr>
  </property>
  <property fmtid="{D5CDD505-2E9C-101B-9397-08002B2CF9AE}" pid="15" name="KSOProductBuildVer">
    <vt:lpwstr>2052-12.1.0.21915</vt:lpwstr>
  </property>
  <property fmtid="{D5CDD505-2E9C-101B-9397-08002B2CF9AE}" pid="16" name="ICV">
    <vt:lpwstr>290AF98B523E435DB257F7232B34B423</vt:lpwstr>
  </property>
  <property fmtid="{D5CDD505-2E9C-101B-9397-08002B2CF9AE}" pid="17" name="KSOTemplateDocerSaveRecord">
    <vt:lpwstr>eyJoZGlkIjoiMDljYzUzMWQ4OWI0YzBkYjYzMDRhZTY5ZjZkYmFmYTgiLCJ1c2VySWQiOiI1MDYyMCJ9</vt:lpwstr>
  </property>
</Properties>
</file>