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188B9" w14:textId="36070BC8" w:rsidR="00E56993" w:rsidRDefault="00CA5AD7">
      <w:pPr>
        <w:jc w:val="left"/>
        <w:rPr>
          <w:rFonts w:ascii="黑体" w:eastAsia="黑体" w:hAnsi="黑体" w:cs="黑体" w:hint="eastAsia"/>
          <w:sz w:val="32"/>
          <w:szCs w:val="32"/>
        </w:rPr>
      </w:pPr>
      <w:r>
        <w:rPr>
          <w:rFonts w:ascii="黑体" w:eastAsia="黑体" w:hAnsi="黑体" w:cs="黑体" w:hint="eastAsia"/>
          <w:sz w:val="32"/>
          <w:szCs w:val="32"/>
        </w:rPr>
        <w:t>附件</w:t>
      </w:r>
      <w:r w:rsidR="001373E0">
        <w:rPr>
          <w:rFonts w:ascii="黑体" w:eastAsia="黑体" w:hAnsi="黑体" w:cs="黑体" w:hint="eastAsia"/>
          <w:sz w:val="32"/>
          <w:szCs w:val="32"/>
        </w:rPr>
        <w:t>4</w:t>
      </w:r>
    </w:p>
    <w:p w14:paraId="5896C180" w14:textId="77777777" w:rsidR="00E56993" w:rsidRDefault="00CA5AD7">
      <w:pPr>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中国电力建设企业协会团体标准</w:t>
      </w:r>
    </w:p>
    <w:p w14:paraId="2A8A305C" w14:textId="244E4D79" w:rsidR="00E56993" w:rsidRDefault="00CA5AD7">
      <w:pPr>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w:t>
      </w:r>
      <w:r w:rsidR="004C035F" w:rsidRPr="004C035F">
        <w:rPr>
          <w:rFonts w:ascii="方正小标宋_GBK" w:eastAsia="方正小标宋_GBK" w:hAnsi="方正小标宋_GBK" w:cs="方正小标宋_GBK" w:hint="eastAsia"/>
          <w:sz w:val="44"/>
          <w:szCs w:val="44"/>
        </w:rPr>
        <w:t>电化学储能电站安全隐患排查</w:t>
      </w:r>
      <w:r w:rsidR="004C035F">
        <w:rPr>
          <w:rFonts w:ascii="方正小标宋_GBK" w:eastAsia="方正小标宋_GBK" w:hAnsi="方正小标宋_GBK" w:cs="方正小标宋_GBK" w:hint="eastAsia"/>
          <w:sz w:val="44"/>
          <w:szCs w:val="44"/>
        </w:rPr>
        <w:t>治理</w:t>
      </w:r>
      <w:r w:rsidR="004C035F" w:rsidRPr="004C035F">
        <w:rPr>
          <w:rFonts w:ascii="方正小标宋_GBK" w:eastAsia="方正小标宋_GBK" w:hAnsi="方正小标宋_GBK" w:cs="方正小标宋_GBK" w:hint="eastAsia"/>
          <w:sz w:val="44"/>
          <w:szCs w:val="44"/>
        </w:rPr>
        <w:t>技术规范</w:t>
      </w:r>
      <w:r>
        <w:rPr>
          <w:rFonts w:ascii="方正小标宋_GBK" w:eastAsia="方正小标宋_GBK" w:hAnsi="方正小标宋_GBK" w:cs="方正小标宋_GBK" w:hint="eastAsia"/>
          <w:sz w:val="44"/>
          <w:szCs w:val="44"/>
        </w:rPr>
        <w:t>》编制说明</w:t>
      </w:r>
    </w:p>
    <w:p w14:paraId="126DF046" w14:textId="77777777" w:rsidR="00E56993" w:rsidRPr="001373E0" w:rsidRDefault="00CA5AD7">
      <w:pPr>
        <w:numPr>
          <w:ilvl w:val="0"/>
          <w:numId w:val="1"/>
        </w:numPr>
        <w:rPr>
          <w:rFonts w:ascii="仿宋_GB2312" w:eastAsia="仿宋_GB2312" w:hAnsi="仿宋_GB2312" w:cs="仿宋_GB2312" w:hint="eastAsia"/>
          <w:b/>
          <w:bCs/>
          <w:sz w:val="32"/>
          <w:szCs w:val="32"/>
        </w:rPr>
      </w:pPr>
      <w:r w:rsidRPr="001373E0">
        <w:rPr>
          <w:rFonts w:ascii="仿宋_GB2312" w:eastAsia="仿宋_GB2312" w:hAnsi="仿宋_GB2312" w:cs="仿宋_GB2312" w:hint="eastAsia"/>
          <w:b/>
          <w:bCs/>
          <w:sz w:val="32"/>
          <w:szCs w:val="32"/>
        </w:rPr>
        <w:t>工作简况</w:t>
      </w:r>
    </w:p>
    <w:p w14:paraId="6F14D723" w14:textId="77777777" w:rsidR="00BF2D5F" w:rsidRPr="00BF2D5F" w:rsidRDefault="00BF2D5F" w:rsidP="001373E0">
      <w:pPr>
        <w:numPr>
          <w:ilvl w:val="255"/>
          <w:numId w:val="0"/>
        </w:numPr>
        <w:ind w:firstLineChars="200" w:firstLine="640"/>
        <w:rPr>
          <w:rFonts w:ascii="仿宋_GB2312" w:eastAsia="仿宋_GB2312" w:hAnsi="仿宋_GB2312" w:cs="仿宋_GB2312" w:hint="eastAsia"/>
          <w:sz w:val="32"/>
          <w:szCs w:val="32"/>
        </w:rPr>
      </w:pPr>
      <w:r w:rsidRPr="00BF2D5F">
        <w:rPr>
          <w:rFonts w:ascii="仿宋_GB2312" w:eastAsia="仿宋_GB2312" w:hAnsi="仿宋_GB2312" w:cs="仿宋_GB2312" w:hint="eastAsia"/>
          <w:sz w:val="32"/>
          <w:szCs w:val="32"/>
        </w:rPr>
        <w:t>随着电化学储能电站的大规模建设并投入使用，加之国内外不同程度发生的储能电站火灾、爆炸事故，电站安全稳定运行越来越受到关注。同时党的二十大报告指出，“坚持安全第一、预防为主，建立大安全大应急框架”。国务院《十四五”国家应急体系规划》强调电动汽车、电动自行车、电化学储能设施是安全生产治本攻坚的重点。发改委、国家能源局下发的《“十四五”新型储能发展实施方案》、《新型储能标准体系建设指南》、《分布式发电管理办法》等政策提出了“建立健全新型储能技术标准、管理、监测、评估体系，保障新型储能项目建设运行的全过程安全”的要求，亟待开展电化学储能系统安全应急管理相关标准研究。</w:t>
      </w:r>
    </w:p>
    <w:p w14:paraId="7B39945E" w14:textId="77777777" w:rsidR="00F2298E" w:rsidRDefault="00BF2D5F" w:rsidP="001373E0">
      <w:pPr>
        <w:numPr>
          <w:ilvl w:val="255"/>
          <w:numId w:val="0"/>
        </w:numPr>
        <w:ind w:firstLineChars="200" w:firstLine="640"/>
        <w:rPr>
          <w:rFonts w:ascii="仿宋_GB2312" w:eastAsia="仿宋_GB2312" w:hAnsi="仿宋_GB2312" w:cs="仿宋_GB2312" w:hint="eastAsia"/>
          <w:sz w:val="32"/>
          <w:szCs w:val="32"/>
        </w:rPr>
      </w:pPr>
      <w:r w:rsidRPr="00BF2D5F">
        <w:rPr>
          <w:rFonts w:ascii="仿宋_GB2312" w:eastAsia="仿宋_GB2312" w:hAnsi="仿宋_GB2312" w:cs="仿宋_GB2312" w:hint="eastAsia"/>
          <w:sz w:val="32"/>
          <w:szCs w:val="32"/>
        </w:rPr>
        <w:t>电化学储能电站隐患排查的主要目的在于及时发现并解决可能存在的安全风险，确保电站的安全稳定运行。通过系统的检查，可以有效识别电池系统、电气设备、控制系统以及消防设施等方面潜在的故障和隐患。例如，电池老化、电气连接松动、控制程序错误等问题，如果不及时发现和处</w:t>
      </w:r>
      <w:r w:rsidRPr="00BF2D5F">
        <w:rPr>
          <w:rFonts w:ascii="仿宋_GB2312" w:eastAsia="仿宋_GB2312" w:hAnsi="仿宋_GB2312" w:cs="仿宋_GB2312" w:hint="eastAsia"/>
          <w:sz w:val="32"/>
          <w:szCs w:val="32"/>
        </w:rPr>
        <w:lastRenderedPageBreak/>
        <w:t>理，可能会导致设备故障甚至引发火灾、爆炸等严重事故。因此，隐患排查能够防患于未然，保障人员安全和设备的正常运行。</w:t>
      </w:r>
    </w:p>
    <w:p w14:paraId="3162A538" w14:textId="60E98FAC" w:rsidR="00E56993" w:rsidRDefault="00CA5AD7" w:rsidP="001373E0">
      <w:pPr>
        <w:numPr>
          <w:ilvl w:val="255"/>
          <w:numId w:val="0"/>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本标准于2025年3月向中国电力建设企业协会提出立项申请，并于4月份进行评审立项</w:t>
      </w:r>
      <w:r w:rsidR="00474318">
        <w:rPr>
          <w:rFonts w:ascii="仿宋_GB2312" w:eastAsia="仿宋_GB2312" w:hAnsi="仿宋_GB2312" w:cs="仿宋_GB2312" w:hint="eastAsia"/>
          <w:sz w:val="32"/>
          <w:szCs w:val="32"/>
        </w:rPr>
        <w:t>；</w:t>
      </w:r>
      <w:r w:rsidR="00434AD8">
        <w:rPr>
          <w:rFonts w:ascii="仿宋_GB2312" w:eastAsia="仿宋_GB2312" w:hAnsi="仿宋_GB2312" w:cs="仿宋_GB2312" w:hint="eastAsia"/>
          <w:sz w:val="32"/>
          <w:szCs w:val="32"/>
        </w:rPr>
        <w:t>2025年6月征集标准编制单位，并于</w:t>
      </w:r>
      <w:r w:rsidR="00094941">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月召开</w:t>
      </w:r>
      <w:r w:rsidR="00434AD8">
        <w:rPr>
          <w:rFonts w:ascii="仿宋_GB2312" w:eastAsia="仿宋_GB2312" w:hAnsi="仿宋_GB2312" w:cs="仿宋_GB2312" w:hint="eastAsia"/>
          <w:sz w:val="32"/>
          <w:szCs w:val="32"/>
        </w:rPr>
        <w:t>编制</w:t>
      </w:r>
      <w:r>
        <w:rPr>
          <w:rFonts w:ascii="仿宋_GB2312" w:eastAsia="仿宋_GB2312" w:hAnsi="仿宋_GB2312" w:cs="仿宋_GB2312" w:hint="eastAsia"/>
          <w:sz w:val="32"/>
          <w:szCs w:val="32"/>
        </w:rPr>
        <w:t>启动会确立编</w:t>
      </w:r>
      <w:r w:rsidR="00434AD8">
        <w:rPr>
          <w:rFonts w:ascii="仿宋_GB2312" w:eastAsia="仿宋_GB2312" w:hAnsi="仿宋_GB2312" w:cs="仿宋_GB2312" w:hint="eastAsia"/>
          <w:sz w:val="32"/>
          <w:szCs w:val="32"/>
        </w:rPr>
        <w:t>写</w:t>
      </w:r>
      <w:r>
        <w:rPr>
          <w:rFonts w:ascii="仿宋_GB2312" w:eastAsia="仿宋_GB2312" w:hAnsi="仿宋_GB2312" w:cs="仿宋_GB2312" w:hint="eastAsia"/>
          <w:sz w:val="32"/>
          <w:szCs w:val="32"/>
        </w:rPr>
        <w:t>大纲及基本内容</w:t>
      </w:r>
      <w:r w:rsidR="00474318">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2025年11月召开初稿讨论会</w:t>
      </w:r>
      <w:r w:rsidR="00474318">
        <w:rPr>
          <w:rFonts w:ascii="仿宋_GB2312" w:eastAsia="仿宋_GB2312" w:hAnsi="仿宋_GB2312" w:cs="仿宋_GB2312" w:hint="eastAsia"/>
          <w:sz w:val="32"/>
          <w:szCs w:val="32"/>
        </w:rPr>
        <w:t>，确定标准主要内容及编制节点安排；2025年12月召开</w:t>
      </w:r>
      <w:r w:rsidR="00102C81" w:rsidRPr="00102C81">
        <w:rPr>
          <w:rFonts w:ascii="仿宋_GB2312" w:eastAsia="仿宋_GB2312" w:hAnsi="仿宋_GB2312" w:cs="仿宋_GB2312" w:hint="eastAsia"/>
          <w:sz w:val="32"/>
          <w:szCs w:val="32"/>
        </w:rPr>
        <w:t>征求意见稿</w:t>
      </w:r>
      <w:r w:rsidR="00102C81">
        <w:rPr>
          <w:rFonts w:ascii="仿宋_GB2312" w:eastAsia="仿宋_GB2312" w:hAnsi="仿宋_GB2312" w:cs="仿宋_GB2312" w:hint="eastAsia"/>
          <w:sz w:val="32"/>
          <w:szCs w:val="32"/>
        </w:rPr>
        <w:t>讨论会，</w:t>
      </w:r>
      <w:r w:rsidR="00474318" w:rsidRPr="00474318">
        <w:rPr>
          <w:rFonts w:ascii="仿宋_GB2312" w:eastAsia="仿宋_GB2312" w:hAnsi="仿宋_GB2312" w:cs="仿宋_GB2312" w:hint="eastAsia"/>
          <w:sz w:val="32"/>
          <w:szCs w:val="32"/>
        </w:rPr>
        <w:t>形成征求意见稿</w:t>
      </w:r>
      <w:r w:rsidR="00474318">
        <w:rPr>
          <w:rFonts w:ascii="仿宋_GB2312" w:eastAsia="仿宋_GB2312" w:hAnsi="仿宋_GB2312" w:cs="仿宋_GB2312" w:hint="eastAsia"/>
          <w:sz w:val="32"/>
          <w:szCs w:val="32"/>
        </w:rPr>
        <w:t>及</w:t>
      </w:r>
      <w:r w:rsidR="00434AD8">
        <w:rPr>
          <w:rFonts w:ascii="仿宋_GB2312" w:eastAsia="仿宋_GB2312" w:hAnsi="仿宋_GB2312" w:cs="仿宋_GB2312" w:hint="eastAsia"/>
          <w:sz w:val="32"/>
          <w:szCs w:val="32"/>
        </w:rPr>
        <w:t>安排</w:t>
      </w:r>
      <w:r w:rsidR="00474318">
        <w:rPr>
          <w:rFonts w:ascii="仿宋_GB2312" w:eastAsia="仿宋_GB2312" w:hAnsi="仿宋_GB2312" w:cs="仿宋_GB2312" w:hint="eastAsia"/>
          <w:sz w:val="32"/>
          <w:szCs w:val="32"/>
        </w:rPr>
        <w:t>下一步</w:t>
      </w:r>
      <w:r w:rsidR="00434AD8">
        <w:rPr>
          <w:rFonts w:ascii="仿宋_GB2312" w:eastAsia="仿宋_GB2312" w:hAnsi="仿宋_GB2312" w:cs="仿宋_GB2312" w:hint="eastAsia"/>
          <w:sz w:val="32"/>
          <w:szCs w:val="32"/>
        </w:rPr>
        <w:t>工作</w:t>
      </w:r>
      <w:r>
        <w:rPr>
          <w:rFonts w:ascii="仿宋_GB2312" w:eastAsia="仿宋_GB2312" w:hAnsi="仿宋_GB2312" w:cs="仿宋_GB2312" w:hint="eastAsia"/>
          <w:sz w:val="32"/>
          <w:szCs w:val="32"/>
        </w:rPr>
        <w:t>。</w:t>
      </w:r>
    </w:p>
    <w:p w14:paraId="30691C14" w14:textId="33B7B531" w:rsidR="00E56993" w:rsidRPr="001373E0" w:rsidRDefault="00CA5AD7">
      <w:pPr>
        <w:numPr>
          <w:ilvl w:val="0"/>
          <w:numId w:val="1"/>
        </w:numPr>
        <w:rPr>
          <w:rFonts w:ascii="仿宋_GB2312" w:eastAsia="仿宋_GB2312" w:hAnsi="仿宋_GB2312" w:cs="仿宋_GB2312" w:hint="eastAsia"/>
          <w:b/>
          <w:bCs/>
          <w:sz w:val="32"/>
          <w:szCs w:val="32"/>
        </w:rPr>
      </w:pPr>
      <w:r w:rsidRPr="001373E0">
        <w:rPr>
          <w:rFonts w:ascii="仿宋_GB2312" w:eastAsia="仿宋_GB2312" w:hAnsi="仿宋_GB2312" w:cs="仿宋_GB2312" w:hint="eastAsia"/>
          <w:b/>
          <w:bCs/>
          <w:sz w:val="32"/>
          <w:szCs w:val="32"/>
        </w:rPr>
        <w:t>团体标准编制原则、主要内容及其确定依据</w:t>
      </w:r>
    </w:p>
    <w:p w14:paraId="4B66F0B9" w14:textId="222EE1E7" w:rsidR="00E56993" w:rsidRDefault="00CA5AD7" w:rsidP="001373E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本标准按GB/T 1.1-2020《标准化工作导则 第1部分：标准的结构和编写规则》给出的规则编写。</w:t>
      </w:r>
    </w:p>
    <w:p w14:paraId="472DD1A8" w14:textId="5EDA8E09" w:rsidR="00E56993" w:rsidRDefault="00CA5AD7" w:rsidP="001373E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本标准适用于额定功率为500kW且额定能量为500kWh及以上的电化学储能电站，</w:t>
      </w:r>
      <w:r w:rsidR="00160D37" w:rsidRPr="00160D37">
        <w:rPr>
          <w:rFonts w:ascii="仿宋_GB2312" w:eastAsia="仿宋_GB2312" w:hAnsi="仿宋_GB2312" w:cs="仿宋_GB2312" w:hint="eastAsia"/>
          <w:sz w:val="32"/>
          <w:szCs w:val="32"/>
        </w:rPr>
        <w:t>其他规模的</w:t>
      </w:r>
      <w:r>
        <w:rPr>
          <w:rFonts w:ascii="仿宋_GB2312" w:eastAsia="仿宋_GB2312" w:hAnsi="仿宋_GB2312" w:cs="仿宋_GB2312" w:hint="eastAsia"/>
          <w:sz w:val="32"/>
          <w:szCs w:val="32"/>
        </w:rPr>
        <w:t>电化学储能电站可参照执行。</w:t>
      </w:r>
    </w:p>
    <w:p w14:paraId="7E6985E9" w14:textId="714D02F2" w:rsidR="00BF2D5F" w:rsidRDefault="00CA5AD7" w:rsidP="001373E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本标准</w:t>
      </w:r>
      <w:r w:rsidR="00A65D33">
        <w:rPr>
          <w:rFonts w:ascii="仿宋_GB2312" w:eastAsia="仿宋_GB2312" w:hAnsi="仿宋_GB2312" w:cs="仿宋_GB2312" w:hint="eastAsia"/>
          <w:sz w:val="32"/>
          <w:szCs w:val="32"/>
        </w:rPr>
        <w:t>规定</w:t>
      </w:r>
      <w:r w:rsidR="00BF2D5F" w:rsidRPr="00BF2D5F">
        <w:rPr>
          <w:rFonts w:ascii="仿宋_GB2312" w:eastAsia="仿宋_GB2312" w:hAnsi="仿宋_GB2312" w:cs="仿宋_GB2312" w:hint="eastAsia"/>
          <w:sz w:val="32"/>
          <w:szCs w:val="32"/>
        </w:rPr>
        <w:t>了电化学储能电站隐患排查范围、隐患排查方法、隐患排查内容和隐患治理的要求和措施。</w:t>
      </w:r>
    </w:p>
    <w:p w14:paraId="435935FA" w14:textId="145AE756" w:rsidR="00E56993" w:rsidRDefault="00CA5AD7" w:rsidP="001373E0">
      <w:pPr>
        <w:numPr>
          <w:ilvl w:val="0"/>
          <w:numId w:val="2"/>
        </w:numPr>
        <w:tabs>
          <w:tab w:val="clear" w:pos="312"/>
        </w:tabs>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范围</w:t>
      </w:r>
    </w:p>
    <w:p w14:paraId="50788260" w14:textId="77777777" w:rsidR="00E56993" w:rsidRDefault="00CA5AD7" w:rsidP="001373E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对标准的适用范围进行了限定。</w:t>
      </w:r>
    </w:p>
    <w:p w14:paraId="3A2E6C73" w14:textId="77777777" w:rsidR="00E56993" w:rsidRDefault="00CA5AD7" w:rsidP="001373E0">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规范性引用文件</w:t>
      </w:r>
    </w:p>
    <w:p w14:paraId="22034DDF" w14:textId="6F8BBDFD" w:rsidR="00E56993" w:rsidRDefault="00CA5AD7" w:rsidP="001373E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列举了本标准所引用的标准、文件</w:t>
      </w:r>
      <w:r w:rsidR="00ED535F">
        <w:rPr>
          <w:rFonts w:ascii="仿宋_GB2312" w:eastAsia="仿宋_GB2312" w:hAnsi="仿宋_GB2312" w:cs="仿宋_GB2312" w:hint="eastAsia"/>
          <w:sz w:val="32"/>
          <w:szCs w:val="32"/>
        </w:rPr>
        <w:t>。</w:t>
      </w:r>
    </w:p>
    <w:p w14:paraId="73CF3289" w14:textId="77777777" w:rsidR="00E56993" w:rsidRDefault="00CA5AD7" w:rsidP="001373E0">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术语与定义</w:t>
      </w:r>
    </w:p>
    <w:p w14:paraId="6ED29965" w14:textId="3B4970B5" w:rsidR="00E56993" w:rsidRDefault="00CA5AD7" w:rsidP="001373E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lastRenderedPageBreak/>
        <w:t>本标准</w:t>
      </w:r>
      <w:r w:rsidR="00160D37">
        <w:rPr>
          <w:rFonts w:ascii="仿宋_GB2312" w:eastAsia="仿宋_GB2312" w:hAnsi="仿宋_GB2312" w:cs="仿宋_GB2312" w:hint="eastAsia"/>
          <w:sz w:val="32"/>
          <w:szCs w:val="32"/>
        </w:rPr>
        <w:t>3</w:t>
      </w:r>
      <w:r>
        <w:rPr>
          <w:rFonts w:ascii="仿宋_GB2312" w:eastAsia="仿宋_GB2312" w:hAnsi="仿宋_GB2312" w:cs="仿宋_GB2312"/>
          <w:sz w:val="32"/>
          <w:szCs w:val="32"/>
        </w:rPr>
        <w:t>个术语与定义，均已经被行业内广泛接受和认可。</w:t>
      </w:r>
    </w:p>
    <w:p w14:paraId="205399A0" w14:textId="77777777" w:rsidR="00E56993" w:rsidRDefault="00CA5AD7" w:rsidP="001373E0">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总体要求</w:t>
      </w:r>
    </w:p>
    <w:p w14:paraId="42395230" w14:textId="61C195DB" w:rsidR="00E56993" w:rsidRDefault="00CA5AD7" w:rsidP="001373E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sz w:val="32"/>
          <w:szCs w:val="32"/>
        </w:rPr>
        <w:t>对电化学储能电站</w:t>
      </w:r>
      <w:r w:rsidR="00BF2D5F">
        <w:rPr>
          <w:rFonts w:ascii="仿宋_GB2312" w:eastAsia="仿宋_GB2312" w:hAnsi="仿宋_GB2312" w:cs="仿宋_GB2312" w:hint="eastAsia"/>
          <w:sz w:val="32"/>
          <w:szCs w:val="32"/>
        </w:rPr>
        <w:t>安全隐患排查</w:t>
      </w:r>
      <w:r>
        <w:rPr>
          <w:rFonts w:ascii="仿宋_GB2312" w:eastAsia="仿宋_GB2312" w:hAnsi="仿宋_GB2312" w:cs="仿宋_GB2312"/>
          <w:sz w:val="32"/>
          <w:szCs w:val="32"/>
        </w:rPr>
        <w:t>的总体要求进行了规定，主要包括电化学储能电站</w:t>
      </w:r>
      <w:r w:rsidR="00BF2D5F">
        <w:rPr>
          <w:rFonts w:ascii="仿宋_GB2312" w:eastAsia="仿宋_GB2312" w:hAnsi="仿宋_GB2312" w:cs="仿宋_GB2312" w:hint="eastAsia"/>
          <w:sz w:val="32"/>
          <w:szCs w:val="32"/>
        </w:rPr>
        <w:t>隐患分类、安全职责分工、隐患报送及事故调查等内容</w:t>
      </w:r>
      <w:r w:rsidR="00A10AFB">
        <w:rPr>
          <w:rFonts w:ascii="仿宋_GB2312" w:eastAsia="仿宋_GB2312" w:hAnsi="仿宋_GB2312" w:cs="仿宋_GB2312" w:hint="eastAsia"/>
          <w:sz w:val="32"/>
          <w:szCs w:val="32"/>
        </w:rPr>
        <w:t>。</w:t>
      </w:r>
    </w:p>
    <w:p w14:paraId="2C12C4B8" w14:textId="0305C19E" w:rsidR="00E56993" w:rsidRDefault="00BF2D5F" w:rsidP="001373E0">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隐患排查范围</w:t>
      </w:r>
    </w:p>
    <w:p w14:paraId="6711930B" w14:textId="7C2AFE83" w:rsidR="00E56993" w:rsidRDefault="00CA5AD7" w:rsidP="001373E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对电化学储能电站</w:t>
      </w:r>
      <w:r w:rsidR="00BF2D5F">
        <w:rPr>
          <w:rFonts w:ascii="仿宋_GB2312" w:eastAsia="仿宋_GB2312" w:hAnsi="仿宋_GB2312" w:cs="仿宋_GB2312" w:hint="eastAsia"/>
          <w:sz w:val="32"/>
          <w:szCs w:val="32"/>
        </w:rPr>
        <w:t>隐患排查范围</w:t>
      </w:r>
      <w:r>
        <w:rPr>
          <w:rFonts w:ascii="仿宋_GB2312" w:eastAsia="仿宋_GB2312" w:hAnsi="仿宋_GB2312" w:cs="仿宋_GB2312" w:hint="eastAsia"/>
          <w:sz w:val="32"/>
          <w:szCs w:val="32"/>
        </w:rPr>
        <w:t>做出了具体规定，包括</w:t>
      </w:r>
      <w:r w:rsidR="00BF2D5F">
        <w:rPr>
          <w:rFonts w:ascii="仿宋_GB2312" w:eastAsia="仿宋_GB2312" w:hAnsi="仿宋_GB2312" w:cs="仿宋_GB2312" w:hint="eastAsia"/>
          <w:sz w:val="32"/>
          <w:szCs w:val="32"/>
        </w:rPr>
        <w:t>排查依据、排查范围及排查对象。</w:t>
      </w:r>
    </w:p>
    <w:p w14:paraId="284302C9" w14:textId="100829DA" w:rsidR="00E56993" w:rsidRDefault="00BF2D5F" w:rsidP="001373E0">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隐患排查方法</w:t>
      </w:r>
    </w:p>
    <w:p w14:paraId="2DCEA12D" w14:textId="57D5B64C" w:rsidR="00E56993" w:rsidRDefault="00CA5AD7" w:rsidP="001373E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对电化学储能电站</w:t>
      </w:r>
      <w:r w:rsidR="00BF2D5F">
        <w:rPr>
          <w:rFonts w:ascii="仿宋_GB2312" w:eastAsia="仿宋_GB2312" w:hAnsi="仿宋_GB2312" w:cs="仿宋_GB2312" w:hint="eastAsia"/>
          <w:sz w:val="32"/>
          <w:szCs w:val="32"/>
        </w:rPr>
        <w:t>隐患排查方法</w:t>
      </w:r>
      <w:r>
        <w:rPr>
          <w:rFonts w:ascii="仿宋_GB2312" w:eastAsia="仿宋_GB2312" w:hAnsi="仿宋_GB2312" w:cs="仿宋_GB2312" w:hint="eastAsia"/>
          <w:sz w:val="32"/>
          <w:szCs w:val="32"/>
        </w:rPr>
        <w:t>做出了具体规定，包括</w:t>
      </w:r>
      <w:r w:rsidR="00BF2D5F">
        <w:rPr>
          <w:rFonts w:ascii="仿宋_GB2312" w:eastAsia="仿宋_GB2312" w:hAnsi="仿宋_GB2312" w:cs="仿宋_GB2312" w:hint="eastAsia"/>
          <w:sz w:val="32"/>
          <w:szCs w:val="32"/>
        </w:rPr>
        <w:t>常规</w:t>
      </w:r>
      <w:r w:rsidR="00734338">
        <w:rPr>
          <w:rFonts w:ascii="仿宋_GB2312" w:eastAsia="仿宋_GB2312" w:hAnsi="仿宋_GB2312" w:cs="仿宋_GB2312" w:hint="eastAsia"/>
          <w:sz w:val="32"/>
          <w:szCs w:val="32"/>
        </w:rPr>
        <w:t>检查</w:t>
      </w:r>
      <w:r w:rsidR="00BF2D5F">
        <w:rPr>
          <w:rFonts w:ascii="仿宋_GB2312" w:eastAsia="仿宋_GB2312" w:hAnsi="仿宋_GB2312" w:cs="仿宋_GB2312" w:hint="eastAsia"/>
          <w:sz w:val="32"/>
          <w:szCs w:val="32"/>
        </w:rPr>
        <w:t>法、安全表检查法及仪表检查与数据分析法等。</w:t>
      </w:r>
    </w:p>
    <w:p w14:paraId="6B0A121D" w14:textId="17F719CC" w:rsidR="00E56993" w:rsidRDefault="00BF2D5F" w:rsidP="001373E0">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隐患排查内容</w:t>
      </w:r>
    </w:p>
    <w:p w14:paraId="7C65C969" w14:textId="617498B0" w:rsidR="00E56993" w:rsidRDefault="0060723C" w:rsidP="001373E0">
      <w:pPr>
        <w:ind w:firstLineChars="200" w:firstLine="640"/>
        <w:rPr>
          <w:rFonts w:ascii="仿宋_GB2312" w:eastAsia="仿宋_GB2312" w:hAnsi="仿宋_GB2312" w:cs="仿宋_GB2312" w:hint="eastAsia"/>
          <w:sz w:val="32"/>
          <w:szCs w:val="32"/>
        </w:rPr>
      </w:pPr>
      <w:r w:rsidRPr="0060723C">
        <w:rPr>
          <w:rFonts w:ascii="仿宋_GB2312" w:eastAsia="仿宋_GB2312" w:hAnsi="仿宋_GB2312" w:cs="仿宋_GB2312" w:hint="eastAsia"/>
          <w:sz w:val="32"/>
          <w:szCs w:val="32"/>
        </w:rPr>
        <w:t>对电化学储能电站</w:t>
      </w:r>
      <w:r w:rsidR="00BF2D5F">
        <w:rPr>
          <w:rFonts w:ascii="仿宋_GB2312" w:eastAsia="仿宋_GB2312" w:hAnsi="仿宋_GB2312" w:cs="仿宋_GB2312" w:hint="eastAsia"/>
          <w:sz w:val="32"/>
          <w:szCs w:val="32"/>
        </w:rPr>
        <w:t>隐患排查内容</w:t>
      </w:r>
      <w:r w:rsidRPr="0060723C">
        <w:rPr>
          <w:rFonts w:ascii="仿宋_GB2312" w:eastAsia="仿宋_GB2312" w:hAnsi="仿宋_GB2312" w:cs="仿宋_GB2312" w:hint="eastAsia"/>
          <w:sz w:val="32"/>
          <w:szCs w:val="32"/>
        </w:rPr>
        <w:t>做出了具体规定</w:t>
      </w:r>
      <w:r w:rsidR="00BF2D5F">
        <w:rPr>
          <w:rFonts w:ascii="仿宋_GB2312" w:eastAsia="仿宋_GB2312" w:hAnsi="仿宋_GB2312" w:cs="仿宋_GB2312" w:hint="eastAsia"/>
          <w:sz w:val="32"/>
          <w:szCs w:val="32"/>
        </w:rPr>
        <w:t>，包括规划设计阶段、设备制造监造阶段、安装验收阶段、运行维护阶段、退役管理及安全管理等。</w:t>
      </w:r>
    </w:p>
    <w:p w14:paraId="67ECAA1E" w14:textId="70FFEDA1" w:rsidR="00E56993" w:rsidRDefault="00BF2D5F" w:rsidP="001373E0">
      <w:pPr>
        <w:numPr>
          <w:ilvl w:val="0"/>
          <w:numId w:val="2"/>
        </w:num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隐患治理</w:t>
      </w:r>
    </w:p>
    <w:p w14:paraId="3DDACC7F" w14:textId="7BB7971F" w:rsidR="00BF2D5F" w:rsidRDefault="00BF2D5F" w:rsidP="001373E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对电化学储能电站隐患治理做出了具体规定，包括整改责任人及整改措施。</w:t>
      </w:r>
    </w:p>
    <w:p w14:paraId="2E9CB685" w14:textId="154C2F22" w:rsidR="00E56993" w:rsidRPr="001373E0" w:rsidRDefault="0060723C" w:rsidP="0060723C">
      <w:pPr>
        <w:rPr>
          <w:rFonts w:ascii="仿宋_GB2312" w:eastAsia="仿宋_GB2312" w:hAnsi="仿宋_GB2312" w:cs="仿宋_GB2312" w:hint="eastAsia"/>
          <w:b/>
          <w:bCs/>
          <w:sz w:val="32"/>
          <w:szCs w:val="32"/>
        </w:rPr>
      </w:pPr>
      <w:r w:rsidRPr="001373E0">
        <w:rPr>
          <w:rFonts w:ascii="仿宋_GB2312" w:eastAsia="仿宋_GB2312" w:hAnsi="仿宋_GB2312" w:cs="仿宋_GB2312" w:hint="eastAsia"/>
          <w:b/>
          <w:bCs/>
          <w:sz w:val="32"/>
          <w:szCs w:val="32"/>
        </w:rPr>
        <w:t>3.</w:t>
      </w:r>
      <w:r w:rsidR="00CA5AD7" w:rsidRPr="001373E0">
        <w:rPr>
          <w:rFonts w:ascii="仿宋_GB2312" w:eastAsia="仿宋_GB2312" w:hAnsi="仿宋_GB2312" w:cs="仿宋_GB2312" w:hint="eastAsia"/>
          <w:b/>
          <w:bCs/>
          <w:sz w:val="32"/>
          <w:szCs w:val="32"/>
        </w:rPr>
        <w:t>试验验证的分析、综述报告，技术经济论证，预期的经济效益、社会效益和生态效益</w:t>
      </w:r>
    </w:p>
    <w:p w14:paraId="399F81EA" w14:textId="26B8DBE8" w:rsidR="00BF2D5F" w:rsidRDefault="00BF2D5F" w:rsidP="001373E0">
      <w:pPr>
        <w:ind w:firstLineChars="200" w:firstLine="640"/>
        <w:rPr>
          <w:rFonts w:ascii="仿宋_GB2312" w:eastAsia="仿宋_GB2312" w:hAnsi="仿宋_GB2312" w:cs="仿宋_GB2312" w:hint="eastAsia"/>
          <w:sz w:val="32"/>
          <w:szCs w:val="32"/>
        </w:rPr>
      </w:pPr>
      <w:r w:rsidRPr="00BF2D5F">
        <w:rPr>
          <w:rFonts w:ascii="仿宋_GB2312" w:eastAsia="仿宋_GB2312" w:hAnsi="仿宋_GB2312" w:cs="仿宋_GB2312" w:hint="eastAsia"/>
          <w:sz w:val="32"/>
          <w:szCs w:val="32"/>
        </w:rPr>
        <w:t>隐患排查的意义不仅在于预防事故的发生，还在于提升</w:t>
      </w:r>
      <w:r w:rsidRPr="00BF2D5F">
        <w:rPr>
          <w:rFonts w:ascii="仿宋_GB2312" w:eastAsia="仿宋_GB2312" w:hAnsi="仿宋_GB2312" w:cs="仿宋_GB2312" w:hint="eastAsia"/>
          <w:sz w:val="32"/>
          <w:szCs w:val="32"/>
        </w:rPr>
        <w:lastRenderedPageBreak/>
        <w:t>电站的整体安全管理水平。通过定期的检查和评估，可以不断完善安全管理制度，优化设备维护计划，提高应急响应能力。此外，隐患排查还能帮助电站运营者更好地了解设备的健康状况，合理安排设备的更新和升级，从而延长电站的使用寿命，提高经济效益。总之，隐患排查是电化学储能电站安全管理的重要环节，对于保障能源供应的稳定性和安全性具有重要意义。</w:t>
      </w:r>
    </w:p>
    <w:p w14:paraId="4D12D55F" w14:textId="12AFC646" w:rsidR="00E56993" w:rsidRPr="001373E0" w:rsidRDefault="00760722" w:rsidP="00760722">
      <w:pPr>
        <w:rPr>
          <w:rFonts w:ascii="仿宋_GB2312" w:eastAsia="仿宋_GB2312" w:hAnsi="仿宋_GB2312" w:cs="仿宋_GB2312" w:hint="eastAsia"/>
          <w:b/>
          <w:bCs/>
          <w:sz w:val="32"/>
          <w:szCs w:val="32"/>
        </w:rPr>
      </w:pPr>
      <w:r w:rsidRPr="001373E0">
        <w:rPr>
          <w:rFonts w:ascii="仿宋_GB2312" w:eastAsia="仿宋_GB2312" w:hAnsi="仿宋_GB2312" w:cs="仿宋_GB2312" w:hint="eastAsia"/>
          <w:b/>
          <w:bCs/>
          <w:sz w:val="32"/>
          <w:szCs w:val="32"/>
        </w:rPr>
        <w:t>4.</w:t>
      </w:r>
      <w:r w:rsidR="00CA5AD7" w:rsidRPr="001373E0">
        <w:rPr>
          <w:rFonts w:ascii="仿宋_GB2312" w:eastAsia="仿宋_GB2312" w:hAnsi="仿宋_GB2312" w:cs="仿宋_GB2312" w:hint="eastAsia"/>
          <w:b/>
          <w:bCs/>
          <w:sz w:val="32"/>
          <w:szCs w:val="32"/>
        </w:rPr>
        <w:t>与国际、国外、国内同类标准技术内容的对比情况，或者与测试的样品、样机的有关数据对比情况</w:t>
      </w:r>
    </w:p>
    <w:p w14:paraId="6D0B2346" w14:textId="77777777" w:rsidR="00BF2D5F" w:rsidRPr="00BF2D5F" w:rsidRDefault="00BF2D5F" w:rsidP="001373E0">
      <w:pPr>
        <w:ind w:firstLineChars="200" w:firstLine="640"/>
        <w:rPr>
          <w:rFonts w:ascii="仿宋_GB2312" w:eastAsia="仿宋_GB2312" w:hAnsi="仿宋_GB2312" w:cs="仿宋_GB2312" w:hint="eastAsia"/>
          <w:sz w:val="32"/>
          <w:szCs w:val="32"/>
        </w:rPr>
      </w:pPr>
      <w:r w:rsidRPr="00BF2D5F">
        <w:rPr>
          <w:rFonts w:ascii="仿宋_GB2312" w:eastAsia="仿宋_GB2312" w:hAnsi="仿宋_GB2312" w:cs="仿宋_GB2312" w:hint="eastAsia"/>
          <w:sz w:val="32"/>
          <w:szCs w:val="32"/>
        </w:rPr>
        <w:t>随着“碳达峰”、“碳中和”双碳目标的提出，新能源相关行业迎来了快速发展的阶段。新型储能作为构建高比例新能源电力系统的颠覆性技术，在能源革命浪潮的推动下实现了突破性进展。2022年3月21日，国家发改委、能源局联合印发《“十四五”新型储能发展实施方案》标志者新型储能正式从商业化初期向规模化发展转变。然而随着新型储能产业快速发展的同时，电化学储能电站的安全事故也屡见不鲜，从2017年至今，世界范围内出现了近百起储能安全事故，这严重阻碍了电化学储能行业的安全健康发展和大规模应用。</w:t>
      </w:r>
    </w:p>
    <w:p w14:paraId="5F5532D5" w14:textId="77777777" w:rsidR="00BF2D5F" w:rsidRPr="00BF2D5F" w:rsidRDefault="00BF2D5F" w:rsidP="001373E0">
      <w:pPr>
        <w:ind w:firstLineChars="200" w:firstLine="640"/>
        <w:rPr>
          <w:rFonts w:ascii="仿宋_GB2312" w:eastAsia="仿宋_GB2312" w:hAnsi="仿宋_GB2312" w:cs="仿宋_GB2312" w:hint="eastAsia"/>
          <w:sz w:val="32"/>
          <w:szCs w:val="32"/>
        </w:rPr>
      </w:pPr>
      <w:r w:rsidRPr="00BF2D5F">
        <w:rPr>
          <w:rFonts w:ascii="仿宋_GB2312" w:eastAsia="仿宋_GB2312" w:hAnsi="仿宋_GB2312" w:cs="仿宋_GB2312" w:hint="eastAsia"/>
          <w:sz w:val="32"/>
          <w:szCs w:val="32"/>
        </w:rPr>
        <w:t>对于电化学储能电站安全管理方面国内已经建立了较为完善的标准体系，在设计规划方面，发布有《电化学储能电站》（GB 50148）等，在设备规范方面，发布有《电化学储能系统储能变流器技术规范》（GB/T 34120）、《电化学储能电</w:t>
      </w:r>
      <w:r w:rsidRPr="00BF2D5F">
        <w:rPr>
          <w:rFonts w:ascii="仿宋_GB2312" w:eastAsia="仿宋_GB2312" w:hAnsi="仿宋_GB2312" w:cs="仿宋_GB2312" w:hint="eastAsia"/>
          <w:sz w:val="32"/>
          <w:szCs w:val="32"/>
        </w:rPr>
        <w:lastRenderedPageBreak/>
        <w:t>站锂离子电池管理系统技术规范》（GB/T 34131）、《电力储能用锂离子电池》（GB/T 36276）等，在施工验收方面，发布有《电化学储能电站施工及验收规范》（DL/T 2081）等，在并网运行方面，主要有GB/T 36547《电化学储能系统接入电网技术规定》等，在检修维护方面，发布有《电化学储能电站运行维护规程》（GB/T 40090），而在安全应急方面，发布有《电化学储能电站安全规程》（GB/T 42288）、《电化学储能电站生产安全应急预案编制导则》（GB/T 42312）、《电化学储能电站应急演练规程》（GB/T 42317）等。相较于国内标准体系，国外标准体系更加注重系统性风险和全生命周期管理，美国和加拿大通用的UL 9540A系统性的规定了储能系统的安全要求，UL 1973对电池产品的结构要求、电气试验、机械试验、环境试验、铭牌标识、用户手册、出厂测试等做出了详细规定，而UL 9540A主要用于评估电池储能系统的热失控特性，通过测试数据选择合适的防火防爆机制。美国国家消防局NFPA 855对储能系统的排气通风、火灾烟感探测、火灾控制、爆炸控制以及喷水系统、扑救措施等做了细致定义。</w:t>
      </w:r>
    </w:p>
    <w:p w14:paraId="628BFFB3" w14:textId="77777777" w:rsidR="00BF2D5F" w:rsidRPr="00BF2D5F" w:rsidRDefault="00BF2D5F" w:rsidP="001373E0">
      <w:pPr>
        <w:ind w:firstLineChars="200" w:firstLine="640"/>
        <w:rPr>
          <w:rFonts w:ascii="仿宋_GB2312" w:eastAsia="仿宋_GB2312" w:hAnsi="仿宋_GB2312" w:cs="仿宋_GB2312" w:hint="eastAsia"/>
          <w:sz w:val="32"/>
          <w:szCs w:val="32"/>
        </w:rPr>
      </w:pPr>
      <w:r w:rsidRPr="00BF2D5F">
        <w:rPr>
          <w:rFonts w:ascii="仿宋_GB2312" w:eastAsia="仿宋_GB2312" w:hAnsi="仿宋_GB2312" w:cs="仿宋_GB2312" w:hint="eastAsia"/>
          <w:sz w:val="32"/>
          <w:szCs w:val="32"/>
        </w:rPr>
        <w:t>在储能电站隐患排查方面，目前主要的排查重点围绕电池本体、电池管理系统、储能系统、建筑安装风险、安全管理及应急能力等方面，例如，检查电池单体及模组是否符合国家标准、是否具备保护功能，以及退役动力电池的安全性是否达标。同时，对储能系统的集中监控、功率变换系统、</w:t>
      </w:r>
      <w:r w:rsidRPr="00BF2D5F">
        <w:rPr>
          <w:rFonts w:ascii="仿宋_GB2312" w:eastAsia="仿宋_GB2312" w:hAnsi="仿宋_GB2312" w:cs="仿宋_GB2312" w:hint="eastAsia"/>
          <w:sz w:val="32"/>
          <w:szCs w:val="32"/>
        </w:rPr>
        <w:lastRenderedPageBreak/>
        <w:t>接地设置等进行严格检查。</w:t>
      </w:r>
    </w:p>
    <w:p w14:paraId="059CC99F" w14:textId="5C9AB7C9" w:rsidR="00760722" w:rsidRPr="00760722" w:rsidRDefault="00BF2D5F" w:rsidP="001373E0">
      <w:pPr>
        <w:ind w:firstLineChars="200" w:firstLine="640"/>
        <w:rPr>
          <w:rFonts w:ascii="仿宋_GB2312" w:eastAsia="仿宋_GB2312" w:hAnsi="仿宋_GB2312" w:cs="仿宋_GB2312" w:hint="eastAsia"/>
          <w:sz w:val="32"/>
          <w:szCs w:val="32"/>
        </w:rPr>
      </w:pPr>
      <w:r w:rsidRPr="00BF2D5F">
        <w:rPr>
          <w:rFonts w:ascii="仿宋_GB2312" w:eastAsia="仿宋_GB2312" w:hAnsi="仿宋_GB2312" w:cs="仿宋_GB2312" w:hint="eastAsia"/>
          <w:sz w:val="32"/>
          <w:szCs w:val="32"/>
        </w:rPr>
        <w:t>目前，对电化学储能电站安全隐患排查的标准未做出相关规定，所以，亟待尽快制订出台行业安全标准，赋能电化学储能新质生产力，推动行业安全高质量发展。</w:t>
      </w:r>
    </w:p>
    <w:p w14:paraId="66907B2C" w14:textId="7C563502" w:rsidR="00E56993" w:rsidRPr="001373E0" w:rsidRDefault="00CA5AD7">
      <w:pPr>
        <w:rPr>
          <w:rFonts w:ascii="仿宋_GB2312" w:eastAsia="仿宋_GB2312" w:hAnsi="仿宋_GB2312" w:cs="仿宋_GB2312" w:hint="eastAsia"/>
          <w:b/>
          <w:bCs/>
          <w:sz w:val="32"/>
          <w:szCs w:val="32"/>
        </w:rPr>
      </w:pPr>
      <w:r w:rsidRPr="001373E0">
        <w:rPr>
          <w:rFonts w:ascii="仿宋_GB2312" w:eastAsia="仿宋_GB2312" w:hAnsi="仿宋_GB2312" w:cs="仿宋_GB2312" w:hint="eastAsia"/>
          <w:b/>
          <w:bCs/>
          <w:sz w:val="32"/>
          <w:szCs w:val="32"/>
        </w:rPr>
        <w:t>5.以国际、国内标准为基础的起草情况，以及是否合规引用或者采用相关标准，并说明未采用相关标准的原因</w:t>
      </w:r>
    </w:p>
    <w:p w14:paraId="583CBC60" w14:textId="6F8600C8" w:rsidR="00760722" w:rsidRDefault="00CA5AD7" w:rsidP="001373E0">
      <w:pPr>
        <w:ind w:firstLineChars="200" w:firstLine="640"/>
        <w:rPr>
          <w:rFonts w:ascii="仿宋_GB2312" w:eastAsia="仿宋_GB2312" w:hAnsi="仿宋_GB2312" w:cs="仿宋_GB2312" w:hint="eastAsia"/>
          <w:sz w:val="32"/>
          <w:szCs w:val="32"/>
        </w:rPr>
      </w:pPr>
      <w:r w:rsidRPr="00CA5AD7">
        <w:rPr>
          <w:rFonts w:ascii="仿宋_GB2312" w:eastAsia="仿宋_GB2312" w:hAnsi="仿宋_GB2312" w:cs="仿宋_GB2312" w:hint="eastAsia"/>
          <w:sz w:val="32"/>
          <w:szCs w:val="32"/>
        </w:rPr>
        <w:t>本标准主要引用文件：</w:t>
      </w:r>
    </w:p>
    <w:p w14:paraId="3276A854" w14:textId="1F29B827" w:rsidR="00BF2D5F" w:rsidRPr="00BF2D5F" w:rsidRDefault="00BF2D5F" w:rsidP="00C347F1">
      <w:pPr>
        <w:ind w:firstLineChars="200" w:firstLine="640"/>
        <w:rPr>
          <w:rFonts w:ascii="仿宋_GB2312" w:eastAsia="仿宋_GB2312" w:hAnsi="仿宋_GB2312" w:cs="仿宋_GB2312" w:hint="eastAsia"/>
          <w:sz w:val="32"/>
          <w:szCs w:val="32"/>
        </w:rPr>
      </w:pPr>
      <w:r w:rsidRPr="00BF2D5F">
        <w:rPr>
          <w:rFonts w:ascii="仿宋_GB2312" w:eastAsia="仿宋_GB2312" w:hAnsi="仿宋_GB2312" w:cs="仿宋_GB2312" w:hint="eastAsia"/>
          <w:sz w:val="32"/>
          <w:szCs w:val="32"/>
        </w:rPr>
        <w:t>GB/T 22473 储能用铅酸蓄电池</w:t>
      </w:r>
    </w:p>
    <w:p w14:paraId="5DA78583" w14:textId="1E8A7A0D"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32509 全钒液流电池通用技术条件</w:t>
      </w:r>
    </w:p>
    <w:p w14:paraId="7EB9D1AC" w14:textId="4178FBF2"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34120 电化学储能系统储能变流器技术规范</w:t>
      </w:r>
    </w:p>
    <w:p w14:paraId="39ADAC0B" w14:textId="596647BB"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34131 电力储能用电池管理系统</w:t>
      </w:r>
    </w:p>
    <w:p w14:paraId="56AE05E0" w14:textId="43DAC273"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34133 储能变流器检测技术规程</w:t>
      </w:r>
    </w:p>
    <w:p w14:paraId="6D244115" w14:textId="3A6296BC"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36276 电力储能用锂离子电池</w:t>
      </w:r>
    </w:p>
    <w:p w14:paraId="22E1B340" w14:textId="733D85C8"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36280 电力储能用铅炭电池</w:t>
      </w:r>
    </w:p>
    <w:p w14:paraId="47A65206" w14:textId="1A42418B"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36547 电化学储能系统接入电网技术规定</w:t>
      </w:r>
    </w:p>
    <w:p w14:paraId="52A59DB9" w14:textId="7AD93CF2"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36548 电化学储能系统接入电网测试规范</w:t>
      </w:r>
    </w:p>
    <w:p w14:paraId="36A0B17A" w14:textId="7B040CBE"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36549 电化学储能电站运行指标及评价</w:t>
      </w:r>
    </w:p>
    <w:p w14:paraId="4DC5650B" w14:textId="6569C68A"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36558 电力系统电化学储能系统通用技术条件</w:t>
      </w:r>
    </w:p>
    <w:p w14:paraId="28C23B07" w14:textId="25F27D2B"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40090 储能电站运行维护规程</w:t>
      </w:r>
    </w:p>
    <w:p w14:paraId="3E5F41D3" w14:textId="62B896B6"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42288 电化学储能电站安全规程</w:t>
      </w:r>
    </w:p>
    <w:p w14:paraId="676D2406" w14:textId="5E7AB7E1"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42313 电力储能系统术语</w:t>
      </w:r>
    </w:p>
    <w:p w14:paraId="610BFB5B" w14:textId="24ED24EE"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42314 电化学储能电站危险源辨识技术导则</w:t>
      </w:r>
    </w:p>
    <w:p w14:paraId="23B6B198" w14:textId="4C9C8A73"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lastRenderedPageBreak/>
        <w:t>GB/T 4231</w:t>
      </w:r>
      <w:r w:rsidR="00CE66D1">
        <w:rPr>
          <w:rFonts w:ascii="仿宋_GB2312" w:eastAsia="仿宋_GB2312" w:hAnsi="仿宋_GB2312" w:cs="仿宋_GB2312" w:hint="eastAsia"/>
          <w:sz w:val="32"/>
          <w:szCs w:val="32"/>
        </w:rPr>
        <w:t xml:space="preserve"> </w:t>
      </w:r>
      <w:r w:rsidRPr="007A43AF">
        <w:rPr>
          <w:rFonts w:ascii="仿宋_GB2312" w:eastAsia="仿宋_GB2312" w:hAnsi="仿宋_GB2312" w:cs="仿宋_GB2312" w:hint="eastAsia"/>
          <w:sz w:val="32"/>
          <w:szCs w:val="32"/>
        </w:rPr>
        <w:t>电化学储能电站生产安全应急预案编制导则</w:t>
      </w:r>
    </w:p>
    <w:p w14:paraId="32C7DE66" w14:textId="2C783A9D"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42317 电化学储能电站应急演练规程</w:t>
      </w:r>
    </w:p>
    <w:p w14:paraId="38ABC227" w14:textId="1B6D74E6"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42726 电化学储能电站监控系统技术规范</w:t>
      </w:r>
    </w:p>
    <w:p w14:paraId="30441681" w14:textId="512A698E"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42737 电化学储能电站调试规程</w:t>
      </w:r>
    </w:p>
    <w:p w14:paraId="3F201F84" w14:textId="632049CB"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44111 电化学储能电站检修试验规程</w:t>
      </w:r>
    </w:p>
    <w:p w14:paraId="4E65DDD3" w14:textId="68BBEF73"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GB/T 43540 电力储能用锂离子电池退役技术要求</w:t>
      </w:r>
    </w:p>
    <w:p w14:paraId="34FBBD72" w14:textId="0CDDEE8A"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 50016 建筑设计防火规范</w:t>
      </w:r>
    </w:p>
    <w:p w14:paraId="389F976E" w14:textId="3914DCDB"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 51048 电化学储能电站设计规范</w:t>
      </w:r>
    </w:p>
    <w:p w14:paraId="5D8128B5" w14:textId="7069844A"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 50147 电气装置安装工程高压电器施工及验收规范</w:t>
      </w:r>
    </w:p>
    <w:p w14:paraId="3F03881D" w14:textId="6BFBAF77"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GB</w:t>
      </w:r>
      <w:r w:rsidR="00C347F1">
        <w:rPr>
          <w:rFonts w:ascii="仿宋_GB2312" w:eastAsia="仿宋_GB2312" w:hAnsi="仿宋_GB2312" w:cs="仿宋_GB2312" w:hint="eastAsia"/>
          <w:sz w:val="32"/>
          <w:szCs w:val="32"/>
        </w:rPr>
        <w:t xml:space="preserve"> </w:t>
      </w:r>
      <w:r w:rsidRPr="007A43AF">
        <w:rPr>
          <w:rFonts w:ascii="仿宋_GB2312" w:eastAsia="仿宋_GB2312" w:hAnsi="仿宋_GB2312" w:cs="仿宋_GB2312" w:hint="eastAsia"/>
          <w:sz w:val="32"/>
          <w:szCs w:val="32"/>
        </w:rPr>
        <w:t>50169 电气装置安装工程 接地装置施工及验收规范</w:t>
      </w:r>
    </w:p>
    <w:p w14:paraId="05898AA5" w14:textId="1B04F6B5"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DL/T 381 电子设备防雷技术导则</w:t>
      </w:r>
    </w:p>
    <w:p w14:paraId="089881B5" w14:textId="28793FEB"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DL/T 969 变电站运行导则</w:t>
      </w:r>
    </w:p>
    <w:p w14:paraId="5DB4C535" w14:textId="4E95DCC2" w:rsidR="007A43AF" w:rsidRPr="007A43AF"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DL/T 2528 电力储能基本术语</w:t>
      </w:r>
    </w:p>
    <w:p w14:paraId="5177630F" w14:textId="6642D5C4" w:rsidR="009D19E5" w:rsidRDefault="007A43AF" w:rsidP="00C347F1">
      <w:pPr>
        <w:ind w:firstLineChars="200" w:firstLine="640"/>
        <w:rPr>
          <w:rFonts w:ascii="仿宋_GB2312" w:eastAsia="仿宋_GB2312" w:hAnsi="仿宋_GB2312" w:cs="仿宋_GB2312" w:hint="eastAsia"/>
          <w:sz w:val="32"/>
          <w:szCs w:val="32"/>
        </w:rPr>
      </w:pPr>
      <w:r w:rsidRPr="007A43AF">
        <w:rPr>
          <w:rFonts w:ascii="仿宋_GB2312" w:eastAsia="仿宋_GB2312" w:hAnsi="仿宋_GB2312" w:cs="仿宋_GB2312" w:hint="eastAsia"/>
          <w:sz w:val="32"/>
          <w:szCs w:val="32"/>
        </w:rPr>
        <w:t>DL/T 2920 储能电站环境保护技术监督规程</w:t>
      </w:r>
    </w:p>
    <w:p w14:paraId="4FD222C5" w14:textId="6BD4A4E1" w:rsidR="00E56993" w:rsidRPr="001373E0" w:rsidRDefault="00CA5AD7" w:rsidP="00BF2D5F">
      <w:pPr>
        <w:rPr>
          <w:rFonts w:ascii="仿宋_GB2312" w:eastAsia="仿宋_GB2312" w:hAnsi="仿宋_GB2312" w:cs="仿宋_GB2312" w:hint="eastAsia"/>
          <w:b/>
          <w:bCs/>
          <w:sz w:val="32"/>
          <w:szCs w:val="32"/>
        </w:rPr>
      </w:pPr>
      <w:r w:rsidRPr="001373E0">
        <w:rPr>
          <w:rFonts w:ascii="仿宋_GB2312" w:eastAsia="仿宋_GB2312" w:hAnsi="仿宋_GB2312" w:cs="仿宋_GB2312" w:hint="eastAsia"/>
          <w:b/>
          <w:bCs/>
          <w:sz w:val="32"/>
          <w:szCs w:val="32"/>
        </w:rPr>
        <w:t>6.与有关法律、行政法规及相关标准的关系</w:t>
      </w:r>
    </w:p>
    <w:p w14:paraId="6D596C3C" w14:textId="77777777" w:rsidR="00CA5AD7" w:rsidRPr="00CA5AD7" w:rsidRDefault="00CA5AD7" w:rsidP="001373E0">
      <w:pPr>
        <w:ind w:firstLineChars="200" w:firstLine="640"/>
        <w:rPr>
          <w:rFonts w:ascii="仿宋_GB2312" w:eastAsia="仿宋_GB2312" w:hAnsi="仿宋_GB2312" w:cs="仿宋_GB2312" w:hint="eastAsia"/>
          <w:sz w:val="32"/>
          <w:szCs w:val="32"/>
        </w:rPr>
      </w:pPr>
      <w:r w:rsidRPr="00CA5AD7">
        <w:rPr>
          <w:rFonts w:ascii="仿宋_GB2312" w:eastAsia="仿宋_GB2312" w:hAnsi="仿宋_GB2312" w:cs="仿宋_GB2312" w:hint="eastAsia"/>
          <w:sz w:val="32"/>
          <w:szCs w:val="32"/>
        </w:rPr>
        <w:t>本标准与现行有关法律法规和强制性标准相协调一致。</w:t>
      </w:r>
    </w:p>
    <w:p w14:paraId="1A9A3701" w14:textId="77777777" w:rsidR="00CA5AD7" w:rsidRPr="00CA5AD7" w:rsidRDefault="00CA5AD7" w:rsidP="001373E0">
      <w:pPr>
        <w:ind w:firstLineChars="200" w:firstLine="640"/>
        <w:rPr>
          <w:rFonts w:ascii="仿宋_GB2312" w:eastAsia="仿宋_GB2312" w:hAnsi="仿宋_GB2312" w:cs="仿宋_GB2312" w:hint="eastAsia"/>
          <w:sz w:val="32"/>
          <w:szCs w:val="32"/>
        </w:rPr>
      </w:pPr>
      <w:r w:rsidRPr="00CA5AD7">
        <w:rPr>
          <w:rFonts w:ascii="仿宋_GB2312" w:eastAsia="仿宋_GB2312" w:hAnsi="仿宋_GB2312" w:cs="仿宋_GB2312" w:hint="eastAsia"/>
          <w:sz w:val="32"/>
          <w:szCs w:val="32"/>
        </w:rPr>
        <w:t>本标准制定参考和引用了多项国家、行业标准或企业成功经验，同时参考了国内企业、行业标准要求，与国家法规、标准规范、行业标准一致性没有任何的冲突。本标准主要体现在更为专业性、针对性和具备可操作性。</w:t>
      </w:r>
    </w:p>
    <w:p w14:paraId="57437AB3" w14:textId="2FB78705" w:rsidR="00CA5AD7" w:rsidRDefault="00CA5AD7" w:rsidP="001373E0">
      <w:pPr>
        <w:ind w:firstLineChars="200" w:firstLine="640"/>
        <w:rPr>
          <w:rFonts w:ascii="仿宋_GB2312" w:eastAsia="仿宋_GB2312" w:hAnsi="仿宋_GB2312" w:cs="仿宋_GB2312" w:hint="eastAsia"/>
          <w:sz w:val="32"/>
          <w:szCs w:val="32"/>
        </w:rPr>
      </w:pPr>
      <w:r w:rsidRPr="00CA5AD7">
        <w:rPr>
          <w:rFonts w:ascii="仿宋_GB2312" w:eastAsia="仿宋_GB2312" w:hAnsi="仿宋_GB2312" w:cs="仿宋_GB2312" w:hint="eastAsia"/>
          <w:sz w:val="32"/>
          <w:szCs w:val="32"/>
        </w:rPr>
        <w:t>本地方标准符合《中华人民共和国安全生产法》（中华人民共和国主席令第88号）、《中华人民共和国消防法》（中华</w:t>
      </w:r>
      <w:r w:rsidRPr="00CA5AD7">
        <w:rPr>
          <w:rFonts w:ascii="仿宋_GB2312" w:eastAsia="仿宋_GB2312" w:hAnsi="仿宋_GB2312" w:cs="仿宋_GB2312" w:hint="eastAsia"/>
          <w:sz w:val="32"/>
          <w:szCs w:val="32"/>
        </w:rPr>
        <w:lastRenderedPageBreak/>
        <w:t>人民共和国主席令第81号）、《中华人民共和国特种设备安全法》（中华人民共和国主席令第4号）、《工贸企业重大事故隐患判定标准》（中华人民共和国应急管理部令第10号）、《建筑防火通用规范》（GB 55037）、《建筑设计防火规范》（GB 50016）、《火力发电厂与变电站设计防火标准》（GB 50229）、《电化学储能电站设计规范》（GB 51048）等现行法律、法规和标准所规定的内容，本地方标准所制定条款对上述部分国家标准和行业标准进行了细化并且提出了一些补充要求，可以满足涉及电化学储能电站</w:t>
      </w:r>
      <w:r w:rsidR="00D0789D">
        <w:rPr>
          <w:rFonts w:ascii="仿宋_GB2312" w:eastAsia="仿宋_GB2312" w:hAnsi="仿宋_GB2312" w:cs="仿宋_GB2312" w:hint="eastAsia"/>
          <w:sz w:val="32"/>
          <w:szCs w:val="32"/>
        </w:rPr>
        <w:t>安全隐患排查治理</w:t>
      </w:r>
      <w:r w:rsidRPr="00CA5AD7">
        <w:rPr>
          <w:rFonts w:ascii="仿宋_GB2312" w:eastAsia="仿宋_GB2312" w:hAnsi="仿宋_GB2312" w:cs="仿宋_GB2312" w:hint="eastAsia"/>
          <w:sz w:val="32"/>
          <w:szCs w:val="32"/>
        </w:rPr>
        <w:t>的需要。</w:t>
      </w:r>
    </w:p>
    <w:p w14:paraId="4B8CCCF6" w14:textId="57C62D5E" w:rsidR="00E56993" w:rsidRPr="001373E0" w:rsidRDefault="00CA5AD7">
      <w:pPr>
        <w:rPr>
          <w:rFonts w:ascii="仿宋_GB2312" w:eastAsia="仿宋_GB2312" w:hAnsi="仿宋_GB2312" w:cs="仿宋_GB2312" w:hint="eastAsia"/>
          <w:b/>
          <w:bCs/>
          <w:sz w:val="32"/>
          <w:szCs w:val="32"/>
        </w:rPr>
      </w:pPr>
      <w:r w:rsidRPr="001373E0">
        <w:rPr>
          <w:rFonts w:ascii="仿宋_GB2312" w:eastAsia="仿宋_GB2312" w:hAnsi="仿宋_GB2312" w:cs="仿宋_GB2312" w:hint="eastAsia"/>
          <w:b/>
          <w:bCs/>
          <w:sz w:val="32"/>
          <w:szCs w:val="32"/>
        </w:rPr>
        <w:t>7.重大分歧意见的处理经过和依据</w:t>
      </w:r>
    </w:p>
    <w:p w14:paraId="611EAAA2" w14:textId="2C202674" w:rsidR="00CA5AD7" w:rsidRDefault="00CA5AD7" w:rsidP="00A56DB2">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无</w:t>
      </w:r>
      <w:r w:rsidR="00BA4348">
        <w:rPr>
          <w:rFonts w:ascii="仿宋_GB2312" w:eastAsia="仿宋_GB2312" w:hAnsi="仿宋_GB2312" w:cs="仿宋_GB2312" w:hint="eastAsia"/>
          <w:sz w:val="32"/>
          <w:szCs w:val="32"/>
        </w:rPr>
        <w:t>。</w:t>
      </w:r>
    </w:p>
    <w:p w14:paraId="739FDAB2" w14:textId="68C7630F" w:rsidR="00E56993" w:rsidRPr="001373E0" w:rsidRDefault="00CA5AD7">
      <w:pPr>
        <w:rPr>
          <w:rFonts w:ascii="仿宋_GB2312" w:eastAsia="仿宋_GB2312" w:hAnsi="仿宋_GB2312" w:cs="仿宋_GB2312" w:hint="eastAsia"/>
          <w:b/>
          <w:bCs/>
          <w:sz w:val="32"/>
          <w:szCs w:val="32"/>
        </w:rPr>
      </w:pPr>
      <w:r w:rsidRPr="001373E0">
        <w:rPr>
          <w:rFonts w:ascii="仿宋_GB2312" w:eastAsia="仿宋_GB2312" w:hAnsi="仿宋_GB2312" w:cs="仿宋_GB2312" w:hint="eastAsia"/>
          <w:b/>
          <w:bCs/>
          <w:sz w:val="32"/>
          <w:szCs w:val="32"/>
        </w:rPr>
        <w:t>8.涉及专利的有关说明</w:t>
      </w:r>
    </w:p>
    <w:p w14:paraId="1EC8F925" w14:textId="462FA029" w:rsidR="00CA5AD7" w:rsidRDefault="00CA5AD7" w:rsidP="00A56DB2">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无</w:t>
      </w:r>
      <w:r w:rsidR="00BA4348">
        <w:rPr>
          <w:rFonts w:ascii="仿宋_GB2312" w:eastAsia="仿宋_GB2312" w:hAnsi="仿宋_GB2312" w:cs="仿宋_GB2312" w:hint="eastAsia"/>
          <w:sz w:val="32"/>
          <w:szCs w:val="32"/>
        </w:rPr>
        <w:t>。</w:t>
      </w:r>
    </w:p>
    <w:p w14:paraId="5695DCFE" w14:textId="44303694" w:rsidR="00E56993" w:rsidRPr="001373E0" w:rsidRDefault="00CA5AD7">
      <w:pPr>
        <w:rPr>
          <w:rFonts w:ascii="仿宋_GB2312" w:eastAsia="仿宋_GB2312" w:hAnsi="仿宋_GB2312" w:cs="仿宋_GB2312" w:hint="eastAsia"/>
          <w:b/>
          <w:bCs/>
          <w:sz w:val="32"/>
          <w:szCs w:val="32"/>
        </w:rPr>
      </w:pPr>
      <w:r w:rsidRPr="001373E0">
        <w:rPr>
          <w:rFonts w:ascii="仿宋_GB2312" w:eastAsia="仿宋_GB2312" w:hAnsi="仿宋_GB2312" w:cs="仿宋_GB2312" w:hint="eastAsia"/>
          <w:b/>
          <w:bCs/>
          <w:sz w:val="32"/>
          <w:szCs w:val="32"/>
        </w:rPr>
        <w:t>9.实施团体标准的要求，以及组织措施、技术措施、过渡期和实施日期的建议等措施建议</w:t>
      </w:r>
    </w:p>
    <w:p w14:paraId="3C9355D0" w14:textId="18E663DE" w:rsidR="00D0789D" w:rsidRPr="00D0789D" w:rsidRDefault="00BA4348" w:rsidP="001373E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w:t>
      </w:r>
      <w:r w:rsidR="00D0789D" w:rsidRPr="00D0789D">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sidR="00D0789D" w:rsidRPr="00D0789D">
        <w:rPr>
          <w:rFonts w:ascii="仿宋_GB2312" w:eastAsia="仿宋_GB2312" w:hAnsi="仿宋_GB2312" w:cs="仿宋_GB2312" w:hint="eastAsia"/>
          <w:sz w:val="32"/>
          <w:szCs w:val="32"/>
        </w:rPr>
        <w:t>计划在标准发布后，利用1</w:t>
      </w:r>
      <w:r>
        <w:rPr>
          <w:rFonts w:ascii="仿宋_GB2312" w:eastAsia="仿宋_GB2312" w:hAnsi="仿宋_GB2312" w:cs="仿宋_GB2312" w:hint="eastAsia"/>
          <w:sz w:val="32"/>
          <w:szCs w:val="32"/>
        </w:rPr>
        <w:t>个</w:t>
      </w:r>
      <w:r w:rsidR="00D0789D" w:rsidRPr="00D0789D">
        <w:rPr>
          <w:rFonts w:ascii="仿宋_GB2312" w:eastAsia="仿宋_GB2312" w:hAnsi="仿宋_GB2312" w:cs="仿宋_GB2312" w:hint="eastAsia"/>
          <w:sz w:val="32"/>
          <w:szCs w:val="32"/>
        </w:rPr>
        <w:t>月时间举办电化学储能电站安全隐患排查</w:t>
      </w:r>
      <w:r>
        <w:rPr>
          <w:rFonts w:ascii="仿宋_GB2312" w:eastAsia="仿宋_GB2312" w:hAnsi="仿宋_GB2312" w:cs="仿宋_GB2312" w:hint="eastAsia"/>
          <w:sz w:val="32"/>
          <w:szCs w:val="32"/>
        </w:rPr>
        <w:t>治理</w:t>
      </w:r>
      <w:r w:rsidR="00D0789D" w:rsidRPr="00D0789D">
        <w:rPr>
          <w:rFonts w:ascii="仿宋_GB2312" w:eastAsia="仿宋_GB2312" w:hAnsi="仿宋_GB2312" w:cs="仿宋_GB2312" w:hint="eastAsia"/>
          <w:sz w:val="32"/>
          <w:szCs w:val="32"/>
        </w:rPr>
        <w:t>技术规范及相关安全管理标准培训班，对</w:t>
      </w:r>
      <w:r w:rsidR="00D0789D">
        <w:rPr>
          <w:rFonts w:ascii="仿宋_GB2312" w:eastAsia="仿宋_GB2312" w:hAnsi="仿宋_GB2312" w:cs="仿宋_GB2312" w:hint="eastAsia"/>
          <w:sz w:val="32"/>
          <w:szCs w:val="32"/>
        </w:rPr>
        <w:t>协会</w:t>
      </w:r>
      <w:r w:rsidR="00D0789D" w:rsidRPr="00D0789D">
        <w:rPr>
          <w:rFonts w:ascii="仿宋_GB2312" w:eastAsia="仿宋_GB2312" w:hAnsi="仿宋_GB2312" w:cs="仿宋_GB2312" w:hint="eastAsia"/>
          <w:sz w:val="32"/>
          <w:szCs w:val="32"/>
        </w:rPr>
        <w:t>电力储能市场主体相关部门的管理人员和技术骨干进行培训，并前往典型地区辅导工作。</w:t>
      </w:r>
    </w:p>
    <w:p w14:paraId="7B4FE520" w14:textId="7E9E4E79" w:rsidR="00D0789D" w:rsidRPr="00D0789D" w:rsidRDefault="00BA4348" w:rsidP="001373E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w:t>
      </w:r>
      <w:r w:rsidR="00D0789D" w:rsidRPr="00D0789D">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sidR="00D0789D" w:rsidRPr="00D0789D">
        <w:rPr>
          <w:rFonts w:ascii="仿宋_GB2312" w:eastAsia="仿宋_GB2312" w:hAnsi="仿宋_GB2312" w:cs="仿宋_GB2312" w:hint="eastAsia"/>
          <w:sz w:val="32"/>
          <w:szCs w:val="32"/>
        </w:rPr>
        <w:t>向有关单位和人员发放本标准，进行宣传。</w:t>
      </w:r>
    </w:p>
    <w:p w14:paraId="6C01DC99" w14:textId="7EF9AFF1" w:rsidR="00D0789D" w:rsidRDefault="00BA4348" w:rsidP="001373E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w:t>
      </w:r>
      <w:r w:rsidR="00D0789D" w:rsidRPr="00D0789D">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sidR="00D0789D" w:rsidRPr="00D0789D">
        <w:rPr>
          <w:rFonts w:ascii="仿宋_GB2312" w:eastAsia="仿宋_GB2312" w:hAnsi="仿宋_GB2312" w:cs="仿宋_GB2312" w:hint="eastAsia"/>
          <w:sz w:val="32"/>
          <w:szCs w:val="32"/>
        </w:rPr>
        <w:t>在标准实施初期，加强标准在实际应用中的指导，以便行业从业者正确把握标准、运用标准，并及时总结经验，</w:t>
      </w:r>
      <w:r w:rsidR="00D0789D" w:rsidRPr="00D0789D">
        <w:rPr>
          <w:rFonts w:ascii="仿宋_GB2312" w:eastAsia="仿宋_GB2312" w:hAnsi="仿宋_GB2312" w:cs="仿宋_GB2312" w:hint="eastAsia"/>
          <w:sz w:val="32"/>
          <w:szCs w:val="32"/>
        </w:rPr>
        <w:lastRenderedPageBreak/>
        <w:t>推广本标准的使用。</w:t>
      </w:r>
    </w:p>
    <w:p w14:paraId="4E4BDFB4" w14:textId="5991FAA9" w:rsidR="00E56993" w:rsidRDefault="00CA5AD7" w:rsidP="00D0789D">
      <w:pPr>
        <w:rPr>
          <w:rFonts w:ascii="仿宋_GB2312" w:eastAsia="仿宋_GB2312" w:hAnsi="仿宋_GB2312" w:cs="仿宋_GB2312" w:hint="eastAsia"/>
          <w:sz w:val="32"/>
          <w:szCs w:val="32"/>
        </w:rPr>
      </w:pPr>
      <w:r w:rsidRPr="001373E0">
        <w:rPr>
          <w:rFonts w:ascii="仿宋_GB2312" w:eastAsia="仿宋_GB2312" w:hAnsi="仿宋_GB2312" w:cs="仿宋_GB2312" w:hint="eastAsia"/>
          <w:b/>
          <w:bCs/>
          <w:sz w:val="32"/>
          <w:szCs w:val="32"/>
        </w:rPr>
        <w:t>10.其他应当说明的事项</w:t>
      </w:r>
      <w:r>
        <w:rPr>
          <w:rFonts w:ascii="仿宋_GB2312" w:eastAsia="仿宋_GB2312" w:hAnsi="仿宋_GB2312" w:cs="仿宋_GB2312" w:hint="eastAsia"/>
          <w:sz w:val="32"/>
          <w:szCs w:val="32"/>
        </w:rPr>
        <w:t>（包括标准名称、主要内容、主编单位、参编单位及主要起草人等发生变更或存在无法克服困难需撤销申请情况，标准征求意见情况，报批阶段应补充专家审查会情况。）</w:t>
      </w:r>
    </w:p>
    <w:p w14:paraId="5ADF76BF" w14:textId="504A1C61" w:rsidR="00CA5AD7" w:rsidRDefault="00CA5AD7" w:rsidP="005E3A71">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无</w:t>
      </w:r>
      <w:r w:rsidR="00BA4348">
        <w:rPr>
          <w:rFonts w:ascii="仿宋_GB2312" w:eastAsia="仿宋_GB2312" w:hAnsi="仿宋_GB2312" w:cs="仿宋_GB2312" w:hint="eastAsia"/>
          <w:sz w:val="32"/>
          <w:szCs w:val="32"/>
        </w:rPr>
        <w:t>。</w:t>
      </w:r>
    </w:p>
    <w:sectPr w:rsidR="00CA5A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A21DF" w14:textId="77777777" w:rsidR="00903A16" w:rsidRDefault="00903A16" w:rsidP="00BF2D5F">
      <w:r>
        <w:separator/>
      </w:r>
    </w:p>
  </w:endnote>
  <w:endnote w:type="continuationSeparator" w:id="0">
    <w:p w14:paraId="3D81DCE7" w14:textId="77777777" w:rsidR="00903A16" w:rsidRDefault="00903A16" w:rsidP="00BF2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B0FB7848-108D-44FE-949E-FB2EF3BA33D2}"/>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fixed"/>
    <w:sig w:usb0="00000001" w:usb1="080E0000" w:usb2="00000010" w:usb3="00000000" w:csb0="00040000" w:csb1="00000000"/>
    <w:embedRegular r:id="rId2" w:subsetted="1" w:fontKey="{C526CC91-184B-4EBC-93CF-75976C25330F}"/>
  </w:font>
  <w:font w:name="仿宋_GB2312">
    <w:panose1 w:val="02010609030101010101"/>
    <w:charset w:val="86"/>
    <w:family w:val="modern"/>
    <w:pitch w:val="fixed"/>
    <w:sig w:usb0="00000001" w:usb1="080E0000" w:usb2="00000010" w:usb3="00000000" w:csb0="00040000" w:csb1="00000000"/>
    <w:embedRegular r:id="rId3" w:subsetted="1" w:fontKey="{0786DDC1-8FF2-4762-BA5C-4762EB638AEF}"/>
    <w:embedBold r:id="rId4" w:subsetted="1" w:fontKey="{5D45996E-0CB3-48A5-91CB-4EB5D8757294}"/>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F191C" w14:textId="77777777" w:rsidR="00903A16" w:rsidRDefault="00903A16" w:rsidP="00BF2D5F">
      <w:r>
        <w:separator/>
      </w:r>
    </w:p>
  </w:footnote>
  <w:footnote w:type="continuationSeparator" w:id="0">
    <w:p w14:paraId="1437F91E" w14:textId="77777777" w:rsidR="00903A16" w:rsidRDefault="00903A16" w:rsidP="00BF2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6F5106"/>
    <w:multiLevelType w:val="singleLevel"/>
    <w:tmpl w:val="E26F5106"/>
    <w:lvl w:ilvl="0">
      <w:start w:val="1"/>
      <w:numFmt w:val="decimal"/>
      <w:lvlText w:val="%1."/>
      <w:lvlJc w:val="left"/>
      <w:pPr>
        <w:tabs>
          <w:tab w:val="left" w:pos="312"/>
        </w:tabs>
      </w:pPr>
    </w:lvl>
  </w:abstractNum>
  <w:abstractNum w:abstractNumId="1" w15:restartNumberingAfterBreak="0">
    <w:nsid w:val="78A33296"/>
    <w:multiLevelType w:val="singleLevel"/>
    <w:tmpl w:val="78A33296"/>
    <w:lvl w:ilvl="0">
      <w:start w:val="1"/>
      <w:numFmt w:val="lowerLetter"/>
      <w:lvlText w:val="%1."/>
      <w:lvlJc w:val="left"/>
      <w:pPr>
        <w:tabs>
          <w:tab w:val="left" w:pos="312"/>
        </w:tabs>
      </w:pPr>
    </w:lvl>
  </w:abstractNum>
  <w:num w:numId="1" w16cid:durableId="507913234">
    <w:abstractNumId w:val="0"/>
  </w:num>
  <w:num w:numId="2" w16cid:durableId="13390382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TNjMTdkYjc2MWFkYWZjMjgzNWU2Y2UwY2E3OWRiODAifQ=="/>
  </w:docVars>
  <w:rsids>
    <w:rsidRoot w:val="4E115480"/>
    <w:rsid w:val="00094941"/>
    <w:rsid w:val="00102C81"/>
    <w:rsid w:val="001373E0"/>
    <w:rsid w:val="00160D37"/>
    <w:rsid w:val="003D28CD"/>
    <w:rsid w:val="003E222E"/>
    <w:rsid w:val="00434AD8"/>
    <w:rsid w:val="0044572A"/>
    <w:rsid w:val="00474318"/>
    <w:rsid w:val="004C035F"/>
    <w:rsid w:val="0058752A"/>
    <w:rsid w:val="005E3A71"/>
    <w:rsid w:val="0060723C"/>
    <w:rsid w:val="00734338"/>
    <w:rsid w:val="00760722"/>
    <w:rsid w:val="007A43AF"/>
    <w:rsid w:val="00903A16"/>
    <w:rsid w:val="009D19E5"/>
    <w:rsid w:val="00A10AFB"/>
    <w:rsid w:val="00A56DB2"/>
    <w:rsid w:val="00A65D33"/>
    <w:rsid w:val="00B83AAC"/>
    <w:rsid w:val="00BA4348"/>
    <w:rsid w:val="00BB15B4"/>
    <w:rsid w:val="00BB4A3F"/>
    <w:rsid w:val="00BD3A9B"/>
    <w:rsid w:val="00BF2D5F"/>
    <w:rsid w:val="00C347F1"/>
    <w:rsid w:val="00C42127"/>
    <w:rsid w:val="00CA5AD7"/>
    <w:rsid w:val="00CE501A"/>
    <w:rsid w:val="00CE66D1"/>
    <w:rsid w:val="00CF5E9F"/>
    <w:rsid w:val="00D0789D"/>
    <w:rsid w:val="00DD12CE"/>
    <w:rsid w:val="00DD694D"/>
    <w:rsid w:val="00E56993"/>
    <w:rsid w:val="00ED535F"/>
    <w:rsid w:val="00F2298E"/>
    <w:rsid w:val="00F918CA"/>
    <w:rsid w:val="04142E23"/>
    <w:rsid w:val="0F5A3229"/>
    <w:rsid w:val="0FF26B15"/>
    <w:rsid w:val="15075231"/>
    <w:rsid w:val="15993A76"/>
    <w:rsid w:val="18B35F28"/>
    <w:rsid w:val="1FCC231E"/>
    <w:rsid w:val="2403362A"/>
    <w:rsid w:val="2A4D0323"/>
    <w:rsid w:val="2C0927B9"/>
    <w:rsid w:val="2EE6563F"/>
    <w:rsid w:val="38595180"/>
    <w:rsid w:val="3DBF3A9D"/>
    <w:rsid w:val="3E965F19"/>
    <w:rsid w:val="3FA24034"/>
    <w:rsid w:val="4B4340EE"/>
    <w:rsid w:val="4BC66D8F"/>
    <w:rsid w:val="4E115480"/>
    <w:rsid w:val="4ED25642"/>
    <w:rsid w:val="50A3118B"/>
    <w:rsid w:val="544B4013"/>
    <w:rsid w:val="544B7BAF"/>
    <w:rsid w:val="56D848CE"/>
    <w:rsid w:val="5921524A"/>
    <w:rsid w:val="5E6F4DA2"/>
    <w:rsid w:val="5EE543DC"/>
    <w:rsid w:val="620036D7"/>
    <w:rsid w:val="66F70DFE"/>
    <w:rsid w:val="690F71C7"/>
    <w:rsid w:val="6A113E14"/>
    <w:rsid w:val="6A714E92"/>
    <w:rsid w:val="6AFE4BC5"/>
    <w:rsid w:val="6F6E431D"/>
    <w:rsid w:val="6FBB7E47"/>
    <w:rsid w:val="78A3770E"/>
    <w:rsid w:val="7CD67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226F1"/>
  <w15:docId w15:val="{90ED32F7-C462-40FD-B862-E0648454A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semiHidden/>
    <w:unhideWhenUsed/>
    <w:qFormat/>
    <w:pPr>
      <w:keepNext/>
      <w:keepLines/>
      <w:spacing w:before="120" w:after="120"/>
      <w:outlineLvl w:val="1"/>
    </w:pPr>
    <w:rPr>
      <w:rFonts w:ascii="Arial" w:eastAsia="仿宋" w:hAnsi="Arial"/>
      <w:b/>
      <w:sz w:val="28"/>
    </w:rPr>
  </w:style>
  <w:style w:type="paragraph" w:styleId="3">
    <w:name w:val="heading 3"/>
    <w:basedOn w:val="a"/>
    <w:next w:val="a"/>
    <w:semiHidden/>
    <w:unhideWhenUsed/>
    <w:qFormat/>
    <w:pPr>
      <w:keepNext/>
      <w:keepLines/>
      <w:spacing w:before="260" w:after="260" w:line="413" w:lineRule="auto"/>
      <w:outlineLvl w:val="2"/>
    </w:pPr>
    <w:rPr>
      <w:rFonts w:cs="宋体"/>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qFormat/>
    <w:pPr>
      <w:ind w:leftChars="400" w:left="840"/>
    </w:pPr>
  </w:style>
  <w:style w:type="paragraph" w:styleId="a3">
    <w:name w:val="Title"/>
    <w:basedOn w:val="a"/>
    <w:qFormat/>
    <w:pPr>
      <w:spacing w:before="240" w:after="60"/>
      <w:jc w:val="center"/>
      <w:outlineLvl w:val="0"/>
    </w:pPr>
    <w:rPr>
      <w:rFonts w:ascii="Arial" w:hAnsi="Arial"/>
      <w:b/>
      <w:sz w:val="32"/>
    </w:rPr>
  </w:style>
  <w:style w:type="paragraph" w:customStyle="1" w:styleId="10">
    <w:name w:val="标题1"/>
    <w:basedOn w:val="1"/>
    <w:qFormat/>
    <w:rPr>
      <w:rFonts w:ascii="黑体" w:eastAsia="黑体" w:hAnsi="黑体" w:cs="黑体" w:hint="eastAsia"/>
      <w:kern w:val="2"/>
      <w:sz w:val="32"/>
      <w:szCs w:val="32"/>
    </w:rPr>
  </w:style>
  <w:style w:type="paragraph" w:customStyle="1" w:styleId="20">
    <w:name w:val="2标题"/>
    <w:basedOn w:val="a3"/>
    <w:qFormat/>
    <w:pPr>
      <w:keepNext/>
      <w:keepLines/>
      <w:spacing w:after="240" w:line="500" w:lineRule="exact"/>
      <w:outlineLvl w:val="1"/>
    </w:pPr>
    <w:rPr>
      <w:rFonts w:ascii="仿宋" w:eastAsia="仿宋" w:hAnsi="仿宋" w:cs="Arial" w:hint="eastAsia"/>
      <w:bCs/>
      <w:color w:val="FF0000"/>
      <w:kern w:val="0"/>
      <w:szCs w:val="32"/>
    </w:rPr>
  </w:style>
  <w:style w:type="paragraph" w:customStyle="1" w:styleId="30">
    <w:name w:val="3标题"/>
    <w:basedOn w:val="a3"/>
    <w:qFormat/>
    <w:pPr>
      <w:adjustRightInd w:val="0"/>
      <w:snapToGrid w:val="0"/>
      <w:spacing w:line="360" w:lineRule="auto"/>
      <w:ind w:firstLineChars="200" w:firstLine="560"/>
      <w:jc w:val="left"/>
      <w:outlineLvl w:val="2"/>
    </w:pPr>
    <w:rPr>
      <w:rFonts w:ascii="仿宋" w:eastAsia="仿宋" w:hAnsi="仿宋" w:cs="楷体" w:hint="eastAsia"/>
      <w:bCs/>
      <w:kern w:val="0"/>
      <w:szCs w:val="32"/>
    </w:rPr>
  </w:style>
  <w:style w:type="paragraph" w:customStyle="1" w:styleId="a4">
    <w:name w:val="正文表格表头"/>
    <w:basedOn w:val="a"/>
    <w:qFormat/>
    <w:pPr>
      <w:snapToGrid w:val="0"/>
      <w:jc w:val="center"/>
    </w:pPr>
    <w:rPr>
      <w:rFonts w:ascii="仿宋" w:eastAsia="仿宋" w:hAnsi="仿宋" w:cs="仿宋" w:hint="eastAsia"/>
      <w:b/>
      <w:bCs/>
      <w:color w:val="000000" w:themeColor="text1"/>
      <w:kern w:val="0"/>
      <w:szCs w:val="21"/>
    </w:rPr>
  </w:style>
  <w:style w:type="paragraph" w:customStyle="1" w:styleId="a5">
    <w:name w:val="正文表格"/>
    <w:basedOn w:val="a"/>
    <w:qFormat/>
    <w:pPr>
      <w:snapToGrid w:val="0"/>
      <w:jc w:val="left"/>
    </w:pPr>
    <w:rPr>
      <w:rFonts w:ascii="仿宋" w:eastAsia="仿宋" w:hAnsi="仿宋" w:cs="仿宋" w:hint="eastAsia"/>
      <w:szCs w:val="21"/>
    </w:rPr>
  </w:style>
  <w:style w:type="paragraph" w:customStyle="1" w:styleId="11">
    <w:name w:val="样式1"/>
    <w:basedOn w:val="a"/>
    <w:next w:val="a"/>
    <w:qFormat/>
    <w:pPr>
      <w:keepNext/>
      <w:keepLines/>
      <w:ind w:firstLine="482"/>
      <w:outlineLvl w:val="2"/>
    </w:pPr>
    <w:rPr>
      <w:rFonts w:eastAsia="仿宋"/>
      <w:b/>
      <w:sz w:val="28"/>
    </w:rPr>
  </w:style>
  <w:style w:type="paragraph" w:customStyle="1" w:styleId="a6">
    <w:name w:val="三（三）标题"/>
    <w:basedOn w:val="a"/>
    <w:next w:val="a"/>
    <w:qFormat/>
    <w:pPr>
      <w:keepNext/>
      <w:keepLines/>
      <w:ind w:firstLine="482"/>
      <w:outlineLvl w:val="2"/>
    </w:pPr>
    <w:rPr>
      <w:rFonts w:eastAsia="仿宋"/>
      <w:b/>
      <w:sz w:val="28"/>
    </w:rPr>
  </w:style>
  <w:style w:type="paragraph" w:customStyle="1" w:styleId="31">
    <w:name w:val="表格3"/>
    <w:basedOn w:val="a"/>
    <w:qFormat/>
    <w:pPr>
      <w:keepNext/>
      <w:keepLines/>
      <w:snapToGrid w:val="0"/>
      <w:outlineLvl w:val="2"/>
    </w:pPr>
    <w:rPr>
      <w:rFonts w:ascii="微软雅黑" w:eastAsia="微软雅黑" w:hAnsi="微软雅黑" w:cs="微软雅黑" w:hint="eastAsia"/>
      <w:sz w:val="28"/>
      <w:szCs w:val="28"/>
    </w:rPr>
  </w:style>
  <w:style w:type="paragraph" w:customStyle="1" w:styleId="12">
    <w:name w:val="表格1"/>
    <w:basedOn w:val="a"/>
    <w:qFormat/>
    <w:pPr>
      <w:keepNext/>
      <w:keepLines/>
      <w:outlineLvl w:val="2"/>
    </w:pPr>
    <w:rPr>
      <w:rFonts w:ascii="黑体" w:eastAsia="黑体" w:hAnsi="黑体" w:cs="黑体" w:hint="eastAsia"/>
      <w:b/>
      <w:bCs/>
      <w:sz w:val="32"/>
      <w:szCs w:val="32"/>
    </w:rPr>
  </w:style>
  <w:style w:type="paragraph" w:customStyle="1" w:styleId="21">
    <w:name w:val="表格2"/>
    <w:basedOn w:val="a"/>
    <w:qFormat/>
    <w:pPr>
      <w:keepNext/>
      <w:keepLines/>
      <w:outlineLvl w:val="2"/>
    </w:pPr>
    <w:rPr>
      <w:rFonts w:ascii="宋体" w:eastAsia="宋体" w:hAnsi="宋体" w:cs="Times New Roman" w:hint="eastAsia"/>
      <w:b/>
      <w:bCs/>
      <w:sz w:val="32"/>
      <w:szCs w:val="32"/>
    </w:rPr>
  </w:style>
  <w:style w:type="paragraph" w:customStyle="1" w:styleId="a7">
    <w:name w:val="表正文"/>
    <w:basedOn w:val="a"/>
    <w:qFormat/>
    <w:pPr>
      <w:snapToGrid w:val="0"/>
      <w:jc w:val="left"/>
    </w:pPr>
    <w:rPr>
      <w:rFonts w:ascii="仿宋" w:eastAsia="宋体" w:hAnsi="仿宋" w:cs="仿宋" w:hint="eastAsia"/>
      <w:sz w:val="24"/>
      <w:szCs w:val="21"/>
    </w:rPr>
  </w:style>
  <w:style w:type="paragraph" w:customStyle="1" w:styleId="111">
    <w:name w:val="1.1.1"/>
    <w:basedOn w:val="TOC3"/>
    <w:qFormat/>
    <w:pPr>
      <w:widowControl/>
      <w:ind w:firstLineChars="200" w:firstLine="640"/>
      <w:jc w:val="left"/>
    </w:pPr>
    <w:rPr>
      <w:rFonts w:ascii="仿宋" w:eastAsia="仿宋" w:hAnsi="仿宋" w:cs="仿宋" w:hint="eastAsia"/>
      <w:color w:val="191919"/>
      <w:kern w:val="0"/>
      <w:sz w:val="32"/>
      <w:szCs w:val="32"/>
      <w:shd w:val="clear" w:color="auto" w:fill="FFFFFF"/>
    </w:rPr>
  </w:style>
  <w:style w:type="paragraph" w:customStyle="1" w:styleId="a8">
    <w:name w:val="标题一"/>
    <w:basedOn w:val="a"/>
    <w:qFormat/>
    <w:pPr>
      <w:jc w:val="left"/>
      <w:outlineLvl w:val="0"/>
    </w:pPr>
    <w:rPr>
      <w:rFonts w:ascii="黑体" w:eastAsia="黑体" w:hAnsi="黑体" w:cs="黑体"/>
      <w:sz w:val="32"/>
      <w:szCs w:val="32"/>
    </w:rPr>
  </w:style>
  <w:style w:type="paragraph" w:styleId="a9">
    <w:name w:val="List Paragraph"/>
    <w:basedOn w:val="a"/>
    <w:uiPriority w:val="99"/>
    <w:unhideWhenUsed/>
    <w:rsid w:val="0060723C"/>
    <w:pPr>
      <w:ind w:firstLineChars="200" w:firstLine="420"/>
    </w:pPr>
  </w:style>
  <w:style w:type="paragraph" w:styleId="aa">
    <w:name w:val="header"/>
    <w:basedOn w:val="a"/>
    <w:link w:val="ab"/>
    <w:rsid w:val="00BF2D5F"/>
    <w:pPr>
      <w:tabs>
        <w:tab w:val="center" w:pos="4153"/>
        <w:tab w:val="right" w:pos="8306"/>
      </w:tabs>
      <w:snapToGrid w:val="0"/>
      <w:jc w:val="center"/>
    </w:pPr>
    <w:rPr>
      <w:sz w:val="18"/>
      <w:szCs w:val="18"/>
    </w:rPr>
  </w:style>
  <w:style w:type="character" w:customStyle="1" w:styleId="ab">
    <w:name w:val="页眉 字符"/>
    <w:basedOn w:val="a0"/>
    <w:link w:val="aa"/>
    <w:rsid w:val="00BF2D5F"/>
    <w:rPr>
      <w:kern w:val="2"/>
      <w:sz w:val="18"/>
      <w:szCs w:val="18"/>
    </w:rPr>
  </w:style>
  <w:style w:type="paragraph" w:styleId="ac">
    <w:name w:val="footer"/>
    <w:basedOn w:val="a"/>
    <w:link w:val="ad"/>
    <w:rsid w:val="00BF2D5F"/>
    <w:pPr>
      <w:tabs>
        <w:tab w:val="center" w:pos="4153"/>
        <w:tab w:val="right" w:pos="8306"/>
      </w:tabs>
      <w:snapToGrid w:val="0"/>
      <w:jc w:val="left"/>
    </w:pPr>
    <w:rPr>
      <w:sz w:val="18"/>
      <w:szCs w:val="18"/>
    </w:rPr>
  </w:style>
  <w:style w:type="character" w:customStyle="1" w:styleId="ad">
    <w:name w:val="页脚 字符"/>
    <w:basedOn w:val="a0"/>
    <w:link w:val="ac"/>
    <w:rsid w:val="00BF2D5F"/>
    <w:rPr>
      <w:kern w:val="2"/>
      <w:sz w:val="18"/>
      <w:szCs w:val="18"/>
    </w:rPr>
  </w:style>
  <w:style w:type="paragraph" w:styleId="ae">
    <w:name w:val="Revision"/>
    <w:hidden/>
    <w:uiPriority w:val="99"/>
    <w:unhideWhenUsed/>
    <w:rsid w:val="004C035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9</Pages>
  <Words>1966</Words>
  <Characters>2145</Characters>
  <Application>Microsoft Office Word</Application>
  <DocSecurity>0</DocSecurity>
  <Lines>97</Lines>
  <Paragraphs>80</Paragraphs>
  <ScaleCrop>false</ScaleCrop>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会员部</dc:creator>
  <cp:lastModifiedBy>Huiyu Xie</cp:lastModifiedBy>
  <cp:revision>23</cp:revision>
  <dcterms:created xsi:type="dcterms:W3CDTF">2026-01-08T03:46:00Z</dcterms:created>
  <dcterms:modified xsi:type="dcterms:W3CDTF">2026-01-11T14:26:00Z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D7DC9A5B570545DFB99A91D983C09422</vt:lpwstr>
  </property>
  <property fmtid="{D5CDD505-2E9C-101B-9397-08002B2CF9AE}" pid="4" name="KSOTemplateDocerSaveRecord">
    <vt:lpwstr>eyJoZGlkIjoiMDljYzUzMWQ4OWI0YzBkYjYzMDRhZTY5ZjZkYmFmYTgiLCJ1c2VySWQiOiI1MDYyMCJ9</vt:lpwstr>
  </property>
</Properties>
</file>