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7B16C8">
      <w:pPr>
        <w:pStyle w:val="10"/>
        <w:ind w:left="0" w:leftChars="0" w:firstLine="0" w:firstLineChars="0"/>
        <w:rPr>
          <w:rFonts w:hint="default" w:eastAsia="黑体"/>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10</w:t>
      </w:r>
      <w:bookmarkStart w:id="14" w:name="_GoBack"/>
      <w:bookmarkEnd w:id="14"/>
    </w:p>
    <w:p w14:paraId="3AF8430A">
      <w:pPr>
        <w:pStyle w:val="10"/>
      </w:pPr>
    </w:p>
    <w:p w14:paraId="76D9F595">
      <w:pPr>
        <w:pStyle w:val="10"/>
      </w:pPr>
    </w:p>
    <w:p w14:paraId="1629F1C1">
      <w:pPr>
        <w:pStyle w:val="10"/>
      </w:pPr>
    </w:p>
    <w:p w14:paraId="43BFA9C6">
      <w:pPr>
        <w:pStyle w:val="10"/>
      </w:pPr>
    </w:p>
    <w:p w14:paraId="68D285DF">
      <w:pPr>
        <w:pStyle w:val="10"/>
      </w:pPr>
    </w:p>
    <w:p w14:paraId="347E32AB">
      <w:pPr>
        <w:pStyle w:val="10"/>
        <w:ind w:firstLine="0" w:firstLineChars="0"/>
        <w:jc w:val="center"/>
        <w:rPr>
          <w:rFonts w:hint="default" w:ascii="黑体" w:eastAsia="黑体"/>
          <w:sz w:val="44"/>
          <w:szCs w:val="44"/>
          <w:lang w:val="en-US" w:eastAsia="zh-CN"/>
        </w:rPr>
      </w:pPr>
      <w:r>
        <w:rPr>
          <w:rFonts w:hint="eastAsia" w:ascii="黑体" w:eastAsia="黑体"/>
          <w:sz w:val="44"/>
          <w:szCs w:val="44"/>
          <w:lang w:val="en-US" w:eastAsia="zh-CN"/>
        </w:rPr>
        <w:t>静止调相机 第3部分：现场并网试验</w:t>
      </w:r>
    </w:p>
    <w:p w14:paraId="3D3F716B">
      <w:pPr>
        <w:pStyle w:val="10"/>
        <w:ind w:firstLine="880"/>
        <w:rPr>
          <w:rFonts w:ascii="黑体" w:eastAsia="黑体"/>
          <w:sz w:val="44"/>
          <w:szCs w:val="44"/>
        </w:rPr>
      </w:pPr>
    </w:p>
    <w:p w14:paraId="2DE86F44">
      <w:pPr>
        <w:pStyle w:val="10"/>
      </w:pPr>
    </w:p>
    <w:p w14:paraId="4C195CAA">
      <w:pPr>
        <w:pStyle w:val="14"/>
        <w:numPr>
          <w:ilvl w:val="0"/>
          <w:numId w:val="0"/>
        </w:numPr>
        <w:jc w:val="center"/>
        <w:rPr>
          <w:sz w:val="28"/>
          <w:szCs w:val="28"/>
        </w:rPr>
      </w:pPr>
      <w:r>
        <w:rPr>
          <w:rFonts w:hint="eastAsia"/>
          <w:sz w:val="28"/>
          <w:szCs w:val="28"/>
        </w:rPr>
        <w:t>编  制  说  明</w:t>
      </w:r>
    </w:p>
    <w:p w14:paraId="3D996D6C">
      <w:pPr>
        <w:pStyle w:val="10"/>
        <w:ind w:firstLine="560"/>
        <w:jc w:val="center"/>
        <w:rPr>
          <w:rFonts w:ascii="黑体" w:eastAsia="黑体"/>
          <w:sz w:val="28"/>
          <w:szCs w:val="28"/>
        </w:rPr>
      </w:pPr>
    </w:p>
    <w:p w14:paraId="03D3ED33">
      <w:pPr>
        <w:pStyle w:val="10"/>
        <w:ind w:firstLine="560"/>
        <w:jc w:val="center"/>
        <w:rPr>
          <w:rFonts w:ascii="黑体" w:eastAsia="黑体"/>
          <w:sz w:val="28"/>
          <w:szCs w:val="28"/>
        </w:rPr>
      </w:pPr>
    </w:p>
    <w:p w14:paraId="7AD09E0A">
      <w:pPr>
        <w:pStyle w:val="10"/>
        <w:ind w:firstLine="0" w:firstLineChars="0"/>
        <w:jc w:val="center"/>
        <w:rPr>
          <w:rFonts w:ascii="黑体" w:eastAsia="黑体"/>
          <w:sz w:val="44"/>
          <w:szCs w:val="44"/>
        </w:rPr>
      </w:pPr>
    </w:p>
    <w:p w14:paraId="638EFB3D">
      <w:pPr>
        <w:pStyle w:val="10"/>
        <w:ind w:firstLine="0" w:firstLineChars="0"/>
        <w:jc w:val="center"/>
        <w:rPr>
          <w:rFonts w:ascii="黑体" w:eastAsia="黑体"/>
          <w:sz w:val="44"/>
          <w:szCs w:val="44"/>
        </w:rPr>
      </w:pPr>
    </w:p>
    <w:p w14:paraId="71E0A7F9">
      <w:pPr>
        <w:pStyle w:val="10"/>
        <w:ind w:firstLine="0" w:firstLineChars="0"/>
        <w:rPr>
          <w:rFonts w:ascii="黑体" w:eastAsia="黑体"/>
          <w:sz w:val="44"/>
          <w:szCs w:val="44"/>
        </w:rPr>
      </w:pPr>
    </w:p>
    <w:p w14:paraId="4D6B46B5">
      <w:pPr>
        <w:pStyle w:val="10"/>
        <w:ind w:firstLine="0" w:firstLineChars="0"/>
        <w:sectPr>
          <w:headerReference r:id="rId3" w:type="even"/>
          <w:footerReference r:id="rId4" w:type="even"/>
          <w:pgSz w:w="11906" w:h="16838"/>
          <w:pgMar w:top="567" w:right="1134" w:bottom="1134" w:left="1417" w:header="1418" w:footer="1134" w:gutter="0"/>
          <w:pgNumType w:start="1"/>
          <w:cols w:space="425" w:num="1"/>
          <w:formProt w:val="0"/>
          <w:docGrid w:type="lines" w:linePitch="312" w:charSpace="0"/>
        </w:sectPr>
      </w:pPr>
    </w:p>
    <w:p w14:paraId="68E0317A">
      <w:pPr>
        <w:pStyle w:val="16"/>
      </w:pPr>
      <w:bookmarkStart w:id="0" w:name="_Toc534386798"/>
      <w:bookmarkStart w:id="1" w:name="_Toc533273977"/>
      <w:bookmarkStart w:id="2" w:name="_Toc41326976"/>
      <w:bookmarkStart w:id="3" w:name="_Toc309992160"/>
      <w:r>
        <w:rPr>
          <w:rFonts w:hint="eastAsia"/>
        </w:rPr>
        <w:t>目次</w:t>
      </w:r>
      <w:bookmarkEnd w:id="0"/>
      <w:bookmarkEnd w:id="1"/>
      <w:bookmarkEnd w:id="2"/>
      <w:bookmarkEnd w:id="3"/>
    </w:p>
    <w:p w14:paraId="3442EFDB">
      <w:pPr>
        <w:pStyle w:val="6"/>
        <w:spacing w:before="78" w:after="78"/>
        <w:rPr>
          <w:rFonts w:asciiTheme="minorHAnsi" w:hAnsiTheme="minorHAnsi" w:eastAsiaTheme="minorEastAsia" w:cstheme="minorBidi"/>
          <w:szCs w:val="22"/>
        </w:rPr>
      </w:pPr>
      <w:r>
        <w:rPr>
          <w:rFonts w:hAnsi="宋体"/>
        </w:rPr>
        <w:fldChar w:fldCharType="begin"/>
      </w:r>
      <w:r>
        <w:rPr>
          <w:rFonts w:hAnsi="宋体"/>
        </w:rPr>
        <w:instrText xml:space="preserve"> </w:instrText>
      </w:r>
      <w:r>
        <w:rPr>
          <w:rFonts w:hint="eastAsia" w:hAnsi="宋体"/>
        </w:rPr>
        <w:instrText xml:space="preserve">TOC \o "1-1" \h \z \u</w:instrText>
      </w:r>
      <w:r>
        <w:rPr>
          <w:rFonts w:hAnsi="宋体"/>
        </w:rPr>
        <w:instrText xml:space="preserve"> </w:instrText>
      </w:r>
      <w:r>
        <w:rPr>
          <w:rFonts w:hAnsi="宋体"/>
        </w:rPr>
        <w:fldChar w:fldCharType="separate"/>
      </w:r>
      <w:r>
        <w:fldChar w:fldCharType="begin"/>
      </w:r>
      <w:r>
        <w:instrText xml:space="preserve"> HYPERLINK \l "_Toc41326977" </w:instrText>
      </w:r>
      <w:r>
        <w:fldChar w:fldCharType="separate"/>
      </w:r>
      <w:r>
        <w:rPr>
          <w:rStyle w:val="9"/>
          <w:rFonts w:hAnsi="宋体"/>
        </w:rPr>
        <w:t xml:space="preserve">1 </w:t>
      </w:r>
      <w:r>
        <w:rPr>
          <w:rStyle w:val="9"/>
          <w:rFonts w:hint="eastAsia" w:hAnsi="宋体"/>
        </w:rPr>
        <w:t>编制背景</w:t>
      </w:r>
      <w:r>
        <w:tab/>
      </w:r>
      <w:r>
        <w:fldChar w:fldCharType="begin"/>
      </w:r>
      <w:r>
        <w:instrText xml:space="preserve"> PAGEREF _Toc41326977 \h </w:instrText>
      </w:r>
      <w:r>
        <w:fldChar w:fldCharType="separate"/>
      </w:r>
      <w:r>
        <w:t>1</w:t>
      </w:r>
      <w:r>
        <w:fldChar w:fldCharType="end"/>
      </w:r>
      <w:r>
        <w:fldChar w:fldCharType="end"/>
      </w:r>
    </w:p>
    <w:p w14:paraId="1B59FDC4">
      <w:pPr>
        <w:pStyle w:val="6"/>
        <w:spacing w:before="78" w:after="78"/>
        <w:rPr>
          <w:rFonts w:asciiTheme="minorHAnsi" w:hAnsiTheme="minorHAnsi" w:eastAsiaTheme="minorEastAsia" w:cstheme="minorBidi"/>
          <w:szCs w:val="22"/>
        </w:rPr>
      </w:pPr>
      <w:r>
        <w:fldChar w:fldCharType="begin"/>
      </w:r>
      <w:r>
        <w:instrText xml:space="preserve"> HYPERLINK \l "_Toc41326978" </w:instrText>
      </w:r>
      <w:r>
        <w:fldChar w:fldCharType="separate"/>
      </w:r>
      <w:r>
        <w:rPr>
          <w:rStyle w:val="9"/>
          <w:rFonts w:hAnsi="宋体"/>
        </w:rPr>
        <w:t xml:space="preserve">2 </w:t>
      </w:r>
      <w:r>
        <w:rPr>
          <w:rStyle w:val="9"/>
          <w:rFonts w:hint="eastAsia" w:hAnsi="宋体"/>
        </w:rPr>
        <w:t>编制主要原则</w:t>
      </w:r>
      <w:r>
        <w:tab/>
      </w:r>
      <w:r>
        <w:fldChar w:fldCharType="begin"/>
      </w:r>
      <w:r>
        <w:instrText xml:space="preserve"> PAGEREF _Toc41326978 \h </w:instrText>
      </w:r>
      <w:r>
        <w:fldChar w:fldCharType="separate"/>
      </w:r>
      <w:r>
        <w:t>1</w:t>
      </w:r>
      <w:r>
        <w:fldChar w:fldCharType="end"/>
      </w:r>
      <w:r>
        <w:fldChar w:fldCharType="end"/>
      </w:r>
    </w:p>
    <w:p w14:paraId="5A27E168">
      <w:pPr>
        <w:pStyle w:val="6"/>
        <w:spacing w:before="78" w:after="78"/>
        <w:rPr>
          <w:rFonts w:asciiTheme="minorHAnsi" w:hAnsiTheme="minorHAnsi" w:eastAsiaTheme="minorEastAsia" w:cstheme="minorBidi"/>
          <w:szCs w:val="22"/>
        </w:rPr>
      </w:pPr>
      <w:r>
        <w:fldChar w:fldCharType="begin"/>
      </w:r>
      <w:r>
        <w:instrText xml:space="preserve"> HYPERLINK \l "_Toc41326979" </w:instrText>
      </w:r>
      <w:r>
        <w:fldChar w:fldCharType="separate"/>
      </w:r>
      <w:r>
        <w:rPr>
          <w:rStyle w:val="9"/>
          <w:rFonts w:hAnsi="宋体"/>
        </w:rPr>
        <w:t xml:space="preserve">3 </w:t>
      </w:r>
      <w:r>
        <w:rPr>
          <w:rStyle w:val="9"/>
          <w:rFonts w:hint="eastAsia" w:hAnsi="宋体"/>
        </w:rPr>
        <w:t>主要工作过程</w:t>
      </w:r>
      <w:r>
        <w:tab/>
      </w:r>
      <w:r>
        <w:fldChar w:fldCharType="begin"/>
      </w:r>
      <w:r>
        <w:instrText xml:space="preserve"> PAGEREF _Toc41326979 \h </w:instrText>
      </w:r>
      <w:r>
        <w:fldChar w:fldCharType="separate"/>
      </w:r>
      <w:r>
        <w:t>1</w:t>
      </w:r>
      <w:r>
        <w:fldChar w:fldCharType="end"/>
      </w:r>
      <w:r>
        <w:fldChar w:fldCharType="end"/>
      </w:r>
    </w:p>
    <w:p w14:paraId="65DCF08C">
      <w:pPr>
        <w:pStyle w:val="6"/>
        <w:spacing w:before="78" w:after="78"/>
        <w:rPr>
          <w:rFonts w:asciiTheme="minorHAnsi" w:hAnsiTheme="minorHAnsi" w:eastAsiaTheme="minorEastAsia" w:cstheme="minorBidi"/>
          <w:szCs w:val="22"/>
        </w:rPr>
      </w:pPr>
      <w:r>
        <w:fldChar w:fldCharType="begin"/>
      </w:r>
      <w:r>
        <w:instrText xml:space="preserve"> HYPERLINK \l "_Toc41326980" </w:instrText>
      </w:r>
      <w:r>
        <w:fldChar w:fldCharType="separate"/>
      </w:r>
      <w:r>
        <w:rPr>
          <w:rStyle w:val="9"/>
        </w:rPr>
        <w:t xml:space="preserve">4 </w:t>
      </w:r>
      <w:r>
        <w:rPr>
          <w:rStyle w:val="9"/>
          <w:rFonts w:hint="eastAsia" w:hAnsi="宋体"/>
        </w:rPr>
        <w:t>标准结构和内容说明</w:t>
      </w:r>
      <w:r>
        <w:tab/>
      </w:r>
      <w:r>
        <w:fldChar w:fldCharType="begin"/>
      </w:r>
      <w:r>
        <w:instrText xml:space="preserve"> PAGEREF _Toc41326980 \h </w:instrText>
      </w:r>
      <w:r>
        <w:fldChar w:fldCharType="separate"/>
      </w:r>
      <w:r>
        <w:t>1</w:t>
      </w:r>
      <w:r>
        <w:fldChar w:fldCharType="end"/>
      </w:r>
      <w:r>
        <w:fldChar w:fldCharType="end"/>
      </w:r>
    </w:p>
    <w:p w14:paraId="6630BFB9">
      <w:pPr>
        <w:pStyle w:val="6"/>
        <w:spacing w:before="78" w:after="78"/>
        <w:rPr>
          <w:rFonts w:asciiTheme="minorHAnsi" w:hAnsiTheme="minorHAnsi" w:eastAsiaTheme="minorEastAsia" w:cstheme="minorBidi"/>
          <w:szCs w:val="22"/>
        </w:rPr>
      </w:pPr>
      <w:r>
        <w:fldChar w:fldCharType="begin"/>
      </w:r>
      <w:r>
        <w:instrText xml:space="preserve"> HYPERLINK \l "_Toc41326981" </w:instrText>
      </w:r>
      <w:r>
        <w:fldChar w:fldCharType="separate"/>
      </w:r>
      <w:r>
        <w:rPr>
          <w:rStyle w:val="9"/>
          <w:kern w:val="0"/>
        </w:rPr>
        <w:t xml:space="preserve">5 </w:t>
      </w:r>
      <w:r>
        <w:rPr>
          <w:rStyle w:val="9"/>
          <w:rFonts w:hint="eastAsia"/>
          <w:kern w:val="0"/>
        </w:rPr>
        <w:t>标准水平说明</w:t>
      </w:r>
      <w:r>
        <w:tab/>
      </w:r>
      <w:r>
        <w:fldChar w:fldCharType="begin"/>
      </w:r>
      <w:r>
        <w:instrText xml:space="preserve"> PAGEREF _Toc41326981 \h </w:instrText>
      </w:r>
      <w:r>
        <w:fldChar w:fldCharType="separate"/>
      </w:r>
      <w:r>
        <w:t>2</w:t>
      </w:r>
      <w:r>
        <w:fldChar w:fldCharType="end"/>
      </w:r>
      <w:r>
        <w:fldChar w:fldCharType="end"/>
      </w:r>
    </w:p>
    <w:p w14:paraId="1B83E419">
      <w:pPr>
        <w:pStyle w:val="6"/>
        <w:spacing w:before="78" w:after="78"/>
        <w:rPr>
          <w:rFonts w:asciiTheme="minorHAnsi" w:hAnsiTheme="minorHAnsi" w:eastAsiaTheme="minorEastAsia" w:cstheme="minorBidi"/>
          <w:szCs w:val="22"/>
        </w:rPr>
      </w:pPr>
      <w:r>
        <w:fldChar w:fldCharType="begin"/>
      </w:r>
      <w:r>
        <w:instrText xml:space="preserve"> HYPERLINK \l "_Toc41326982" </w:instrText>
      </w:r>
      <w:r>
        <w:fldChar w:fldCharType="separate"/>
      </w:r>
      <w:r>
        <w:rPr>
          <w:rStyle w:val="9"/>
          <w:rFonts w:hAnsi="宋体"/>
        </w:rPr>
        <w:t xml:space="preserve">6 </w:t>
      </w:r>
      <w:r>
        <w:rPr>
          <w:rStyle w:val="9"/>
          <w:rFonts w:hint="eastAsia" w:hAnsi="宋体"/>
        </w:rPr>
        <w:t>标准实施措施说明</w:t>
      </w:r>
      <w:r>
        <w:tab/>
      </w:r>
      <w:r>
        <w:fldChar w:fldCharType="begin"/>
      </w:r>
      <w:r>
        <w:instrText xml:space="preserve"> PAGEREF _Toc41326982 \h </w:instrText>
      </w:r>
      <w:r>
        <w:fldChar w:fldCharType="separate"/>
      </w:r>
      <w:r>
        <w:t>2</w:t>
      </w:r>
      <w:r>
        <w:fldChar w:fldCharType="end"/>
      </w:r>
      <w:r>
        <w:fldChar w:fldCharType="end"/>
      </w:r>
    </w:p>
    <w:p w14:paraId="2C900A96">
      <w:pPr>
        <w:pStyle w:val="6"/>
        <w:spacing w:before="78" w:after="78"/>
        <w:rPr>
          <w:rFonts w:hAnsi="宋体"/>
        </w:rPr>
      </w:pPr>
      <w:r>
        <w:rPr>
          <w:rFonts w:hAnsi="宋体"/>
        </w:rPr>
        <w:fldChar w:fldCharType="end"/>
      </w:r>
    </w:p>
    <w:p w14:paraId="1C2A2B0D">
      <w:pPr>
        <w:pStyle w:val="10"/>
        <w:spacing w:before="156" w:after="156"/>
        <w:rPr>
          <w:rFonts w:hAnsi="宋体"/>
          <w:szCs w:val="21"/>
        </w:rPr>
      </w:pPr>
    </w:p>
    <w:p w14:paraId="59202715">
      <w:pPr>
        <w:pStyle w:val="10"/>
        <w:spacing w:before="156" w:after="156"/>
        <w:rPr>
          <w:rFonts w:hAnsi="宋体"/>
          <w:szCs w:val="21"/>
        </w:rPr>
        <w:sectPr>
          <w:footerReference r:id="rId5" w:type="default"/>
          <w:pgSz w:w="11906" w:h="16838"/>
          <w:pgMar w:top="567" w:right="1134" w:bottom="1134" w:left="1417" w:header="1418" w:footer="1134" w:gutter="0"/>
          <w:pgNumType w:fmt="upperRoman" w:start="1"/>
          <w:cols w:space="425" w:num="1"/>
          <w:formProt w:val="0"/>
          <w:docGrid w:type="lines" w:linePitch="312" w:charSpace="0"/>
        </w:sectPr>
      </w:pPr>
    </w:p>
    <w:p w14:paraId="75577821">
      <w:pPr>
        <w:pStyle w:val="21"/>
        <w:spacing w:before="312" w:after="312"/>
        <w:rPr>
          <w:rFonts w:ascii="宋体" w:hAnsi="宋体"/>
          <w:szCs w:val="21"/>
        </w:rPr>
      </w:pPr>
      <w:bookmarkStart w:id="4" w:name="_Toc533273978"/>
      <w:bookmarkStart w:id="5" w:name="_Toc41326977"/>
      <w:r>
        <w:rPr>
          <w:rFonts w:hint="eastAsia" w:ascii="宋体" w:hAnsi="宋体"/>
          <w:szCs w:val="21"/>
        </w:rPr>
        <w:t>1 编制背景</w:t>
      </w:r>
      <w:bookmarkEnd w:id="4"/>
      <w:bookmarkEnd w:id="5"/>
    </w:p>
    <w:p w14:paraId="4100473A">
      <w:pPr>
        <w:pStyle w:val="10"/>
        <w:rPr>
          <w:rFonts w:hint="default" w:ascii="宋体" w:eastAsia="宋体"/>
          <w:lang w:val="en-US" w:eastAsia="zh-CN"/>
        </w:rPr>
      </w:pPr>
      <w:r>
        <w:rPr>
          <w:rFonts w:hint="eastAsia"/>
        </w:rPr>
        <w:t>本</w:t>
      </w:r>
      <w:r>
        <w:rPr>
          <w:rFonts w:hint="eastAsia" w:ascii="宋体" w:eastAsia="宋体"/>
        </w:rPr>
        <w:t>标准是根据《关于印发2025年第一批中国电力建设企业协会团体标准制定计划的通知》（中电建协〔2025〕131号）</w:t>
      </w:r>
      <w:r>
        <w:rPr>
          <w:rFonts w:hint="eastAsia" w:ascii="宋体" w:eastAsia="宋体"/>
          <w:lang w:val="en-US" w:eastAsia="zh-CN"/>
        </w:rPr>
        <w:t>下达的制定任务，项目序号为T/CEPCA202508</w:t>
      </w:r>
      <w:r>
        <w:rPr>
          <w:rFonts w:hint="eastAsia"/>
          <w:lang w:val="en-US" w:eastAsia="zh-CN"/>
        </w:rPr>
        <w:t>6</w:t>
      </w:r>
      <w:r>
        <w:rPr>
          <w:rFonts w:hint="eastAsia" w:ascii="宋体" w:eastAsia="宋体"/>
          <w:lang w:val="en-US" w:eastAsia="zh-CN"/>
        </w:rPr>
        <w:t>。</w:t>
      </w:r>
      <w:r>
        <w:rPr>
          <w:rFonts w:hint="eastAsia"/>
        </w:rPr>
        <w:t>由华北电力科学研究院有限责任公司</w:t>
      </w:r>
      <w:r>
        <w:t>负责</w:t>
      </w:r>
      <w:r>
        <w:rPr>
          <w:rFonts w:hint="eastAsia"/>
          <w:lang w:val="en-US" w:eastAsia="zh-CN"/>
        </w:rPr>
        <w:t>牵头</w:t>
      </w:r>
      <w:r>
        <w:t>起草。</w:t>
      </w:r>
    </w:p>
    <w:p w14:paraId="53938EC2">
      <w:pPr>
        <w:spacing w:line="240" w:lineRule="auto"/>
        <w:ind w:firstLine="420" w:firstLineChars="200"/>
        <w:rPr>
          <w:rFonts w:hint="default"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为了响应我国电力需求激增与生态治理的双重诉求，新型电力系统逐步呈现出高比例新能源和高比例电力电子装置的双高特征。沙漠、戈壁、荒漠等形成的多个新能源大基地规模化开发，通过特高压直流输送至中东部地区，这种“直流+新能源”的方式对常规机组替代明显。电网物理形态由同步发电机为主导的机械电磁系统向由电力电子设备和同步机共同主导的混合系统转变，新能源成为主要能源也是新型电力系统本质特征。同时，大量风电、光伏、储能通过变流器接入电力系统，使得系统惯量降低、电源支撑能力变弱，稳定问题突出。在双高特征下，电力系统的安全稳定运行面临重大挑战。</w:t>
      </w:r>
    </w:p>
    <w:p w14:paraId="28D3577C">
      <w:pPr>
        <w:spacing w:line="240" w:lineRule="auto"/>
        <w:ind w:firstLine="420" w:firstLineChars="200"/>
        <w:rPr>
          <w:rFonts w:hint="eastAsia" w:ascii="宋体" w:hAnsi="Times New Roman" w:eastAsia="宋体" w:cs="Times New Roman"/>
          <w:kern w:val="0"/>
          <w:sz w:val="21"/>
          <w:szCs w:val="20"/>
          <w:lang w:val="en-US" w:eastAsia="zh-CN" w:bidi="ar-SA"/>
        </w:rPr>
      </w:pPr>
      <w:r>
        <w:rPr>
          <w:rFonts w:hint="default" w:ascii="宋体" w:hAnsi="Times New Roman" w:eastAsia="宋体" w:cs="Times New Roman"/>
          <w:kern w:val="0"/>
          <w:sz w:val="21"/>
          <w:szCs w:val="20"/>
          <w:lang w:val="en-US" w:eastAsia="zh-CN" w:bidi="ar-SA"/>
        </w:rPr>
        <w:t>常规的电力电子设备如静止型无功发生器（SVG）等采用跟网型控制，无法为系统提供惯量支撑，且呈现强电流源特性，在弱电网下极易引起系统过电压、宽频振荡、次同步振荡问题。而传统的同步调相机又存在响应速度慢，运行调节不灵活，运维工作量大等问题，难以适应新型电力系统的发展。而基于构网控制，采用超级电容储能的静止调相机（Static Condensor）</w:t>
      </w:r>
      <w:r>
        <w:rPr>
          <w:rFonts w:hint="eastAsia" w:ascii="宋体" w:hAnsi="Times New Roman" w:eastAsia="宋体" w:cs="Times New Roman"/>
          <w:kern w:val="0"/>
          <w:sz w:val="21"/>
          <w:szCs w:val="20"/>
          <w:lang w:val="en-US" w:eastAsia="zh-CN" w:bidi="ar-SA"/>
        </w:rPr>
        <w:t>（以下简称静调）可以实现对系统暂态电压的快速响应和短时惯量及短路电流的支撑，正在成为支撑沙戈荒大基地新能源送出、末端变电站、高负荷密度城市中心变电站等多场景安全稳定运行的重要设备，已经在冀北、新疆、西藏、吉林、辽宁等电网中得到应用。</w:t>
      </w:r>
    </w:p>
    <w:p w14:paraId="7CB4340D">
      <w:pPr>
        <w:spacing w:line="240" w:lineRule="auto"/>
        <w:ind w:firstLine="420" w:firstLineChars="200"/>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但目前尚无针对静调的功能规范和试验要求，缺乏明确的技术要求，各厂家产品功能差异较大，而用户则缺少检测和评价标准。同时由于静调与调相机在运行机理、关键设备、涉网特性等方面都存在较大差异，现有的调相机相关技术标准仅能作为部分参考，并不适用。而SVG等跟网控制的电力电子装置与静调输出特性差异更大，无法沿用已有标准。因此为了统一规范静调的技术特性，提升整体行业技术水平，指导静调的研发、生产、试验、调试及应用，亟需制定针对静调的相关技术标准。</w:t>
      </w:r>
    </w:p>
    <w:p w14:paraId="02C11DC7">
      <w:pPr>
        <w:pStyle w:val="10"/>
        <w:rPr>
          <w:rFonts w:hint="eastAsia" w:ascii="宋体" w:hAnsi="Times New Roman" w:eastAsia="宋体" w:cs="Times New Roman"/>
          <w:kern w:val="0"/>
          <w:sz w:val="21"/>
          <w:szCs w:val="20"/>
          <w:lang w:val="en-US" w:eastAsia="zh-CN" w:bidi="ar-SA"/>
        </w:rPr>
      </w:pPr>
      <w:r>
        <w:rPr>
          <w:rFonts w:hint="eastAsia" w:ascii="宋体" w:hAnsi="Times New Roman" w:eastAsia="宋体" w:cs="Times New Roman"/>
          <w:kern w:val="0"/>
          <w:sz w:val="21"/>
          <w:szCs w:val="20"/>
          <w:lang w:val="en-US" w:eastAsia="zh-CN" w:bidi="ar-SA"/>
        </w:rPr>
        <w:t>本系列标准包含功能规范、涉网性能仿真试验和现场并网试验三部分，立足于冀北和西藏等典型工程，提出静调的技术要求和不同场景下的试验检测方法。本标准为静止调相机系列标准第</w:t>
      </w:r>
      <w:r>
        <w:rPr>
          <w:rFonts w:hint="eastAsia" w:cs="Times New Roman"/>
          <w:kern w:val="0"/>
          <w:sz w:val="21"/>
          <w:szCs w:val="20"/>
          <w:lang w:val="en-US" w:eastAsia="zh-CN" w:bidi="ar-SA"/>
        </w:rPr>
        <w:t>3</w:t>
      </w:r>
      <w:r>
        <w:rPr>
          <w:rFonts w:hint="eastAsia" w:ascii="宋体" w:hAnsi="Times New Roman" w:eastAsia="宋体" w:cs="Times New Roman"/>
          <w:kern w:val="0"/>
          <w:sz w:val="21"/>
          <w:szCs w:val="20"/>
          <w:lang w:val="en-US" w:eastAsia="zh-CN" w:bidi="ar-SA"/>
        </w:rPr>
        <w:t>部分。</w:t>
      </w:r>
    </w:p>
    <w:p w14:paraId="73230A40">
      <w:pPr>
        <w:pStyle w:val="21"/>
        <w:spacing w:before="312" w:after="312"/>
        <w:rPr>
          <w:rFonts w:ascii="宋体" w:hAnsi="宋体"/>
          <w:szCs w:val="21"/>
          <w:lang w:eastAsia="zh-CN"/>
        </w:rPr>
      </w:pPr>
      <w:bookmarkStart w:id="6" w:name="_Toc41326978"/>
      <w:bookmarkStart w:id="7" w:name="_Toc533273979"/>
      <w:r>
        <w:rPr>
          <w:rFonts w:hint="eastAsia" w:ascii="宋体" w:hAnsi="宋体"/>
          <w:szCs w:val="21"/>
        </w:rPr>
        <w:t>2 编制主要原则</w:t>
      </w:r>
      <w:bookmarkEnd w:id="6"/>
      <w:bookmarkEnd w:id="7"/>
    </w:p>
    <w:p w14:paraId="76C4394D">
      <w:pPr>
        <w:pStyle w:val="10"/>
        <w:rPr>
          <w:rFonts w:asciiTheme="minorEastAsia" w:hAnsiTheme="minorEastAsia" w:eastAsiaTheme="minorEastAsia"/>
        </w:rPr>
      </w:pPr>
      <w:r>
        <w:rPr>
          <w:rFonts w:hint="eastAsia" w:ascii="Times New Roman"/>
        </w:rPr>
        <w:t>本标准遵守现有相关法律、条例、标注和导则等要求。</w:t>
      </w:r>
    </w:p>
    <w:p w14:paraId="16615C78">
      <w:pPr>
        <w:pStyle w:val="2"/>
        <w:ind w:firstLine="420" w:firstLineChars="200"/>
        <w:rPr>
          <w:rFonts w:hint="eastAsia" w:ascii="Times New Roman" w:hAnsi="Times New Roman" w:eastAsia="宋体" w:cs="Times New Roman"/>
          <w:color w:val="auto"/>
          <w:kern w:val="0"/>
          <w:sz w:val="21"/>
          <w:szCs w:val="20"/>
          <w:lang w:val="en-US" w:eastAsia="zh-CN" w:bidi="ar-SA"/>
        </w:rPr>
      </w:pPr>
      <w:r>
        <w:rPr>
          <w:rFonts w:hint="eastAsia" w:ascii="Times New Roman" w:hAnsi="Times New Roman" w:eastAsia="宋体" w:cs="Times New Roman"/>
          <w:color w:val="auto"/>
          <w:kern w:val="0"/>
          <w:sz w:val="21"/>
          <w:szCs w:val="20"/>
          <w:lang w:val="en-US" w:eastAsia="zh-CN" w:bidi="ar-SA"/>
        </w:rPr>
        <w:t>本文件规定了静止调相机（以下简称“静调”）现场并网试验要求、试验内容和方法、试验报告要求等</w:t>
      </w:r>
    </w:p>
    <w:p w14:paraId="11A05097">
      <w:pPr>
        <w:pStyle w:val="21"/>
        <w:spacing w:before="312" w:after="312"/>
        <w:rPr>
          <w:rFonts w:ascii="宋体" w:hAnsi="宋体"/>
          <w:szCs w:val="21"/>
          <w:lang w:eastAsia="zh-CN"/>
        </w:rPr>
      </w:pPr>
      <w:bookmarkStart w:id="8" w:name="_Toc533273980"/>
      <w:bookmarkStart w:id="9" w:name="_Toc41326979"/>
      <w:r>
        <w:rPr>
          <w:rFonts w:hint="eastAsia" w:ascii="宋体" w:hAnsi="宋体"/>
          <w:szCs w:val="21"/>
        </w:rPr>
        <w:t xml:space="preserve">3 </w:t>
      </w:r>
      <w:bookmarkEnd w:id="8"/>
      <w:r>
        <w:rPr>
          <w:rFonts w:hint="eastAsia" w:ascii="宋体" w:hAnsi="宋体"/>
          <w:szCs w:val="21"/>
        </w:rPr>
        <w:t>主要工作过程</w:t>
      </w:r>
      <w:bookmarkEnd w:id="9"/>
    </w:p>
    <w:p w14:paraId="5F3AE5BF">
      <w:pPr>
        <w:ind w:firstLine="420"/>
      </w:pPr>
      <w:r>
        <w:rPr>
          <w:rFonts w:hint="eastAsia"/>
        </w:rPr>
        <w:t>本标准编制</w:t>
      </w:r>
      <w:r>
        <w:rPr>
          <w:rFonts w:hint="eastAsia"/>
          <w:lang w:val="en-US" w:eastAsia="zh-CN"/>
        </w:rPr>
        <w:t>周期为12个月</w:t>
      </w:r>
      <w:r>
        <w:rPr>
          <w:rFonts w:hint="eastAsia"/>
          <w:lang w:eastAsia="zh-CN"/>
        </w:rPr>
        <w:t>，</w:t>
      </w:r>
      <w:r>
        <w:rPr>
          <w:rFonts w:hint="eastAsia"/>
        </w:rPr>
        <w:t>具体过程如下：</w:t>
      </w:r>
    </w:p>
    <w:p w14:paraId="43280856">
      <w:pPr>
        <w:ind w:firstLine="420"/>
      </w:pPr>
      <w:r>
        <w:rPr>
          <w:rFonts w:hint="eastAsia"/>
        </w:rPr>
        <w:t>20</w:t>
      </w:r>
      <w:r>
        <w:rPr>
          <w:rFonts w:hint="eastAsia"/>
          <w:lang w:val="en-US" w:eastAsia="zh-CN"/>
        </w:rPr>
        <w:t>25</w:t>
      </w:r>
      <w:r>
        <w:rPr>
          <w:rFonts w:hint="eastAsia"/>
        </w:rPr>
        <w:t>年6月，</w:t>
      </w:r>
      <w:r>
        <w:rPr>
          <w:rFonts w:hint="eastAsia"/>
          <w:lang w:val="en-US" w:eastAsia="zh-CN"/>
        </w:rPr>
        <w:t>中国电力建设企业协会</w:t>
      </w:r>
      <w:r>
        <w:rPr>
          <w:rFonts w:hint="eastAsia"/>
        </w:rPr>
        <w:t>下达20</w:t>
      </w:r>
      <w:r>
        <w:rPr>
          <w:rFonts w:hint="eastAsia"/>
          <w:lang w:val="en-US" w:eastAsia="zh-CN"/>
        </w:rPr>
        <w:t>25</w:t>
      </w:r>
      <w:r>
        <w:rPr>
          <w:rFonts w:hint="eastAsia"/>
        </w:rPr>
        <w:t>年第一批标准计划，本标准正式立项，项目序号</w:t>
      </w:r>
      <w:r>
        <w:rPr>
          <w:rFonts w:hint="eastAsia" w:ascii="宋体" w:eastAsia="宋体"/>
          <w:lang w:val="en-US" w:eastAsia="zh-CN"/>
        </w:rPr>
        <w:t>T/CEPCA202508</w:t>
      </w:r>
      <w:r>
        <w:rPr>
          <w:rFonts w:hint="eastAsia" w:ascii="宋体"/>
          <w:lang w:val="en-US" w:eastAsia="zh-CN"/>
        </w:rPr>
        <w:t>6</w:t>
      </w:r>
      <w:r>
        <w:rPr>
          <w:rFonts w:hint="eastAsia"/>
        </w:rPr>
        <w:t>。</w:t>
      </w:r>
    </w:p>
    <w:p w14:paraId="6FA04370">
      <w:pPr>
        <w:ind w:firstLine="420"/>
        <w:rPr>
          <w:rFonts w:hint="eastAsia"/>
          <w:lang w:val="en-US" w:eastAsia="zh-CN"/>
        </w:rPr>
      </w:pPr>
      <w:r>
        <w:rPr>
          <w:rFonts w:hint="eastAsia"/>
        </w:rPr>
        <w:t>20</w:t>
      </w:r>
      <w:r>
        <w:rPr>
          <w:rFonts w:hint="eastAsia"/>
          <w:lang w:val="en-US" w:eastAsia="zh-CN"/>
        </w:rPr>
        <w:t>25</w:t>
      </w:r>
      <w:r>
        <w:rPr>
          <w:rFonts w:hint="eastAsia"/>
        </w:rPr>
        <w:t>年</w:t>
      </w:r>
      <w:r>
        <w:rPr>
          <w:rFonts w:hint="eastAsia"/>
          <w:lang w:val="en-US" w:eastAsia="zh-CN"/>
        </w:rPr>
        <w:t>8</w:t>
      </w:r>
      <w:r>
        <w:rPr>
          <w:rFonts w:hint="eastAsia"/>
        </w:rPr>
        <w:t>月，</w:t>
      </w:r>
      <w:r>
        <w:rPr>
          <w:rFonts w:hint="eastAsia"/>
          <w:lang w:val="en-US" w:eastAsia="zh-CN"/>
        </w:rPr>
        <w:t>由中国电力建设企业协会</w:t>
      </w:r>
      <w:r>
        <w:rPr>
          <w:rFonts w:hint="eastAsia"/>
        </w:rPr>
        <w:t>在</w:t>
      </w:r>
      <w:r>
        <w:rPr>
          <w:rFonts w:hint="eastAsia"/>
          <w:lang w:val="en-US" w:eastAsia="zh-CN"/>
        </w:rPr>
        <w:t>衡阳统一组织</w:t>
      </w:r>
      <w:r>
        <w:rPr>
          <w:rFonts w:hint="eastAsia"/>
        </w:rPr>
        <w:t>召开了</w:t>
      </w:r>
      <w:r>
        <w:rPr>
          <w:rFonts w:hint="eastAsia"/>
          <w:lang w:val="en-US" w:eastAsia="zh-CN"/>
        </w:rPr>
        <w:t>2025年第一批团体标准编制启动会和培训会，提出第一批标准编制工作要求，解读团体标准体系建设、立项研制和标准审查要点。</w:t>
      </w:r>
    </w:p>
    <w:p w14:paraId="2F9B6EFE">
      <w:pPr>
        <w:ind w:firstLine="420"/>
        <w:rPr>
          <w:rFonts w:hint="eastAsia"/>
          <w:lang w:val="en-US" w:eastAsia="zh-CN"/>
        </w:rPr>
      </w:pPr>
      <w:r>
        <w:rPr>
          <w:rFonts w:hint="eastAsia"/>
          <w:lang w:val="en-US" w:eastAsia="zh-CN"/>
        </w:rPr>
        <w:t>2025年9月，</w:t>
      </w:r>
      <w:r>
        <w:rPr>
          <w:rFonts w:hint="eastAsia"/>
        </w:rPr>
        <w:t>华北电力科学研究院有限责任公司</w:t>
      </w:r>
      <w:r>
        <w:rPr>
          <w:rFonts w:hint="eastAsia"/>
          <w:lang w:val="en-US" w:eastAsia="zh-CN"/>
        </w:rPr>
        <w:t>组织参编单位在北京召开本标准启动会暨第一次起草工作组会议，成立标准编写组，讨论标准编制大纲及分工，制定标准编制计划。</w:t>
      </w:r>
    </w:p>
    <w:p w14:paraId="3E36795C">
      <w:pPr>
        <w:ind w:firstLine="420"/>
        <w:rPr>
          <w:rFonts w:hint="eastAsia"/>
          <w:lang w:val="en-US" w:eastAsia="zh-CN"/>
        </w:rPr>
      </w:pPr>
      <w:r>
        <w:rPr>
          <w:rFonts w:hint="eastAsia"/>
          <w:lang w:val="en-US" w:eastAsia="zh-CN"/>
        </w:rPr>
        <w:t>2025年10月，根据中电建协</w:t>
      </w:r>
      <w:r>
        <w:rPr>
          <w:rFonts w:hint="eastAsia" w:ascii="宋体" w:eastAsia="宋体"/>
        </w:rPr>
        <w:t>〔2025〕</w:t>
      </w:r>
      <w:r>
        <w:rPr>
          <w:rFonts w:hint="eastAsia"/>
          <w:lang w:val="en-US" w:eastAsia="zh-CN"/>
        </w:rPr>
        <w:t>274号文件，</w:t>
      </w:r>
      <w:r>
        <w:rPr>
          <w:rFonts w:hint="eastAsia"/>
        </w:rPr>
        <w:t>华北电力科学研究院有限责任公司</w:t>
      </w:r>
      <w:r>
        <w:rPr>
          <w:rFonts w:hint="eastAsia"/>
          <w:lang w:val="en-US" w:eastAsia="zh-CN"/>
        </w:rPr>
        <w:t>组织参编单位在西安召开本标准初稿讨论会。</w:t>
      </w:r>
    </w:p>
    <w:p w14:paraId="45D745BE">
      <w:pPr>
        <w:ind w:firstLine="420"/>
        <w:rPr>
          <w:rFonts w:hint="default"/>
          <w:lang w:val="en-US" w:eastAsia="zh-CN"/>
        </w:rPr>
      </w:pPr>
      <w:r>
        <w:rPr>
          <w:rFonts w:hint="eastAsia"/>
          <w:lang w:val="en-US" w:eastAsia="zh-CN"/>
        </w:rPr>
        <w:t>2025年12月，根据中电建协</w:t>
      </w:r>
      <w:r>
        <w:rPr>
          <w:rFonts w:hint="eastAsia" w:ascii="宋体" w:eastAsia="宋体"/>
        </w:rPr>
        <w:t>〔2025〕</w:t>
      </w:r>
      <w:r>
        <w:rPr>
          <w:rFonts w:hint="eastAsia"/>
          <w:lang w:val="en-US" w:eastAsia="zh-CN"/>
        </w:rPr>
        <w:t>356号文件，由中国电力建设企业协会组织，</w:t>
      </w:r>
      <w:r>
        <w:rPr>
          <w:rFonts w:hint="eastAsia"/>
        </w:rPr>
        <w:t>华北电力科学研究院有限责任公司</w:t>
      </w:r>
      <w:r>
        <w:rPr>
          <w:rFonts w:hint="eastAsia"/>
          <w:lang w:val="en-US" w:eastAsia="zh-CN"/>
        </w:rPr>
        <w:t>召集参编单位在洛阳召开本标准征求意见稿讨论会。</w:t>
      </w:r>
    </w:p>
    <w:p w14:paraId="3F495837">
      <w:pPr>
        <w:pStyle w:val="21"/>
        <w:spacing w:before="312" w:after="312"/>
      </w:pPr>
      <w:bookmarkStart w:id="10" w:name="_Toc533273982"/>
      <w:bookmarkStart w:id="11" w:name="_Toc41326980"/>
      <w:r>
        <w:rPr>
          <w:rFonts w:hint="eastAsia"/>
        </w:rPr>
        <w:t xml:space="preserve">4 </w:t>
      </w:r>
      <w:r>
        <w:rPr>
          <w:rFonts w:hint="eastAsia" w:ascii="宋体" w:hAnsi="宋体"/>
          <w:szCs w:val="21"/>
        </w:rPr>
        <w:t>标准结构和内容</w:t>
      </w:r>
      <w:bookmarkEnd w:id="10"/>
      <w:r>
        <w:rPr>
          <w:rFonts w:hint="eastAsia" w:ascii="宋体" w:hAnsi="宋体"/>
          <w:szCs w:val="21"/>
        </w:rPr>
        <w:t>说明</w:t>
      </w:r>
      <w:bookmarkEnd w:id="11"/>
    </w:p>
    <w:p w14:paraId="4A2A2C68">
      <w:pPr>
        <w:ind w:firstLine="630" w:firstLineChars="300"/>
      </w:pPr>
      <w:r>
        <w:rPr>
          <w:rFonts w:hint="eastAsia"/>
        </w:rPr>
        <w:t>本标准的主要结构和内容如下：</w:t>
      </w:r>
    </w:p>
    <w:p w14:paraId="2BB15EDA">
      <w:pPr>
        <w:widowControl/>
        <w:numPr>
          <w:ilvl w:val="0"/>
          <w:numId w:val="2"/>
        </w:numPr>
        <w:rPr>
          <w:rFonts w:ascii="宋体"/>
          <w:kern w:val="0"/>
          <w:szCs w:val="20"/>
        </w:rPr>
      </w:pPr>
      <w:r>
        <w:rPr>
          <w:rFonts w:hint="eastAsia" w:ascii="宋体"/>
          <w:kern w:val="0"/>
          <w:szCs w:val="20"/>
        </w:rPr>
        <w:t>目次</w:t>
      </w:r>
    </w:p>
    <w:p w14:paraId="0AD34B15">
      <w:pPr>
        <w:widowControl/>
        <w:numPr>
          <w:ilvl w:val="0"/>
          <w:numId w:val="2"/>
        </w:numPr>
        <w:rPr>
          <w:rFonts w:ascii="宋体"/>
          <w:kern w:val="0"/>
          <w:szCs w:val="20"/>
        </w:rPr>
      </w:pPr>
      <w:r>
        <w:rPr>
          <w:rFonts w:hint="eastAsia" w:ascii="宋体"/>
          <w:kern w:val="0"/>
          <w:szCs w:val="20"/>
        </w:rPr>
        <w:t>前言</w:t>
      </w:r>
    </w:p>
    <w:p w14:paraId="66ECC9C9">
      <w:pPr>
        <w:widowControl/>
        <w:numPr>
          <w:ilvl w:val="0"/>
          <w:numId w:val="2"/>
        </w:numPr>
        <w:rPr>
          <w:rFonts w:ascii="宋体"/>
          <w:kern w:val="0"/>
          <w:szCs w:val="20"/>
        </w:rPr>
      </w:pPr>
      <w:r>
        <w:rPr>
          <w:rFonts w:hint="eastAsia" w:ascii="宋体"/>
          <w:kern w:val="0"/>
          <w:szCs w:val="20"/>
        </w:rPr>
        <w:t>标准正文，共设</w:t>
      </w:r>
      <w:r>
        <w:rPr>
          <w:rFonts w:hint="eastAsia" w:ascii="宋体"/>
          <w:kern w:val="0"/>
          <w:szCs w:val="20"/>
          <w:lang w:val="en-US" w:eastAsia="zh-CN"/>
        </w:rPr>
        <w:t>6</w:t>
      </w:r>
      <w:r>
        <w:rPr>
          <w:rFonts w:hint="eastAsia" w:ascii="宋体"/>
          <w:kern w:val="0"/>
          <w:szCs w:val="20"/>
        </w:rPr>
        <w:t>章，包括范围、规范性引用文件、术语和定义、</w:t>
      </w:r>
      <w:r>
        <w:rPr>
          <w:rFonts w:hint="eastAsia" w:ascii="宋体"/>
          <w:kern w:val="0"/>
          <w:szCs w:val="20"/>
          <w:lang w:val="en-US" w:eastAsia="zh-CN"/>
        </w:rPr>
        <w:t>试验要求</w:t>
      </w:r>
      <w:r>
        <w:rPr>
          <w:rFonts w:hint="eastAsia" w:ascii="宋体"/>
          <w:kern w:val="0"/>
          <w:szCs w:val="20"/>
        </w:rPr>
        <w:t>、</w:t>
      </w:r>
      <w:r>
        <w:rPr>
          <w:rFonts w:hint="eastAsia" w:ascii="宋体"/>
          <w:kern w:val="0"/>
          <w:szCs w:val="20"/>
          <w:lang w:val="en-US" w:eastAsia="zh-CN"/>
        </w:rPr>
        <w:t>试验内容及方法</w:t>
      </w:r>
      <w:r>
        <w:rPr>
          <w:rFonts w:hint="eastAsia" w:ascii="宋体"/>
          <w:kern w:val="0"/>
          <w:szCs w:val="20"/>
        </w:rPr>
        <w:t>、</w:t>
      </w:r>
      <w:r>
        <w:rPr>
          <w:rFonts w:hint="eastAsia" w:ascii="宋体"/>
          <w:kern w:val="0"/>
          <w:szCs w:val="20"/>
          <w:lang w:val="en-US" w:eastAsia="zh-CN"/>
        </w:rPr>
        <w:t>试验报告</w:t>
      </w:r>
      <w:r>
        <w:rPr>
          <w:rFonts w:hint="eastAsia" w:ascii="宋体"/>
          <w:kern w:val="0"/>
          <w:szCs w:val="20"/>
        </w:rPr>
        <w:t>。</w:t>
      </w:r>
    </w:p>
    <w:p w14:paraId="2862C849">
      <w:pPr>
        <w:pStyle w:val="21"/>
        <w:spacing w:before="312" w:after="312"/>
        <w:rPr>
          <w:rFonts w:ascii="宋体"/>
          <w:kern w:val="0"/>
          <w:szCs w:val="20"/>
        </w:rPr>
      </w:pPr>
      <w:bookmarkStart w:id="12" w:name="_Toc41326981"/>
      <w:r>
        <w:rPr>
          <w:rFonts w:hint="eastAsia" w:ascii="宋体"/>
          <w:kern w:val="0"/>
          <w:szCs w:val="20"/>
        </w:rPr>
        <w:t>5</w:t>
      </w:r>
      <w:r>
        <w:rPr>
          <w:rFonts w:hint="eastAsia" w:ascii="宋体"/>
          <w:kern w:val="0"/>
          <w:szCs w:val="20"/>
          <w:lang w:eastAsia="zh-CN"/>
        </w:rPr>
        <w:t xml:space="preserve"> </w:t>
      </w:r>
      <w:r>
        <w:rPr>
          <w:rFonts w:hint="eastAsia" w:ascii="宋体"/>
          <w:kern w:val="0"/>
          <w:szCs w:val="20"/>
        </w:rPr>
        <w:t>标准水平说明</w:t>
      </w:r>
      <w:bookmarkEnd w:id="12"/>
    </w:p>
    <w:p w14:paraId="5A69C075">
      <w:pPr>
        <w:widowControl/>
        <w:ind w:firstLine="420" w:firstLineChars="200"/>
        <w:rPr>
          <w:rFonts w:ascii="宋体"/>
          <w:kern w:val="0"/>
          <w:szCs w:val="20"/>
        </w:rPr>
      </w:pPr>
      <w:r>
        <w:rPr>
          <w:rFonts w:hint="eastAsia"/>
        </w:rPr>
        <w:t>目前国内尚缺乏关于</w:t>
      </w:r>
      <w:r>
        <w:rPr>
          <w:rFonts w:hint="eastAsia" w:hAnsi="黑体"/>
          <w:lang w:val="en-US" w:eastAsia="zh-CN"/>
        </w:rPr>
        <w:t>静止调相机的现场并网试验的相关技术要求</w:t>
      </w:r>
      <w:r>
        <w:rPr>
          <w:rFonts w:hint="eastAsia"/>
        </w:rPr>
        <w:t>。</w:t>
      </w:r>
    </w:p>
    <w:p w14:paraId="74032798">
      <w:pPr>
        <w:pStyle w:val="21"/>
        <w:spacing w:before="312" w:after="312"/>
        <w:rPr>
          <w:rFonts w:ascii="宋体" w:hAnsi="宋体"/>
          <w:szCs w:val="21"/>
        </w:rPr>
      </w:pPr>
      <w:bookmarkStart w:id="13" w:name="_Toc41326982"/>
      <w:r>
        <w:rPr>
          <w:rFonts w:hint="eastAsia" w:ascii="宋体" w:hAnsi="宋体"/>
          <w:szCs w:val="21"/>
        </w:rPr>
        <w:t>6</w:t>
      </w:r>
      <w:r>
        <w:rPr>
          <w:rFonts w:hint="eastAsia" w:ascii="宋体" w:hAnsi="宋体"/>
          <w:szCs w:val="21"/>
          <w:lang w:eastAsia="zh-CN"/>
        </w:rPr>
        <w:t xml:space="preserve"> </w:t>
      </w:r>
      <w:r>
        <w:rPr>
          <w:rFonts w:hint="eastAsia" w:ascii="宋体" w:hAnsi="宋体"/>
          <w:szCs w:val="21"/>
        </w:rPr>
        <w:t>标准实施措施说明</w:t>
      </w:r>
      <w:bookmarkEnd w:id="13"/>
    </w:p>
    <w:p w14:paraId="1502CEEA">
      <w:pPr>
        <w:ind w:firstLine="420" w:firstLineChars="200"/>
        <w:rPr>
          <w:rFonts w:asciiTheme="minorEastAsia" w:hAnsiTheme="minorEastAsia" w:eastAsiaTheme="minorEastAsia"/>
        </w:rPr>
      </w:pPr>
      <w:r>
        <w:rPr>
          <w:rFonts w:asciiTheme="minorEastAsia" w:hAnsiTheme="minorEastAsia" w:eastAsiaTheme="minorEastAsia"/>
        </w:rPr>
        <w:t>本标准实施中有以下几点说明：</w:t>
      </w:r>
    </w:p>
    <w:p w14:paraId="440C675B">
      <w:pPr>
        <w:widowControl/>
        <w:numPr>
          <w:ilvl w:val="0"/>
          <w:numId w:val="3"/>
        </w:numPr>
        <w:rPr>
          <w:rFonts w:asciiTheme="minorEastAsia" w:hAnsiTheme="minorEastAsia" w:eastAsiaTheme="minorEastAsia"/>
        </w:rPr>
      </w:pPr>
      <w:r>
        <w:rPr>
          <w:rFonts w:hint="eastAsia" w:asciiTheme="minorEastAsia" w:hAnsiTheme="minorEastAsia" w:eastAsiaTheme="minorEastAsia"/>
          <w:lang w:val="en-US" w:eastAsia="zh-CN"/>
        </w:rPr>
        <w:t>4.2试验条件</w:t>
      </w:r>
    </w:p>
    <w:p w14:paraId="1A9F54CF">
      <w:pPr>
        <w:widowControl/>
        <w:ind w:left="840" w:leftChars="400" w:firstLine="420" w:firstLineChars="200"/>
        <w:rPr>
          <w:rFonts w:asciiTheme="minorEastAsia" w:hAnsiTheme="minorEastAsia" w:eastAsiaTheme="minorEastAsia"/>
          <w:kern w:val="0"/>
          <w:szCs w:val="20"/>
        </w:rPr>
      </w:pPr>
      <w:r>
        <w:rPr>
          <w:rFonts w:hint="eastAsia" w:eastAsiaTheme="minorEastAsia"/>
          <w:snapToGrid w:val="0"/>
          <w:lang w:val="en-US" w:eastAsia="zh-CN"/>
        </w:rPr>
        <w:t>现场并网试验有可能会对电网产生一定的冲击和扰动，在试验方案中应包含相关的事故预措施内容</w:t>
      </w:r>
      <w:r>
        <w:rPr>
          <w:rFonts w:hint="eastAsia" w:asciiTheme="minorEastAsia" w:hAnsiTheme="minorEastAsia" w:eastAsiaTheme="minorEastAsia"/>
          <w:kern w:val="0"/>
          <w:szCs w:val="20"/>
        </w:rPr>
        <w:t>。</w:t>
      </w:r>
    </w:p>
    <w:p w14:paraId="6C37986F">
      <w:pPr>
        <w:widowControl/>
        <w:numPr>
          <w:ilvl w:val="0"/>
          <w:numId w:val="3"/>
        </w:numPr>
        <w:rPr>
          <w:rFonts w:asciiTheme="minorEastAsia" w:hAnsiTheme="minorEastAsia" w:eastAsiaTheme="minorEastAsia"/>
        </w:rPr>
      </w:pPr>
      <w:r>
        <w:rPr>
          <w:rFonts w:hint="eastAsia" w:asciiTheme="minorEastAsia" w:hAnsiTheme="minorEastAsia" w:eastAsiaTheme="minorEastAsia"/>
          <w:lang w:val="en-US" w:eastAsia="zh-CN"/>
        </w:rPr>
        <w:t>5.1.2装置启动的试验步骤不同的静调厂家在启动电阻的配置上可能会有所不同，试验步骤也会稍有差别。</w:t>
      </w:r>
    </w:p>
    <w:p w14:paraId="4F172785">
      <w:pPr>
        <w:widowControl/>
        <w:numPr>
          <w:ilvl w:val="0"/>
          <w:numId w:val="3"/>
        </w:numPr>
        <w:rPr>
          <w:rFonts w:asciiTheme="minorEastAsia" w:hAnsiTheme="minorEastAsia" w:eastAsiaTheme="minorEastAsia"/>
        </w:rPr>
      </w:pPr>
      <w:r>
        <w:rPr>
          <w:rFonts w:hint="eastAsia" w:eastAsiaTheme="minorEastAsia"/>
          <w:kern w:val="0"/>
          <w:szCs w:val="21"/>
          <w:highlight w:val="none"/>
          <w:lang w:val="en-US" w:eastAsia="zh-CN"/>
        </w:rPr>
        <w:t>5.5交流电压阶跃响应试验应根据现场电压时间运行情况，在保证系统电压在合格范围内的前提下开展试验。</w:t>
      </w:r>
    </w:p>
    <w:p w14:paraId="75E1940C">
      <w:pPr>
        <w:widowControl/>
        <w:numPr>
          <w:ilvl w:val="0"/>
          <w:numId w:val="3"/>
        </w:numPr>
        <w:rPr>
          <w:rFonts w:asciiTheme="minorEastAsia" w:hAnsiTheme="minorEastAsia" w:eastAsiaTheme="minorEastAsia"/>
        </w:rPr>
      </w:pPr>
      <w:r>
        <w:rPr>
          <w:rFonts w:hint="eastAsia"/>
          <w:highlight w:val="none"/>
          <w:lang w:val="en-US" w:eastAsia="zh-CN"/>
        </w:rPr>
        <w:t>5.7相角跳变试验中，密切关注直流电压，受装置安全限制可以降低跳变角度。</w:t>
      </w:r>
    </w:p>
    <w:p w14:paraId="7DC87DF5">
      <w:pPr>
        <w:widowControl/>
        <w:numPr>
          <w:ilvl w:val="0"/>
          <w:numId w:val="3"/>
        </w:numPr>
        <w:rPr>
          <w:rFonts w:asciiTheme="minorEastAsia" w:hAnsiTheme="minorEastAsia" w:eastAsiaTheme="minorEastAsia"/>
        </w:rPr>
      </w:pPr>
      <w:r>
        <w:rPr>
          <w:rFonts w:hint="eastAsia" w:asciiTheme="minorEastAsia" w:hAnsiTheme="minorEastAsia" w:eastAsiaTheme="minorEastAsia"/>
          <w:lang w:val="en-US" w:eastAsia="zh-CN"/>
        </w:rPr>
        <w:t>5.8扰动试验中根据电压运行情况，可以利用其他无功调压设备配合调压开展试验。</w:t>
      </w:r>
    </w:p>
    <w:p w14:paraId="4B32D98A">
      <w:pPr>
        <w:rPr>
          <w:rFonts w:asciiTheme="minorEastAsia" w:hAnsiTheme="minorEastAsia" w:eastAsiaTheme="minorEastAsia"/>
        </w:rPr>
      </w:pPr>
    </w:p>
    <w:p w14:paraId="0D12D6A0"/>
    <w:sectPr>
      <w:headerReference r:id="rId6" w:type="default"/>
      <w:footerReference r:id="rId8" w:type="default"/>
      <w:headerReference r:id="rId7" w:type="even"/>
      <w:pgSz w:w="11906" w:h="16838"/>
      <w:pgMar w:top="567" w:right="1134" w:bottom="1134" w:left="1418" w:header="1418" w:footer="1134" w:gutter="0"/>
      <w:pgNumType w:start="1"/>
      <w:cols w:space="425"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44C62B">
    <w:pPr>
      <w:pStyle w:val="4"/>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4B3ED4">
    <w:pPr>
      <w:pStyle w:val="4"/>
    </w:pPr>
    <w:r>
      <w:fldChar w:fldCharType="begin"/>
    </w:r>
    <w:r>
      <w:instrText xml:space="preserve">PAGE   \* MERGEFORMAT</w:instrText>
    </w:r>
    <w:r>
      <w:fldChar w:fldCharType="separate"/>
    </w:r>
    <w:r>
      <w:rPr>
        <w:lang w:val="zh-CN"/>
      </w:rPr>
      <w:t>I</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889486">
    <w:pPr>
      <w:pStyle w:val="4"/>
    </w:pPr>
    <w:r>
      <w:fldChar w:fldCharType="begin"/>
    </w:r>
    <w:r>
      <w:instrText xml:space="preserve">PAGE   \* MERGEFORMAT</w:instrText>
    </w:r>
    <w:r>
      <w:fldChar w:fldCharType="separate"/>
    </w:r>
    <w:r>
      <w:rPr>
        <w:lang w:val="zh-CN"/>
      </w:rPr>
      <w:t>1</w:t>
    </w:r>
    <w:r>
      <w:fldChar w:fldCharType="end"/>
    </w:r>
  </w:p>
  <w:p w14:paraId="7F7BCB6B">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E9162A">
    <w:pPr>
      <w:pStyle w:val="5"/>
      <w:jc w:val="right"/>
    </w:pPr>
    <w:r>
      <w:rPr>
        <w:rFonts w:hint="eastAsia"/>
      </w:rPr>
      <w:t>T</w:t>
    </w:r>
    <w:r>
      <w:t>/</w:t>
    </w:r>
    <w:r>
      <w:rPr>
        <w:rFonts w:hint="eastAsia"/>
      </w:rPr>
      <w:t>CSEE</w:t>
    </w:r>
    <w:r>
      <w:rPr>
        <w:rFonts w:hint="eastAsia" w:hAnsi="黑体"/>
      </w:rPr>
      <w:t xml:space="preserve"> XXXX-YYYY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954E18">
    <w:pPr>
      <w:pStyle w:val="13"/>
    </w:pPr>
    <w:r>
      <w:rPr>
        <w:rFonts w:hint="eastAsia"/>
      </w:rPr>
      <w:t>T</w:t>
    </w:r>
    <w:r>
      <w:t>/</w:t>
    </w:r>
    <w:r>
      <w:rPr>
        <w:rFonts w:hint="eastAsia"/>
      </w:rPr>
      <w:t>CSEE</w:t>
    </w:r>
    <w:r>
      <w:rPr>
        <w:rFonts w:hint="eastAsia" w:hAnsi="黑体"/>
      </w:rPr>
      <w:t xml:space="preserve"> XXXX-YYYY</w:t>
    </w:r>
    <w: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637AA6">
    <w:pPr>
      <w:jc w:val="right"/>
      <w:rPr>
        <w:rFonts w:ascii="黑体" w:hAnsi="黑体" w:eastAsia="黑体"/>
      </w:rPr>
    </w:pPr>
    <w:r>
      <w:rPr>
        <w:rFonts w:hint="eastAsia" w:ascii="黑体" w:hAnsi="黑体" w:eastAsia="黑体"/>
      </w:rPr>
      <w:t>T</w:t>
    </w:r>
    <w:r>
      <w:rPr>
        <w:rFonts w:ascii="黑体" w:hAnsi="黑体" w:eastAsia="黑体"/>
      </w:rPr>
      <w:t>/</w:t>
    </w:r>
    <w:r>
      <w:rPr>
        <w:rFonts w:hint="eastAsia" w:ascii="黑体" w:hAnsi="黑体" w:eastAsia="黑体"/>
      </w:rPr>
      <w:t>CSEE XXXX-YYYY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7011C2"/>
    <w:multiLevelType w:val="multilevel"/>
    <w:tmpl w:val="077011C2"/>
    <w:lvl w:ilvl="0" w:tentative="0">
      <w:start w:val="1"/>
      <w:numFmt w:val="lowerLetter"/>
      <w:lvlText w:val="%1)"/>
      <w:lvlJc w:val="left"/>
      <w:pPr>
        <w:tabs>
          <w:tab w:val="left" w:pos="839"/>
        </w:tabs>
        <w:ind w:left="839" w:hanging="419"/>
      </w:pPr>
      <w:rPr>
        <w:rFonts w:hint="eastAsia" w:ascii="宋体" w:hAnsi="宋体" w:eastAsia="宋体"/>
        <w:b w:val="0"/>
        <w:i w:val="0"/>
        <w:sz w:val="20"/>
        <w:szCs w:val="21"/>
      </w:rPr>
    </w:lvl>
    <w:lvl w:ilvl="1" w:tentative="0">
      <w:start w:val="1"/>
      <w:numFmt w:val="decimal"/>
      <w:lvlText w:val="%2)"/>
      <w:lvlJc w:val="left"/>
      <w:pPr>
        <w:tabs>
          <w:tab w:val="left" w:pos="1259"/>
        </w:tabs>
        <w:ind w:left="1259" w:hanging="420"/>
      </w:pPr>
      <w:rPr>
        <w:rFonts w:hint="eastAsia" w:ascii="宋体" w:hAnsi="宋体" w:eastAsia="宋体"/>
        <w:b w:val="0"/>
        <w:i w:val="0"/>
        <w:sz w:val="20"/>
      </w:rPr>
    </w:lvl>
    <w:lvl w:ilvl="2" w:tentative="0">
      <w:start w:val="1"/>
      <w:numFmt w:val="decimal"/>
      <w:lvlText w:val="(%3)"/>
      <w:lvlJc w:val="left"/>
      <w:pPr>
        <w:tabs>
          <w:tab w:val="left" w:pos="0"/>
        </w:tabs>
        <w:ind w:left="1678" w:hanging="419"/>
      </w:pPr>
      <w:rPr>
        <w:rFonts w:hint="eastAsia" w:ascii="宋体" w:hAnsi="宋体" w:eastAsia="宋体"/>
        <w:b w:val="0"/>
        <w:i w:val="0"/>
        <w:sz w:val="20"/>
        <w:szCs w:val="21"/>
      </w:rPr>
    </w:lvl>
    <w:lvl w:ilvl="3" w:tentative="0">
      <w:start w:val="1"/>
      <w:numFmt w:val="decimal"/>
      <w:lvlText w:val="%4."/>
      <w:lvlJc w:val="left"/>
      <w:pPr>
        <w:tabs>
          <w:tab w:val="left" w:pos="2098"/>
        </w:tabs>
        <w:ind w:left="2098" w:hanging="420"/>
      </w:pPr>
      <w:rPr>
        <w:rFonts w:hint="eastAsia"/>
      </w:rPr>
    </w:lvl>
    <w:lvl w:ilvl="4" w:tentative="0">
      <w:start w:val="1"/>
      <w:numFmt w:val="lowerLetter"/>
      <w:lvlText w:val="%5)"/>
      <w:lvlJc w:val="left"/>
      <w:pPr>
        <w:tabs>
          <w:tab w:val="left" w:pos="2517"/>
        </w:tabs>
        <w:ind w:left="2517" w:hanging="419"/>
      </w:pPr>
      <w:rPr>
        <w:rFonts w:hint="eastAsia" w:eastAsia="宋体"/>
        <w:sz w:val="21"/>
      </w:rPr>
    </w:lvl>
    <w:lvl w:ilvl="5" w:tentative="0">
      <w:start w:val="1"/>
      <w:numFmt w:val="lowerRoman"/>
      <w:lvlText w:val="%6."/>
      <w:lvlJc w:val="right"/>
      <w:pPr>
        <w:tabs>
          <w:tab w:val="left" w:pos="2942"/>
        </w:tabs>
        <w:ind w:left="2937" w:hanging="420"/>
      </w:pPr>
      <w:rPr>
        <w:rFonts w:hint="eastAsia"/>
      </w:rPr>
    </w:lvl>
    <w:lvl w:ilvl="6" w:tentative="0">
      <w:start w:val="1"/>
      <w:numFmt w:val="decimal"/>
      <w:lvlText w:val="%7."/>
      <w:lvlJc w:val="left"/>
      <w:pPr>
        <w:tabs>
          <w:tab w:val="left" w:pos="3362"/>
        </w:tabs>
        <w:ind w:left="3356" w:hanging="414"/>
      </w:pPr>
      <w:rPr>
        <w:rFonts w:hint="eastAsia"/>
      </w:rPr>
    </w:lvl>
    <w:lvl w:ilvl="7" w:tentative="0">
      <w:start w:val="1"/>
      <w:numFmt w:val="lowerLetter"/>
      <w:lvlText w:val="%8)"/>
      <w:lvlJc w:val="left"/>
      <w:pPr>
        <w:tabs>
          <w:tab w:val="left" w:pos="3781"/>
        </w:tabs>
        <w:ind w:left="3776" w:hanging="414"/>
      </w:pPr>
      <w:rPr>
        <w:rFonts w:hint="eastAsia"/>
      </w:rPr>
    </w:lvl>
    <w:lvl w:ilvl="8" w:tentative="0">
      <w:start w:val="1"/>
      <w:numFmt w:val="lowerRoman"/>
      <w:lvlText w:val="%9."/>
      <w:lvlJc w:val="right"/>
      <w:pPr>
        <w:tabs>
          <w:tab w:val="left" w:pos="4201"/>
        </w:tabs>
        <w:ind w:left="4201" w:hanging="420"/>
      </w:pPr>
      <w:rPr>
        <w:rFonts w:hint="eastAsia"/>
      </w:rPr>
    </w:lvl>
  </w:abstractNum>
  <w:abstractNum w:abstractNumId="1">
    <w:nsid w:val="1FC91163"/>
    <w:multiLevelType w:val="multilevel"/>
    <w:tmpl w:val="1FC91163"/>
    <w:lvl w:ilvl="0" w:tentative="0">
      <w:start w:val="1"/>
      <w:numFmt w:val="decimal"/>
      <w:pStyle w:val="14"/>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12"/>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15"/>
      <w:suff w:val="nothing"/>
      <w:lvlText w:val="%1.%2.%3　"/>
      <w:lvlJc w:val="left"/>
      <w:pPr>
        <w:ind w:left="0" w:firstLine="0"/>
      </w:pPr>
      <w:rPr>
        <w:rFonts w:hint="eastAsia" w:ascii="黑体" w:hAnsi="Times New Roman" w:eastAsia="黑体"/>
        <w:b w:val="0"/>
        <w:i w:val="0"/>
        <w:sz w:val="21"/>
      </w:rPr>
    </w:lvl>
    <w:lvl w:ilvl="3" w:tentative="0">
      <w:start w:val="1"/>
      <w:numFmt w:val="decimal"/>
      <w:pStyle w:val="17"/>
      <w:suff w:val="nothing"/>
      <w:lvlText w:val="%1.%2.%3.%4　"/>
      <w:lvlJc w:val="left"/>
      <w:pPr>
        <w:ind w:left="0" w:firstLine="0"/>
      </w:pPr>
      <w:rPr>
        <w:rFonts w:hint="eastAsia" w:ascii="黑体" w:hAnsi="Times New Roman" w:eastAsia="黑体"/>
        <w:b w:val="0"/>
        <w:i w:val="0"/>
        <w:sz w:val="21"/>
      </w:rPr>
    </w:lvl>
    <w:lvl w:ilvl="4" w:tentative="0">
      <w:start w:val="1"/>
      <w:numFmt w:val="decimal"/>
      <w:pStyle w:val="18"/>
      <w:suff w:val="nothing"/>
      <w:lvlText w:val="%1.%2.%3.%4.%5　"/>
      <w:lvlJc w:val="left"/>
      <w:pPr>
        <w:ind w:left="0" w:firstLine="0"/>
      </w:pPr>
      <w:rPr>
        <w:rFonts w:hint="eastAsia" w:ascii="黑体" w:hAnsi="Times New Roman" w:eastAsia="黑体"/>
        <w:b w:val="0"/>
        <w:i w:val="0"/>
        <w:sz w:val="21"/>
      </w:rPr>
    </w:lvl>
    <w:lvl w:ilvl="5" w:tentative="0">
      <w:start w:val="1"/>
      <w:numFmt w:val="decimal"/>
      <w:pStyle w:val="19"/>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2FCC5B4B"/>
    <w:multiLevelType w:val="multilevel"/>
    <w:tmpl w:val="2FCC5B4B"/>
    <w:lvl w:ilvl="0" w:tentative="0">
      <w:start w:val="1"/>
      <w:numFmt w:val="lowerLetter"/>
      <w:lvlText w:val="%1)"/>
      <w:lvlJc w:val="left"/>
      <w:pPr>
        <w:tabs>
          <w:tab w:val="left" w:pos="839"/>
        </w:tabs>
        <w:ind w:left="839" w:hanging="419"/>
      </w:pPr>
      <w:rPr>
        <w:rFonts w:hint="default" w:cs="Times New Roman" w:asciiTheme="minorEastAsia" w:hAnsiTheme="minorEastAsia" w:eastAsiaTheme="minorEastAsia"/>
        <w:b w:val="0"/>
        <w:i w:val="0"/>
        <w:sz w:val="20"/>
        <w:szCs w:val="21"/>
      </w:rPr>
    </w:lvl>
    <w:lvl w:ilvl="1" w:tentative="0">
      <w:start w:val="1"/>
      <w:numFmt w:val="decimal"/>
      <w:lvlText w:val="%2)"/>
      <w:lvlJc w:val="left"/>
      <w:pPr>
        <w:tabs>
          <w:tab w:val="left" w:pos="1259"/>
        </w:tabs>
        <w:ind w:left="1259" w:hanging="420"/>
      </w:pPr>
      <w:rPr>
        <w:rFonts w:hint="eastAsia" w:ascii="宋体" w:hAnsi="宋体" w:eastAsia="宋体"/>
        <w:b w:val="0"/>
        <w:i w:val="0"/>
        <w:sz w:val="20"/>
      </w:rPr>
    </w:lvl>
    <w:lvl w:ilvl="2" w:tentative="0">
      <w:start w:val="1"/>
      <w:numFmt w:val="decimal"/>
      <w:lvlText w:val="(%3)"/>
      <w:lvlJc w:val="left"/>
      <w:pPr>
        <w:tabs>
          <w:tab w:val="left" w:pos="0"/>
        </w:tabs>
        <w:ind w:left="1678" w:hanging="419"/>
      </w:pPr>
      <w:rPr>
        <w:rFonts w:hint="eastAsia" w:ascii="宋体" w:hAnsi="宋体" w:eastAsia="宋体"/>
        <w:b w:val="0"/>
        <w:i w:val="0"/>
        <w:sz w:val="20"/>
        <w:szCs w:val="21"/>
      </w:rPr>
    </w:lvl>
    <w:lvl w:ilvl="3" w:tentative="0">
      <w:start w:val="1"/>
      <w:numFmt w:val="decimal"/>
      <w:lvlText w:val="%4."/>
      <w:lvlJc w:val="left"/>
      <w:pPr>
        <w:tabs>
          <w:tab w:val="left" w:pos="2098"/>
        </w:tabs>
        <w:ind w:left="2098" w:hanging="420"/>
      </w:pPr>
      <w:rPr>
        <w:rFonts w:hint="eastAsia"/>
      </w:rPr>
    </w:lvl>
    <w:lvl w:ilvl="4" w:tentative="0">
      <w:start w:val="1"/>
      <w:numFmt w:val="lowerLetter"/>
      <w:lvlText w:val="%5)"/>
      <w:lvlJc w:val="left"/>
      <w:pPr>
        <w:tabs>
          <w:tab w:val="left" w:pos="2517"/>
        </w:tabs>
        <w:ind w:left="2517" w:hanging="419"/>
      </w:pPr>
      <w:rPr>
        <w:rFonts w:hint="eastAsia" w:eastAsia="宋体"/>
        <w:sz w:val="21"/>
      </w:rPr>
    </w:lvl>
    <w:lvl w:ilvl="5" w:tentative="0">
      <w:start w:val="1"/>
      <w:numFmt w:val="lowerRoman"/>
      <w:lvlText w:val="%6."/>
      <w:lvlJc w:val="right"/>
      <w:pPr>
        <w:tabs>
          <w:tab w:val="left" w:pos="2942"/>
        </w:tabs>
        <w:ind w:left="2937" w:hanging="420"/>
      </w:pPr>
      <w:rPr>
        <w:rFonts w:hint="eastAsia"/>
      </w:rPr>
    </w:lvl>
    <w:lvl w:ilvl="6" w:tentative="0">
      <w:start w:val="1"/>
      <w:numFmt w:val="decimal"/>
      <w:lvlText w:val="%7."/>
      <w:lvlJc w:val="left"/>
      <w:pPr>
        <w:tabs>
          <w:tab w:val="left" w:pos="3362"/>
        </w:tabs>
        <w:ind w:left="3356" w:hanging="414"/>
      </w:pPr>
      <w:rPr>
        <w:rFonts w:hint="eastAsia"/>
      </w:rPr>
    </w:lvl>
    <w:lvl w:ilvl="7" w:tentative="0">
      <w:start w:val="1"/>
      <w:numFmt w:val="lowerLetter"/>
      <w:lvlText w:val="%8)"/>
      <w:lvlJc w:val="left"/>
      <w:pPr>
        <w:tabs>
          <w:tab w:val="left" w:pos="3781"/>
        </w:tabs>
        <w:ind w:left="3776" w:hanging="414"/>
      </w:pPr>
      <w:rPr>
        <w:rFonts w:hint="eastAsia"/>
      </w:rPr>
    </w:lvl>
    <w:lvl w:ilvl="8" w:tentative="0">
      <w:start w:val="1"/>
      <w:numFmt w:val="lowerRoman"/>
      <w:lvlText w:val="%9."/>
      <w:lvlJc w:val="right"/>
      <w:pPr>
        <w:tabs>
          <w:tab w:val="left" w:pos="4201"/>
        </w:tabs>
        <w:ind w:left="4201" w:hanging="420"/>
      </w:pPr>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0716"/>
    <w:rsid w:val="0004042F"/>
    <w:rsid w:val="000476B5"/>
    <w:rsid w:val="00056F4A"/>
    <w:rsid w:val="00061955"/>
    <w:rsid w:val="00070B9C"/>
    <w:rsid w:val="000776A9"/>
    <w:rsid w:val="000A38DC"/>
    <w:rsid w:val="000B3C9F"/>
    <w:rsid w:val="000C305B"/>
    <w:rsid w:val="000D4FCD"/>
    <w:rsid w:val="00177A3D"/>
    <w:rsid w:val="001A5984"/>
    <w:rsid w:val="001A6DD0"/>
    <w:rsid w:val="001D0CAB"/>
    <w:rsid w:val="001F0FA1"/>
    <w:rsid w:val="002042D9"/>
    <w:rsid w:val="002406E1"/>
    <w:rsid w:val="00254DF7"/>
    <w:rsid w:val="00265263"/>
    <w:rsid w:val="00294B22"/>
    <w:rsid w:val="00296830"/>
    <w:rsid w:val="002C576B"/>
    <w:rsid w:val="00322875"/>
    <w:rsid w:val="003335F8"/>
    <w:rsid w:val="00342AB4"/>
    <w:rsid w:val="00346086"/>
    <w:rsid w:val="00372F98"/>
    <w:rsid w:val="00397DA2"/>
    <w:rsid w:val="003B650E"/>
    <w:rsid w:val="003E0CB9"/>
    <w:rsid w:val="004013DD"/>
    <w:rsid w:val="00401A6B"/>
    <w:rsid w:val="004067BE"/>
    <w:rsid w:val="00407B32"/>
    <w:rsid w:val="00413489"/>
    <w:rsid w:val="00442FCE"/>
    <w:rsid w:val="00451943"/>
    <w:rsid w:val="004C7787"/>
    <w:rsid w:val="004C7FD8"/>
    <w:rsid w:val="00541F47"/>
    <w:rsid w:val="005575D3"/>
    <w:rsid w:val="0057659C"/>
    <w:rsid w:val="00583933"/>
    <w:rsid w:val="005E559B"/>
    <w:rsid w:val="005F1F95"/>
    <w:rsid w:val="005F441B"/>
    <w:rsid w:val="00610927"/>
    <w:rsid w:val="00616340"/>
    <w:rsid w:val="00673288"/>
    <w:rsid w:val="0069596C"/>
    <w:rsid w:val="006B0AB0"/>
    <w:rsid w:val="006B5C07"/>
    <w:rsid w:val="006D1D05"/>
    <w:rsid w:val="006D3A63"/>
    <w:rsid w:val="006E7B47"/>
    <w:rsid w:val="006F145C"/>
    <w:rsid w:val="00716E1C"/>
    <w:rsid w:val="00730716"/>
    <w:rsid w:val="007A6E79"/>
    <w:rsid w:val="007E02A8"/>
    <w:rsid w:val="00822703"/>
    <w:rsid w:val="008247B7"/>
    <w:rsid w:val="00890D7E"/>
    <w:rsid w:val="008B07DD"/>
    <w:rsid w:val="008B13C4"/>
    <w:rsid w:val="008E00C2"/>
    <w:rsid w:val="008E3A6A"/>
    <w:rsid w:val="008F2E24"/>
    <w:rsid w:val="00926A1E"/>
    <w:rsid w:val="00954639"/>
    <w:rsid w:val="00954786"/>
    <w:rsid w:val="009C3F6E"/>
    <w:rsid w:val="00A34D76"/>
    <w:rsid w:val="00A55EDA"/>
    <w:rsid w:val="00A85558"/>
    <w:rsid w:val="00A961D1"/>
    <w:rsid w:val="00AD410F"/>
    <w:rsid w:val="00AE3387"/>
    <w:rsid w:val="00B23E23"/>
    <w:rsid w:val="00B84CD2"/>
    <w:rsid w:val="00C032EA"/>
    <w:rsid w:val="00C232AC"/>
    <w:rsid w:val="00C444F6"/>
    <w:rsid w:val="00C56645"/>
    <w:rsid w:val="00C73650"/>
    <w:rsid w:val="00CC53AD"/>
    <w:rsid w:val="00CD2F61"/>
    <w:rsid w:val="00CF2CEF"/>
    <w:rsid w:val="00D74DAA"/>
    <w:rsid w:val="00D86F4E"/>
    <w:rsid w:val="00D877DC"/>
    <w:rsid w:val="00E0040D"/>
    <w:rsid w:val="00E51D77"/>
    <w:rsid w:val="00E55B4A"/>
    <w:rsid w:val="00E607F5"/>
    <w:rsid w:val="00EB5D68"/>
    <w:rsid w:val="00ED7F66"/>
    <w:rsid w:val="00F22CE7"/>
    <w:rsid w:val="00F34AE4"/>
    <w:rsid w:val="00F376CB"/>
    <w:rsid w:val="00F42692"/>
    <w:rsid w:val="00F93352"/>
    <w:rsid w:val="00FF58F1"/>
    <w:rsid w:val="1811023F"/>
    <w:rsid w:val="199E68A3"/>
    <w:rsid w:val="239A1CBA"/>
    <w:rsid w:val="2E552C39"/>
    <w:rsid w:val="39173E7F"/>
    <w:rsid w:val="4D741ADD"/>
    <w:rsid w:val="57356D3C"/>
    <w:rsid w:val="6E6E357B"/>
    <w:rsid w:val="72A029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2"/>
    <w:qFormat/>
    <w:uiPriority w:val="9"/>
    <w:pPr>
      <w:keepNext/>
      <w:keepLines/>
      <w:spacing w:before="340" w:after="330" w:line="578" w:lineRule="auto"/>
      <w:outlineLvl w:val="0"/>
    </w:pPr>
    <w:rPr>
      <w:b/>
      <w:bCs/>
      <w:kern w:val="44"/>
      <w:sz w:val="44"/>
      <w:szCs w:val="44"/>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customStyle="1" w:styleId="2">
    <w:name w:val="Default"/>
    <w:unhideWhenUsed/>
    <w:qFormat/>
    <w:uiPriority w:val="99"/>
    <w:pPr>
      <w:widowControl w:val="0"/>
      <w:autoSpaceDE w:val="0"/>
      <w:autoSpaceDN w:val="0"/>
      <w:adjustRightInd w:val="0"/>
    </w:pPr>
    <w:rPr>
      <w:rFonts w:hint="eastAsia" w:ascii="宋体" w:hAnsi="宋体" w:eastAsia="宋体" w:cs="Times New Roman"/>
      <w:color w:val="000000"/>
      <w:sz w:val="24"/>
      <w:lang w:val="en-US" w:eastAsia="zh-CN" w:bidi="ar-SA"/>
    </w:rPr>
  </w:style>
  <w:style w:type="paragraph" w:styleId="4">
    <w:name w:val="footer"/>
    <w:basedOn w:val="1"/>
    <w:link w:val="20"/>
    <w:qFormat/>
    <w:uiPriority w:val="99"/>
    <w:pPr>
      <w:snapToGrid w:val="0"/>
      <w:ind w:right="210" w:rightChars="100"/>
      <w:jc w:val="right"/>
    </w:pPr>
    <w:rPr>
      <w:sz w:val="18"/>
      <w:szCs w:val="18"/>
    </w:rPr>
  </w:style>
  <w:style w:type="paragraph" w:styleId="5">
    <w:name w:val="header"/>
    <w:basedOn w:val="1"/>
    <w:link w:val="23"/>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toc 1"/>
    <w:basedOn w:val="1"/>
    <w:next w:val="1"/>
    <w:autoRedefine/>
    <w:qFormat/>
    <w:uiPriority w:val="39"/>
    <w:pPr>
      <w:tabs>
        <w:tab w:val="right" w:leader="dot" w:pos="9242"/>
      </w:tabs>
      <w:spacing w:before="25" w:beforeLines="25" w:after="25" w:afterLines="25"/>
      <w:jc w:val="left"/>
    </w:pPr>
    <w:rPr>
      <w:rFonts w:ascii="宋体"/>
      <w:szCs w:val="21"/>
    </w:rPr>
  </w:style>
  <w:style w:type="character" w:styleId="9">
    <w:name w:val="Hyperlink"/>
    <w:qFormat/>
    <w:uiPriority w:val="99"/>
    <w:rPr>
      <w:color w:val="0000FF"/>
      <w:spacing w:val="0"/>
      <w:w w:val="100"/>
      <w:szCs w:val="21"/>
      <w:u w:val="single"/>
    </w:rPr>
  </w:style>
  <w:style w:type="paragraph" w:customStyle="1" w:styleId="10">
    <w:name w:val="段"/>
    <w:link w:val="1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kern w:val="0"/>
      <w:sz w:val="21"/>
      <w:szCs w:val="20"/>
      <w:lang w:val="en-US" w:eastAsia="zh-CN" w:bidi="ar-SA"/>
    </w:rPr>
  </w:style>
  <w:style w:type="character" w:customStyle="1" w:styleId="11">
    <w:name w:val="段 Char"/>
    <w:link w:val="10"/>
    <w:qFormat/>
    <w:uiPriority w:val="0"/>
    <w:rPr>
      <w:rFonts w:ascii="宋体" w:hAnsi="Times New Roman" w:eastAsia="宋体" w:cs="Times New Roman"/>
      <w:kern w:val="0"/>
      <w:szCs w:val="20"/>
    </w:rPr>
  </w:style>
  <w:style w:type="paragraph" w:customStyle="1" w:styleId="12">
    <w:name w:val="一级条标题"/>
    <w:next w:val="10"/>
    <w:qFormat/>
    <w:uiPriority w:val="0"/>
    <w:pPr>
      <w:numPr>
        <w:ilvl w:val="1"/>
        <w:numId w:val="1"/>
      </w:numPr>
      <w:spacing w:before="156" w:beforeLines="50" w:after="156" w:afterLines="50"/>
      <w:outlineLvl w:val="2"/>
    </w:pPr>
    <w:rPr>
      <w:rFonts w:ascii="黑体" w:hAnsi="Times New Roman" w:eastAsia="黑体" w:cs="Times New Roman"/>
      <w:kern w:val="0"/>
      <w:sz w:val="21"/>
      <w:szCs w:val="21"/>
      <w:lang w:val="en-US" w:eastAsia="zh-CN" w:bidi="ar-SA"/>
    </w:rPr>
  </w:style>
  <w:style w:type="paragraph" w:customStyle="1" w:styleId="13">
    <w:name w:val="标准书眉_奇数页"/>
    <w:next w:val="1"/>
    <w:qFormat/>
    <w:uiPriority w:val="0"/>
    <w:pPr>
      <w:tabs>
        <w:tab w:val="center" w:pos="4154"/>
        <w:tab w:val="right" w:pos="8306"/>
      </w:tabs>
      <w:spacing w:after="220"/>
      <w:jc w:val="right"/>
    </w:pPr>
    <w:rPr>
      <w:rFonts w:ascii="黑体" w:hAnsi="Times New Roman" w:eastAsia="黑体" w:cs="Times New Roman"/>
      <w:kern w:val="0"/>
      <w:sz w:val="21"/>
      <w:szCs w:val="21"/>
      <w:lang w:val="en-US" w:eastAsia="zh-CN" w:bidi="ar-SA"/>
    </w:rPr>
  </w:style>
  <w:style w:type="paragraph" w:customStyle="1" w:styleId="14">
    <w:name w:val="章标题"/>
    <w:next w:val="10"/>
    <w:qFormat/>
    <w:uiPriority w:val="0"/>
    <w:pPr>
      <w:numPr>
        <w:ilvl w:val="0"/>
        <w:numId w:val="1"/>
      </w:numPr>
      <w:spacing w:before="312" w:beforeLines="100" w:after="312" w:afterLines="100"/>
      <w:jc w:val="both"/>
      <w:outlineLvl w:val="1"/>
    </w:pPr>
    <w:rPr>
      <w:rFonts w:ascii="黑体" w:hAnsi="Times New Roman" w:eastAsia="黑体" w:cs="Times New Roman"/>
      <w:kern w:val="0"/>
      <w:sz w:val="21"/>
      <w:szCs w:val="20"/>
      <w:lang w:val="en-US" w:eastAsia="zh-CN" w:bidi="ar-SA"/>
    </w:rPr>
  </w:style>
  <w:style w:type="paragraph" w:customStyle="1" w:styleId="15">
    <w:name w:val="二级条标题"/>
    <w:basedOn w:val="12"/>
    <w:next w:val="10"/>
    <w:qFormat/>
    <w:uiPriority w:val="0"/>
    <w:pPr>
      <w:numPr>
        <w:ilvl w:val="2"/>
      </w:numPr>
      <w:spacing w:before="50" w:after="50"/>
      <w:outlineLvl w:val="3"/>
    </w:pPr>
  </w:style>
  <w:style w:type="paragraph" w:customStyle="1" w:styleId="16">
    <w:name w:val="目次、标准名称标题"/>
    <w:basedOn w:val="1"/>
    <w:next w:val="10"/>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17">
    <w:name w:val="三级条标题"/>
    <w:basedOn w:val="15"/>
    <w:next w:val="10"/>
    <w:qFormat/>
    <w:uiPriority w:val="0"/>
    <w:pPr>
      <w:numPr>
        <w:ilvl w:val="3"/>
      </w:numPr>
      <w:outlineLvl w:val="4"/>
    </w:pPr>
  </w:style>
  <w:style w:type="paragraph" w:customStyle="1" w:styleId="18">
    <w:name w:val="四级条标题"/>
    <w:basedOn w:val="17"/>
    <w:next w:val="10"/>
    <w:qFormat/>
    <w:uiPriority w:val="0"/>
    <w:pPr>
      <w:numPr>
        <w:ilvl w:val="4"/>
      </w:numPr>
      <w:outlineLvl w:val="5"/>
    </w:pPr>
  </w:style>
  <w:style w:type="paragraph" w:customStyle="1" w:styleId="19">
    <w:name w:val="五级条标题"/>
    <w:basedOn w:val="18"/>
    <w:next w:val="10"/>
    <w:qFormat/>
    <w:uiPriority w:val="0"/>
    <w:pPr>
      <w:numPr>
        <w:ilvl w:val="5"/>
      </w:numPr>
      <w:outlineLvl w:val="6"/>
    </w:pPr>
  </w:style>
  <w:style w:type="character" w:customStyle="1" w:styleId="20">
    <w:name w:val="页脚 Char"/>
    <w:basedOn w:val="8"/>
    <w:link w:val="4"/>
    <w:qFormat/>
    <w:uiPriority w:val="99"/>
    <w:rPr>
      <w:rFonts w:ascii="Times New Roman" w:hAnsi="Times New Roman" w:eastAsia="宋体" w:cs="Times New Roman"/>
      <w:sz w:val="18"/>
      <w:szCs w:val="18"/>
    </w:rPr>
  </w:style>
  <w:style w:type="paragraph" w:customStyle="1" w:styleId="21">
    <w:name w:val="样式 标题 1 + 非加粗"/>
    <w:basedOn w:val="3"/>
    <w:qFormat/>
    <w:uiPriority w:val="0"/>
    <w:pPr>
      <w:spacing w:before="100" w:beforeLines="100" w:after="100" w:afterLines="100" w:line="240" w:lineRule="auto"/>
    </w:pPr>
    <w:rPr>
      <w:rFonts w:eastAsia="黑体"/>
      <w:b w:val="0"/>
      <w:bCs w:val="0"/>
      <w:sz w:val="21"/>
      <w:lang w:val="zh-CN" w:eastAsia="zh-CN"/>
    </w:rPr>
  </w:style>
  <w:style w:type="character" w:customStyle="1" w:styleId="22">
    <w:name w:val="标题 1 Char"/>
    <w:basedOn w:val="8"/>
    <w:link w:val="3"/>
    <w:qFormat/>
    <w:uiPriority w:val="9"/>
    <w:rPr>
      <w:rFonts w:ascii="Times New Roman" w:hAnsi="Times New Roman" w:eastAsia="宋体" w:cs="Times New Roman"/>
      <w:b/>
      <w:bCs/>
      <w:kern w:val="44"/>
      <w:sz w:val="44"/>
      <w:szCs w:val="44"/>
    </w:rPr>
  </w:style>
  <w:style w:type="character" w:customStyle="1" w:styleId="23">
    <w:name w:val="页眉 Char"/>
    <w:basedOn w:val="8"/>
    <w:link w:val="5"/>
    <w:qFormat/>
    <w:uiPriority w:val="99"/>
    <w:rPr>
      <w:rFonts w:ascii="Times New Roman" w:hAnsi="Times New Roman" w:eastAsia="宋体" w:cs="Times New Roman"/>
      <w:sz w:val="18"/>
      <w:szCs w:val="18"/>
    </w:rPr>
  </w:style>
  <w:style w:type="paragraph" w:styleId="24">
    <w:name w:val="List Paragraph"/>
    <w:basedOn w:val="1"/>
    <w:qFormat/>
    <w:uiPriority w:val="34"/>
    <w:pPr>
      <w:ind w:firstLine="420" w:firstLineChars="200"/>
    </w:pPr>
    <w:rPr>
      <w:rFonts w:asciiTheme="minorHAnsi" w:hAnsiTheme="minorHAnsi" w:eastAsiaTheme="minorEastAsia" w:cstheme="minorBidi"/>
      <w:szCs w:val="2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1776</Words>
  <Characters>1873</Characters>
  <Lines>21</Lines>
  <Paragraphs>6</Paragraphs>
  <TotalTime>0</TotalTime>
  <ScaleCrop>false</ScaleCrop>
  <LinksUpToDate>false</LinksUpToDate>
  <CharactersWithSpaces>1899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2018-12-29T05:51:00Z</dcterms:created>
  <dc:creator>lcy</dc:creator>
  <cp:lastModifiedBy>王嵩</cp:lastModifiedBy>
  <dcterms:modified xsi:type="dcterms:W3CDTF">2026-01-12T03:09:33Z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eyJoZGlkIjoiNDYyNGFiOWVjNmUyNDJkMjQ4ZjU3YWM4YTY1MmJjYzMiLCJ1c2VySWQiOiIxNTgwMzA1OTc1In0=</vt:lpwstr>
  </property>
  <property fmtid="{D5CDD505-2E9C-101B-9397-08002B2CF9AE}" pid="3" name="KSOProductBuildVer">
    <vt:lpwstr>2052-12.1.0.24034</vt:lpwstr>
  </property>
  <property fmtid="{D5CDD505-2E9C-101B-9397-08002B2CF9AE}" pid="4" name="ICV">
    <vt:lpwstr>D273D33E9BAB44C1BDC446F453E792F1_12</vt:lpwstr>
  </property>
</Properties>
</file>