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7C596">
      <w:pPr>
        <w:jc w:val="left"/>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14:paraId="637BB6B6">
      <w:pPr>
        <w:jc w:val="center"/>
        <w:rPr>
          <w:rFonts w:hint="eastAsia" w:ascii="方正小标宋_GBK" w:hAnsi="方正小标宋_GBK" w:eastAsia="方正小标宋_GBK" w:cs="方正小标宋_GBK"/>
          <w:b/>
          <w:bCs/>
          <w:sz w:val="44"/>
          <w:szCs w:val="44"/>
          <w:lang w:val="zh-CN"/>
        </w:rPr>
      </w:pPr>
      <w:r>
        <w:rPr>
          <w:rFonts w:hint="eastAsia" w:ascii="方正小标宋_GBK" w:hAnsi="方正小标宋_GBK" w:eastAsia="方正小标宋_GBK" w:cs="方正小标宋_GBK"/>
          <w:b/>
          <w:bCs/>
          <w:sz w:val="44"/>
          <w:szCs w:val="44"/>
          <w:lang w:val="zh-CN"/>
        </w:rPr>
        <w:t>《电站燃煤机组深度调峰调试技术导则》</w:t>
      </w:r>
    </w:p>
    <w:p w14:paraId="487A9F9F">
      <w:pPr>
        <w:autoSpaceDE w:val="0"/>
        <w:autoSpaceDN w:val="0"/>
        <w:adjustRightInd w:val="0"/>
        <w:spacing w:line="360" w:lineRule="auto"/>
        <w:jc w:val="center"/>
        <w:outlineLvl w:val="0"/>
        <w:rPr>
          <w:rFonts w:hint="eastAsia" w:ascii="方正小标宋_GBK" w:hAnsi="方正小标宋_GBK" w:eastAsia="方正小标宋_GBK" w:cs="方正小标宋_GBK"/>
          <w:b/>
          <w:bCs/>
          <w:sz w:val="44"/>
          <w:szCs w:val="44"/>
          <w:lang w:val="zh-CN"/>
        </w:rPr>
      </w:pPr>
      <w:bookmarkStart w:id="0" w:name="_Toc5196"/>
      <w:bookmarkStart w:id="1" w:name="_Toc14666"/>
      <w:bookmarkStart w:id="2" w:name="_Toc24403"/>
      <w:r>
        <w:rPr>
          <w:rFonts w:hint="eastAsia" w:ascii="方正小标宋_GBK" w:hAnsi="方正小标宋_GBK" w:eastAsia="方正小标宋_GBK" w:cs="方正小标宋_GBK"/>
          <w:b/>
          <w:bCs/>
          <w:sz w:val="44"/>
          <w:szCs w:val="44"/>
        </w:rPr>
        <w:t>编制</w:t>
      </w:r>
      <w:r>
        <w:rPr>
          <w:rFonts w:hint="eastAsia" w:ascii="方正小标宋_GBK" w:hAnsi="方正小标宋_GBK" w:eastAsia="方正小标宋_GBK" w:cs="方正小标宋_GBK"/>
          <w:b/>
          <w:bCs/>
          <w:sz w:val="44"/>
          <w:szCs w:val="44"/>
          <w:lang w:val="zh-CN"/>
        </w:rPr>
        <w:t>说明</w:t>
      </w:r>
      <w:bookmarkEnd w:id="0"/>
      <w:bookmarkEnd w:id="1"/>
      <w:bookmarkEnd w:id="2"/>
    </w:p>
    <w:p w14:paraId="3E557B6D">
      <w:pPr>
        <w:autoSpaceDE w:val="0"/>
        <w:autoSpaceDN w:val="0"/>
        <w:adjustRightInd w:val="0"/>
        <w:spacing w:line="360" w:lineRule="auto"/>
        <w:jc w:val="center"/>
        <w:outlineLvl w:val="0"/>
        <w:rPr>
          <w:rFonts w:hint="eastAsia" w:ascii="仿宋_GB2312" w:hAnsi="仿宋_GB2312" w:eastAsia="仿宋_GB2312" w:cs="仿宋_GB2312"/>
          <w:b/>
          <w:bCs/>
          <w:sz w:val="32"/>
          <w:szCs w:val="32"/>
          <w:lang w:val="zh-CN"/>
        </w:rPr>
      </w:pPr>
      <w:bookmarkStart w:id="68" w:name="_GoBack"/>
      <w:bookmarkEnd w:id="68"/>
    </w:p>
    <w:p w14:paraId="59091E0F">
      <w:pPr>
        <w:autoSpaceDE w:val="0"/>
        <w:autoSpaceDN w:val="0"/>
        <w:adjustRightInd w:val="0"/>
        <w:spacing w:line="360" w:lineRule="auto"/>
        <w:jc w:val="center"/>
        <w:outlineLvl w:val="0"/>
        <w:rPr>
          <w:rFonts w:hint="eastAsia" w:ascii="方正小标宋_GBK" w:hAnsi="方正小标宋_GBK" w:eastAsia="方正小标宋_GBK" w:cs="方正小标宋_GBK"/>
          <w:b/>
          <w:bCs/>
          <w:sz w:val="44"/>
          <w:szCs w:val="44"/>
          <w:lang w:val="zh-CN"/>
        </w:rPr>
      </w:pPr>
      <w:bookmarkStart w:id="3" w:name="_Toc4363"/>
      <w:bookmarkStart w:id="4" w:name="_Toc15686"/>
      <w:r>
        <w:rPr>
          <w:rFonts w:hint="eastAsia" w:ascii="仿宋_GB2312" w:hAnsi="仿宋_GB2312" w:eastAsia="仿宋_GB2312" w:cs="仿宋_GB2312"/>
          <w:b/>
          <w:bCs/>
          <w:sz w:val="32"/>
          <w:szCs w:val="32"/>
          <w:lang w:val="zh-CN"/>
        </w:rPr>
        <w:t>（</w:t>
      </w:r>
      <w:r>
        <w:rPr>
          <w:rFonts w:hint="eastAsia" w:ascii="仿宋_GB2312" w:hAnsi="仿宋_GB2312" w:eastAsia="仿宋_GB2312" w:cs="仿宋_GB2312"/>
          <w:b/>
          <w:bCs/>
          <w:sz w:val="32"/>
          <w:szCs w:val="32"/>
        </w:rPr>
        <w:t>征求意见稿</w:t>
      </w:r>
      <w:r>
        <w:rPr>
          <w:rFonts w:hint="eastAsia" w:ascii="仿宋_GB2312" w:hAnsi="仿宋_GB2312" w:eastAsia="仿宋_GB2312" w:cs="仿宋_GB2312"/>
          <w:b/>
          <w:bCs/>
          <w:sz w:val="32"/>
          <w:szCs w:val="32"/>
          <w:lang w:val="zh-CN"/>
        </w:rPr>
        <w:t>）</w:t>
      </w:r>
      <w:bookmarkEnd w:id="3"/>
      <w:bookmarkEnd w:id="4"/>
    </w:p>
    <w:p w14:paraId="575A9203">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75987859">
      <w:pPr>
        <w:pStyle w:val="9"/>
        <w:spacing w:before="0" w:beforeAutospacing="0" w:after="0" w:afterAutospacing="0"/>
        <w:jc w:val="center"/>
        <w:textAlignment w:val="baseline"/>
        <w:rPr>
          <w:rFonts w:ascii="Times New Roman" w:hAnsi="Times New Roman" w:eastAsia="黑体" w:cs="Times New Roman"/>
          <w:kern w:val="24"/>
          <w:sz w:val="40"/>
          <w:szCs w:val="40"/>
        </w:rPr>
      </w:pPr>
    </w:p>
    <w:p w14:paraId="22084659">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4BB6C08D">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4781B7F9">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000DD4D4">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2CE6C433">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6D75B65C">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2CA49DDC">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2600555A">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499BA258">
      <w:pPr>
        <w:pStyle w:val="9"/>
        <w:spacing w:before="0" w:beforeAutospacing="0" w:after="0" w:afterAutospacing="0"/>
        <w:jc w:val="center"/>
        <w:textAlignment w:val="baseline"/>
        <w:rPr>
          <w:rFonts w:ascii="Times New Roman" w:hAnsi="Times New Roman" w:eastAsia="黑体" w:cs="Times New Roman"/>
          <w:b/>
          <w:bCs/>
          <w:kern w:val="24"/>
          <w:sz w:val="40"/>
          <w:szCs w:val="40"/>
        </w:rPr>
      </w:pPr>
    </w:p>
    <w:p w14:paraId="40CCD518">
      <w:pPr>
        <w:pStyle w:val="9"/>
        <w:spacing w:before="0" w:beforeAutospacing="0" w:after="0" w:afterAutospacing="0"/>
        <w:jc w:val="center"/>
        <w:textAlignment w:val="baseline"/>
        <w:rPr>
          <w:rFonts w:ascii="Times New Roman" w:hAnsi="Times New Roman" w:cs="Times New Roman"/>
          <w:sz w:val="32"/>
          <w:szCs w:val="32"/>
          <w:lang w:val="zh-CN"/>
        </w:rPr>
      </w:pPr>
      <w:r>
        <w:rPr>
          <w:rFonts w:hint="eastAsia" w:ascii="Times New Roman" w:hAnsi="Times New Roman" w:cs="Times New Roman"/>
          <w:sz w:val="32"/>
          <w:szCs w:val="32"/>
          <w:lang w:val="zh-CN"/>
        </w:rPr>
        <w:t>标准编制组</w:t>
      </w:r>
    </w:p>
    <w:p w14:paraId="4A4E880B">
      <w:pPr>
        <w:pStyle w:val="9"/>
        <w:spacing w:before="0" w:beforeAutospacing="0" w:after="0" w:afterAutospacing="0"/>
        <w:jc w:val="center"/>
        <w:textAlignment w:val="baseline"/>
        <w:rPr>
          <w:rFonts w:hint="eastAsia" w:ascii="Times New Roman" w:hAnsi="Times New Roman"/>
          <w:sz w:val="32"/>
          <w:szCs w:val="32"/>
          <w:lang w:val="zh-CN"/>
        </w:rPr>
      </w:pPr>
      <w:r>
        <w:rPr>
          <w:rFonts w:ascii="Times New Roman" w:hAnsi="Times New Roman" w:cs="Times New Roman"/>
          <w:sz w:val="32"/>
          <w:szCs w:val="32"/>
          <w:lang w:val="zh-CN" w:eastAsia="zh-TW"/>
        </w:rPr>
        <w:t>20</w:t>
      </w:r>
      <w:r>
        <w:rPr>
          <w:rFonts w:hint="eastAsia" w:ascii="Times New Roman" w:hAnsi="Times New Roman" w:cs="Times New Roman"/>
          <w:sz w:val="32"/>
          <w:szCs w:val="32"/>
        </w:rPr>
        <w:t>26</w:t>
      </w:r>
      <w:r>
        <w:rPr>
          <w:rFonts w:hint="eastAsia" w:ascii="Times New Roman" w:hAnsi="Times New Roman"/>
          <w:sz w:val="32"/>
          <w:szCs w:val="32"/>
          <w:lang w:val="zh-CN"/>
        </w:rPr>
        <w:t>年</w:t>
      </w:r>
      <w:r>
        <w:rPr>
          <w:rFonts w:hint="eastAsia" w:ascii="Times New Roman" w:hAnsi="Times New Roman" w:cs="Times New Roman"/>
          <w:sz w:val="32"/>
          <w:szCs w:val="32"/>
          <w:lang w:val="en-US" w:eastAsia="zh-CN"/>
        </w:rPr>
        <w:t>1</w:t>
      </w:r>
      <w:r>
        <w:rPr>
          <w:rFonts w:hint="eastAsia" w:ascii="Times New Roman" w:hAnsi="Times New Roman"/>
          <w:sz w:val="32"/>
          <w:szCs w:val="32"/>
          <w:lang w:val="zh-CN"/>
        </w:rPr>
        <w:t>月</w:t>
      </w:r>
    </w:p>
    <w:p w14:paraId="484C5F48">
      <w:pPr>
        <w:pStyle w:val="7"/>
        <w:tabs>
          <w:tab w:val="right" w:leader="dot" w:pos="8296"/>
          <w:tab w:val="clear" w:pos="9241"/>
        </w:tabs>
        <w:spacing w:before="78" w:after="78"/>
        <w:jc w:val="center"/>
        <w:rPr>
          <w:rFonts w:hint="eastAsia" w:cs="宋体"/>
          <w:sz w:val="28"/>
          <w:szCs w:val="28"/>
          <w:lang w:val="zh-CN"/>
        </w:rPr>
        <w:sectPr>
          <w:headerReference r:id="rId3" w:type="default"/>
          <w:footerReference r:id="rId5" w:type="default"/>
          <w:headerReference r:id="rId4" w:type="even"/>
          <w:footerReference r:id="rId6" w:type="even"/>
          <w:pgSz w:w="11906" w:h="16838"/>
          <w:pgMar w:top="1440" w:right="1474" w:bottom="1440" w:left="1474" w:header="851" w:footer="851" w:gutter="0"/>
          <w:pgNumType w:start="1"/>
          <w:cols w:space="720" w:num="1"/>
          <w:docGrid w:type="lines" w:linePitch="312" w:charSpace="0"/>
        </w:sectPr>
      </w:pPr>
    </w:p>
    <w:p w14:paraId="79353F60">
      <w:pPr>
        <w:pStyle w:val="7"/>
        <w:tabs>
          <w:tab w:val="right" w:leader="dot" w:pos="8296"/>
          <w:tab w:val="clear" w:pos="9241"/>
        </w:tabs>
        <w:spacing w:before="78" w:after="78"/>
        <w:jc w:val="center"/>
        <w:rPr>
          <w:rFonts w:ascii="宋体" w:hAnsi="Calibri" w:eastAsia="宋体" w:cs="宋体"/>
          <w:sz w:val="28"/>
          <w:szCs w:val="28"/>
          <w:lang w:val="zh-CN"/>
        </w:rPr>
      </w:pPr>
      <w:r>
        <w:rPr>
          <w:rFonts w:hint="eastAsia" w:ascii="宋体" w:hAnsi="Calibri" w:eastAsia="宋体" w:cs="宋体"/>
          <w:sz w:val="28"/>
          <w:szCs w:val="28"/>
          <w:lang w:val="zh-CN"/>
        </w:rPr>
        <w:t>目</w:t>
      </w:r>
      <w:r>
        <w:rPr>
          <w:rFonts w:hint="eastAsia" w:ascii="宋体" w:hAnsi="Calibri" w:eastAsia="宋体" w:cs="宋体"/>
          <w:sz w:val="28"/>
          <w:szCs w:val="28"/>
        </w:rPr>
        <w:t xml:space="preserve">  </w:t>
      </w:r>
      <w:r>
        <w:rPr>
          <w:rFonts w:hint="eastAsia" w:ascii="宋体" w:hAnsi="Calibri" w:eastAsia="宋体" w:cs="宋体"/>
          <w:sz w:val="28"/>
          <w:szCs w:val="28"/>
          <w:lang w:val="zh-CN"/>
        </w:rPr>
        <w:t>录</w:t>
      </w:r>
    </w:p>
    <w:p w14:paraId="1C200676">
      <w:pPr>
        <w:pStyle w:val="7"/>
        <w:tabs>
          <w:tab w:val="right" w:leader="dot" w:pos="8306"/>
          <w:tab w:val="clear" w:pos="9241"/>
        </w:tabs>
        <w:spacing w:before="120" w:beforeLines="0" w:after="120" w:afterLines="0"/>
        <w:rPr>
          <w:sz w:val="20"/>
          <w:szCs w:val="20"/>
        </w:rPr>
      </w:pPr>
      <w:r>
        <w:rPr>
          <w:rFonts w:ascii="Times New Roman"/>
          <w:sz w:val="20"/>
          <w:szCs w:val="20"/>
        </w:rPr>
        <w:fldChar w:fldCharType="begin"/>
      </w:r>
      <w:r>
        <w:rPr>
          <w:rFonts w:ascii="Times New Roman"/>
          <w:sz w:val="20"/>
          <w:szCs w:val="20"/>
        </w:rPr>
        <w:instrText xml:space="preserve">TOC \o "1-2" \h \u </w:instrText>
      </w:r>
      <w:r>
        <w:rPr>
          <w:rFonts w:ascii="Times New Roman"/>
          <w:sz w:val="20"/>
          <w:szCs w:val="20"/>
        </w:rPr>
        <w:fldChar w:fldCharType="separate"/>
      </w:r>
      <w:r>
        <w:rPr>
          <w:rFonts w:ascii="Times New Roman"/>
          <w:b/>
          <w:bCs/>
          <w:sz w:val="20"/>
          <w:szCs w:val="20"/>
        </w:rPr>
        <w:fldChar w:fldCharType="begin"/>
      </w:r>
      <w:r>
        <w:rPr>
          <w:rFonts w:ascii="Times New Roman"/>
          <w:b/>
          <w:bCs/>
          <w:sz w:val="20"/>
          <w:szCs w:val="20"/>
        </w:rPr>
        <w:instrText xml:space="preserve"> HYPERLINK \l _Toc18560 </w:instrText>
      </w:r>
      <w:r>
        <w:rPr>
          <w:rFonts w:ascii="Times New Roman"/>
          <w:b/>
          <w:bCs/>
          <w:sz w:val="20"/>
          <w:szCs w:val="20"/>
        </w:rPr>
        <w:fldChar w:fldCharType="separate"/>
      </w:r>
      <w:r>
        <w:rPr>
          <w:rFonts w:hint="eastAsia" w:hAnsi="黑体" w:cs="黑体"/>
          <w:b/>
          <w:bCs/>
          <w:sz w:val="20"/>
          <w:szCs w:val="20"/>
        </w:rPr>
        <w:t>1、工作简况</w:t>
      </w:r>
      <w:r>
        <w:rPr>
          <w:b/>
          <w:bCs/>
          <w:sz w:val="20"/>
          <w:szCs w:val="20"/>
        </w:rPr>
        <w:tab/>
      </w:r>
      <w:r>
        <w:rPr>
          <w:b/>
          <w:bCs/>
          <w:sz w:val="20"/>
          <w:szCs w:val="20"/>
        </w:rPr>
        <w:fldChar w:fldCharType="begin"/>
      </w:r>
      <w:r>
        <w:rPr>
          <w:b/>
          <w:bCs/>
          <w:sz w:val="20"/>
          <w:szCs w:val="20"/>
        </w:rPr>
        <w:instrText xml:space="preserve"> PAGEREF _Toc18560 \h </w:instrText>
      </w:r>
      <w:r>
        <w:rPr>
          <w:b/>
          <w:bCs/>
          <w:sz w:val="20"/>
          <w:szCs w:val="20"/>
        </w:rPr>
        <w:fldChar w:fldCharType="separate"/>
      </w:r>
      <w:r>
        <w:rPr>
          <w:b/>
          <w:bCs/>
          <w:sz w:val="20"/>
          <w:szCs w:val="20"/>
        </w:rPr>
        <w:t>2</w:t>
      </w:r>
      <w:r>
        <w:rPr>
          <w:b/>
          <w:bCs/>
          <w:sz w:val="20"/>
          <w:szCs w:val="20"/>
        </w:rPr>
        <w:fldChar w:fldCharType="end"/>
      </w:r>
      <w:r>
        <w:rPr>
          <w:rFonts w:ascii="Times New Roman"/>
          <w:b/>
          <w:bCs/>
          <w:sz w:val="20"/>
          <w:szCs w:val="20"/>
        </w:rPr>
        <w:fldChar w:fldCharType="end"/>
      </w:r>
    </w:p>
    <w:p w14:paraId="7E81E177">
      <w:pPr>
        <w:pStyle w:val="8"/>
        <w:tabs>
          <w:tab w:val="right" w:leader="dot" w:pos="8306"/>
        </w:tabs>
        <w:rPr>
          <w:sz w:val="20"/>
          <w:szCs w:val="20"/>
        </w:rPr>
      </w:pPr>
      <w:r>
        <w:rPr>
          <w:sz w:val="20"/>
          <w:szCs w:val="20"/>
        </w:rPr>
        <w:fldChar w:fldCharType="begin"/>
      </w:r>
      <w:r>
        <w:rPr>
          <w:sz w:val="20"/>
          <w:szCs w:val="20"/>
        </w:rPr>
        <w:instrText xml:space="preserve"> HYPERLINK \l _Toc12225 </w:instrText>
      </w:r>
      <w:r>
        <w:rPr>
          <w:sz w:val="20"/>
          <w:szCs w:val="20"/>
        </w:rPr>
        <w:fldChar w:fldCharType="separate"/>
      </w:r>
      <w:r>
        <w:rPr>
          <w:rFonts w:hint="eastAsia" w:ascii="黑体" w:hAnsi="黑体" w:eastAsia="黑体" w:cs="黑体"/>
          <w:bCs/>
          <w:sz w:val="20"/>
          <w:szCs w:val="20"/>
        </w:rPr>
        <w:t>1.1 任务来源</w:t>
      </w:r>
      <w:r>
        <w:rPr>
          <w:sz w:val="20"/>
          <w:szCs w:val="20"/>
        </w:rPr>
        <w:tab/>
      </w:r>
      <w:r>
        <w:rPr>
          <w:sz w:val="20"/>
          <w:szCs w:val="20"/>
        </w:rPr>
        <w:fldChar w:fldCharType="begin"/>
      </w:r>
      <w:r>
        <w:rPr>
          <w:sz w:val="20"/>
          <w:szCs w:val="20"/>
        </w:rPr>
        <w:instrText xml:space="preserve"> PAGEREF _Toc12225 \h </w:instrText>
      </w:r>
      <w:r>
        <w:rPr>
          <w:sz w:val="20"/>
          <w:szCs w:val="20"/>
        </w:rPr>
        <w:fldChar w:fldCharType="separate"/>
      </w:r>
      <w:r>
        <w:rPr>
          <w:sz w:val="20"/>
          <w:szCs w:val="20"/>
        </w:rPr>
        <w:t>2</w:t>
      </w:r>
      <w:r>
        <w:rPr>
          <w:sz w:val="20"/>
          <w:szCs w:val="20"/>
        </w:rPr>
        <w:fldChar w:fldCharType="end"/>
      </w:r>
      <w:r>
        <w:rPr>
          <w:sz w:val="20"/>
          <w:szCs w:val="20"/>
        </w:rPr>
        <w:fldChar w:fldCharType="end"/>
      </w:r>
    </w:p>
    <w:p w14:paraId="208F3FEA">
      <w:pPr>
        <w:pStyle w:val="8"/>
        <w:tabs>
          <w:tab w:val="right" w:leader="dot" w:pos="8306"/>
        </w:tabs>
        <w:rPr>
          <w:sz w:val="20"/>
          <w:szCs w:val="20"/>
        </w:rPr>
      </w:pPr>
      <w:r>
        <w:rPr>
          <w:sz w:val="20"/>
          <w:szCs w:val="20"/>
        </w:rPr>
        <w:fldChar w:fldCharType="begin"/>
      </w:r>
      <w:r>
        <w:rPr>
          <w:sz w:val="20"/>
          <w:szCs w:val="20"/>
        </w:rPr>
        <w:instrText xml:space="preserve"> HYPERLINK \l _Toc25615 </w:instrText>
      </w:r>
      <w:r>
        <w:rPr>
          <w:sz w:val="20"/>
          <w:szCs w:val="20"/>
        </w:rPr>
        <w:fldChar w:fldCharType="separate"/>
      </w:r>
      <w:r>
        <w:rPr>
          <w:rFonts w:hint="eastAsia" w:ascii="黑体" w:hAnsi="黑体" w:eastAsia="黑体" w:cs="黑体"/>
          <w:bCs/>
          <w:sz w:val="20"/>
          <w:szCs w:val="20"/>
        </w:rPr>
        <w:t>1.2 制定背景</w:t>
      </w:r>
      <w:r>
        <w:rPr>
          <w:sz w:val="20"/>
          <w:szCs w:val="20"/>
        </w:rPr>
        <w:tab/>
      </w:r>
      <w:r>
        <w:rPr>
          <w:sz w:val="20"/>
          <w:szCs w:val="20"/>
        </w:rPr>
        <w:fldChar w:fldCharType="begin"/>
      </w:r>
      <w:r>
        <w:rPr>
          <w:sz w:val="20"/>
          <w:szCs w:val="20"/>
        </w:rPr>
        <w:instrText xml:space="preserve"> PAGEREF _Toc25615 \h </w:instrText>
      </w:r>
      <w:r>
        <w:rPr>
          <w:sz w:val="20"/>
          <w:szCs w:val="20"/>
        </w:rPr>
        <w:fldChar w:fldCharType="separate"/>
      </w:r>
      <w:r>
        <w:rPr>
          <w:sz w:val="20"/>
          <w:szCs w:val="20"/>
        </w:rPr>
        <w:t>2</w:t>
      </w:r>
      <w:r>
        <w:rPr>
          <w:sz w:val="20"/>
          <w:szCs w:val="20"/>
        </w:rPr>
        <w:fldChar w:fldCharType="end"/>
      </w:r>
      <w:r>
        <w:rPr>
          <w:sz w:val="20"/>
          <w:szCs w:val="20"/>
        </w:rPr>
        <w:fldChar w:fldCharType="end"/>
      </w:r>
    </w:p>
    <w:p w14:paraId="4A90826D">
      <w:pPr>
        <w:pStyle w:val="8"/>
        <w:tabs>
          <w:tab w:val="right" w:leader="dot" w:pos="8306"/>
        </w:tabs>
        <w:rPr>
          <w:sz w:val="20"/>
          <w:szCs w:val="20"/>
        </w:rPr>
      </w:pPr>
      <w:r>
        <w:rPr>
          <w:sz w:val="20"/>
          <w:szCs w:val="20"/>
        </w:rPr>
        <w:fldChar w:fldCharType="begin"/>
      </w:r>
      <w:r>
        <w:rPr>
          <w:sz w:val="20"/>
          <w:szCs w:val="20"/>
        </w:rPr>
        <w:instrText xml:space="preserve"> HYPERLINK \l _Toc29410 </w:instrText>
      </w:r>
      <w:r>
        <w:rPr>
          <w:sz w:val="20"/>
          <w:szCs w:val="20"/>
        </w:rPr>
        <w:fldChar w:fldCharType="separate"/>
      </w:r>
      <w:r>
        <w:rPr>
          <w:rFonts w:hint="eastAsia" w:ascii="黑体" w:hAnsi="黑体" w:eastAsia="黑体" w:cs="黑体"/>
          <w:bCs/>
          <w:sz w:val="20"/>
          <w:szCs w:val="20"/>
        </w:rPr>
        <w:t>1.3 制定工作过程</w:t>
      </w:r>
      <w:r>
        <w:rPr>
          <w:sz w:val="20"/>
          <w:szCs w:val="20"/>
        </w:rPr>
        <w:tab/>
      </w:r>
      <w:r>
        <w:rPr>
          <w:sz w:val="20"/>
          <w:szCs w:val="20"/>
        </w:rPr>
        <w:fldChar w:fldCharType="begin"/>
      </w:r>
      <w:r>
        <w:rPr>
          <w:sz w:val="20"/>
          <w:szCs w:val="20"/>
        </w:rPr>
        <w:instrText xml:space="preserve"> PAGEREF _Toc29410 \h </w:instrText>
      </w:r>
      <w:r>
        <w:rPr>
          <w:sz w:val="20"/>
          <w:szCs w:val="20"/>
        </w:rPr>
        <w:fldChar w:fldCharType="separate"/>
      </w:r>
      <w:r>
        <w:rPr>
          <w:sz w:val="20"/>
          <w:szCs w:val="20"/>
        </w:rPr>
        <w:t>3</w:t>
      </w:r>
      <w:r>
        <w:rPr>
          <w:sz w:val="20"/>
          <w:szCs w:val="20"/>
        </w:rPr>
        <w:fldChar w:fldCharType="end"/>
      </w:r>
      <w:r>
        <w:rPr>
          <w:sz w:val="20"/>
          <w:szCs w:val="20"/>
        </w:rPr>
        <w:fldChar w:fldCharType="end"/>
      </w:r>
    </w:p>
    <w:p w14:paraId="3D54F2C4">
      <w:pPr>
        <w:pStyle w:val="8"/>
        <w:tabs>
          <w:tab w:val="right" w:leader="dot" w:pos="8306"/>
        </w:tabs>
        <w:rPr>
          <w:sz w:val="20"/>
          <w:szCs w:val="20"/>
        </w:rPr>
      </w:pPr>
      <w:r>
        <w:rPr>
          <w:sz w:val="20"/>
          <w:szCs w:val="20"/>
        </w:rPr>
        <w:fldChar w:fldCharType="begin"/>
      </w:r>
      <w:r>
        <w:rPr>
          <w:sz w:val="20"/>
          <w:szCs w:val="20"/>
        </w:rPr>
        <w:instrText xml:space="preserve"> HYPERLINK \l _Toc17768 </w:instrText>
      </w:r>
      <w:r>
        <w:rPr>
          <w:sz w:val="20"/>
          <w:szCs w:val="20"/>
        </w:rPr>
        <w:fldChar w:fldCharType="separate"/>
      </w:r>
      <w:r>
        <w:rPr>
          <w:rFonts w:hint="eastAsia" w:ascii="黑体" w:hAnsi="黑体" w:eastAsia="黑体" w:cs="黑体"/>
          <w:bCs/>
          <w:sz w:val="20"/>
          <w:szCs w:val="20"/>
        </w:rPr>
        <w:t>1.4 编制单位、主要起草人及其所作工作</w:t>
      </w:r>
      <w:r>
        <w:rPr>
          <w:sz w:val="20"/>
          <w:szCs w:val="20"/>
        </w:rPr>
        <w:tab/>
      </w:r>
      <w:r>
        <w:rPr>
          <w:sz w:val="20"/>
          <w:szCs w:val="20"/>
        </w:rPr>
        <w:fldChar w:fldCharType="begin"/>
      </w:r>
      <w:r>
        <w:rPr>
          <w:sz w:val="20"/>
          <w:szCs w:val="20"/>
        </w:rPr>
        <w:instrText xml:space="preserve"> PAGEREF _Toc17768 \h </w:instrText>
      </w:r>
      <w:r>
        <w:rPr>
          <w:sz w:val="20"/>
          <w:szCs w:val="20"/>
        </w:rPr>
        <w:fldChar w:fldCharType="separate"/>
      </w:r>
      <w:r>
        <w:rPr>
          <w:sz w:val="20"/>
          <w:szCs w:val="20"/>
        </w:rPr>
        <w:t>4</w:t>
      </w:r>
      <w:r>
        <w:rPr>
          <w:sz w:val="20"/>
          <w:szCs w:val="20"/>
        </w:rPr>
        <w:fldChar w:fldCharType="end"/>
      </w:r>
      <w:r>
        <w:rPr>
          <w:sz w:val="20"/>
          <w:szCs w:val="20"/>
        </w:rPr>
        <w:fldChar w:fldCharType="end"/>
      </w:r>
    </w:p>
    <w:p w14:paraId="1CF2441D">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_Toc2631 </w:instrText>
      </w:r>
      <w:r>
        <w:rPr>
          <w:rFonts w:ascii="Times New Roman"/>
          <w:b/>
          <w:bCs/>
          <w:sz w:val="20"/>
          <w:szCs w:val="20"/>
        </w:rPr>
        <w:fldChar w:fldCharType="separate"/>
      </w:r>
      <w:r>
        <w:rPr>
          <w:rFonts w:hint="eastAsia" w:hAnsi="黑体" w:cs="黑体"/>
          <w:b/>
          <w:bCs/>
          <w:sz w:val="20"/>
          <w:szCs w:val="20"/>
        </w:rPr>
        <w:t>2、标准制定原则和主要内容</w:t>
      </w:r>
      <w:r>
        <w:rPr>
          <w:b/>
          <w:bCs/>
          <w:sz w:val="20"/>
          <w:szCs w:val="20"/>
        </w:rPr>
        <w:tab/>
      </w:r>
      <w:r>
        <w:rPr>
          <w:b/>
          <w:bCs/>
          <w:sz w:val="20"/>
          <w:szCs w:val="20"/>
        </w:rPr>
        <w:fldChar w:fldCharType="begin"/>
      </w:r>
      <w:r>
        <w:rPr>
          <w:b/>
          <w:bCs/>
          <w:sz w:val="20"/>
          <w:szCs w:val="20"/>
        </w:rPr>
        <w:instrText xml:space="preserve"> PAGEREF _Toc2631 \h </w:instrText>
      </w:r>
      <w:r>
        <w:rPr>
          <w:b/>
          <w:bCs/>
          <w:sz w:val="20"/>
          <w:szCs w:val="20"/>
        </w:rPr>
        <w:fldChar w:fldCharType="separate"/>
      </w:r>
      <w:r>
        <w:rPr>
          <w:b/>
          <w:bCs/>
          <w:sz w:val="20"/>
          <w:szCs w:val="20"/>
        </w:rPr>
        <w:t>6</w:t>
      </w:r>
      <w:r>
        <w:rPr>
          <w:b/>
          <w:bCs/>
          <w:sz w:val="20"/>
          <w:szCs w:val="20"/>
        </w:rPr>
        <w:fldChar w:fldCharType="end"/>
      </w:r>
      <w:r>
        <w:rPr>
          <w:rFonts w:ascii="Times New Roman"/>
          <w:b/>
          <w:bCs/>
          <w:sz w:val="20"/>
          <w:szCs w:val="20"/>
        </w:rPr>
        <w:fldChar w:fldCharType="end"/>
      </w:r>
    </w:p>
    <w:p w14:paraId="7C01D3CB">
      <w:pPr>
        <w:pStyle w:val="8"/>
        <w:tabs>
          <w:tab w:val="right" w:leader="dot" w:pos="8306"/>
        </w:tabs>
        <w:rPr>
          <w:sz w:val="20"/>
          <w:szCs w:val="20"/>
        </w:rPr>
      </w:pPr>
      <w:r>
        <w:rPr>
          <w:sz w:val="20"/>
          <w:szCs w:val="20"/>
        </w:rPr>
        <w:fldChar w:fldCharType="begin"/>
      </w:r>
      <w:r>
        <w:rPr>
          <w:sz w:val="20"/>
          <w:szCs w:val="20"/>
        </w:rPr>
        <w:instrText xml:space="preserve"> HYPERLINK \l _Toc6663 </w:instrText>
      </w:r>
      <w:r>
        <w:rPr>
          <w:sz w:val="20"/>
          <w:szCs w:val="20"/>
        </w:rPr>
        <w:fldChar w:fldCharType="separate"/>
      </w:r>
      <w:r>
        <w:rPr>
          <w:rFonts w:hint="eastAsia" w:ascii="黑体" w:hAnsi="黑体" w:eastAsia="黑体" w:cs="黑体"/>
          <w:bCs/>
          <w:sz w:val="20"/>
          <w:szCs w:val="20"/>
        </w:rPr>
        <w:t>2.1 制定原则</w:t>
      </w:r>
      <w:r>
        <w:rPr>
          <w:sz w:val="20"/>
          <w:szCs w:val="20"/>
        </w:rPr>
        <w:tab/>
      </w:r>
      <w:r>
        <w:rPr>
          <w:sz w:val="20"/>
          <w:szCs w:val="20"/>
        </w:rPr>
        <w:fldChar w:fldCharType="begin"/>
      </w:r>
      <w:r>
        <w:rPr>
          <w:sz w:val="20"/>
          <w:szCs w:val="20"/>
        </w:rPr>
        <w:instrText xml:space="preserve"> PAGEREF _Toc6663 \h </w:instrText>
      </w:r>
      <w:r>
        <w:rPr>
          <w:sz w:val="20"/>
          <w:szCs w:val="20"/>
        </w:rPr>
        <w:fldChar w:fldCharType="separate"/>
      </w:r>
      <w:r>
        <w:rPr>
          <w:sz w:val="20"/>
          <w:szCs w:val="20"/>
        </w:rPr>
        <w:t>6</w:t>
      </w:r>
      <w:r>
        <w:rPr>
          <w:sz w:val="20"/>
          <w:szCs w:val="20"/>
        </w:rPr>
        <w:fldChar w:fldCharType="end"/>
      </w:r>
      <w:r>
        <w:rPr>
          <w:sz w:val="20"/>
          <w:szCs w:val="20"/>
        </w:rPr>
        <w:fldChar w:fldCharType="end"/>
      </w:r>
    </w:p>
    <w:p w14:paraId="732E146D">
      <w:pPr>
        <w:pStyle w:val="8"/>
        <w:tabs>
          <w:tab w:val="right" w:leader="dot" w:pos="8306"/>
        </w:tabs>
        <w:rPr>
          <w:sz w:val="20"/>
          <w:szCs w:val="20"/>
        </w:rPr>
      </w:pPr>
      <w:r>
        <w:rPr>
          <w:sz w:val="20"/>
          <w:szCs w:val="20"/>
        </w:rPr>
        <w:fldChar w:fldCharType="begin"/>
      </w:r>
      <w:r>
        <w:rPr>
          <w:sz w:val="20"/>
          <w:szCs w:val="20"/>
        </w:rPr>
        <w:instrText xml:space="preserve"> HYPERLINK \l _Toc21664 </w:instrText>
      </w:r>
      <w:r>
        <w:rPr>
          <w:sz w:val="20"/>
          <w:szCs w:val="20"/>
        </w:rPr>
        <w:fldChar w:fldCharType="separate"/>
      </w:r>
      <w:r>
        <w:rPr>
          <w:rFonts w:hint="eastAsia" w:ascii="黑体" w:hAnsi="黑体" w:eastAsia="黑体" w:cs="黑体"/>
          <w:bCs/>
          <w:sz w:val="20"/>
          <w:szCs w:val="20"/>
        </w:rPr>
        <w:t>2.2 标准制定主要内容</w:t>
      </w:r>
      <w:r>
        <w:rPr>
          <w:sz w:val="20"/>
          <w:szCs w:val="20"/>
        </w:rPr>
        <w:tab/>
      </w:r>
      <w:r>
        <w:rPr>
          <w:rFonts w:hint="eastAsia"/>
          <w:sz w:val="20"/>
          <w:szCs w:val="20"/>
          <w:lang w:val="en-US" w:eastAsia="zh-CN"/>
        </w:rPr>
        <w:t>7</w:t>
      </w:r>
      <w:r>
        <w:rPr>
          <w:sz w:val="20"/>
          <w:szCs w:val="20"/>
        </w:rPr>
        <w:fldChar w:fldCharType="end"/>
      </w:r>
    </w:p>
    <w:p w14:paraId="505B8B61">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_Toc6263 </w:instrText>
      </w:r>
      <w:r>
        <w:rPr>
          <w:rFonts w:ascii="Times New Roman"/>
          <w:b/>
          <w:bCs/>
          <w:sz w:val="20"/>
          <w:szCs w:val="20"/>
        </w:rPr>
        <w:fldChar w:fldCharType="separate"/>
      </w:r>
      <w:r>
        <w:rPr>
          <w:rFonts w:hint="eastAsia" w:hAnsi="黑体" w:cs="黑体"/>
          <w:b/>
          <w:bCs/>
          <w:sz w:val="20"/>
          <w:szCs w:val="20"/>
        </w:rPr>
        <w:t>3、</w:t>
      </w:r>
      <w:r>
        <w:rPr>
          <w:rFonts w:hint="eastAsia" w:hAnsi="黑体" w:cs="黑体"/>
          <w:b/>
          <w:bCs/>
          <w:sz w:val="20"/>
          <w:szCs w:val="20"/>
          <w:lang w:val="en-US" w:eastAsia="zh-CN"/>
        </w:rPr>
        <w:t>主要试验验证情况和</w:t>
      </w:r>
      <w:r>
        <w:rPr>
          <w:rFonts w:hint="eastAsia" w:hAnsi="黑体" w:cs="黑体"/>
          <w:b/>
          <w:bCs/>
          <w:sz w:val="20"/>
          <w:szCs w:val="20"/>
        </w:rPr>
        <w:t>预期效益</w:t>
      </w:r>
      <w:r>
        <w:rPr>
          <w:b/>
          <w:bCs/>
          <w:sz w:val="20"/>
          <w:szCs w:val="20"/>
        </w:rPr>
        <w:tab/>
      </w:r>
      <w:r>
        <w:rPr>
          <w:b/>
          <w:bCs/>
          <w:sz w:val="20"/>
          <w:szCs w:val="20"/>
        </w:rPr>
        <w:fldChar w:fldCharType="begin"/>
      </w:r>
      <w:r>
        <w:rPr>
          <w:b/>
          <w:bCs/>
          <w:sz w:val="20"/>
          <w:szCs w:val="20"/>
        </w:rPr>
        <w:instrText xml:space="preserve"> PAGEREF _Toc6263 \h </w:instrText>
      </w:r>
      <w:r>
        <w:rPr>
          <w:b/>
          <w:bCs/>
          <w:sz w:val="20"/>
          <w:szCs w:val="20"/>
        </w:rPr>
        <w:fldChar w:fldCharType="separate"/>
      </w:r>
      <w:r>
        <w:rPr>
          <w:b/>
          <w:bCs/>
          <w:sz w:val="20"/>
          <w:szCs w:val="20"/>
        </w:rPr>
        <w:t>7</w:t>
      </w:r>
      <w:r>
        <w:rPr>
          <w:b/>
          <w:bCs/>
          <w:sz w:val="20"/>
          <w:szCs w:val="20"/>
        </w:rPr>
        <w:fldChar w:fldCharType="end"/>
      </w:r>
      <w:r>
        <w:rPr>
          <w:rFonts w:ascii="Times New Roman"/>
          <w:b/>
          <w:bCs/>
          <w:sz w:val="20"/>
          <w:szCs w:val="20"/>
        </w:rPr>
        <w:fldChar w:fldCharType="end"/>
      </w:r>
    </w:p>
    <w:p w14:paraId="709D377D">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_Toc7808 </w:instrText>
      </w:r>
      <w:r>
        <w:rPr>
          <w:rFonts w:ascii="Times New Roman"/>
          <w:b/>
          <w:bCs/>
          <w:sz w:val="20"/>
          <w:szCs w:val="20"/>
        </w:rPr>
        <w:fldChar w:fldCharType="separate"/>
      </w:r>
      <w:r>
        <w:rPr>
          <w:rFonts w:hint="eastAsia" w:hAnsi="黑体" w:cs="黑体"/>
          <w:b/>
          <w:bCs/>
          <w:sz w:val="20"/>
          <w:szCs w:val="20"/>
        </w:rPr>
        <w:t>4、与国际、国外同类标准技术内容的对比</w:t>
      </w:r>
      <w:r>
        <w:rPr>
          <w:b/>
          <w:bCs/>
          <w:sz w:val="20"/>
          <w:szCs w:val="20"/>
        </w:rPr>
        <w:tab/>
      </w:r>
      <w:r>
        <w:rPr>
          <w:b/>
          <w:bCs/>
          <w:sz w:val="20"/>
          <w:szCs w:val="20"/>
        </w:rPr>
        <w:fldChar w:fldCharType="begin"/>
      </w:r>
      <w:r>
        <w:rPr>
          <w:b/>
          <w:bCs/>
          <w:sz w:val="20"/>
          <w:szCs w:val="20"/>
        </w:rPr>
        <w:instrText xml:space="preserve"> PAGEREF _Toc7808 \h </w:instrText>
      </w:r>
      <w:r>
        <w:rPr>
          <w:b/>
          <w:bCs/>
          <w:sz w:val="20"/>
          <w:szCs w:val="20"/>
        </w:rPr>
        <w:fldChar w:fldCharType="separate"/>
      </w:r>
      <w:r>
        <w:rPr>
          <w:b/>
          <w:bCs/>
          <w:sz w:val="20"/>
          <w:szCs w:val="20"/>
        </w:rPr>
        <w:t>7</w:t>
      </w:r>
      <w:r>
        <w:rPr>
          <w:b/>
          <w:bCs/>
          <w:sz w:val="20"/>
          <w:szCs w:val="20"/>
        </w:rPr>
        <w:fldChar w:fldCharType="end"/>
      </w:r>
      <w:r>
        <w:rPr>
          <w:rFonts w:ascii="Times New Roman"/>
          <w:b/>
          <w:bCs/>
          <w:sz w:val="20"/>
          <w:szCs w:val="20"/>
        </w:rPr>
        <w:fldChar w:fldCharType="end"/>
      </w:r>
    </w:p>
    <w:p w14:paraId="2A5A5CE8">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_Toc21097 </w:instrText>
      </w:r>
      <w:r>
        <w:rPr>
          <w:rFonts w:ascii="Times New Roman"/>
          <w:b/>
          <w:bCs/>
          <w:sz w:val="20"/>
          <w:szCs w:val="20"/>
        </w:rPr>
        <w:fldChar w:fldCharType="separate"/>
      </w:r>
      <w:r>
        <w:rPr>
          <w:rFonts w:hint="eastAsia" w:hAnsi="黑体" w:cs="黑体"/>
          <w:b/>
          <w:bCs/>
          <w:sz w:val="20"/>
          <w:szCs w:val="20"/>
        </w:rPr>
        <w:t>5、采用国际国外标准情况</w:t>
      </w:r>
      <w:r>
        <w:rPr>
          <w:b/>
          <w:bCs/>
          <w:sz w:val="20"/>
          <w:szCs w:val="20"/>
        </w:rPr>
        <w:tab/>
      </w:r>
      <w:r>
        <w:rPr>
          <w:b/>
          <w:bCs/>
          <w:sz w:val="20"/>
          <w:szCs w:val="20"/>
        </w:rPr>
        <w:fldChar w:fldCharType="begin"/>
      </w:r>
      <w:r>
        <w:rPr>
          <w:b/>
          <w:bCs/>
          <w:sz w:val="20"/>
          <w:szCs w:val="20"/>
        </w:rPr>
        <w:instrText xml:space="preserve"> PAGEREF _Toc21097 \h </w:instrText>
      </w:r>
      <w:r>
        <w:rPr>
          <w:b/>
          <w:bCs/>
          <w:sz w:val="20"/>
          <w:szCs w:val="20"/>
        </w:rPr>
        <w:fldChar w:fldCharType="separate"/>
      </w:r>
      <w:r>
        <w:rPr>
          <w:b/>
          <w:bCs/>
          <w:sz w:val="20"/>
          <w:szCs w:val="20"/>
        </w:rPr>
        <w:t>7</w:t>
      </w:r>
      <w:r>
        <w:rPr>
          <w:b/>
          <w:bCs/>
          <w:sz w:val="20"/>
          <w:szCs w:val="20"/>
        </w:rPr>
        <w:fldChar w:fldCharType="end"/>
      </w:r>
      <w:r>
        <w:rPr>
          <w:rFonts w:ascii="Times New Roman"/>
          <w:b/>
          <w:bCs/>
          <w:sz w:val="20"/>
          <w:szCs w:val="20"/>
        </w:rPr>
        <w:fldChar w:fldCharType="end"/>
      </w:r>
    </w:p>
    <w:p w14:paraId="29B32AC6">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_Toc29845 </w:instrText>
      </w:r>
      <w:r>
        <w:rPr>
          <w:rFonts w:ascii="Times New Roman"/>
          <w:b/>
          <w:bCs/>
          <w:sz w:val="20"/>
          <w:szCs w:val="20"/>
        </w:rPr>
        <w:fldChar w:fldCharType="separate"/>
      </w:r>
      <w:r>
        <w:rPr>
          <w:rFonts w:hint="eastAsia" w:hAnsi="黑体" w:cs="黑体"/>
          <w:b/>
          <w:bCs/>
          <w:sz w:val="20"/>
          <w:szCs w:val="20"/>
        </w:rPr>
        <w:t>6、与有关法律、行政法规及相关标准的关系</w:t>
      </w:r>
      <w:r>
        <w:rPr>
          <w:b/>
          <w:bCs/>
          <w:sz w:val="20"/>
          <w:szCs w:val="20"/>
        </w:rPr>
        <w:tab/>
      </w:r>
      <w:r>
        <w:rPr>
          <w:b/>
          <w:bCs/>
          <w:sz w:val="20"/>
          <w:szCs w:val="20"/>
        </w:rPr>
        <w:fldChar w:fldCharType="begin"/>
      </w:r>
      <w:r>
        <w:rPr>
          <w:b/>
          <w:bCs/>
          <w:sz w:val="20"/>
          <w:szCs w:val="20"/>
        </w:rPr>
        <w:instrText xml:space="preserve"> PAGEREF _Toc29845 \h </w:instrText>
      </w:r>
      <w:r>
        <w:rPr>
          <w:b/>
          <w:bCs/>
          <w:sz w:val="20"/>
          <w:szCs w:val="20"/>
        </w:rPr>
        <w:fldChar w:fldCharType="separate"/>
      </w:r>
      <w:r>
        <w:rPr>
          <w:b/>
          <w:bCs/>
          <w:sz w:val="20"/>
          <w:szCs w:val="20"/>
        </w:rPr>
        <w:t>7</w:t>
      </w:r>
      <w:r>
        <w:rPr>
          <w:b/>
          <w:bCs/>
          <w:sz w:val="20"/>
          <w:szCs w:val="20"/>
        </w:rPr>
        <w:fldChar w:fldCharType="end"/>
      </w:r>
      <w:r>
        <w:rPr>
          <w:rFonts w:ascii="Times New Roman"/>
          <w:b/>
          <w:bCs/>
          <w:sz w:val="20"/>
          <w:szCs w:val="20"/>
        </w:rPr>
        <w:fldChar w:fldCharType="end"/>
      </w:r>
    </w:p>
    <w:p w14:paraId="3B911764">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_Toc25742 </w:instrText>
      </w:r>
      <w:r>
        <w:rPr>
          <w:rFonts w:ascii="Times New Roman"/>
          <w:b/>
          <w:bCs/>
          <w:sz w:val="20"/>
          <w:szCs w:val="20"/>
        </w:rPr>
        <w:fldChar w:fldCharType="separate"/>
      </w:r>
      <w:r>
        <w:rPr>
          <w:rFonts w:hint="eastAsia" w:hAnsi="黑体" w:cs="黑体"/>
          <w:b/>
          <w:bCs/>
          <w:sz w:val="20"/>
          <w:szCs w:val="20"/>
        </w:rPr>
        <w:t>7、重大分歧意见的处理经过和依据</w:t>
      </w:r>
      <w:r>
        <w:rPr>
          <w:b/>
          <w:bCs/>
          <w:sz w:val="20"/>
          <w:szCs w:val="20"/>
        </w:rPr>
        <w:tab/>
      </w:r>
      <w:r>
        <w:rPr>
          <w:b/>
          <w:bCs/>
          <w:sz w:val="20"/>
          <w:szCs w:val="20"/>
        </w:rPr>
        <w:fldChar w:fldCharType="begin"/>
      </w:r>
      <w:r>
        <w:rPr>
          <w:b/>
          <w:bCs/>
          <w:sz w:val="20"/>
          <w:szCs w:val="20"/>
        </w:rPr>
        <w:instrText xml:space="preserve"> PAGEREF _Toc25742 \h </w:instrText>
      </w:r>
      <w:r>
        <w:rPr>
          <w:b/>
          <w:bCs/>
          <w:sz w:val="20"/>
          <w:szCs w:val="20"/>
        </w:rPr>
        <w:fldChar w:fldCharType="separate"/>
      </w:r>
      <w:r>
        <w:rPr>
          <w:b/>
          <w:bCs/>
          <w:sz w:val="20"/>
          <w:szCs w:val="20"/>
        </w:rPr>
        <w:t>7</w:t>
      </w:r>
      <w:r>
        <w:rPr>
          <w:b/>
          <w:bCs/>
          <w:sz w:val="20"/>
          <w:szCs w:val="20"/>
        </w:rPr>
        <w:fldChar w:fldCharType="end"/>
      </w:r>
      <w:r>
        <w:rPr>
          <w:rFonts w:ascii="Times New Roman"/>
          <w:b/>
          <w:bCs/>
          <w:sz w:val="20"/>
          <w:szCs w:val="20"/>
        </w:rPr>
        <w:fldChar w:fldCharType="end"/>
      </w:r>
    </w:p>
    <w:p w14:paraId="086BE246">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_Toc8346 </w:instrText>
      </w:r>
      <w:r>
        <w:rPr>
          <w:rFonts w:ascii="Times New Roman"/>
          <w:b/>
          <w:bCs/>
          <w:sz w:val="20"/>
          <w:szCs w:val="20"/>
        </w:rPr>
        <w:fldChar w:fldCharType="separate"/>
      </w:r>
      <w:r>
        <w:rPr>
          <w:rFonts w:hint="eastAsia" w:hAnsi="黑体" w:cs="黑体"/>
          <w:b/>
          <w:bCs/>
          <w:sz w:val="20"/>
          <w:szCs w:val="20"/>
        </w:rPr>
        <w:t>8、涉及专利的有关说明</w:t>
      </w:r>
      <w:r>
        <w:rPr>
          <w:b/>
          <w:bCs/>
          <w:sz w:val="20"/>
          <w:szCs w:val="20"/>
        </w:rPr>
        <w:tab/>
      </w:r>
      <w:r>
        <w:rPr>
          <w:rFonts w:hint="eastAsia"/>
          <w:b/>
          <w:bCs/>
          <w:sz w:val="20"/>
          <w:szCs w:val="20"/>
          <w:lang w:val="en-US" w:eastAsia="zh-CN"/>
        </w:rPr>
        <w:t>8</w:t>
      </w:r>
      <w:r>
        <w:rPr>
          <w:rFonts w:ascii="Times New Roman"/>
          <w:b/>
          <w:bCs/>
          <w:sz w:val="20"/>
          <w:szCs w:val="20"/>
        </w:rPr>
        <w:fldChar w:fldCharType="end"/>
      </w:r>
    </w:p>
    <w:p w14:paraId="51F16951">
      <w:pPr>
        <w:pStyle w:val="7"/>
        <w:tabs>
          <w:tab w:val="right" w:leader="dot" w:pos="8306"/>
          <w:tab w:val="clear" w:pos="9241"/>
        </w:tabs>
        <w:spacing w:before="120" w:beforeLines="0" w:after="120" w:afterLines="0"/>
        <w:rPr>
          <w:b/>
          <w:bCs/>
          <w:sz w:val="20"/>
          <w:szCs w:val="20"/>
        </w:rPr>
      </w:pPr>
      <w:r>
        <w:rPr>
          <w:rFonts w:ascii="Times New Roman"/>
          <w:b/>
          <w:bCs/>
          <w:sz w:val="20"/>
          <w:szCs w:val="20"/>
        </w:rPr>
        <w:fldChar w:fldCharType="begin"/>
      </w:r>
      <w:r>
        <w:rPr>
          <w:rFonts w:ascii="Times New Roman"/>
          <w:b/>
          <w:bCs/>
          <w:sz w:val="20"/>
          <w:szCs w:val="20"/>
        </w:rPr>
        <w:instrText xml:space="preserve"> HYPERLINK \l _Toc23099 </w:instrText>
      </w:r>
      <w:r>
        <w:rPr>
          <w:rFonts w:ascii="Times New Roman"/>
          <w:b/>
          <w:bCs/>
          <w:sz w:val="20"/>
          <w:szCs w:val="20"/>
        </w:rPr>
        <w:fldChar w:fldCharType="separate"/>
      </w:r>
      <w:r>
        <w:rPr>
          <w:rFonts w:hint="eastAsia" w:hAnsi="黑体" w:cs="黑体"/>
          <w:b/>
          <w:bCs/>
          <w:sz w:val="20"/>
          <w:szCs w:val="20"/>
        </w:rPr>
        <w:t>9、标准实施建议</w:t>
      </w:r>
      <w:r>
        <w:rPr>
          <w:b/>
          <w:bCs/>
          <w:sz w:val="20"/>
          <w:szCs w:val="20"/>
        </w:rPr>
        <w:tab/>
      </w:r>
      <w:r>
        <w:rPr>
          <w:b/>
          <w:bCs/>
          <w:sz w:val="20"/>
          <w:szCs w:val="20"/>
        </w:rPr>
        <w:fldChar w:fldCharType="begin"/>
      </w:r>
      <w:r>
        <w:rPr>
          <w:b/>
          <w:bCs/>
          <w:sz w:val="20"/>
          <w:szCs w:val="20"/>
        </w:rPr>
        <w:instrText xml:space="preserve"> PAGEREF _Toc23099 \h </w:instrText>
      </w:r>
      <w:r>
        <w:rPr>
          <w:b/>
          <w:bCs/>
          <w:sz w:val="20"/>
          <w:szCs w:val="20"/>
        </w:rPr>
        <w:fldChar w:fldCharType="separate"/>
      </w:r>
      <w:r>
        <w:rPr>
          <w:b/>
          <w:bCs/>
          <w:sz w:val="20"/>
          <w:szCs w:val="20"/>
        </w:rPr>
        <w:t>8</w:t>
      </w:r>
      <w:r>
        <w:rPr>
          <w:b/>
          <w:bCs/>
          <w:sz w:val="20"/>
          <w:szCs w:val="20"/>
        </w:rPr>
        <w:fldChar w:fldCharType="end"/>
      </w:r>
      <w:r>
        <w:rPr>
          <w:rFonts w:ascii="Times New Roman"/>
          <w:b/>
          <w:bCs/>
          <w:sz w:val="20"/>
          <w:szCs w:val="20"/>
        </w:rPr>
        <w:fldChar w:fldCharType="end"/>
      </w:r>
    </w:p>
    <w:p w14:paraId="4D29CA5B">
      <w:pPr>
        <w:pStyle w:val="7"/>
        <w:tabs>
          <w:tab w:val="right" w:leader="dot" w:pos="8306"/>
          <w:tab w:val="clear" w:pos="9241"/>
        </w:tabs>
        <w:spacing w:before="120" w:beforeLines="0" w:after="120" w:afterLines="0"/>
        <w:rPr>
          <w:rFonts w:ascii="Times New Roman"/>
          <w:b/>
          <w:bCs/>
          <w:sz w:val="20"/>
          <w:szCs w:val="20"/>
        </w:rPr>
        <w:sectPr>
          <w:footerReference r:id="rId7" w:type="default"/>
          <w:footerReference r:id="rId8" w:type="even"/>
          <w:pgSz w:w="11906" w:h="16838"/>
          <w:pgMar w:top="1440" w:right="1474" w:bottom="1440" w:left="1474" w:header="851" w:footer="851" w:gutter="0"/>
          <w:pgNumType w:start="1"/>
          <w:cols w:space="720" w:num="1"/>
          <w:docGrid w:type="lines" w:linePitch="312" w:charSpace="0"/>
        </w:sectPr>
      </w:pPr>
      <w:r>
        <w:rPr>
          <w:rFonts w:ascii="Times New Roman"/>
          <w:b/>
          <w:bCs/>
          <w:sz w:val="20"/>
          <w:szCs w:val="20"/>
        </w:rPr>
        <w:fldChar w:fldCharType="begin"/>
      </w:r>
      <w:r>
        <w:rPr>
          <w:rFonts w:ascii="Times New Roman"/>
          <w:b/>
          <w:bCs/>
          <w:sz w:val="20"/>
          <w:szCs w:val="20"/>
        </w:rPr>
        <w:instrText xml:space="preserve"> HYPERLINK \l _Toc28407 </w:instrText>
      </w:r>
      <w:r>
        <w:rPr>
          <w:rFonts w:ascii="Times New Roman"/>
          <w:b/>
          <w:bCs/>
          <w:sz w:val="20"/>
          <w:szCs w:val="20"/>
        </w:rPr>
        <w:fldChar w:fldCharType="separate"/>
      </w:r>
      <w:r>
        <w:rPr>
          <w:rFonts w:hint="eastAsia" w:hAnsi="黑体" w:cs="黑体"/>
          <w:b/>
          <w:bCs/>
          <w:sz w:val="20"/>
          <w:szCs w:val="20"/>
        </w:rPr>
        <w:t>10、其他应当说明的事项</w:t>
      </w:r>
      <w:r>
        <w:rPr>
          <w:b/>
          <w:bCs/>
          <w:sz w:val="20"/>
          <w:szCs w:val="20"/>
        </w:rPr>
        <w:tab/>
      </w:r>
      <w:r>
        <w:rPr>
          <w:b/>
          <w:bCs/>
          <w:sz w:val="20"/>
          <w:szCs w:val="20"/>
        </w:rPr>
        <w:fldChar w:fldCharType="begin"/>
      </w:r>
      <w:r>
        <w:rPr>
          <w:b/>
          <w:bCs/>
          <w:sz w:val="20"/>
          <w:szCs w:val="20"/>
        </w:rPr>
        <w:instrText xml:space="preserve"> PAGEREF _Toc28407 \h </w:instrText>
      </w:r>
      <w:r>
        <w:rPr>
          <w:b/>
          <w:bCs/>
          <w:sz w:val="20"/>
          <w:szCs w:val="20"/>
        </w:rPr>
        <w:fldChar w:fldCharType="separate"/>
      </w:r>
      <w:r>
        <w:rPr>
          <w:b/>
          <w:bCs/>
          <w:sz w:val="20"/>
          <w:szCs w:val="20"/>
        </w:rPr>
        <w:t>8</w:t>
      </w:r>
      <w:r>
        <w:rPr>
          <w:b/>
          <w:bCs/>
          <w:sz w:val="20"/>
          <w:szCs w:val="20"/>
        </w:rPr>
        <w:fldChar w:fldCharType="end"/>
      </w:r>
      <w:r>
        <w:rPr>
          <w:rFonts w:ascii="Times New Roman"/>
          <w:b/>
          <w:bCs/>
          <w:sz w:val="20"/>
          <w:szCs w:val="20"/>
        </w:rPr>
        <w:fldChar w:fldCharType="end"/>
      </w:r>
    </w:p>
    <w:p w14:paraId="7D4070DB">
      <w:pPr>
        <w:pStyle w:val="12"/>
        <w:framePr w:w="3356" w:h="267" w:hRule="exact" w:x="6366" w:y="557"/>
        <w:spacing w:before="120" w:after="120" w:line="240" w:lineRule="auto"/>
        <w:jc w:val="both"/>
        <w:textAlignment w:val="auto"/>
        <w:rPr>
          <w:rFonts w:hint="eastAsia" w:hAnsi="黑体" w:cs="黑体"/>
        </w:rPr>
      </w:pPr>
      <w:r>
        <w:rPr>
          <w:rFonts w:ascii="Times New Roman"/>
          <w:sz w:val="20"/>
        </w:rPr>
        <w:fldChar w:fldCharType="end"/>
      </w:r>
    </w:p>
    <w:p w14:paraId="7208F010">
      <w:pPr>
        <w:pStyle w:val="2"/>
        <w:spacing w:before="0" w:after="0" w:line="600" w:lineRule="exact"/>
        <w:rPr>
          <w:rFonts w:hint="eastAsia" w:ascii="黑体" w:hAnsi="黑体" w:eastAsia="黑体" w:cs="黑体"/>
          <w:bCs w:val="0"/>
          <w:sz w:val="28"/>
          <w:szCs w:val="20"/>
        </w:rPr>
      </w:pPr>
      <w:bookmarkStart w:id="5" w:name="_Toc17793"/>
      <w:bookmarkStart w:id="6" w:name="_Toc10764"/>
      <w:bookmarkStart w:id="7" w:name="_Toc3863"/>
      <w:bookmarkStart w:id="8" w:name="_Toc18560"/>
      <w:bookmarkStart w:id="9" w:name="_Toc12225"/>
      <w:bookmarkStart w:id="10" w:name="_Toc2251"/>
      <w:r>
        <w:rPr>
          <w:rFonts w:hint="eastAsia" w:ascii="黑体" w:hAnsi="黑体" w:eastAsia="黑体" w:cs="黑体"/>
          <w:bCs w:val="0"/>
          <w:sz w:val="28"/>
          <w:szCs w:val="20"/>
        </w:rPr>
        <w:t>1、工作简况</w:t>
      </w:r>
      <w:bookmarkEnd w:id="5"/>
      <w:bookmarkEnd w:id="6"/>
      <w:bookmarkEnd w:id="7"/>
      <w:bookmarkEnd w:id="8"/>
    </w:p>
    <w:p w14:paraId="19DADA85">
      <w:pPr>
        <w:pStyle w:val="3"/>
        <w:numPr>
          <w:ilvl w:val="1"/>
          <w:numId w:val="0"/>
        </w:numPr>
        <w:spacing w:before="140" w:after="0" w:line="416" w:lineRule="auto"/>
        <w:ind w:left="578" w:hanging="578"/>
        <w:rPr>
          <w:rFonts w:hint="eastAsia" w:ascii="黑体" w:hAnsi="黑体" w:cs="黑体"/>
          <w:b w:val="0"/>
          <w:bCs/>
          <w:sz w:val="28"/>
          <w:szCs w:val="20"/>
        </w:rPr>
      </w:pPr>
      <w:bookmarkStart w:id="11" w:name="_Toc15290"/>
      <w:r>
        <w:rPr>
          <w:rFonts w:hint="eastAsia" w:ascii="黑体" w:hAnsi="黑体" w:cs="黑体"/>
          <w:b w:val="0"/>
          <w:bCs/>
          <w:sz w:val="28"/>
          <w:szCs w:val="20"/>
        </w:rPr>
        <w:t>1.1 任务来源</w:t>
      </w:r>
      <w:bookmarkEnd w:id="9"/>
      <w:bookmarkEnd w:id="10"/>
      <w:bookmarkEnd w:id="11"/>
    </w:p>
    <w:p w14:paraId="328013DB">
      <w:pPr>
        <w:spacing w:line="360" w:lineRule="auto"/>
        <w:ind w:firstLine="480" w:firstLineChars="200"/>
        <w:rPr>
          <w:rFonts w:hAnsi="宋体"/>
          <w:sz w:val="24"/>
        </w:rPr>
      </w:pPr>
      <w:r>
        <w:rPr>
          <w:rFonts w:hint="eastAsia" w:hAnsi="宋体"/>
          <w:sz w:val="24"/>
        </w:rPr>
        <w:t>根据国家能源局综合司《国家能源局综合司关于下达 2024 年能源领域行业标准制修订计划及外文版翻译计划的通知》（国能综通科技〔2024〕115 号）的安排，</w:t>
      </w:r>
      <w:r>
        <w:rPr>
          <w:rFonts w:hint="eastAsia" w:ascii="Times New Roman" w:hAnsi="宋体" w:eastAsia="宋体" w:cs="Times New Roman"/>
          <w:sz w:val="24"/>
        </w:rPr>
        <w:t>《</w:t>
      </w:r>
      <w:r>
        <w:rPr>
          <w:rFonts w:hint="eastAsia" w:ascii="Times New Roman" w:hAnsi="宋体" w:eastAsia="宋体" w:cs="Times New Roman"/>
          <w:sz w:val="24"/>
          <w:lang w:val="zh-CN"/>
        </w:rPr>
        <w:t>电站燃煤机组深度调峰调试技术导则</w:t>
      </w:r>
      <w:r>
        <w:rPr>
          <w:rFonts w:hint="eastAsia" w:ascii="Times New Roman" w:hAnsi="宋体" w:eastAsia="宋体" w:cs="Times New Roman"/>
          <w:sz w:val="24"/>
        </w:rPr>
        <w:t>》的制定任务由</w:t>
      </w:r>
      <w:r>
        <w:rPr>
          <w:rFonts w:hint="eastAsia" w:hAnsi="宋体"/>
          <w:sz w:val="24"/>
        </w:rPr>
        <w:t>电力行业火电建设标准化委员会（以下简称“火标会”）负责归口，由南方电网电力科技股份有限公司负责牵头完成。</w:t>
      </w:r>
    </w:p>
    <w:p w14:paraId="31D676DE">
      <w:pPr>
        <w:pStyle w:val="3"/>
        <w:numPr>
          <w:ilvl w:val="1"/>
          <w:numId w:val="0"/>
        </w:numPr>
        <w:spacing w:before="140" w:after="0" w:line="416" w:lineRule="auto"/>
        <w:ind w:left="578" w:hanging="578"/>
        <w:rPr>
          <w:rFonts w:hint="eastAsia" w:ascii="黑体" w:hAnsi="黑体" w:cs="黑体"/>
          <w:b w:val="0"/>
          <w:bCs/>
          <w:sz w:val="28"/>
          <w:szCs w:val="20"/>
        </w:rPr>
      </w:pPr>
      <w:bookmarkStart w:id="12" w:name="_Toc4430"/>
      <w:bookmarkStart w:id="13" w:name="_Toc25615"/>
      <w:bookmarkStart w:id="14" w:name="_Toc21753"/>
      <w:r>
        <w:rPr>
          <w:rFonts w:hint="eastAsia" w:ascii="黑体" w:hAnsi="黑体" w:cs="黑体"/>
          <w:b w:val="0"/>
          <w:bCs/>
          <w:sz w:val="28"/>
          <w:szCs w:val="20"/>
        </w:rPr>
        <w:t>1.2 制定背景</w:t>
      </w:r>
      <w:bookmarkEnd w:id="12"/>
      <w:bookmarkEnd w:id="13"/>
      <w:bookmarkEnd w:id="14"/>
    </w:p>
    <w:p w14:paraId="75CF3538">
      <w:pPr>
        <w:spacing w:line="360" w:lineRule="auto"/>
        <w:ind w:firstLine="480" w:firstLineChars="200"/>
        <w:rPr>
          <w:rFonts w:hAnsi="宋体"/>
          <w:sz w:val="24"/>
        </w:rPr>
      </w:pPr>
      <w:r>
        <w:rPr>
          <w:rFonts w:hint="eastAsia" w:hAnsi="宋体"/>
          <w:sz w:val="24"/>
        </w:rPr>
        <w:t>2020年9月22日，习近平在第七十五届联合国大会一般性辩论上发表重要讲话，“应对气候变化《巴黎协定》代表了全球绿色低碳转型的大方向，是保护地球家园需要采取的最低限度行动，各国必须迈出决定性步伐。中国将提高国家自主贡献力度，采取更加有力的政策和措施，二氧化碳排放力争于2030年前达到峰值，努力争取2060年前实现碳中和。”习近平总书记主持“中共中央政治局就新形势下加强我国生态文明建设集体学习”时指出：实现碳达峰、碳中和“各级党委和政府要拿出抓铁有痕、踏石留印的劲头，明确时间表、路线图、施工图，推动经济社会发展建立在资源高效利用和绿色低碳发展的基础之上。”中央提出要“构建以新能源为主体的新型电力系统”，这意味着按照“3060”双碳目标要求，我国主体电源要从目前装机容量占比近一半的煤电转化为新能源电力，挑战空前，是实现创新发展、走上低碳之路的最好机遇。</w:t>
      </w:r>
    </w:p>
    <w:p w14:paraId="6ADD844F">
      <w:pPr>
        <w:spacing w:line="360" w:lineRule="auto"/>
        <w:ind w:firstLine="480" w:firstLineChars="200"/>
        <w:rPr>
          <w:rFonts w:hAnsi="宋体"/>
          <w:sz w:val="24"/>
        </w:rPr>
      </w:pPr>
      <w:r>
        <w:rPr>
          <w:rFonts w:hint="eastAsia" w:hAnsi="宋体"/>
          <w:sz w:val="24"/>
        </w:rPr>
        <w:t>《电力发展“十三五”规划（2016-2020年）》提出必须从负荷侧、电源侧、电网侧多措并举增强系统调峰能力，《“十四五”现代能源体系规划》统筹电力保供和减污降碳，发挥煤电机组调峰能力，提升火电机组运行灵活性。《关于开展全国煤电机组改造升级的通知》（发改运行〔2021〕1519号）再次明确存量煤电机组灵活性改造应改尽改，“十四五”期间完成灵活性改造2亿千瓦，增加系统调节能力3000-4000万千瓦，以提升消纳新能源能力；纯凝机组一般要求最小发电出力达到35%额定负荷的调峰能力，采暖热电机组在供热期要通过热电解耦力争实现单日6小时最小发电出力达到40%额定负荷的调峰能力。</w:t>
      </w:r>
    </w:p>
    <w:p w14:paraId="607B9CB6">
      <w:pPr>
        <w:spacing w:line="360" w:lineRule="auto"/>
        <w:ind w:firstLine="480" w:firstLineChars="200"/>
        <w:rPr>
          <w:rFonts w:hint="eastAsia" w:hAnsi="宋体"/>
          <w:sz w:val="24"/>
        </w:rPr>
      </w:pPr>
      <w:r>
        <w:rPr>
          <w:rFonts w:hint="eastAsia" w:hAnsi="宋体"/>
          <w:sz w:val="24"/>
        </w:rPr>
        <w:t>国家发改委、国家能源局关于开展全国煤电机组改造升级的通知（1</w:t>
      </w:r>
      <w:r>
        <w:rPr>
          <w:rFonts w:hAnsi="宋体"/>
          <w:sz w:val="24"/>
        </w:rPr>
        <w:t>519</w:t>
      </w:r>
      <w:r>
        <w:rPr>
          <w:rFonts w:hint="eastAsia" w:hAnsi="宋体"/>
          <w:sz w:val="24"/>
        </w:rPr>
        <w:t>号文），要求：我国力争实现2030年前碳达峰和努力争取2060年前碳中和的目标，对优化能源结构和煤炭清洁高效利用提出了更高要求。煤电机组改造升级是提高电煤利用效率、减少电煤消耗、促进清洁能源消纳的重要手段，对推动碳达峰碳中和目标如期实现具有重要意义。各地、各企业要高度重视，将煤电机组改造升级作为一项重要工作抓好抓实抓细，切实提高煤电机组运行水平。</w:t>
      </w:r>
    </w:p>
    <w:p w14:paraId="6EAF05D9">
      <w:pPr>
        <w:spacing w:line="360" w:lineRule="auto"/>
        <w:ind w:firstLine="480" w:firstLineChars="200"/>
        <w:rPr>
          <w:rFonts w:hint="eastAsia" w:hAnsi="宋体"/>
          <w:sz w:val="24"/>
        </w:rPr>
      </w:pPr>
      <w:r>
        <w:rPr>
          <w:rFonts w:hint="eastAsia" w:hAnsi="宋体"/>
          <w:sz w:val="24"/>
        </w:rPr>
        <w:t>国家发展改革委、国家能源局联合印发了《新一代煤电升级专项行动实施方案（2025—2027年）》（以下简称《实施方案》），对燃煤机组深度调峰提出更加严格的要求。</w:t>
      </w:r>
    </w:p>
    <w:p w14:paraId="771A463A">
      <w:pPr>
        <w:spacing w:line="360" w:lineRule="auto"/>
        <w:ind w:firstLine="480" w:firstLineChars="200"/>
        <w:rPr>
          <w:rFonts w:hint="eastAsia" w:hAnsi="宋体"/>
          <w:sz w:val="24"/>
        </w:rPr>
      </w:pPr>
      <w:r>
        <w:rPr>
          <w:rFonts w:hint="eastAsia" w:hAnsi="宋体"/>
          <w:sz w:val="24"/>
        </w:rPr>
        <w:t>由于“中国将严控煤电项目”，大力发展可再生能源电力，根据我国电力发展规划，2030年可再生的风电和太阳能发电总装机容量将达到12亿千瓦以上，将成为我国最主要电源。但也有“不可控”短板：装机发电能力严重受限于昼夜日照、季节变化、天气阴晴、风力大小等自然气象条件。据报道，2019年在全国非化石能源发电量占比仅为32.6%情况下，风电和光电普遍面临并网难、消纳难、调度难等问题。因此，未来几十年，从煤电为主过渡到以新能源为主体的新型电力系统期间，作为我国电力稳定生产、供应和灵活性调节的“压舱石”，燃煤火电不可能退出电力生产，因此，如何在深度调峰下保证煤电生产更高效、清洁、低碳、灵活，成为当前需要研究和着手解决的关键技术问题，迫切需要开展燃煤机组深度调峰调试标准的制定工作。</w:t>
      </w:r>
    </w:p>
    <w:p w14:paraId="4DBAC041">
      <w:pPr>
        <w:pStyle w:val="3"/>
        <w:numPr>
          <w:ilvl w:val="1"/>
          <w:numId w:val="0"/>
        </w:numPr>
        <w:spacing w:before="140" w:after="0" w:line="416" w:lineRule="auto"/>
        <w:ind w:left="578" w:hanging="578"/>
        <w:rPr>
          <w:rFonts w:hint="eastAsia" w:ascii="黑体" w:hAnsi="黑体" w:cs="黑体"/>
          <w:b w:val="0"/>
          <w:bCs/>
          <w:sz w:val="28"/>
          <w:szCs w:val="20"/>
        </w:rPr>
      </w:pPr>
      <w:bookmarkStart w:id="15" w:name="_Toc20134"/>
      <w:bookmarkStart w:id="16" w:name="_Toc29410"/>
      <w:bookmarkStart w:id="17" w:name="_Toc10105"/>
      <w:r>
        <w:rPr>
          <w:rFonts w:hint="eastAsia" w:ascii="黑体" w:hAnsi="黑体" w:cs="黑体"/>
          <w:b w:val="0"/>
          <w:bCs/>
          <w:sz w:val="28"/>
          <w:szCs w:val="20"/>
        </w:rPr>
        <w:t>1.3 制定工作过程</w:t>
      </w:r>
      <w:bookmarkEnd w:id="15"/>
      <w:bookmarkEnd w:id="16"/>
      <w:bookmarkEnd w:id="17"/>
    </w:p>
    <w:p w14:paraId="0ED1AD18">
      <w:pPr>
        <w:spacing w:line="360" w:lineRule="auto"/>
        <w:ind w:firstLine="480" w:firstLineChars="200"/>
        <w:rPr>
          <w:sz w:val="24"/>
        </w:rPr>
      </w:pPr>
      <w:r>
        <w:rPr>
          <w:rFonts w:hint="eastAsia"/>
          <w:sz w:val="24"/>
        </w:rPr>
        <w:t>1）</w:t>
      </w:r>
      <w:r>
        <w:rPr>
          <w:sz w:val="24"/>
        </w:rPr>
        <w:t>20</w:t>
      </w:r>
      <w:r>
        <w:rPr>
          <w:rFonts w:hint="eastAsia"/>
          <w:sz w:val="24"/>
        </w:rPr>
        <w:t>2</w:t>
      </w:r>
      <w:r>
        <w:rPr>
          <w:sz w:val="24"/>
        </w:rPr>
        <w:t>4</w:t>
      </w:r>
      <w:r>
        <w:rPr>
          <w:rFonts w:hAnsi="宋体"/>
          <w:sz w:val="24"/>
        </w:rPr>
        <w:t>年</w:t>
      </w:r>
      <w:r>
        <w:rPr>
          <w:rFonts w:hint="eastAsia"/>
          <w:sz w:val="24"/>
        </w:rPr>
        <w:t>0</w:t>
      </w:r>
      <w:r>
        <w:rPr>
          <w:sz w:val="24"/>
        </w:rPr>
        <w:t>6</w:t>
      </w:r>
      <w:r>
        <w:rPr>
          <w:rFonts w:hAnsi="宋体"/>
          <w:sz w:val="24"/>
        </w:rPr>
        <w:t>月，</w:t>
      </w:r>
      <w:r>
        <w:rPr>
          <w:rFonts w:hint="eastAsia" w:hAnsi="宋体"/>
          <w:sz w:val="24"/>
        </w:rPr>
        <w:t>南方电网电力科技股份有限公司</w:t>
      </w:r>
      <w:r>
        <w:rPr>
          <w:rFonts w:hAnsi="宋体"/>
          <w:sz w:val="24"/>
        </w:rPr>
        <w:t>向</w:t>
      </w:r>
      <w:r>
        <w:rPr>
          <w:rFonts w:hint="eastAsia" w:hAnsi="宋体"/>
          <w:sz w:val="24"/>
        </w:rPr>
        <w:t>中国电力建设企业协会</w:t>
      </w:r>
      <w:r>
        <w:rPr>
          <w:rFonts w:hAnsi="宋体"/>
          <w:sz w:val="24"/>
        </w:rPr>
        <w:t>标准化技术委员会提出编制</w:t>
      </w:r>
      <w:r>
        <w:rPr>
          <w:sz w:val="24"/>
        </w:rPr>
        <w:t>《</w:t>
      </w:r>
      <w:r>
        <w:rPr>
          <w:rFonts w:hint="eastAsia"/>
          <w:sz w:val="24"/>
        </w:rPr>
        <w:t>电站燃煤机组深度调峰调试技术导则</w:t>
      </w:r>
      <w:r>
        <w:rPr>
          <w:sz w:val="24"/>
        </w:rPr>
        <w:t>》的申请。</w:t>
      </w:r>
    </w:p>
    <w:p w14:paraId="7FBB8583">
      <w:pPr>
        <w:spacing w:line="360" w:lineRule="auto"/>
        <w:ind w:firstLine="480" w:firstLineChars="200"/>
        <w:rPr>
          <w:sz w:val="24"/>
        </w:rPr>
      </w:pPr>
      <w:r>
        <w:rPr>
          <w:rFonts w:hint="eastAsia"/>
          <w:sz w:val="24"/>
        </w:rPr>
        <w:t>2）</w:t>
      </w:r>
      <w:r>
        <w:rPr>
          <w:sz w:val="24"/>
        </w:rPr>
        <w:t>20</w:t>
      </w:r>
      <w:r>
        <w:rPr>
          <w:rFonts w:hint="eastAsia"/>
          <w:sz w:val="24"/>
        </w:rPr>
        <w:t>2</w:t>
      </w:r>
      <w:r>
        <w:rPr>
          <w:sz w:val="24"/>
        </w:rPr>
        <w:t>4</w:t>
      </w:r>
      <w:r>
        <w:rPr>
          <w:rFonts w:hAnsi="宋体"/>
          <w:sz w:val="24"/>
        </w:rPr>
        <w:t>年</w:t>
      </w:r>
      <w:r>
        <w:rPr>
          <w:rFonts w:hint="eastAsia"/>
          <w:sz w:val="24"/>
        </w:rPr>
        <w:t>0</w:t>
      </w:r>
      <w:r>
        <w:rPr>
          <w:sz w:val="24"/>
        </w:rPr>
        <w:t>8</w:t>
      </w:r>
      <w:r>
        <w:rPr>
          <w:rFonts w:hAnsi="宋体"/>
          <w:sz w:val="24"/>
        </w:rPr>
        <w:t>月，</w:t>
      </w:r>
      <w:r>
        <w:rPr>
          <w:rFonts w:hAnsi="宋体"/>
          <w:spacing w:val="20"/>
          <w:sz w:val="24"/>
        </w:rPr>
        <w:t>中国电力企业联合会标准化中心委托</w:t>
      </w:r>
      <w:r>
        <w:rPr>
          <w:rFonts w:hAnsi="宋体"/>
          <w:sz w:val="24"/>
        </w:rPr>
        <w:t>批准该标准立项。</w:t>
      </w:r>
    </w:p>
    <w:p w14:paraId="5D87DA9A">
      <w:pPr>
        <w:spacing w:line="360" w:lineRule="auto"/>
        <w:ind w:firstLine="480" w:firstLineChars="200"/>
        <w:rPr>
          <w:sz w:val="24"/>
        </w:rPr>
      </w:pPr>
      <w:r>
        <w:rPr>
          <w:rFonts w:hint="eastAsia"/>
          <w:sz w:val="24"/>
        </w:rPr>
        <w:t>3）</w:t>
      </w:r>
      <w:r>
        <w:rPr>
          <w:sz w:val="24"/>
        </w:rPr>
        <w:t>20</w:t>
      </w:r>
      <w:r>
        <w:rPr>
          <w:rFonts w:hint="eastAsia"/>
          <w:sz w:val="24"/>
        </w:rPr>
        <w:t>2</w:t>
      </w:r>
      <w:r>
        <w:rPr>
          <w:sz w:val="24"/>
        </w:rPr>
        <w:t>4</w:t>
      </w:r>
      <w:r>
        <w:rPr>
          <w:rFonts w:hAnsi="宋体"/>
          <w:sz w:val="24"/>
        </w:rPr>
        <w:t>年10月，</w:t>
      </w:r>
      <w:r>
        <w:rPr>
          <w:rFonts w:hint="eastAsia" w:hAnsi="宋体"/>
          <w:sz w:val="24"/>
        </w:rPr>
        <w:t>南方电网电力科技股份有限公司、广州粤能电力科技开发有限公司、中国能源建设集团西北电力试验研究院有限公司、上海电力建设启动调整试验所有限公司、华北电力科学研究院有限责任公司、新疆准能投资有限公司、国能清远发电有限责任公司、兰州陇能电力科技有限公司成立</w:t>
      </w:r>
      <w:r>
        <w:rPr>
          <w:rFonts w:hAnsi="宋体"/>
          <w:sz w:val="24"/>
        </w:rPr>
        <w:t>标准起草小组。</w:t>
      </w:r>
    </w:p>
    <w:p w14:paraId="06C93314">
      <w:pPr>
        <w:spacing w:line="360" w:lineRule="auto"/>
        <w:ind w:firstLine="480" w:firstLineChars="200"/>
        <w:rPr>
          <w:sz w:val="24"/>
        </w:rPr>
      </w:pPr>
      <w:r>
        <w:rPr>
          <w:rFonts w:hint="eastAsia"/>
          <w:sz w:val="24"/>
        </w:rPr>
        <w:t>4）</w:t>
      </w:r>
      <w:r>
        <w:rPr>
          <w:sz w:val="24"/>
        </w:rPr>
        <w:t>20</w:t>
      </w:r>
      <w:r>
        <w:rPr>
          <w:rFonts w:hint="eastAsia"/>
          <w:sz w:val="24"/>
        </w:rPr>
        <w:t>2</w:t>
      </w:r>
      <w:r>
        <w:rPr>
          <w:sz w:val="24"/>
        </w:rPr>
        <w:t>4</w:t>
      </w:r>
      <w:r>
        <w:rPr>
          <w:rFonts w:hAnsi="宋体"/>
          <w:sz w:val="24"/>
        </w:rPr>
        <w:t>年</w:t>
      </w:r>
      <w:r>
        <w:rPr>
          <w:sz w:val="24"/>
        </w:rPr>
        <w:t>11</w:t>
      </w:r>
      <w:r>
        <w:rPr>
          <w:rFonts w:hAnsi="宋体"/>
          <w:sz w:val="24"/>
        </w:rPr>
        <w:t>月，标准起草小组完成编写大纲及人员分工。</w:t>
      </w:r>
    </w:p>
    <w:p w14:paraId="28D99727">
      <w:pPr>
        <w:spacing w:line="360" w:lineRule="auto"/>
        <w:ind w:firstLine="480" w:firstLineChars="200"/>
        <w:rPr>
          <w:sz w:val="24"/>
        </w:rPr>
      </w:pPr>
      <w:r>
        <w:rPr>
          <w:rFonts w:hint="eastAsia"/>
          <w:sz w:val="24"/>
        </w:rPr>
        <w:t>5）2</w:t>
      </w:r>
      <w:r>
        <w:rPr>
          <w:sz w:val="24"/>
        </w:rPr>
        <w:t>025</w:t>
      </w:r>
      <w:r>
        <w:rPr>
          <w:rFonts w:hint="eastAsia"/>
          <w:sz w:val="24"/>
        </w:rPr>
        <w:t>年5月，在清远英德召开标准编制启动会。</w:t>
      </w:r>
    </w:p>
    <w:p w14:paraId="3C44C401">
      <w:pPr>
        <w:spacing w:line="360" w:lineRule="auto"/>
        <w:ind w:firstLine="480" w:firstLineChars="200"/>
        <w:rPr>
          <w:sz w:val="24"/>
        </w:rPr>
      </w:pPr>
      <w:r>
        <w:rPr>
          <w:rFonts w:hint="eastAsia"/>
          <w:sz w:val="24"/>
        </w:rPr>
        <w:t>6）2</w:t>
      </w:r>
      <w:r>
        <w:rPr>
          <w:sz w:val="24"/>
        </w:rPr>
        <w:t>025</w:t>
      </w:r>
      <w:r>
        <w:rPr>
          <w:rFonts w:hint="eastAsia"/>
          <w:sz w:val="24"/>
        </w:rPr>
        <w:t>年7月，在佛山市开展标准讨论会（第1次），各参编单位完成初稿编制，主编单位汇总。</w:t>
      </w:r>
    </w:p>
    <w:p w14:paraId="511E2F4B">
      <w:pPr>
        <w:spacing w:line="360" w:lineRule="auto"/>
        <w:ind w:firstLine="480" w:firstLineChars="200"/>
        <w:rPr>
          <w:rFonts w:hint="eastAsia"/>
          <w:sz w:val="24"/>
        </w:rPr>
      </w:pPr>
      <w:r>
        <w:rPr>
          <w:rFonts w:hint="eastAsia"/>
          <w:sz w:val="24"/>
        </w:rPr>
        <w:t>7）2</w:t>
      </w:r>
      <w:r>
        <w:rPr>
          <w:sz w:val="24"/>
        </w:rPr>
        <w:t>025</w:t>
      </w:r>
      <w:r>
        <w:rPr>
          <w:rFonts w:hint="eastAsia"/>
          <w:sz w:val="24"/>
        </w:rPr>
        <w:t>年8月，在河北石家庄开展标准讨论会（第2次），完成初稿修改，形成2稿。</w:t>
      </w:r>
    </w:p>
    <w:p w14:paraId="7F4DF62C">
      <w:pPr>
        <w:spacing w:line="360" w:lineRule="auto"/>
        <w:ind w:firstLine="480" w:firstLineChars="200"/>
        <w:rPr>
          <w:rFonts w:hint="eastAsia"/>
          <w:sz w:val="24"/>
        </w:rPr>
      </w:pPr>
      <w:r>
        <w:rPr>
          <w:rFonts w:hint="eastAsia"/>
          <w:sz w:val="24"/>
        </w:rPr>
        <w:t>8）2</w:t>
      </w:r>
      <w:r>
        <w:rPr>
          <w:sz w:val="24"/>
        </w:rPr>
        <w:t>025</w:t>
      </w:r>
      <w:r>
        <w:rPr>
          <w:rFonts w:hint="eastAsia"/>
          <w:sz w:val="24"/>
        </w:rPr>
        <w:t>年9月，在西安开展标准讨论会（第</w:t>
      </w:r>
      <w:r>
        <w:rPr>
          <w:sz w:val="24"/>
        </w:rPr>
        <w:t>3</w:t>
      </w:r>
      <w:r>
        <w:rPr>
          <w:rFonts w:hint="eastAsia"/>
          <w:sz w:val="24"/>
        </w:rPr>
        <w:t>次）。</w:t>
      </w:r>
    </w:p>
    <w:p w14:paraId="0981F11E">
      <w:pPr>
        <w:spacing w:line="360" w:lineRule="auto"/>
        <w:ind w:firstLine="480" w:firstLineChars="200"/>
        <w:rPr>
          <w:sz w:val="24"/>
        </w:rPr>
      </w:pPr>
      <w:r>
        <w:rPr>
          <w:rFonts w:hint="eastAsia"/>
          <w:sz w:val="24"/>
        </w:rPr>
        <w:t>9）</w:t>
      </w:r>
      <w:r>
        <w:rPr>
          <w:sz w:val="24"/>
        </w:rPr>
        <w:t>20</w:t>
      </w:r>
      <w:r>
        <w:rPr>
          <w:rFonts w:hint="eastAsia"/>
          <w:sz w:val="24"/>
        </w:rPr>
        <w:t>25</w:t>
      </w:r>
      <w:r>
        <w:rPr>
          <w:rFonts w:hAnsi="宋体"/>
          <w:sz w:val="24"/>
        </w:rPr>
        <w:t>年</w:t>
      </w:r>
      <w:r>
        <w:rPr>
          <w:sz w:val="24"/>
        </w:rPr>
        <w:t>10</w:t>
      </w:r>
      <w:r>
        <w:rPr>
          <w:rFonts w:hAnsi="宋体"/>
          <w:sz w:val="24"/>
        </w:rPr>
        <w:t>月</w:t>
      </w:r>
      <w:r>
        <w:rPr>
          <w:rFonts w:hint="eastAsia" w:hAnsi="宋体"/>
          <w:sz w:val="24"/>
        </w:rPr>
        <w:t>-</w:t>
      </w:r>
      <w:r>
        <w:rPr>
          <w:rFonts w:hAnsi="宋体"/>
          <w:sz w:val="24"/>
        </w:rPr>
        <w:t>1</w:t>
      </w:r>
      <w:r>
        <w:rPr>
          <w:rFonts w:hint="eastAsia" w:hAnsi="宋体"/>
          <w:sz w:val="24"/>
          <w:lang w:val="en-US" w:eastAsia="zh-CN"/>
        </w:rPr>
        <w:t>2</w:t>
      </w:r>
      <w:r>
        <w:rPr>
          <w:rFonts w:hint="eastAsia" w:hAnsi="宋体"/>
          <w:sz w:val="24"/>
        </w:rPr>
        <w:t>月，</w:t>
      </w:r>
      <w:r>
        <w:rPr>
          <w:rFonts w:hint="eastAsia" w:hAnsi="宋体"/>
          <w:sz w:val="24"/>
          <w:lang w:val="en-US" w:eastAsia="zh-CN"/>
        </w:rPr>
        <w:t>形成</w:t>
      </w:r>
      <w:r>
        <w:rPr>
          <w:rFonts w:hint="eastAsia" w:hAnsi="宋体"/>
          <w:sz w:val="24"/>
        </w:rPr>
        <w:t>征求意见稿。</w:t>
      </w:r>
    </w:p>
    <w:p w14:paraId="18CAD70F">
      <w:pPr>
        <w:spacing w:line="360" w:lineRule="auto"/>
        <w:jc w:val="center"/>
        <w:rPr>
          <w:kern w:val="0"/>
        </w:rPr>
      </w:pPr>
      <w:r>
        <w:rPr>
          <w:rFonts w:hAnsi="宋体"/>
          <w:kern w:val="0"/>
        </w:rPr>
        <w:t>编写记录</w:t>
      </w:r>
    </w:p>
    <w:tbl>
      <w:tblPr>
        <w:tblStyle w:val="1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2"/>
        <w:gridCol w:w="1807"/>
        <w:gridCol w:w="2598"/>
        <w:gridCol w:w="2510"/>
      </w:tblGrid>
      <w:tr w14:paraId="49D0A1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751FECB0">
            <w:pPr>
              <w:spacing w:line="360" w:lineRule="auto"/>
              <w:jc w:val="center"/>
              <w:rPr>
                <w:kern w:val="0"/>
              </w:rPr>
            </w:pPr>
            <w:r>
              <w:rPr>
                <w:rFonts w:hAnsi="宋体"/>
                <w:kern w:val="0"/>
              </w:rPr>
              <w:t>序号</w:t>
            </w:r>
          </w:p>
        </w:tc>
        <w:tc>
          <w:tcPr>
            <w:tcW w:w="1807" w:type="dxa"/>
            <w:noWrap w:val="0"/>
            <w:vAlign w:val="top"/>
          </w:tcPr>
          <w:p w14:paraId="3DB7C90D">
            <w:pPr>
              <w:spacing w:line="360" w:lineRule="auto"/>
              <w:jc w:val="center"/>
              <w:rPr>
                <w:kern w:val="0"/>
              </w:rPr>
            </w:pPr>
            <w:r>
              <w:rPr>
                <w:rFonts w:hAnsi="宋体"/>
                <w:kern w:val="0"/>
              </w:rPr>
              <w:t>时间</w:t>
            </w:r>
          </w:p>
        </w:tc>
        <w:tc>
          <w:tcPr>
            <w:tcW w:w="2598" w:type="dxa"/>
            <w:noWrap w:val="0"/>
            <w:vAlign w:val="top"/>
          </w:tcPr>
          <w:p w14:paraId="15E5DDF5">
            <w:pPr>
              <w:spacing w:line="360" w:lineRule="auto"/>
              <w:jc w:val="center"/>
              <w:rPr>
                <w:kern w:val="0"/>
              </w:rPr>
            </w:pPr>
            <w:r>
              <w:rPr>
                <w:rFonts w:hAnsi="宋体"/>
                <w:kern w:val="0"/>
              </w:rPr>
              <w:t>版本</w:t>
            </w:r>
          </w:p>
        </w:tc>
        <w:tc>
          <w:tcPr>
            <w:tcW w:w="2510" w:type="dxa"/>
            <w:noWrap w:val="0"/>
            <w:vAlign w:val="top"/>
          </w:tcPr>
          <w:p w14:paraId="7D95AC85">
            <w:pPr>
              <w:spacing w:line="360" w:lineRule="auto"/>
              <w:jc w:val="center"/>
              <w:rPr>
                <w:kern w:val="0"/>
              </w:rPr>
            </w:pPr>
            <w:r>
              <w:rPr>
                <w:rFonts w:hAnsi="宋体"/>
                <w:kern w:val="0"/>
              </w:rPr>
              <w:t>参加人员</w:t>
            </w:r>
          </w:p>
        </w:tc>
      </w:tr>
      <w:tr w14:paraId="732B4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697E0CB4">
            <w:pPr>
              <w:spacing w:line="360" w:lineRule="auto"/>
              <w:jc w:val="center"/>
              <w:rPr>
                <w:kern w:val="0"/>
              </w:rPr>
            </w:pPr>
            <w:r>
              <w:rPr>
                <w:rFonts w:hint="eastAsia"/>
                <w:kern w:val="0"/>
              </w:rPr>
              <w:t>1.</w:t>
            </w:r>
          </w:p>
        </w:tc>
        <w:tc>
          <w:tcPr>
            <w:tcW w:w="1807" w:type="dxa"/>
            <w:noWrap w:val="0"/>
            <w:vAlign w:val="top"/>
          </w:tcPr>
          <w:p w14:paraId="080FE523">
            <w:pPr>
              <w:spacing w:line="360" w:lineRule="auto"/>
              <w:jc w:val="center"/>
              <w:rPr>
                <w:kern w:val="0"/>
              </w:rPr>
            </w:pPr>
            <w:r>
              <w:rPr>
                <w:kern w:val="0"/>
              </w:rPr>
              <w:t>20</w:t>
            </w:r>
            <w:r>
              <w:rPr>
                <w:rFonts w:hint="eastAsia"/>
                <w:kern w:val="0"/>
              </w:rPr>
              <w:t>2</w:t>
            </w:r>
            <w:r>
              <w:rPr>
                <w:kern w:val="0"/>
              </w:rPr>
              <w:t>4</w:t>
            </w:r>
            <w:r>
              <w:rPr>
                <w:rFonts w:hAnsi="宋体"/>
                <w:kern w:val="0"/>
              </w:rPr>
              <w:t>年</w:t>
            </w:r>
            <w:r>
              <w:rPr>
                <w:kern w:val="0"/>
              </w:rPr>
              <w:t>11</w:t>
            </w:r>
            <w:r>
              <w:rPr>
                <w:rFonts w:hAnsi="宋体"/>
                <w:kern w:val="0"/>
              </w:rPr>
              <w:t>月</w:t>
            </w:r>
          </w:p>
        </w:tc>
        <w:tc>
          <w:tcPr>
            <w:tcW w:w="2598" w:type="dxa"/>
            <w:noWrap w:val="0"/>
            <w:vAlign w:val="top"/>
          </w:tcPr>
          <w:p w14:paraId="70BD0EE9">
            <w:pPr>
              <w:spacing w:line="360" w:lineRule="auto"/>
              <w:jc w:val="center"/>
              <w:rPr>
                <w:kern w:val="0"/>
              </w:rPr>
            </w:pPr>
            <w:r>
              <w:rPr>
                <w:rFonts w:hAnsi="宋体"/>
                <w:kern w:val="0"/>
              </w:rPr>
              <w:t>大纲</w:t>
            </w:r>
          </w:p>
        </w:tc>
        <w:tc>
          <w:tcPr>
            <w:tcW w:w="2510" w:type="dxa"/>
            <w:noWrap w:val="0"/>
            <w:vAlign w:val="top"/>
          </w:tcPr>
          <w:p w14:paraId="052105C2">
            <w:pPr>
              <w:spacing w:line="360" w:lineRule="auto"/>
              <w:jc w:val="center"/>
              <w:rPr>
                <w:kern w:val="0"/>
              </w:rPr>
            </w:pPr>
            <w:r>
              <w:rPr>
                <w:rFonts w:hAnsi="宋体"/>
                <w:kern w:val="0"/>
              </w:rPr>
              <w:t>编委全体</w:t>
            </w:r>
          </w:p>
        </w:tc>
      </w:tr>
      <w:tr w14:paraId="20C51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312A6EE0">
            <w:pPr>
              <w:spacing w:line="360" w:lineRule="auto"/>
              <w:jc w:val="center"/>
              <w:rPr>
                <w:kern w:val="0"/>
              </w:rPr>
            </w:pPr>
            <w:r>
              <w:rPr>
                <w:rFonts w:hint="eastAsia"/>
                <w:kern w:val="0"/>
              </w:rPr>
              <w:t>2.</w:t>
            </w:r>
          </w:p>
        </w:tc>
        <w:tc>
          <w:tcPr>
            <w:tcW w:w="1807" w:type="dxa"/>
            <w:noWrap w:val="0"/>
            <w:vAlign w:val="top"/>
          </w:tcPr>
          <w:p w14:paraId="750D8A52">
            <w:pPr>
              <w:spacing w:line="360" w:lineRule="auto"/>
              <w:jc w:val="center"/>
              <w:rPr>
                <w:kern w:val="0"/>
              </w:rPr>
            </w:pPr>
            <w:r>
              <w:rPr>
                <w:kern w:val="0"/>
              </w:rPr>
              <w:t>20</w:t>
            </w:r>
            <w:r>
              <w:rPr>
                <w:rFonts w:hint="eastAsia"/>
                <w:kern w:val="0"/>
              </w:rPr>
              <w:t>2</w:t>
            </w:r>
            <w:r>
              <w:rPr>
                <w:kern w:val="0"/>
              </w:rPr>
              <w:t>4</w:t>
            </w:r>
            <w:r>
              <w:rPr>
                <w:rFonts w:hAnsi="宋体"/>
                <w:kern w:val="0"/>
              </w:rPr>
              <w:t>年</w:t>
            </w:r>
            <w:r>
              <w:rPr>
                <w:kern w:val="0"/>
              </w:rPr>
              <w:t>12</w:t>
            </w:r>
            <w:r>
              <w:rPr>
                <w:rFonts w:hAnsi="宋体"/>
                <w:kern w:val="0"/>
              </w:rPr>
              <w:t>月</w:t>
            </w:r>
          </w:p>
        </w:tc>
        <w:tc>
          <w:tcPr>
            <w:tcW w:w="2598" w:type="dxa"/>
            <w:noWrap w:val="0"/>
            <w:vAlign w:val="top"/>
          </w:tcPr>
          <w:p w14:paraId="7A23C7D8">
            <w:pPr>
              <w:spacing w:line="360" w:lineRule="auto"/>
              <w:jc w:val="center"/>
              <w:rPr>
                <w:kern w:val="0"/>
              </w:rPr>
            </w:pPr>
            <w:r>
              <w:rPr>
                <w:rFonts w:hAnsi="宋体"/>
                <w:kern w:val="0"/>
              </w:rPr>
              <w:t>分章节编写</w:t>
            </w:r>
          </w:p>
        </w:tc>
        <w:tc>
          <w:tcPr>
            <w:tcW w:w="2510" w:type="dxa"/>
            <w:noWrap w:val="0"/>
            <w:vAlign w:val="top"/>
          </w:tcPr>
          <w:p w14:paraId="05E5F4DF">
            <w:pPr>
              <w:spacing w:line="360" w:lineRule="auto"/>
              <w:jc w:val="center"/>
              <w:rPr>
                <w:kern w:val="0"/>
              </w:rPr>
            </w:pPr>
            <w:r>
              <w:rPr>
                <w:rFonts w:hAnsi="宋体"/>
                <w:kern w:val="0"/>
              </w:rPr>
              <w:t>编委全体</w:t>
            </w:r>
          </w:p>
        </w:tc>
      </w:tr>
      <w:tr w14:paraId="752F9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2C251208">
            <w:pPr>
              <w:spacing w:line="360" w:lineRule="auto"/>
              <w:jc w:val="center"/>
              <w:rPr>
                <w:kern w:val="0"/>
              </w:rPr>
            </w:pPr>
            <w:r>
              <w:rPr>
                <w:rFonts w:hint="eastAsia"/>
                <w:kern w:val="0"/>
              </w:rPr>
              <w:t>3.</w:t>
            </w:r>
          </w:p>
        </w:tc>
        <w:tc>
          <w:tcPr>
            <w:tcW w:w="1807" w:type="dxa"/>
            <w:noWrap w:val="0"/>
            <w:vAlign w:val="top"/>
          </w:tcPr>
          <w:p w14:paraId="01F2C02A">
            <w:pPr>
              <w:spacing w:line="360" w:lineRule="auto"/>
              <w:jc w:val="center"/>
              <w:rPr>
                <w:kern w:val="0"/>
              </w:rPr>
            </w:pPr>
            <w:r>
              <w:rPr>
                <w:kern w:val="0"/>
              </w:rPr>
              <w:t>20</w:t>
            </w:r>
            <w:r>
              <w:rPr>
                <w:rFonts w:hint="eastAsia"/>
                <w:kern w:val="0"/>
              </w:rPr>
              <w:t>2</w:t>
            </w:r>
            <w:r>
              <w:rPr>
                <w:kern w:val="0"/>
              </w:rPr>
              <w:t>5</w:t>
            </w:r>
            <w:r>
              <w:rPr>
                <w:rFonts w:hAnsi="宋体"/>
                <w:kern w:val="0"/>
              </w:rPr>
              <w:t>年</w:t>
            </w:r>
            <w:r>
              <w:rPr>
                <w:rFonts w:hint="eastAsia"/>
                <w:kern w:val="0"/>
              </w:rPr>
              <w:t>0</w:t>
            </w:r>
            <w:r>
              <w:rPr>
                <w:kern w:val="0"/>
              </w:rPr>
              <w:t>1</w:t>
            </w:r>
            <w:r>
              <w:rPr>
                <w:rFonts w:hAnsi="宋体"/>
                <w:kern w:val="0"/>
              </w:rPr>
              <w:t>月</w:t>
            </w:r>
          </w:p>
        </w:tc>
        <w:tc>
          <w:tcPr>
            <w:tcW w:w="2598" w:type="dxa"/>
            <w:noWrap w:val="0"/>
            <w:vAlign w:val="top"/>
          </w:tcPr>
          <w:p w14:paraId="29859137">
            <w:pPr>
              <w:spacing w:line="360" w:lineRule="auto"/>
              <w:jc w:val="center"/>
              <w:rPr>
                <w:kern w:val="0"/>
              </w:rPr>
            </w:pPr>
            <w:r>
              <w:rPr>
                <w:rFonts w:hAnsi="宋体"/>
                <w:kern w:val="0"/>
              </w:rPr>
              <w:t>汇总修改</w:t>
            </w:r>
          </w:p>
        </w:tc>
        <w:tc>
          <w:tcPr>
            <w:tcW w:w="2510" w:type="dxa"/>
            <w:noWrap w:val="0"/>
            <w:vAlign w:val="top"/>
          </w:tcPr>
          <w:p w14:paraId="1E5EB7AC">
            <w:pPr>
              <w:spacing w:line="360" w:lineRule="auto"/>
              <w:jc w:val="center"/>
              <w:rPr>
                <w:kern w:val="0"/>
              </w:rPr>
            </w:pPr>
            <w:r>
              <w:rPr>
                <w:rFonts w:hAnsi="宋体"/>
                <w:kern w:val="0"/>
              </w:rPr>
              <w:t>编委全体</w:t>
            </w:r>
          </w:p>
        </w:tc>
      </w:tr>
      <w:tr w14:paraId="36C58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6273CBBA">
            <w:pPr>
              <w:spacing w:line="360" w:lineRule="auto"/>
              <w:jc w:val="center"/>
              <w:rPr>
                <w:kern w:val="0"/>
              </w:rPr>
            </w:pPr>
            <w:r>
              <w:rPr>
                <w:rFonts w:hint="eastAsia"/>
                <w:kern w:val="0"/>
              </w:rPr>
              <w:t>4.</w:t>
            </w:r>
          </w:p>
        </w:tc>
        <w:tc>
          <w:tcPr>
            <w:tcW w:w="1807" w:type="dxa"/>
            <w:noWrap w:val="0"/>
            <w:vAlign w:val="top"/>
          </w:tcPr>
          <w:p w14:paraId="027D4B8C">
            <w:pPr>
              <w:spacing w:line="360" w:lineRule="auto"/>
              <w:jc w:val="center"/>
              <w:rPr>
                <w:kern w:val="0"/>
              </w:rPr>
            </w:pPr>
            <w:r>
              <w:rPr>
                <w:rFonts w:hint="eastAsia"/>
                <w:kern w:val="0"/>
              </w:rPr>
              <w:t>2</w:t>
            </w:r>
            <w:r>
              <w:rPr>
                <w:kern w:val="0"/>
              </w:rPr>
              <w:t>025</w:t>
            </w:r>
            <w:r>
              <w:rPr>
                <w:rFonts w:hint="eastAsia"/>
                <w:kern w:val="0"/>
              </w:rPr>
              <w:t>年5月</w:t>
            </w:r>
          </w:p>
        </w:tc>
        <w:tc>
          <w:tcPr>
            <w:tcW w:w="2598" w:type="dxa"/>
            <w:noWrap w:val="0"/>
            <w:vAlign w:val="top"/>
          </w:tcPr>
          <w:p w14:paraId="2BDE1606">
            <w:pPr>
              <w:spacing w:line="360" w:lineRule="auto"/>
              <w:jc w:val="center"/>
              <w:rPr>
                <w:rFonts w:hint="eastAsia" w:hAnsi="宋体"/>
                <w:kern w:val="0"/>
              </w:rPr>
            </w:pPr>
            <w:r>
              <w:rPr>
                <w:rFonts w:hint="eastAsia" w:hAnsi="宋体"/>
                <w:kern w:val="0"/>
              </w:rPr>
              <w:t>汇总修改</w:t>
            </w:r>
          </w:p>
        </w:tc>
        <w:tc>
          <w:tcPr>
            <w:tcW w:w="2510" w:type="dxa"/>
            <w:noWrap w:val="0"/>
            <w:vAlign w:val="top"/>
          </w:tcPr>
          <w:p w14:paraId="396DD29E">
            <w:pPr>
              <w:spacing w:line="360" w:lineRule="auto"/>
              <w:jc w:val="center"/>
              <w:rPr>
                <w:rFonts w:hint="eastAsia"/>
                <w:kern w:val="0"/>
              </w:rPr>
            </w:pPr>
            <w:r>
              <w:rPr>
                <w:rFonts w:hAnsi="宋体"/>
                <w:kern w:val="0"/>
              </w:rPr>
              <w:t>编委全体</w:t>
            </w:r>
          </w:p>
        </w:tc>
      </w:tr>
      <w:tr w14:paraId="6C6F2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1BC6E71F">
            <w:pPr>
              <w:spacing w:line="360" w:lineRule="auto"/>
              <w:jc w:val="center"/>
              <w:rPr>
                <w:kern w:val="0"/>
              </w:rPr>
            </w:pPr>
            <w:r>
              <w:rPr>
                <w:rFonts w:hint="eastAsia"/>
                <w:kern w:val="0"/>
              </w:rPr>
              <w:t>5.</w:t>
            </w:r>
          </w:p>
        </w:tc>
        <w:tc>
          <w:tcPr>
            <w:tcW w:w="1807" w:type="dxa"/>
            <w:noWrap w:val="0"/>
            <w:vAlign w:val="top"/>
          </w:tcPr>
          <w:p w14:paraId="3B94DDE8">
            <w:pPr>
              <w:spacing w:line="360" w:lineRule="auto"/>
              <w:jc w:val="center"/>
              <w:rPr>
                <w:kern w:val="0"/>
              </w:rPr>
            </w:pPr>
            <w:r>
              <w:rPr>
                <w:kern w:val="0"/>
              </w:rPr>
              <w:t>20</w:t>
            </w:r>
            <w:r>
              <w:rPr>
                <w:rFonts w:hint="eastAsia"/>
                <w:kern w:val="0"/>
              </w:rPr>
              <w:t>2</w:t>
            </w:r>
            <w:r>
              <w:rPr>
                <w:kern w:val="0"/>
              </w:rPr>
              <w:t>5</w:t>
            </w:r>
            <w:r>
              <w:rPr>
                <w:rFonts w:hAnsi="宋体"/>
                <w:kern w:val="0"/>
              </w:rPr>
              <w:t>年</w:t>
            </w:r>
            <w:r>
              <w:rPr>
                <w:rFonts w:hint="eastAsia" w:hAnsi="宋体"/>
                <w:kern w:val="0"/>
              </w:rPr>
              <w:t>07</w:t>
            </w:r>
            <w:r>
              <w:rPr>
                <w:rFonts w:hAnsi="宋体"/>
                <w:kern w:val="0"/>
              </w:rPr>
              <w:t>月</w:t>
            </w:r>
          </w:p>
        </w:tc>
        <w:tc>
          <w:tcPr>
            <w:tcW w:w="2598" w:type="dxa"/>
            <w:noWrap w:val="0"/>
            <w:vAlign w:val="top"/>
          </w:tcPr>
          <w:p w14:paraId="4051C0DC">
            <w:pPr>
              <w:spacing w:line="360" w:lineRule="auto"/>
              <w:jc w:val="center"/>
              <w:rPr>
                <w:rFonts w:hint="eastAsia"/>
                <w:kern w:val="0"/>
              </w:rPr>
            </w:pPr>
            <w:r>
              <w:rPr>
                <w:rFonts w:hAnsi="宋体"/>
                <w:kern w:val="0"/>
              </w:rPr>
              <w:t>第</w:t>
            </w:r>
            <w:r>
              <w:rPr>
                <w:rFonts w:hint="eastAsia" w:hAnsi="宋体"/>
                <w:kern w:val="0"/>
              </w:rPr>
              <w:t>1</w:t>
            </w:r>
            <w:r>
              <w:rPr>
                <w:rFonts w:hAnsi="宋体"/>
                <w:kern w:val="0"/>
              </w:rPr>
              <w:t>版</w:t>
            </w:r>
            <w:r>
              <w:rPr>
                <w:rFonts w:hint="eastAsia" w:hAnsi="宋体"/>
                <w:kern w:val="0"/>
              </w:rPr>
              <w:t>修改</w:t>
            </w:r>
          </w:p>
        </w:tc>
        <w:tc>
          <w:tcPr>
            <w:tcW w:w="2510" w:type="dxa"/>
            <w:noWrap w:val="0"/>
            <w:vAlign w:val="top"/>
          </w:tcPr>
          <w:p w14:paraId="7D00D85F">
            <w:pPr>
              <w:spacing w:line="360" w:lineRule="auto"/>
              <w:jc w:val="center"/>
              <w:rPr>
                <w:kern w:val="0"/>
              </w:rPr>
            </w:pPr>
            <w:r>
              <w:rPr>
                <w:rFonts w:hAnsi="宋体"/>
                <w:kern w:val="0"/>
              </w:rPr>
              <w:t>编委全体</w:t>
            </w:r>
          </w:p>
        </w:tc>
      </w:tr>
      <w:tr w14:paraId="6DB17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34AB04ED">
            <w:pPr>
              <w:spacing w:line="360" w:lineRule="auto"/>
              <w:jc w:val="center"/>
              <w:rPr>
                <w:kern w:val="0"/>
              </w:rPr>
            </w:pPr>
            <w:r>
              <w:rPr>
                <w:rFonts w:hint="eastAsia"/>
                <w:kern w:val="0"/>
              </w:rPr>
              <w:t>6.</w:t>
            </w:r>
          </w:p>
        </w:tc>
        <w:tc>
          <w:tcPr>
            <w:tcW w:w="1807" w:type="dxa"/>
            <w:noWrap w:val="0"/>
            <w:vAlign w:val="top"/>
          </w:tcPr>
          <w:p w14:paraId="3BC1323E">
            <w:pPr>
              <w:spacing w:line="360" w:lineRule="auto"/>
              <w:jc w:val="center"/>
              <w:rPr>
                <w:kern w:val="0"/>
              </w:rPr>
            </w:pPr>
            <w:r>
              <w:rPr>
                <w:kern w:val="0"/>
              </w:rPr>
              <w:t>20</w:t>
            </w:r>
            <w:r>
              <w:rPr>
                <w:rFonts w:hint="eastAsia"/>
                <w:kern w:val="0"/>
              </w:rPr>
              <w:t>2</w:t>
            </w:r>
            <w:r>
              <w:rPr>
                <w:kern w:val="0"/>
              </w:rPr>
              <w:t>5</w:t>
            </w:r>
            <w:r>
              <w:rPr>
                <w:rFonts w:hAnsi="宋体"/>
                <w:kern w:val="0"/>
              </w:rPr>
              <w:t>年</w:t>
            </w:r>
            <w:r>
              <w:rPr>
                <w:kern w:val="0"/>
              </w:rPr>
              <w:t>8</w:t>
            </w:r>
            <w:r>
              <w:rPr>
                <w:rFonts w:hAnsi="宋体"/>
                <w:kern w:val="0"/>
              </w:rPr>
              <w:t>月</w:t>
            </w:r>
          </w:p>
        </w:tc>
        <w:tc>
          <w:tcPr>
            <w:tcW w:w="2598" w:type="dxa"/>
            <w:noWrap w:val="0"/>
            <w:vAlign w:val="top"/>
          </w:tcPr>
          <w:p w14:paraId="1013A14C">
            <w:pPr>
              <w:spacing w:line="360" w:lineRule="auto"/>
              <w:jc w:val="center"/>
              <w:rPr>
                <w:kern w:val="0"/>
              </w:rPr>
            </w:pPr>
            <w:r>
              <w:rPr>
                <w:rFonts w:hAnsi="宋体"/>
                <w:kern w:val="0"/>
              </w:rPr>
              <w:t>第</w:t>
            </w:r>
            <w:r>
              <w:rPr>
                <w:rFonts w:hint="eastAsia" w:hAnsi="宋体"/>
                <w:kern w:val="0"/>
              </w:rPr>
              <w:t>2</w:t>
            </w:r>
            <w:r>
              <w:rPr>
                <w:rFonts w:hAnsi="宋体"/>
                <w:kern w:val="0"/>
              </w:rPr>
              <w:t>版汇总修改</w:t>
            </w:r>
          </w:p>
        </w:tc>
        <w:tc>
          <w:tcPr>
            <w:tcW w:w="2510" w:type="dxa"/>
            <w:noWrap w:val="0"/>
            <w:vAlign w:val="top"/>
          </w:tcPr>
          <w:p w14:paraId="5D26B43E">
            <w:pPr>
              <w:jc w:val="center"/>
            </w:pPr>
            <w:r>
              <w:rPr>
                <w:rFonts w:hAnsi="宋体"/>
                <w:kern w:val="0"/>
              </w:rPr>
              <w:t>编委全体</w:t>
            </w:r>
          </w:p>
        </w:tc>
      </w:tr>
      <w:tr w14:paraId="59C7A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7AE6DD9D">
            <w:pPr>
              <w:spacing w:line="360" w:lineRule="auto"/>
              <w:jc w:val="center"/>
              <w:rPr>
                <w:kern w:val="0"/>
              </w:rPr>
            </w:pPr>
            <w:r>
              <w:rPr>
                <w:rFonts w:hint="eastAsia"/>
                <w:kern w:val="0"/>
              </w:rPr>
              <w:t>7.</w:t>
            </w:r>
          </w:p>
        </w:tc>
        <w:tc>
          <w:tcPr>
            <w:tcW w:w="1807" w:type="dxa"/>
            <w:noWrap w:val="0"/>
            <w:vAlign w:val="top"/>
          </w:tcPr>
          <w:p w14:paraId="5F69FE03">
            <w:pPr>
              <w:spacing w:line="360" w:lineRule="auto"/>
              <w:jc w:val="center"/>
              <w:rPr>
                <w:kern w:val="0"/>
              </w:rPr>
            </w:pPr>
            <w:r>
              <w:rPr>
                <w:kern w:val="0"/>
              </w:rPr>
              <w:t>20</w:t>
            </w:r>
            <w:r>
              <w:rPr>
                <w:rFonts w:hint="eastAsia"/>
                <w:kern w:val="0"/>
              </w:rPr>
              <w:t>2</w:t>
            </w:r>
            <w:r>
              <w:rPr>
                <w:kern w:val="0"/>
              </w:rPr>
              <w:t>5</w:t>
            </w:r>
            <w:r>
              <w:rPr>
                <w:rFonts w:hAnsi="宋体"/>
                <w:kern w:val="0"/>
              </w:rPr>
              <w:t>年</w:t>
            </w:r>
            <w:r>
              <w:rPr>
                <w:kern w:val="0"/>
              </w:rPr>
              <w:t>9</w:t>
            </w:r>
            <w:r>
              <w:rPr>
                <w:rFonts w:hAnsi="宋体"/>
                <w:kern w:val="0"/>
              </w:rPr>
              <w:t>月</w:t>
            </w:r>
          </w:p>
        </w:tc>
        <w:tc>
          <w:tcPr>
            <w:tcW w:w="2598" w:type="dxa"/>
            <w:noWrap w:val="0"/>
            <w:vAlign w:val="top"/>
          </w:tcPr>
          <w:p w14:paraId="0D0C5AB2">
            <w:pPr>
              <w:spacing w:line="360" w:lineRule="auto"/>
              <w:jc w:val="center"/>
              <w:rPr>
                <w:kern w:val="0"/>
              </w:rPr>
            </w:pPr>
            <w:r>
              <w:rPr>
                <w:rFonts w:hAnsi="宋体"/>
                <w:kern w:val="0"/>
              </w:rPr>
              <w:t>第3版汇总修改</w:t>
            </w:r>
          </w:p>
        </w:tc>
        <w:tc>
          <w:tcPr>
            <w:tcW w:w="2510" w:type="dxa"/>
            <w:noWrap w:val="0"/>
            <w:vAlign w:val="top"/>
          </w:tcPr>
          <w:p w14:paraId="7CDAA460">
            <w:pPr>
              <w:jc w:val="center"/>
            </w:pPr>
            <w:r>
              <w:rPr>
                <w:rFonts w:hAnsi="宋体"/>
                <w:kern w:val="0"/>
              </w:rPr>
              <w:t>编委全体</w:t>
            </w:r>
          </w:p>
        </w:tc>
      </w:tr>
      <w:tr w14:paraId="2C150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872" w:type="dxa"/>
            <w:noWrap w:val="0"/>
            <w:vAlign w:val="top"/>
          </w:tcPr>
          <w:p w14:paraId="65B31497">
            <w:pPr>
              <w:spacing w:line="360" w:lineRule="auto"/>
              <w:jc w:val="center"/>
              <w:rPr>
                <w:kern w:val="0"/>
              </w:rPr>
            </w:pPr>
            <w:r>
              <w:rPr>
                <w:rFonts w:hint="eastAsia"/>
                <w:kern w:val="0"/>
              </w:rPr>
              <w:t>8.</w:t>
            </w:r>
          </w:p>
        </w:tc>
        <w:tc>
          <w:tcPr>
            <w:tcW w:w="1807" w:type="dxa"/>
            <w:noWrap w:val="0"/>
            <w:vAlign w:val="top"/>
          </w:tcPr>
          <w:p w14:paraId="16197BA6">
            <w:pPr>
              <w:spacing w:line="360" w:lineRule="auto"/>
              <w:jc w:val="center"/>
              <w:rPr>
                <w:kern w:val="0"/>
              </w:rPr>
            </w:pPr>
            <w:r>
              <w:rPr>
                <w:kern w:val="0"/>
              </w:rPr>
              <w:t>20</w:t>
            </w:r>
            <w:r>
              <w:rPr>
                <w:rFonts w:hint="eastAsia"/>
                <w:kern w:val="0"/>
              </w:rPr>
              <w:t>25</w:t>
            </w:r>
            <w:r>
              <w:rPr>
                <w:rFonts w:hAnsi="宋体"/>
                <w:kern w:val="0"/>
              </w:rPr>
              <w:t>年</w:t>
            </w:r>
            <w:r>
              <w:rPr>
                <w:kern w:val="0"/>
              </w:rPr>
              <w:t>11</w:t>
            </w:r>
            <w:r>
              <w:rPr>
                <w:rFonts w:hAnsi="宋体"/>
                <w:kern w:val="0"/>
              </w:rPr>
              <w:t>月</w:t>
            </w:r>
          </w:p>
        </w:tc>
        <w:tc>
          <w:tcPr>
            <w:tcW w:w="2598" w:type="dxa"/>
            <w:noWrap w:val="0"/>
            <w:vAlign w:val="top"/>
          </w:tcPr>
          <w:p w14:paraId="13FC1193">
            <w:pPr>
              <w:spacing w:line="360" w:lineRule="auto"/>
              <w:jc w:val="center"/>
              <w:rPr>
                <w:kern w:val="0"/>
              </w:rPr>
            </w:pPr>
            <w:r>
              <w:rPr>
                <w:rFonts w:hAnsi="宋体"/>
                <w:kern w:val="0"/>
              </w:rPr>
              <w:t>根据</w:t>
            </w:r>
            <w:r>
              <w:rPr>
                <w:rFonts w:hint="eastAsia" w:hAnsi="宋体"/>
                <w:kern w:val="0"/>
              </w:rPr>
              <w:t>专家</w:t>
            </w:r>
            <w:r>
              <w:rPr>
                <w:rFonts w:hAnsi="宋体"/>
                <w:kern w:val="0"/>
              </w:rPr>
              <w:t>反馈意见修改</w:t>
            </w:r>
          </w:p>
        </w:tc>
        <w:tc>
          <w:tcPr>
            <w:tcW w:w="2510" w:type="dxa"/>
            <w:noWrap w:val="0"/>
            <w:vAlign w:val="top"/>
          </w:tcPr>
          <w:p w14:paraId="29966FB3">
            <w:pPr>
              <w:spacing w:line="360" w:lineRule="auto"/>
              <w:jc w:val="center"/>
              <w:rPr>
                <w:kern w:val="0"/>
              </w:rPr>
            </w:pPr>
            <w:r>
              <w:rPr>
                <w:rFonts w:hAnsi="宋体"/>
                <w:kern w:val="0"/>
              </w:rPr>
              <w:t>编委全体</w:t>
            </w:r>
          </w:p>
        </w:tc>
      </w:tr>
    </w:tbl>
    <w:p w14:paraId="1E24B778">
      <w:pPr>
        <w:pStyle w:val="3"/>
        <w:numPr>
          <w:ilvl w:val="1"/>
          <w:numId w:val="0"/>
        </w:numPr>
        <w:spacing w:before="140" w:after="0" w:line="416" w:lineRule="auto"/>
        <w:ind w:left="578" w:hanging="578"/>
        <w:rPr>
          <w:rFonts w:hint="eastAsia" w:ascii="黑体" w:hAnsi="黑体" w:cs="黑体"/>
          <w:b w:val="0"/>
          <w:bCs/>
          <w:sz w:val="28"/>
          <w:szCs w:val="20"/>
        </w:rPr>
      </w:pPr>
      <w:bookmarkStart w:id="18" w:name="_Toc659"/>
      <w:bookmarkStart w:id="19" w:name="_Toc24395"/>
      <w:bookmarkStart w:id="20" w:name="_Toc17768"/>
      <w:r>
        <w:rPr>
          <w:rFonts w:hint="eastAsia" w:ascii="黑体" w:hAnsi="黑体" w:cs="黑体"/>
          <w:b w:val="0"/>
          <w:bCs/>
          <w:sz w:val="28"/>
          <w:szCs w:val="20"/>
        </w:rPr>
        <w:t>1.4 编制单位、主要起草人及其所作工作</w:t>
      </w:r>
      <w:bookmarkEnd w:id="18"/>
      <w:bookmarkEnd w:id="19"/>
      <w:bookmarkEnd w:id="20"/>
    </w:p>
    <w:p w14:paraId="20F393D4">
      <w:pPr>
        <w:spacing w:line="360" w:lineRule="auto"/>
        <w:ind w:left="480"/>
        <w:rPr>
          <w:sz w:val="24"/>
        </w:rPr>
      </w:pPr>
      <w:r>
        <w:rPr>
          <w:rFonts w:hint="eastAsia" w:hAnsi="宋体"/>
          <w:sz w:val="24"/>
        </w:rPr>
        <w:t>1）</w:t>
      </w:r>
      <w:r>
        <w:rPr>
          <w:rFonts w:hAnsi="宋体"/>
          <w:sz w:val="24"/>
        </w:rPr>
        <w:t>编制单位</w:t>
      </w:r>
    </w:p>
    <w:p w14:paraId="49CC2E88">
      <w:pPr>
        <w:spacing w:line="360" w:lineRule="auto"/>
        <w:ind w:firstLine="480" w:firstLineChars="200"/>
        <w:rPr>
          <w:sz w:val="24"/>
        </w:rPr>
      </w:pPr>
      <w:r>
        <w:rPr>
          <w:rFonts w:hint="eastAsia"/>
          <w:bCs/>
          <w:sz w:val="24"/>
        </w:rPr>
        <w:t>南方电网电力科技股份有限公司、广州粤能电力科技开发有限公司、中国能源建设集团西北电力试验研究院有限公司、上海电力建设启动调整试验所有限公司、华北电力科学研究院有限责任公司、新疆准能投资有限公司、国能清远发电有限责任公司、兰州陇能电力科技有限公司、杭州意能电力技术有限公司、广东红海湾发电有限公司。</w:t>
      </w:r>
    </w:p>
    <w:p w14:paraId="3589F44A">
      <w:pPr>
        <w:spacing w:line="360" w:lineRule="auto"/>
        <w:ind w:left="480"/>
        <w:rPr>
          <w:sz w:val="24"/>
        </w:rPr>
      </w:pPr>
      <w:r>
        <w:rPr>
          <w:rFonts w:hint="eastAsia" w:hAnsi="宋体"/>
          <w:sz w:val="24"/>
        </w:rPr>
        <w:t>2）</w:t>
      </w:r>
      <w:r>
        <w:rPr>
          <w:rFonts w:hAnsi="宋体"/>
          <w:sz w:val="24"/>
        </w:rPr>
        <w:t>主要起草人及分工</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1737"/>
        <w:gridCol w:w="2942"/>
        <w:gridCol w:w="3098"/>
      </w:tblGrid>
      <w:tr w14:paraId="58ECF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4DB6113A">
            <w:pPr>
              <w:pStyle w:val="4"/>
              <w:jc w:val="center"/>
              <w:rPr>
                <w:rFonts w:hint="eastAsia" w:ascii="宋体" w:hAnsi="宋体" w:cs="宋体"/>
                <w:sz w:val="21"/>
                <w:szCs w:val="21"/>
              </w:rPr>
            </w:pPr>
            <w:r>
              <w:rPr>
                <w:rFonts w:hint="eastAsia" w:ascii="宋体" w:hAnsi="宋体" w:cs="宋体"/>
                <w:sz w:val="21"/>
                <w:szCs w:val="21"/>
              </w:rPr>
              <w:t>序号</w:t>
            </w:r>
          </w:p>
        </w:tc>
        <w:tc>
          <w:tcPr>
            <w:tcW w:w="1019" w:type="pct"/>
            <w:noWrap w:val="0"/>
            <w:vAlign w:val="center"/>
          </w:tcPr>
          <w:p w14:paraId="5A8280AD">
            <w:pPr>
              <w:pStyle w:val="4"/>
              <w:jc w:val="center"/>
              <w:rPr>
                <w:rFonts w:hint="eastAsia" w:ascii="宋体" w:hAnsi="宋体" w:cs="宋体"/>
                <w:sz w:val="21"/>
                <w:szCs w:val="21"/>
              </w:rPr>
            </w:pPr>
            <w:r>
              <w:rPr>
                <w:rFonts w:hint="eastAsia" w:ascii="宋体" w:hAnsi="宋体" w:cs="宋体"/>
                <w:sz w:val="21"/>
                <w:szCs w:val="21"/>
              </w:rPr>
              <w:t>章节名称</w:t>
            </w:r>
          </w:p>
        </w:tc>
        <w:tc>
          <w:tcPr>
            <w:tcW w:w="1726" w:type="pct"/>
            <w:noWrap w:val="0"/>
            <w:vAlign w:val="center"/>
          </w:tcPr>
          <w:p w14:paraId="7906CA9A">
            <w:pPr>
              <w:pStyle w:val="4"/>
              <w:jc w:val="center"/>
              <w:rPr>
                <w:rFonts w:hint="eastAsia" w:ascii="宋体" w:hAnsi="宋体" w:cs="宋体"/>
                <w:sz w:val="21"/>
                <w:szCs w:val="21"/>
              </w:rPr>
            </w:pPr>
            <w:r>
              <w:rPr>
                <w:rFonts w:hint="eastAsia" w:ascii="宋体" w:hAnsi="宋体" w:cs="宋体"/>
                <w:sz w:val="21"/>
                <w:szCs w:val="21"/>
              </w:rPr>
              <w:t>牵头编制单位</w:t>
            </w:r>
          </w:p>
        </w:tc>
        <w:tc>
          <w:tcPr>
            <w:tcW w:w="1817" w:type="pct"/>
            <w:noWrap w:val="0"/>
            <w:vAlign w:val="center"/>
          </w:tcPr>
          <w:p w14:paraId="16330ADB">
            <w:pPr>
              <w:pStyle w:val="4"/>
              <w:jc w:val="center"/>
              <w:rPr>
                <w:rFonts w:hint="eastAsia" w:ascii="宋体" w:hAnsi="宋体" w:cs="宋体"/>
                <w:sz w:val="21"/>
                <w:szCs w:val="21"/>
              </w:rPr>
            </w:pPr>
            <w:r>
              <w:rPr>
                <w:rFonts w:hint="eastAsia" w:ascii="宋体" w:hAnsi="宋体" w:cs="宋体"/>
                <w:sz w:val="21"/>
                <w:szCs w:val="21"/>
              </w:rPr>
              <w:t>配合单位</w:t>
            </w:r>
          </w:p>
        </w:tc>
      </w:tr>
      <w:tr w14:paraId="66145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07632A1B">
            <w:pPr>
              <w:pStyle w:val="4"/>
              <w:jc w:val="center"/>
              <w:rPr>
                <w:rFonts w:hint="eastAsia" w:cs="宋体"/>
                <w:sz w:val="21"/>
                <w:szCs w:val="21"/>
              </w:rPr>
            </w:pPr>
            <w:r>
              <w:rPr>
                <w:rFonts w:hint="eastAsia" w:cs="宋体"/>
                <w:sz w:val="21"/>
                <w:szCs w:val="21"/>
              </w:rPr>
              <w:t>1</w:t>
            </w:r>
          </w:p>
        </w:tc>
        <w:tc>
          <w:tcPr>
            <w:tcW w:w="1019" w:type="pct"/>
            <w:noWrap w:val="0"/>
            <w:vAlign w:val="center"/>
          </w:tcPr>
          <w:p w14:paraId="563336F2">
            <w:pPr>
              <w:pStyle w:val="4"/>
              <w:jc w:val="center"/>
              <w:rPr>
                <w:rFonts w:hint="eastAsia" w:ascii="宋体" w:hAnsi="宋体" w:cs="宋体"/>
                <w:sz w:val="21"/>
                <w:szCs w:val="21"/>
              </w:rPr>
            </w:pPr>
            <w:r>
              <w:rPr>
                <w:rFonts w:hint="eastAsia" w:ascii="宋体" w:hAnsi="宋体" w:cs="宋体"/>
                <w:sz w:val="21"/>
                <w:szCs w:val="21"/>
              </w:rPr>
              <w:t>总则</w:t>
            </w:r>
          </w:p>
        </w:tc>
        <w:tc>
          <w:tcPr>
            <w:tcW w:w="1726" w:type="pct"/>
            <w:noWrap w:val="0"/>
            <w:vAlign w:val="center"/>
          </w:tcPr>
          <w:p w14:paraId="56C1014C">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3347A359">
            <w:pPr>
              <w:pStyle w:val="4"/>
              <w:jc w:val="center"/>
              <w:rPr>
                <w:rFonts w:hint="eastAsia" w:ascii="宋体" w:hAnsi="宋体" w:cs="宋体"/>
                <w:sz w:val="21"/>
                <w:szCs w:val="21"/>
              </w:rPr>
            </w:pPr>
            <w:r>
              <w:rPr>
                <w:rFonts w:hint="eastAsia" w:ascii="宋体" w:hAnsi="宋体" w:cs="宋体"/>
                <w:sz w:val="21"/>
                <w:szCs w:val="21"/>
              </w:rPr>
              <w:t>各参编单位</w:t>
            </w:r>
          </w:p>
        </w:tc>
      </w:tr>
      <w:tr w14:paraId="6437F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73710806">
            <w:pPr>
              <w:pStyle w:val="4"/>
              <w:jc w:val="center"/>
              <w:rPr>
                <w:rFonts w:hint="eastAsia" w:cs="宋体"/>
                <w:sz w:val="21"/>
                <w:szCs w:val="21"/>
              </w:rPr>
            </w:pPr>
            <w:r>
              <w:rPr>
                <w:rFonts w:hint="eastAsia" w:cs="宋体"/>
                <w:sz w:val="21"/>
                <w:szCs w:val="21"/>
              </w:rPr>
              <w:t>2</w:t>
            </w:r>
          </w:p>
        </w:tc>
        <w:tc>
          <w:tcPr>
            <w:tcW w:w="1019" w:type="pct"/>
            <w:noWrap w:val="0"/>
            <w:vAlign w:val="center"/>
          </w:tcPr>
          <w:p w14:paraId="2E5767A0">
            <w:pPr>
              <w:pStyle w:val="4"/>
              <w:jc w:val="center"/>
              <w:rPr>
                <w:rFonts w:hint="eastAsia" w:ascii="宋体" w:hAnsi="宋体" w:cs="宋体"/>
                <w:sz w:val="21"/>
                <w:szCs w:val="21"/>
              </w:rPr>
            </w:pPr>
            <w:r>
              <w:rPr>
                <w:rFonts w:hint="eastAsia" w:ascii="宋体" w:hAnsi="宋体" w:cs="宋体"/>
                <w:sz w:val="21"/>
                <w:szCs w:val="21"/>
              </w:rPr>
              <w:t>术语和定义</w:t>
            </w:r>
          </w:p>
        </w:tc>
        <w:tc>
          <w:tcPr>
            <w:tcW w:w="1726" w:type="pct"/>
            <w:noWrap w:val="0"/>
            <w:vAlign w:val="center"/>
          </w:tcPr>
          <w:p w14:paraId="0BA6CDB4">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61C3F050">
            <w:pPr>
              <w:pStyle w:val="4"/>
              <w:jc w:val="center"/>
              <w:rPr>
                <w:rFonts w:hint="eastAsia" w:ascii="宋体" w:hAnsi="宋体" w:cs="宋体"/>
                <w:sz w:val="21"/>
                <w:szCs w:val="21"/>
              </w:rPr>
            </w:pPr>
            <w:r>
              <w:rPr>
                <w:rFonts w:hint="eastAsia" w:ascii="宋体" w:hAnsi="宋体" w:cs="宋体"/>
                <w:sz w:val="21"/>
                <w:szCs w:val="21"/>
              </w:rPr>
              <w:t>各参编单位</w:t>
            </w:r>
          </w:p>
        </w:tc>
      </w:tr>
      <w:tr w14:paraId="1AE6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038B8EF7">
            <w:pPr>
              <w:pStyle w:val="4"/>
              <w:jc w:val="center"/>
              <w:rPr>
                <w:rFonts w:hint="eastAsia" w:cs="宋体"/>
                <w:sz w:val="21"/>
                <w:szCs w:val="21"/>
              </w:rPr>
            </w:pPr>
            <w:r>
              <w:rPr>
                <w:rFonts w:hint="eastAsia" w:cs="宋体"/>
                <w:sz w:val="21"/>
                <w:szCs w:val="21"/>
              </w:rPr>
              <w:t>3</w:t>
            </w:r>
          </w:p>
        </w:tc>
        <w:tc>
          <w:tcPr>
            <w:tcW w:w="1019" w:type="pct"/>
            <w:noWrap w:val="0"/>
            <w:vAlign w:val="center"/>
          </w:tcPr>
          <w:p w14:paraId="174F6FAD">
            <w:pPr>
              <w:pStyle w:val="4"/>
              <w:jc w:val="center"/>
              <w:rPr>
                <w:rFonts w:hint="eastAsia" w:ascii="宋体" w:hAnsi="宋体" w:cs="宋体"/>
                <w:sz w:val="21"/>
                <w:szCs w:val="21"/>
              </w:rPr>
            </w:pPr>
            <w:r>
              <w:rPr>
                <w:rFonts w:hint="eastAsia" w:ascii="宋体" w:hAnsi="宋体" w:cs="宋体"/>
                <w:sz w:val="21"/>
                <w:szCs w:val="21"/>
              </w:rPr>
              <w:t>基本规定</w:t>
            </w:r>
          </w:p>
        </w:tc>
        <w:tc>
          <w:tcPr>
            <w:tcW w:w="1726" w:type="pct"/>
            <w:noWrap w:val="0"/>
            <w:vAlign w:val="center"/>
          </w:tcPr>
          <w:p w14:paraId="24691D99">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3A772DEC">
            <w:pPr>
              <w:pStyle w:val="4"/>
              <w:jc w:val="center"/>
              <w:rPr>
                <w:rFonts w:hint="eastAsia" w:ascii="宋体" w:hAnsi="宋体" w:cs="宋体"/>
                <w:sz w:val="21"/>
                <w:szCs w:val="21"/>
              </w:rPr>
            </w:pPr>
            <w:r>
              <w:rPr>
                <w:rFonts w:hint="eastAsia" w:ascii="宋体" w:hAnsi="宋体" w:cs="宋体"/>
                <w:sz w:val="21"/>
                <w:szCs w:val="21"/>
              </w:rPr>
              <w:t>各参编单位</w:t>
            </w:r>
          </w:p>
        </w:tc>
      </w:tr>
      <w:tr w14:paraId="1F2C4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50F44F6F">
            <w:pPr>
              <w:pStyle w:val="4"/>
              <w:jc w:val="center"/>
              <w:rPr>
                <w:rFonts w:hint="eastAsia" w:cs="宋体"/>
                <w:sz w:val="21"/>
                <w:szCs w:val="21"/>
              </w:rPr>
            </w:pPr>
            <w:r>
              <w:rPr>
                <w:rFonts w:hint="eastAsia" w:cs="宋体"/>
                <w:sz w:val="21"/>
                <w:szCs w:val="21"/>
              </w:rPr>
              <w:t>4</w:t>
            </w:r>
          </w:p>
        </w:tc>
        <w:tc>
          <w:tcPr>
            <w:tcW w:w="1019" w:type="pct"/>
            <w:noWrap w:val="0"/>
            <w:vAlign w:val="center"/>
          </w:tcPr>
          <w:p w14:paraId="27577134">
            <w:pPr>
              <w:pStyle w:val="4"/>
              <w:jc w:val="center"/>
              <w:rPr>
                <w:rFonts w:hint="eastAsia" w:ascii="宋体" w:hAnsi="宋体" w:cs="宋体"/>
                <w:sz w:val="21"/>
                <w:szCs w:val="21"/>
              </w:rPr>
            </w:pPr>
            <w:r>
              <w:rPr>
                <w:rFonts w:hint="eastAsia" w:ascii="宋体" w:hAnsi="宋体" w:cs="宋体"/>
                <w:sz w:val="21"/>
                <w:szCs w:val="21"/>
              </w:rPr>
              <w:t>改造机组深度调峰能力评估</w:t>
            </w:r>
          </w:p>
        </w:tc>
        <w:tc>
          <w:tcPr>
            <w:tcW w:w="1726" w:type="pct"/>
            <w:noWrap w:val="0"/>
            <w:vAlign w:val="center"/>
          </w:tcPr>
          <w:p w14:paraId="41E76010">
            <w:pPr>
              <w:pStyle w:val="4"/>
              <w:jc w:val="center"/>
              <w:rPr>
                <w:rFonts w:hint="eastAsia" w:ascii="宋体" w:hAnsi="宋体" w:cs="宋体"/>
                <w:sz w:val="21"/>
                <w:szCs w:val="21"/>
              </w:rPr>
            </w:pPr>
          </w:p>
        </w:tc>
        <w:tc>
          <w:tcPr>
            <w:tcW w:w="1817" w:type="pct"/>
            <w:noWrap w:val="0"/>
            <w:vAlign w:val="center"/>
          </w:tcPr>
          <w:p w14:paraId="159C0199">
            <w:pPr>
              <w:pStyle w:val="4"/>
              <w:jc w:val="center"/>
              <w:rPr>
                <w:rFonts w:hint="eastAsia" w:ascii="宋体" w:hAnsi="宋体" w:cs="宋体"/>
                <w:sz w:val="21"/>
                <w:szCs w:val="21"/>
              </w:rPr>
            </w:pPr>
          </w:p>
        </w:tc>
      </w:tr>
      <w:tr w14:paraId="70268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24E85B99">
            <w:pPr>
              <w:pStyle w:val="4"/>
              <w:jc w:val="center"/>
              <w:rPr>
                <w:rFonts w:hint="eastAsia" w:cs="宋体"/>
                <w:sz w:val="21"/>
                <w:szCs w:val="21"/>
              </w:rPr>
            </w:pPr>
            <w:r>
              <w:rPr>
                <w:rFonts w:hint="eastAsia" w:cs="宋体"/>
                <w:sz w:val="21"/>
                <w:szCs w:val="21"/>
              </w:rPr>
              <w:t>4.1</w:t>
            </w:r>
          </w:p>
        </w:tc>
        <w:tc>
          <w:tcPr>
            <w:tcW w:w="1019" w:type="pct"/>
            <w:noWrap w:val="0"/>
            <w:vAlign w:val="center"/>
          </w:tcPr>
          <w:p w14:paraId="16A9EF16">
            <w:pPr>
              <w:pStyle w:val="4"/>
              <w:jc w:val="center"/>
              <w:rPr>
                <w:rFonts w:hint="eastAsia" w:ascii="宋体" w:hAnsi="宋体" w:cs="宋体"/>
                <w:sz w:val="21"/>
                <w:szCs w:val="21"/>
              </w:rPr>
            </w:pPr>
            <w:r>
              <w:rPr>
                <w:rFonts w:hint="eastAsia" w:ascii="宋体" w:hAnsi="宋体" w:cs="宋体"/>
                <w:sz w:val="21"/>
                <w:szCs w:val="21"/>
              </w:rPr>
              <w:t>安全性评估</w:t>
            </w:r>
          </w:p>
        </w:tc>
        <w:tc>
          <w:tcPr>
            <w:tcW w:w="1726" w:type="pct"/>
            <w:noWrap w:val="0"/>
            <w:vAlign w:val="center"/>
          </w:tcPr>
          <w:p w14:paraId="19F3F68E">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17424CFD">
            <w:pPr>
              <w:pStyle w:val="4"/>
              <w:jc w:val="center"/>
              <w:rPr>
                <w:rFonts w:hint="eastAsia" w:ascii="宋体" w:hAnsi="宋体" w:cs="宋体"/>
                <w:sz w:val="21"/>
                <w:szCs w:val="21"/>
              </w:rPr>
            </w:pPr>
            <w:r>
              <w:rPr>
                <w:rFonts w:hint="eastAsia" w:ascii="宋体" w:hAnsi="宋体" w:cs="宋体"/>
                <w:sz w:val="21"/>
                <w:szCs w:val="21"/>
              </w:rPr>
              <w:t>广东红海湾发电有限公司、国能清远发电有限责任公司</w:t>
            </w:r>
          </w:p>
        </w:tc>
      </w:tr>
      <w:tr w14:paraId="50D5A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6BE37471">
            <w:pPr>
              <w:pStyle w:val="4"/>
              <w:jc w:val="center"/>
              <w:rPr>
                <w:rFonts w:hint="eastAsia" w:cs="宋体"/>
                <w:sz w:val="21"/>
                <w:szCs w:val="21"/>
              </w:rPr>
            </w:pPr>
            <w:r>
              <w:rPr>
                <w:rFonts w:hint="eastAsia" w:cs="宋体"/>
                <w:sz w:val="21"/>
                <w:szCs w:val="21"/>
              </w:rPr>
              <w:t>4.2</w:t>
            </w:r>
          </w:p>
        </w:tc>
        <w:tc>
          <w:tcPr>
            <w:tcW w:w="1019" w:type="pct"/>
            <w:noWrap w:val="0"/>
            <w:vAlign w:val="center"/>
          </w:tcPr>
          <w:p w14:paraId="65EE6459">
            <w:pPr>
              <w:pStyle w:val="4"/>
              <w:jc w:val="center"/>
              <w:rPr>
                <w:rFonts w:hint="eastAsia" w:ascii="宋体" w:hAnsi="宋体" w:cs="宋体"/>
                <w:sz w:val="21"/>
                <w:szCs w:val="21"/>
              </w:rPr>
            </w:pPr>
            <w:r>
              <w:rPr>
                <w:rFonts w:hint="eastAsia" w:ascii="宋体" w:hAnsi="宋体" w:cs="宋体"/>
                <w:sz w:val="21"/>
                <w:szCs w:val="21"/>
              </w:rPr>
              <w:t>环保性评估</w:t>
            </w:r>
          </w:p>
        </w:tc>
        <w:tc>
          <w:tcPr>
            <w:tcW w:w="1726" w:type="pct"/>
            <w:noWrap w:val="0"/>
            <w:vAlign w:val="center"/>
          </w:tcPr>
          <w:p w14:paraId="65CC03C7">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3026321C">
            <w:pPr>
              <w:pStyle w:val="4"/>
              <w:jc w:val="center"/>
              <w:rPr>
                <w:rFonts w:hint="eastAsia" w:ascii="宋体" w:hAnsi="宋体" w:cs="宋体"/>
                <w:sz w:val="21"/>
                <w:szCs w:val="21"/>
              </w:rPr>
            </w:pPr>
            <w:r>
              <w:rPr>
                <w:rFonts w:hint="eastAsia" w:ascii="宋体" w:hAnsi="宋体" w:cs="宋体"/>
                <w:sz w:val="21"/>
                <w:szCs w:val="21"/>
              </w:rPr>
              <w:t>上海锅炉厂有限公司</w:t>
            </w:r>
          </w:p>
        </w:tc>
      </w:tr>
      <w:tr w14:paraId="6828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7D4905A5">
            <w:pPr>
              <w:pStyle w:val="4"/>
              <w:jc w:val="center"/>
              <w:rPr>
                <w:rFonts w:hint="eastAsia" w:cs="宋体"/>
                <w:sz w:val="21"/>
                <w:szCs w:val="21"/>
              </w:rPr>
            </w:pPr>
            <w:r>
              <w:rPr>
                <w:rFonts w:hint="eastAsia" w:cs="宋体"/>
                <w:sz w:val="21"/>
                <w:szCs w:val="21"/>
              </w:rPr>
              <w:t>4.3</w:t>
            </w:r>
          </w:p>
        </w:tc>
        <w:tc>
          <w:tcPr>
            <w:tcW w:w="1019" w:type="pct"/>
            <w:noWrap w:val="0"/>
            <w:vAlign w:val="center"/>
          </w:tcPr>
          <w:p w14:paraId="1FACB011">
            <w:pPr>
              <w:pStyle w:val="4"/>
              <w:jc w:val="center"/>
              <w:rPr>
                <w:rFonts w:hint="eastAsia" w:ascii="宋体" w:hAnsi="宋体" w:cs="宋体"/>
                <w:sz w:val="21"/>
                <w:szCs w:val="21"/>
              </w:rPr>
            </w:pPr>
            <w:r>
              <w:rPr>
                <w:rFonts w:hint="eastAsia" w:ascii="宋体" w:hAnsi="宋体" w:cs="宋体"/>
                <w:sz w:val="21"/>
                <w:szCs w:val="21"/>
              </w:rPr>
              <w:t>经济性评估</w:t>
            </w:r>
          </w:p>
        </w:tc>
        <w:tc>
          <w:tcPr>
            <w:tcW w:w="1726" w:type="pct"/>
            <w:noWrap w:val="0"/>
            <w:vAlign w:val="center"/>
          </w:tcPr>
          <w:p w14:paraId="30FA4B79">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58E36C0F">
            <w:pPr>
              <w:pStyle w:val="4"/>
              <w:jc w:val="center"/>
              <w:rPr>
                <w:rFonts w:hint="eastAsia" w:ascii="宋体" w:hAnsi="宋体" w:cs="宋体"/>
                <w:sz w:val="21"/>
                <w:szCs w:val="21"/>
              </w:rPr>
            </w:pPr>
            <w:r>
              <w:rPr>
                <w:rFonts w:hint="eastAsia" w:ascii="宋体" w:hAnsi="宋体" w:cs="宋体"/>
                <w:sz w:val="21"/>
                <w:szCs w:val="21"/>
              </w:rPr>
              <w:t>上海锅炉厂有限公司</w:t>
            </w:r>
          </w:p>
        </w:tc>
      </w:tr>
      <w:tr w14:paraId="0C19B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3A73C259">
            <w:pPr>
              <w:pStyle w:val="4"/>
              <w:jc w:val="center"/>
              <w:rPr>
                <w:rFonts w:hint="eastAsia" w:cs="宋体"/>
                <w:sz w:val="21"/>
                <w:szCs w:val="21"/>
              </w:rPr>
            </w:pPr>
            <w:r>
              <w:rPr>
                <w:rFonts w:hint="eastAsia" w:cs="宋体"/>
                <w:sz w:val="21"/>
                <w:szCs w:val="21"/>
              </w:rPr>
              <w:t>4.4</w:t>
            </w:r>
          </w:p>
        </w:tc>
        <w:tc>
          <w:tcPr>
            <w:tcW w:w="1019" w:type="pct"/>
            <w:noWrap w:val="0"/>
            <w:vAlign w:val="center"/>
          </w:tcPr>
          <w:p w14:paraId="00716F54">
            <w:pPr>
              <w:pStyle w:val="4"/>
              <w:jc w:val="center"/>
              <w:rPr>
                <w:rFonts w:hint="eastAsia" w:ascii="宋体" w:hAnsi="宋体" w:cs="宋体"/>
                <w:sz w:val="21"/>
                <w:szCs w:val="21"/>
              </w:rPr>
            </w:pPr>
            <w:r>
              <w:rPr>
                <w:rFonts w:hint="eastAsia" w:ascii="宋体" w:hAnsi="宋体" w:cs="宋体"/>
                <w:sz w:val="21"/>
                <w:szCs w:val="21"/>
              </w:rPr>
              <w:t>涉网性能</w:t>
            </w:r>
          </w:p>
        </w:tc>
        <w:tc>
          <w:tcPr>
            <w:tcW w:w="1726" w:type="pct"/>
            <w:noWrap w:val="0"/>
            <w:vAlign w:val="center"/>
          </w:tcPr>
          <w:p w14:paraId="463AD6D8">
            <w:pPr>
              <w:pStyle w:val="4"/>
              <w:jc w:val="center"/>
              <w:rPr>
                <w:rFonts w:hint="eastAsia" w:ascii="宋体" w:hAnsi="宋体" w:cs="宋体"/>
                <w:sz w:val="21"/>
                <w:szCs w:val="21"/>
              </w:rPr>
            </w:pPr>
            <w:r>
              <w:rPr>
                <w:rFonts w:hint="eastAsia" w:ascii="宋体" w:hAnsi="宋体" w:cs="宋体"/>
                <w:sz w:val="21"/>
                <w:szCs w:val="21"/>
              </w:rPr>
              <w:t>南方电网电力科技股份有限公司</w:t>
            </w:r>
          </w:p>
        </w:tc>
        <w:tc>
          <w:tcPr>
            <w:tcW w:w="1817" w:type="pct"/>
            <w:noWrap w:val="0"/>
            <w:vAlign w:val="center"/>
          </w:tcPr>
          <w:p w14:paraId="33717DC2">
            <w:pPr>
              <w:pStyle w:val="4"/>
              <w:jc w:val="center"/>
              <w:rPr>
                <w:rFonts w:hint="eastAsia" w:ascii="宋体" w:hAnsi="宋体" w:cs="宋体"/>
                <w:sz w:val="21"/>
                <w:szCs w:val="21"/>
              </w:rPr>
            </w:pPr>
            <w:r>
              <w:rPr>
                <w:rFonts w:hint="eastAsia" w:ascii="宋体" w:hAnsi="宋体" w:cs="宋体"/>
                <w:sz w:val="21"/>
                <w:szCs w:val="21"/>
              </w:rPr>
              <w:t>上海锅炉厂有限公司</w:t>
            </w:r>
          </w:p>
        </w:tc>
      </w:tr>
      <w:tr w14:paraId="1474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212FABD1">
            <w:pPr>
              <w:pStyle w:val="4"/>
              <w:jc w:val="center"/>
              <w:rPr>
                <w:rFonts w:hint="eastAsia" w:cs="宋体"/>
                <w:sz w:val="21"/>
                <w:szCs w:val="21"/>
              </w:rPr>
            </w:pPr>
            <w:r>
              <w:rPr>
                <w:rFonts w:hint="eastAsia" w:cs="宋体"/>
                <w:sz w:val="21"/>
                <w:szCs w:val="21"/>
              </w:rPr>
              <w:t>5</w:t>
            </w:r>
          </w:p>
        </w:tc>
        <w:tc>
          <w:tcPr>
            <w:tcW w:w="1019" w:type="pct"/>
            <w:noWrap w:val="0"/>
            <w:vAlign w:val="center"/>
          </w:tcPr>
          <w:p w14:paraId="6707D82B">
            <w:pPr>
              <w:pStyle w:val="4"/>
              <w:jc w:val="center"/>
              <w:rPr>
                <w:rFonts w:hint="eastAsia" w:ascii="宋体" w:hAnsi="宋体" w:cs="宋体"/>
                <w:sz w:val="21"/>
                <w:szCs w:val="21"/>
              </w:rPr>
            </w:pPr>
            <w:r>
              <w:rPr>
                <w:rFonts w:hint="eastAsia" w:ascii="宋体" w:hAnsi="宋体" w:cs="宋体"/>
                <w:sz w:val="21"/>
                <w:szCs w:val="21"/>
              </w:rPr>
              <w:t>深度调峰摸底试验</w:t>
            </w:r>
          </w:p>
        </w:tc>
        <w:tc>
          <w:tcPr>
            <w:tcW w:w="1726" w:type="pct"/>
            <w:noWrap w:val="0"/>
            <w:vAlign w:val="center"/>
          </w:tcPr>
          <w:p w14:paraId="050AD227">
            <w:pPr>
              <w:pStyle w:val="4"/>
              <w:jc w:val="center"/>
              <w:rPr>
                <w:rFonts w:hint="eastAsia" w:ascii="宋体" w:hAnsi="宋体" w:cs="宋体"/>
                <w:sz w:val="21"/>
                <w:szCs w:val="21"/>
              </w:rPr>
            </w:pPr>
          </w:p>
        </w:tc>
        <w:tc>
          <w:tcPr>
            <w:tcW w:w="1817" w:type="pct"/>
            <w:noWrap w:val="0"/>
            <w:vAlign w:val="center"/>
          </w:tcPr>
          <w:p w14:paraId="3470D7DC">
            <w:pPr>
              <w:pStyle w:val="4"/>
              <w:jc w:val="center"/>
              <w:rPr>
                <w:rFonts w:hint="eastAsia" w:ascii="宋体" w:hAnsi="宋体" w:cs="宋体"/>
                <w:sz w:val="21"/>
                <w:szCs w:val="21"/>
              </w:rPr>
            </w:pPr>
          </w:p>
        </w:tc>
      </w:tr>
      <w:tr w14:paraId="1D5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144932F5">
            <w:pPr>
              <w:pStyle w:val="4"/>
              <w:jc w:val="center"/>
              <w:rPr>
                <w:rFonts w:hint="eastAsia" w:cs="宋体"/>
                <w:sz w:val="21"/>
                <w:szCs w:val="21"/>
              </w:rPr>
            </w:pPr>
            <w:r>
              <w:rPr>
                <w:rFonts w:hint="eastAsia" w:cs="宋体"/>
                <w:sz w:val="21"/>
                <w:szCs w:val="21"/>
              </w:rPr>
              <w:t>5.1</w:t>
            </w:r>
          </w:p>
        </w:tc>
        <w:tc>
          <w:tcPr>
            <w:tcW w:w="1019" w:type="pct"/>
            <w:noWrap w:val="0"/>
            <w:vAlign w:val="center"/>
          </w:tcPr>
          <w:p w14:paraId="07F056FF">
            <w:pPr>
              <w:pStyle w:val="4"/>
              <w:jc w:val="center"/>
              <w:rPr>
                <w:rFonts w:hint="eastAsia" w:ascii="宋体" w:hAnsi="宋体" w:cs="宋体"/>
                <w:sz w:val="21"/>
                <w:szCs w:val="21"/>
              </w:rPr>
            </w:pPr>
            <w:r>
              <w:rPr>
                <w:rFonts w:hint="eastAsia" w:ascii="宋体" w:hAnsi="宋体" w:cs="宋体"/>
                <w:sz w:val="21"/>
                <w:szCs w:val="21"/>
              </w:rPr>
              <w:t>试验前锅炉专业应具备的条件</w:t>
            </w:r>
          </w:p>
        </w:tc>
        <w:tc>
          <w:tcPr>
            <w:tcW w:w="1726" w:type="pct"/>
            <w:noWrap w:val="0"/>
            <w:vAlign w:val="center"/>
          </w:tcPr>
          <w:p w14:paraId="586341B6">
            <w:pPr>
              <w:pStyle w:val="4"/>
              <w:jc w:val="center"/>
              <w:rPr>
                <w:rFonts w:hint="eastAsia" w:ascii="宋体" w:hAnsi="宋体" w:cs="宋体"/>
                <w:sz w:val="21"/>
                <w:szCs w:val="21"/>
              </w:rPr>
            </w:pPr>
            <w:r>
              <w:rPr>
                <w:rFonts w:hint="eastAsia" w:ascii="宋体" w:hAnsi="宋体" w:cs="宋体"/>
                <w:sz w:val="21"/>
                <w:szCs w:val="21"/>
              </w:rPr>
              <w:t>南方电网电力科技股份有限公司、华北电力科学研究院有限责任公司</w:t>
            </w:r>
          </w:p>
        </w:tc>
        <w:tc>
          <w:tcPr>
            <w:tcW w:w="1817" w:type="pct"/>
            <w:noWrap w:val="0"/>
            <w:vAlign w:val="center"/>
          </w:tcPr>
          <w:p w14:paraId="770676B9">
            <w:pPr>
              <w:pStyle w:val="4"/>
              <w:jc w:val="center"/>
              <w:rPr>
                <w:rFonts w:hint="eastAsia" w:ascii="宋体" w:hAnsi="宋体" w:cs="宋体"/>
                <w:sz w:val="21"/>
                <w:szCs w:val="21"/>
              </w:rPr>
            </w:pPr>
            <w:bookmarkStart w:id="21" w:name="OLE_LINK5"/>
            <w:r>
              <w:rPr>
                <w:rFonts w:hint="eastAsia" w:ascii="宋体" w:hAnsi="宋体" w:cs="宋体"/>
                <w:sz w:val="21"/>
                <w:szCs w:val="21"/>
              </w:rPr>
              <w:t>广东红海湾发电有限公司</w:t>
            </w:r>
            <w:bookmarkEnd w:id="21"/>
            <w:r>
              <w:rPr>
                <w:rFonts w:hint="eastAsia" w:ascii="宋体" w:hAnsi="宋体" w:cs="宋体"/>
                <w:sz w:val="21"/>
                <w:szCs w:val="21"/>
              </w:rPr>
              <w:t>、</w:t>
            </w:r>
            <w:bookmarkStart w:id="22" w:name="OLE_LINK6"/>
            <w:r>
              <w:rPr>
                <w:rFonts w:hint="eastAsia" w:ascii="宋体" w:hAnsi="宋体" w:cs="宋体"/>
                <w:sz w:val="21"/>
                <w:szCs w:val="21"/>
              </w:rPr>
              <w:t>国能清远发电有限责任公司</w:t>
            </w:r>
            <w:bookmarkEnd w:id="22"/>
            <w:r>
              <w:rPr>
                <w:rFonts w:hint="eastAsia" w:ascii="宋体" w:hAnsi="宋体" w:cs="宋体"/>
                <w:sz w:val="21"/>
                <w:szCs w:val="21"/>
              </w:rPr>
              <w:t>、新疆准能投资有限公司</w:t>
            </w:r>
          </w:p>
        </w:tc>
      </w:tr>
      <w:tr w14:paraId="606D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105CDF6C">
            <w:pPr>
              <w:pStyle w:val="4"/>
              <w:jc w:val="center"/>
              <w:rPr>
                <w:rFonts w:hint="eastAsia" w:cs="宋体"/>
                <w:sz w:val="21"/>
                <w:szCs w:val="21"/>
              </w:rPr>
            </w:pPr>
            <w:r>
              <w:rPr>
                <w:rFonts w:hint="eastAsia" w:cs="宋体"/>
                <w:sz w:val="21"/>
                <w:szCs w:val="21"/>
              </w:rPr>
              <w:t>5.2</w:t>
            </w:r>
          </w:p>
        </w:tc>
        <w:tc>
          <w:tcPr>
            <w:tcW w:w="1019" w:type="pct"/>
            <w:noWrap w:val="0"/>
            <w:vAlign w:val="center"/>
          </w:tcPr>
          <w:p w14:paraId="01FC310F">
            <w:pPr>
              <w:pStyle w:val="4"/>
              <w:jc w:val="center"/>
              <w:rPr>
                <w:rFonts w:hint="eastAsia" w:ascii="宋体" w:hAnsi="宋体" w:cs="宋体"/>
                <w:sz w:val="21"/>
                <w:szCs w:val="21"/>
              </w:rPr>
            </w:pPr>
            <w:r>
              <w:rPr>
                <w:rFonts w:hint="eastAsia" w:ascii="宋体" w:hAnsi="宋体" w:cs="宋体"/>
                <w:sz w:val="21"/>
                <w:szCs w:val="21"/>
              </w:rPr>
              <w:t>试验前汽轮机专业应具备的条件</w:t>
            </w:r>
          </w:p>
        </w:tc>
        <w:tc>
          <w:tcPr>
            <w:tcW w:w="1726" w:type="pct"/>
            <w:noWrap w:val="0"/>
            <w:vAlign w:val="center"/>
          </w:tcPr>
          <w:p w14:paraId="386B653A">
            <w:pPr>
              <w:pStyle w:val="4"/>
              <w:jc w:val="center"/>
              <w:rPr>
                <w:rFonts w:hint="eastAsia" w:ascii="宋体" w:hAnsi="宋体" w:cs="宋体"/>
                <w:sz w:val="21"/>
                <w:szCs w:val="21"/>
              </w:rPr>
            </w:pPr>
            <w:r>
              <w:rPr>
                <w:rFonts w:hint="eastAsia" w:ascii="宋体" w:hAnsi="宋体" w:cs="宋体"/>
                <w:sz w:val="21"/>
                <w:szCs w:val="21"/>
              </w:rPr>
              <w:t>华北电力科学研究院有限责任公司、南方电网电力科技股份有限公司</w:t>
            </w:r>
          </w:p>
        </w:tc>
        <w:tc>
          <w:tcPr>
            <w:tcW w:w="1817" w:type="pct"/>
            <w:noWrap w:val="0"/>
            <w:vAlign w:val="center"/>
          </w:tcPr>
          <w:p w14:paraId="4B11798E">
            <w:pPr>
              <w:pStyle w:val="4"/>
              <w:jc w:val="center"/>
              <w:rPr>
                <w:rFonts w:hint="eastAsia" w:ascii="宋体" w:hAnsi="宋体" w:cs="宋体"/>
                <w:sz w:val="21"/>
                <w:szCs w:val="21"/>
              </w:rPr>
            </w:pPr>
            <w:r>
              <w:rPr>
                <w:rFonts w:hint="eastAsia" w:ascii="宋体" w:hAnsi="宋体" w:cs="宋体"/>
                <w:sz w:val="21"/>
                <w:szCs w:val="21"/>
              </w:rPr>
              <w:t>兰州陇能电力科技有限公司、国能清远发电有限责任公司、中国能源建设集团西北电力试验研究院有限公司</w:t>
            </w:r>
          </w:p>
        </w:tc>
      </w:tr>
      <w:tr w14:paraId="4104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511753F3">
            <w:pPr>
              <w:pStyle w:val="4"/>
              <w:jc w:val="center"/>
              <w:rPr>
                <w:rFonts w:hint="eastAsia" w:cs="宋体"/>
                <w:sz w:val="21"/>
                <w:szCs w:val="21"/>
              </w:rPr>
            </w:pPr>
            <w:r>
              <w:rPr>
                <w:rFonts w:hint="eastAsia" w:cs="宋体"/>
                <w:sz w:val="21"/>
                <w:szCs w:val="21"/>
              </w:rPr>
              <w:t>5.3</w:t>
            </w:r>
          </w:p>
        </w:tc>
        <w:tc>
          <w:tcPr>
            <w:tcW w:w="1019" w:type="pct"/>
            <w:noWrap w:val="0"/>
            <w:vAlign w:val="center"/>
          </w:tcPr>
          <w:p w14:paraId="4B70A6A4">
            <w:pPr>
              <w:pStyle w:val="4"/>
              <w:jc w:val="center"/>
              <w:rPr>
                <w:rFonts w:hint="eastAsia" w:ascii="宋体" w:hAnsi="宋体" w:cs="宋体"/>
                <w:sz w:val="21"/>
                <w:szCs w:val="21"/>
              </w:rPr>
            </w:pPr>
            <w:r>
              <w:rPr>
                <w:rFonts w:hint="eastAsia" w:ascii="宋体" w:hAnsi="宋体" w:cs="宋体"/>
                <w:sz w:val="21"/>
                <w:szCs w:val="21"/>
              </w:rPr>
              <w:t>试验前热工专业应具备的条件</w:t>
            </w:r>
          </w:p>
        </w:tc>
        <w:tc>
          <w:tcPr>
            <w:tcW w:w="1726" w:type="pct"/>
            <w:noWrap w:val="0"/>
            <w:vAlign w:val="center"/>
          </w:tcPr>
          <w:p w14:paraId="57AFF56B">
            <w:pPr>
              <w:pStyle w:val="4"/>
              <w:jc w:val="center"/>
              <w:rPr>
                <w:rFonts w:hint="eastAsia" w:ascii="宋体" w:hAnsi="宋体" w:cs="宋体"/>
                <w:sz w:val="21"/>
                <w:szCs w:val="21"/>
              </w:rPr>
            </w:pPr>
            <w:r>
              <w:rPr>
                <w:rFonts w:hint="eastAsia" w:ascii="宋体" w:hAnsi="宋体" w:cs="宋体"/>
                <w:sz w:val="21"/>
                <w:szCs w:val="21"/>
              </w:rPr>
              <w:t>华北电力科学研究院有限责任公司、南方电网电力科技股份有限公司</w:t>
            </w:r>
          </w:p>
        </w:tc>
        <w:tc>
          <w:tcPr>
            <w:tcW w:w="1817" w:type="pct"/>
            <w:noWrap w:val="0"/>
            <w:vAlign w:val="center"/>
          </w:tcPr>
          <w:p w14:paraId="60127551">
            <w:pPr>
              <w:pStyle w:val="4"/>
              <w:jc w:val="center"/>
              <w:rPr>
                <w:rFonts w:hint="eastAsia" w:ascii="宋体" w:hAnsi="宋体" w:cs="宋体"/>
                <w:sz w:val="21"/>
                <w:szCs w:val="21"/>
              </w:rPr>
            </w:pPr>
            <w:r>
              <w:rPr>
                <w:rFonts w:hint="eastAsia" w:ascii="宋体" w:hAnsi="宋体" w:cs="宋体"/>
                <w:sz w:val="21"/>
                <w:szCs w:val="21"/>
              </w:rPr>
              <w:t>新疆准能投资有限公司、广东红海湾发电有限公司</w:t>
            </w:r>
          </w:p>
        </w:tc>
      </w:tr>
      <w:tr w14:paraId="2E6F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322789FF">
            <w:pPr>
              <w:pStyle w:val="4"/>
              <w:jc w:val="center"/>
              <w:rPr>
                <w:rFonts w:hint="eastAsia" w:cs="宋体"/>
                <w:sz w:val="21"/>
                <w:szCs w:val="21"/>
              </w:rPr>
            </w:pPr>
            <w:r>
              <w:rPr>
                <w:rFonts w:hint="eastAsia" w:cs="宋体"/>
                <w:sz w:val="21"/>
                <w:szCs w:val="21"/>
              </w:rPr>
              <w:t>5.4</w:t>
            </w:r>
          </w:p>
        </w:tc>
        <w:tc>
          <w:tcPr>
            <w:tcW w:w="1019" w:type="pct"/>
            <w:noWrap w:val="0"/>
            <w:vAlign w:val="center"/>
          </w:tcPr>
          <w:p w14:paraId="2FA91300">
            <w:pPr>
              <w:pStyle w:val="4"/>
              <w:jc w:val="center"/>
              <w:rPr>
                <w:rFonts w:hint="eastAsia" w:ascii="宋体" w:hAnsi="宋体" w:cs="宋体"/>
                <w:sz w:val="21"/>
                <w:szCs w:val="21"/>
              </w:rPr>
            </w:pPr>
            <w:r>
              <w:rPr>
                <w:rFonts w:hint="eastAsia" w:ascii="宋体" w:hAnsi="宋体" w:cs="宋体"/>
                <w:sz w:val="21"/>
                <w:szCs w:val="21"/>
              </w:rPr>
              <w:t>试验前环保专业应具备的条件</w:t>
            </w:r>
          </w:p>
        </w:tc>
        <w:tc>
          <w:tcPr>
            <w:tcW w:w="1726" w:type="pct"/>
            <w:noWrap w:val="0"/>
            <w:vAlign w:val="center"/>
          </w:tcPr>
          <w:p w14:paraId="764598EF">
            <w:pPr>
              <w:pStyle w:val="4"/>
              <w:jc w:val="center"/>
              <w:rPr>
                <w:rFonts w:hint="eastAsia" w:ascii="宋体" w:hAnsi="宋体" w:cs="宋体"/>
                <w:sz w:val="21"/>
                <w:szCs w:val="21"/>
              </w:rPr>
            </w:pPr>
            <w:r>
              <w:rPr>
                <w:rFonts w:hint="eastAsia" w:ascii="宋体" w:hAnsi="宋体" w:cs="宋体"/>
                <w:sz w:val="21"/>
                <w:szCs w:val="21"/>
              </w:rPr>
              <w:t>杭州意能电力技术有限公司、南方电网电力科技股份有限公司</w:t>
            </w:r>
          </w:p>
        </w:tc>
        <w:tc>
          <w:tcPr>
            <w:tcW w:w="1817" w:type="pct"/>
            <w:noWrap w:val="0"/>
            <w:vAlign w:val="center"/>
          </w:tcPr>
          <w:p w14:paraId="1713A28C">
            <w:pPr>
              <w:pStyle w:val="4"/>
              <w:jc w:val="center"/>
              <w:rPr>
                <w:rFonts w:hint="eastAsia" w:ascii="宋体" w:hAnsi="宋体" w:cs="宋体"/>
                <w:sz w:val="21"/>
                <w:szCs w:val="21"/>
              </w:rPr>
            </w:pPr>
            <w:r>
              <w:rPr>
                <w:rFonts w:hint="eastAsia" w:ascii="宋体" w:hAnsi="宋体" w:cs="宋体"/>
                <w:sz w:val="21"/>
                <w:szCs w:val="21"/>
              </w:rPr>
              <w:t>中国能源建设集团西北电力试验研究院有限公司、上海电力建设启动调整试验所有限公司</w:t>
            </w:r>
          </w:p>
        </w:tc>
      </w:tr>
      <w:tr w14:paraId="3A30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198A0D7E">
            <w:pPr>
              <w:pStyle w:val="4"/>
              <w:jc w:val="center"/>
              <w:rPr>
                <w:rFonts w:hint="eastAsia" w:cs="宋体"/>
                <w:sz w:val="21"/>
                <w:szCs w:val="21"/>
              </w:rPr>
            </w:pPr>
            <w:r>
              <w:rPr>
                <w:rFonts w:hint="eastAsia" w:cs="宋体"/>
                <w:sz w:val="21"/>
                <w:szCs w:val="21"/>
              </w:rPr>
              <w:t>5.5</w:t>
            </w:r>
          </w:p>
        </w:tc>
        <w:tc>
          <w:tcPr>
            <w:tcW w:w="1019" w:type="pct"/>
            <w:noWrap w:val="0"/>
            <w:vAlign w:val="center"/>
          </w:tcPr>
          <w:p w14:paraId="0C8E48BC">
            <w:pPr>
              <w:pStyle w:val="4"/>
              <w:jc w:val="center"/>
              <w:rPr>
                <w:rFonts w:hint="eastAsia" w:ascii="宋体" w:hAnsi="宋体" w:cs="宋体"/>
                <w:sz w:val="21"/>
                <w:szCs w:val="21"/>
              </w:rPr>
            </w:pPr>
            <w:r>
              <w:rPr>
                <w:rFonts w:hint="eastAsia" w:ascii="宋体" w:hAnsi="宋体" w:cs="宋体"/>
                <w:sz w:val="21"/>
                <w:szCs w:val="21"/>
              </w:rPr>
              <w:t>锅炉试验内容</w:t>
            </w:r>
          </w:p>
        </w:tc>
        <w:tc>
          <w:tcPr>
            <w:tcW w:w="1726" w:type="pct"/>
            <w:noWrap w:val="0"/>
            <w:vAlign w:val="center"/>
          </w:tcPr>
          <w:p w14:paraId="7287A413">
            <w:pPr>
              <w:pStyle w:val="4"/>
              <w:jc w:val="center"/>
              <w:rPr>
                <w:rFonts w:hint="eastAsia" w:ascii="宋体" w:hAnsi="宋体" w:cs="宋体"/>
                <w:sz w:val="21"/>
                <w:szCs w:val="21"/>
              </w:rPr>
            </w:pPr>
            <w:r>
              <w:rPr>
                <w:rFonts w:hint="eastAsia" w:ascii="宋体" w:hAnsi="宋体" w:cs="宋体"/>
                <w:sz w:val="21"/>
                <w:szCs w:val="21"/>
              </w:rPr>
              <w:t>杭州意能电力技术有限公司、南方电网电力科技股份有限公司</w:t>
            </w:r>
          </w:p>
        </w:tc>
        <w:tc>
          <w:tcPr>
            <w:tcW w:w="1817" w:type="pct"/>
            <w:noWrap w:val="0"/>
            <w:vAlign w:val="center"/>
          </w:tcPr>
          <w:p w14:paraId="5DD1A84F">
            <w:pPr>
              <w:pStyle w:val="4"/>
              <w:jc w:val="center"/>
              <w:rPr>
                <w:rFonts w:hint="eastAsia" w:ascii="宋体" w:hAnsi="宋体" w:cs="宋体"/>
                <w:sz w:val="21"/>
                <w:szCs w:val="21"/>
              </w:rPr>
            </w:pPr>
            <w:r>
              <w:rPr>
                <w:rFonts w:hint="eastAsia" w:ascii="宋体" w:hAnsi="宋体" w:cs="宋体"/>
                <w:sz w:val="21"/>
                <w:szCs w:val="21"/>
              </w:rPr>
              <w:t>中国能源建设集团西北电力试验研究院有限公司、上海电力建设启动调整试验所有限公司</w:t>
            </w:r>
          </w:p>
        </w:tc>
      </w:tr>
      <w:tr w14:paraId="6952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7FE97789">
            <w:pPr>
              <w:pStyle w:val="4"/>
              <w:jc w:val="center"/>
              <w:rPr>
                <w:rFonts w:hint="eastAsia" w:cs="宋体"/>
                <w:sz w:val="21"/>
                <w:szCs w:val="21"/>
              </w:rPr>
            </w:pPr>
            <w:r>
              <w:rPr>
                <w:rFonts w:hint="eastAsia" w:cs="宋体"/>
                <w:sz w:val="21"/>
                <w:szCs w:val="21"/>
              </w:rPr>
              <w:t>5.6</w:t>
            </w:r>
          </w:p>
        </w:tc>
        <w:tc>
          <w:tcPr>
            <w:tcW w:w="1019" w:type="pct"/>
            <w:noWrap w:val="0"/>
            <w:vAlign w:val="center"/>
          </w:tcPr>
          <w:p w14:paraId="32E079F1">
            <w:pPr>
              <w:pStyle w:val="4"/>
              <w:jc w:val="center"/>
              <w:rPr>
                <w:rFonts w:hint="eastAsia" w:ascii="宋体" w:hAnsi="宋体" w:cs="宋体"/>
                <w:sz w:val="21"/>
                <w:szCs w:val="21"/>
              </w:rPr>
            </w:pPr>
            <w:r>
              <w:rPr>
                <w:rFonts w:hint="eastAsia" w:ascii="宋体" w:hAnsi="宋体" w:cs="宋体"/>
                <w:sz w:val="21"/>
                <w:szCs w:val="21"/>
              </w:rPr>
              <w:t>汽轮机试验内容</w:t>
            </w:r>
          </w:p>
        </w:tc>
        <w:tc>
          <w:tcPr>
            <w:tcW w:w="1726" w:type="pct"/>
            <w:noWrap w:val="0"/>
            <w:vAlign w:val="center"/>
          </w:tcPr>
          <w:p w14:paraId="0E027907">
            <w:pPr>
              <w:pStyle w:val="4"/>
              <w:jc w:val="center"/>
              <w:rPr>
                <w:rFonts w:hint="eastAsia" w:ascii="宋体" w:hAnsi="宋体" w:cs="宋体"/>
                <w:sz w:val="21"/>
                <w:szCs w:val="21"/>
              </w:rPr>
            </w:pPr>
            <w:r>
              <w:rPr>
                <w:rFonts w:hint="eastAsia" w:ascii="宋体" w:hAnsi="宋体" w:cs="宋体"/>
                <w:sz w:val="21"/>
                <w:szCs w:val="21"/>
              </w:rPr>
              <w:t>杭州意能电力技术有限公司、南方电网电力科技股份有限公司</w:t>
            </w:r>
          </w:p>
        </w:tc>
        <w:tc>
          <w:tcPr>
            <w:tcW w:w="1817" w:type="pct"/>
            <w:noWrap w:val="0"/>
            <w:vAlign w:val="center"/>
          </w:tcPr>
          <w:p w14:paraId="437D15AC">
            <w:pPr>
              <w:pStyle w:val="4"/>
              <w:jc w:val="center"/>
              <w:rPr>
                <w:rFonts w:hint="eastAsia" w:ascii="宋体" w:hAnsi="宋体" w:cs="宋体"/>
                <w:sz w:val="21"/>
                <w:szCs w:val="21"/>
              </w:rPr>
            </w:pPr>
            <w:r>
              <w:rPr>
                <w:rFonts w:hint="eastAsia" w:ascii="宋体" w:hAnsi="宋体" w:cs="宋体"/>
                <w:sz w:val="21"/>
                <w:szCs w:val="21"/>
              </w:rPr>
              <w:t>中国能源建设集团西北电力试验研究院有限公司、上海电力建设启动调整试验所有限公司</w:t>
            </w:r>
          </w:p>
        </w:tc>
      </w:tr>
      <w:tr w14:paraId="60B53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7AE2D457">
            <w:pPr>
              <w:pStyle w:val="4"/>
              <w:jc w:val="center"/>
              <w:rPr>
                <w:rFonts w:hint="eastAsia" w:cs="宋体"/>
                <w:sz w:val="21"/>
                <w:szCs w:val="21"/>
              </w:rPr>
            </w:pPr>
            <w:r>
              <w:rPr>
                <w:rFonts w:hint="eastAsia" w:cs="宋体"/>
                <w:sz w:val="21"/>
                <w:szCs w:val="21"/>
              </w:rPr>
              <w:t>5.7</w:t>
            </w:r>
          </w:p>
        </w:tc>
        <w:tc>
          <w:tcPr>
            <w:tcW w:w="1019" w:type="pct"/>
            <w:noWrap w:val="0"/>
            <w:vAlign w:val="center"/>
          </w:tcPr>
          <w:p w14:paraId="7DEF8825">
            <w:pPr>
              <w:pStyle w:val="4"/>
              <w:jc w:val="center"/>
              <w:rPr>
                <w:rFonts w:hint="eastAsia" w:ascii="宋体" w:hAnsi="宋体" w:cs="宋体"/>
                <w:sz w:val="21"/>
                <w:szCs w:val="21"/>
              </w:rPr>
            </w:pPr>
            <w:r>
              <w:rPr>
                <w:rFonts w:hint="eastAsia" w:ascii="宋体" w:hAnsi="宋体" w:cs="宋体"/>
                <w:sz w:val="21"/>
                <w:szCs w:val="21"/>
              </w:rPr>
              <w:t>摸底试验报告</w:t>
            </w:r>
          </w:p>
        </w:tc>
        <w:tc>
          <w:tcPr>
            <w:tcW w:w="1726" w:type="pct"/>
            <w:noWrap w:val="0"/>
            <w:vAlign w:val="center"/>
          </w:tcPr>
          <w:p w14:paraId="666F76A7">
            <w:pPr>
              <w:pStyle w:val="4"/>
              <w:jc w:val="center"/>
              <w:rPr>
                <w:rFonts w:hint="eastAsia" w:ascii="宋体" w:hAnsi="宋体" w:cs="宋体"/>
                <w:sz w:val="21"/>
                <w:szCs w:val="21"/>
              </w:rPr>
            </w:pPr>
            <w:r>
              <w:rPr>
                <w:rFonts w:hint="eastAsia" w:ascii="宋体" w:hAnsi="宋体" w:cs="宋体"/>
                <w:sz w:val="21"/>
                <w:szCs w:val="21"/>
              </w:rPr>
              <w:t>杭州意能电力技术有限公司、南方电网电力科技股份有限公司</w:t>
            </w:r>
          </w:p>
        </w:tc>
        <w:tc>
          <w:tcPr>
            <w:tcW w:w="1817" w:type="pct"/>
            <w:noWrap w:val="0"/>
            <w:vAlign w:val="center"/>
          </w:tcPr>
          <w:p w14:paraId="54EAF6CF">
            <w:pPr>
              <w:pStyle w:val="4"/>
              <w:jc w:val="center"/>
              <w:rPr>
                <w:rFonts w:hint="eastAsia" w:ascii="宋体" w:hAnsi="宋体" w:cs="宋体"/>
                <w:sz w:val="21"/>
                <w:szCs w:val="21"/>
              </w:rPr>
            </w:pPr>
            <w:r>
              <w:rPr>
                <w:rFonts w:hint="eastAsia" w:ascii="宋体" w:hAnsi="宋体" w:cs="宋体"/>
                <w:sz w:val="21"/>
                <w:szCs w:val="21"/>
              </w:rPr>
              <w:t>中国能源建设集团西北电力试验研究院有限公司、上海电力建设启动调整试验所有限公司</w:t>
            </w:r>
          </w:p>
        </w:tc>
      </w:tr>
      <w:tr w14:paraId="1D8F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32A587B9">
            <w:pPr>
              <w:pStyle w:val="4"/>
              <w:jc w:val="center"/>
              <w:rPr>
                <w:rFonts w:hint="eastAsia" w:cs="宋体"/>
                <w:sz w:val="21"/>
                <w:szCs w:val="21"/>
              </w:rPr>
            </w:pPr>
            <w:r>
              <w:rPr>
                <w:rFonts w:hint="eastAsia" w:cs="宋体"/>
                <w:sz w:val="21"/>
                <w:szCs w:val="21"/>
              </w:rPr>
              <w:t>6</w:t>
            </w:r>
          </w:p>
        </w:tc>
        <w:tc>
          <w:tcPr>
            <w:tcW w:w="1019" w:type="pct"/>
            <w:noWrap w:val="0"/>
            <w:vAlign w:val="center"/>
          </w:tcPr>
          <w:p w14:paraId="7DDE74FA">
            <w:pPr>
              <w:pStyle w:val="4"/>
              <w:jc w:val="center"/>
              <w:rPr>
                <w:rFonts w:hint="eastAsia" w:ascii="宋体" w:hAnsi="宋体" w:cs="宋体"/>
                <w:sz w:val="21"/>
                <w:szCs w:val="21"/>
              </w:rPr>
            </w:pPr>
            <w:r>
              <w:rPr>
                <w:rFonts w:hint="eastAsia" w:ascii="宋体" w:hAnsi="宋体" w:cs="宋体"/>
                <w:sz w:val="21"/>
                <w:szCs w:val="21"/>
              </w:rPr>
              <w:t>深度调峰调试工作</w:t>
            </w:r>
          </w:p>
        </w:tc>
        <w:tc>
          <w:tcPr>
            <w:tcW w:w="1726" w:type="pct"/>
            <w:noWrap w:val="0"/>
            <w:vAlign w:val="center"/>
          </w:tcPr>
          <w:p w14:paraId="1BFAE1A0">
            <w:pPr>
              <w:pStyle w:val="4"/>
              <w:jc w:val="center"/>
              <w:rPr>
                <w:rFonts w:hint="eastAsia" w:ascii="宋体" w:hAnsi="宋体" w:cs="宋体"/>
                <w:sz w:val="21"/>
                <w:szCs w:val="21"/>
              </w:rPr>
            </w:pPr>
          </w:p>
        </w:tc>
        <w:tc>
          <w:tcPr>
            <w:tcW w:w="1817" w:type="pct"/>
            <w:noWrap w:val="0"/>
            <w:vAlign w:val="center"/>
          </w:tcPr>
          <w:p w14:paraId="5015328F">
            <w:pPr>
              <w:pStyle w:val="4"/>
              <w:jc w:val="center"/>
              <w:rPr>
                <w:rFonts w:hint="eastAsia" w:ascii="宋体" w:hAnsi="宋体" w:cs="宋体"/>
                <w:sz w:val="21"/>
                <w:szCs w:val="21"/>
              </w:rPr>
            </w:pPr>
          </w:p>
        </w:tc>
      </w:tr>
      <w:tr w14:paraId="4FB7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03CA5193">
            <w:pPr>
              <w:pStyle w:val="4"/>
              <w:jc w:val="center"/>
              <w:rPr>
                <w:rFonts w:hint="eastAsia" w:cs="宋体"/>
                <w:sz w:val="21"/>
                <w:szCs w:val="21"/>
              </w:rPr>
            </w:pPr>
            <w:r>
              <w:rPr>
                <w:rFonts w:hint="eastAsia" w:cs="宋体"/>
                <w:sz w:val="21"/>
                <w:szCs w:val="21"/>
              </w:rPr>
              <w:t>6.1</w:t>
            </w:r>
          </w:p>
        </w:tc>
        <w:tc>
          <w:tcPr>
            <w:tcW w:w="1019" w:type="pct"/>
            <w:noWrap w:val="0"/>
            <w:vAlign w:val="center"/>
          </w:tcPr>
          <w:p w14:paraId="6DA76D1C">
            <w:pPr>
              <w:pStyle w:val="4"/>
              <w:jc w:val="center"/>
              <w:rPr>
                <w:rFonts w:hint="eastAsia" w:ascii="宋体" w:hAnsi="宋体" w:cs="宋体"/>
                <w:sz w:val="21"/>
                <w:szCs w:val="21"/>
              </w:rPr>
            </w:pPr>
            <w:r>
              <w:rPr>
                <w:rFonts w:hint="eastAsia" w:ascii="宋体" w:hAnsi="宋体" w:cs="宋体"/>
                <w:sz w:val="21"/>
                <w:szCs w:val="21"/>
              </w:rPr>
              <w:t>锅炉系统调试</w:t>
            </w:r>
          </w:p>
        </w:tc>
        <w:tc>
          <w:tcPr>
            <w:tcW w:w="1726" w:type="pct"/>
            <w:noWrap w:val="0"/>
            <w:vAlign w:val="center"/>
          </w:tcPr>
          <w:p w14:paraId="113D9EEE">
            <w:pPr>
              <w:pStyle w:val="4"/>
              <w:jc w:val="center"/>
              <w:rPr>
                <w:rFonts w:hint="eastAsia" w:ascii="宋体" w:hAnsi="宋体" w:cs="宋体"/>
                <w:sz w:val="21"/>
                <w:szCs w:val="21"/>
              </w:rPr>
            </w:pPr>
            <w:r>
              <w:rPr>
                <w:rFonts w:hint="eastAsia" w:ascii="宋体" w:hAnsi="宋体" w:cs="宋体"/>
                <w:sz w:val="21"/>
                <w:szCs w:val="21"/>
              </w:rPr>
              <w:t>南方电网电力科技股份有限公司、华北电力科学研究院有限责任公司</w:t>
            </w:r>
          </w:p>
        </w:tc>
        <w:tc>
          <w:tcPr>
            <w:tcW w:w="1817" w:type="pct"/>
            <w:noWrap w:val="0"/>
            <w:vAlign w:val="center"/>
          </w:tcPr>
          <w:p w14:paraId="1F3D9F66">
            <w:pPr>
              <w:pStyle w:val="4"/>
              <w:jc w:val="center"/>
              <w:rPr>
                <w:rFonts w:hint="eastAsia" w:ascii="宋体" w:hAnsi="宋体" w:cs="宋体"/>
                <w:sz w:val="21"/>
                <w:szCs w:val="21"/>
              </w:rPr>
            </w:pPr>
            <w:bookmarkStart w:id="23" w:name="OLE_LINK20"/>
            <w:r>
              <w:rPr>
                <w:rFonts w:hint="eastAsia" w:ascii="宋体" w:hAnsi="宋体" w:cs="宋体"/>
                <w:sz w:val="21"/>
                <w:szCs w:val="21"/>
              </w:rPr>
              <w:t>新疆准能投资有限公司、广东红海湾发电有限公司</w:t>
            </w:r>
            <w:bookmarkEnd w:id="23"/>
          </w:p>
        </w:tc>
      </w:tr>
      <w:tr w14:paraId="56145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0416F5E3">
            <w:pPr>
              <w:pStyle w:val="4"/>
              <w:jc w:val="center"/>
              <w:rPr>
                <w:rFonts w:hint="eastAsia" w:cs="宋体"/>
                <w:sz w:val="21"/>
                <w:szCs w:val="21"/>
              </w:rPr>
            </w:pPr>
            <w:r>
              <w:rPr>
                <w:rFonts w:hint="eastAsia" w:cs="宋体"/>
                <w:sz w:val="21"/>
                <w:szCs w:val="21"/>
              </w:rPr>
              <w:t>6.2</w:t>
            </w:r>
          </w:p>
        </w:tc>
        <w:tc>
          <w:tcPr>
            <w:tcW w:w="1019" w:type="pct"/>
            <w:noWrap w:val="0"/>
            <w:vAlign w:val="center"/>
          </w:tcPr>
          <w:p w14:paraId="24EFD312">
            <w:pPr>
              <w:pStyle w:val="4"/>
              <w:jc w:val="center"/>
              <w:rPr>
                <w:rFonts w:hint="eastAsia" w:ascii="宋体" w:hAnsi="宋体" w:cs="宋体"/>
                <w:sz w:val="21"/>
                <w:szCs w:val="21"/>
              </w:rPr>
            </w:pPr>
            <w:r>
              <w:rPr>
                <w:rFonts w:hint="eastAsia" w:ascii="宋体" w:hAnsi="宋体" w:cs="宋体"/>
                <w:sz w:val="21"/>
                <w:szCs w:val="21"/>
              </w:rPr>
              <w:t>汽轮机系统调试</w:t>
            </w:r>
          </w:p>
        </w:tc>
        <w:tc>
          <w:tcPr>
            <w:tcW w:w="1726" w:type="pct"/>
            <w:noWrap w:val="0"/>
            <w:vAlign w:val="center"/>
          </w:tcPr>
          <w:p w14:paraId="03A258A9">
            <w:pPr>
              <w:pStyle w:val="4"/>
              <w:jc w:val="center"/>
              <w:rPr>
                <w:rFonts w:hint="eastAsia" w:ascii="宋体" w:hAnsi="宋体" w:cs="宋体"/>
                <w:sz w:val="21"/>
                <w:szCs w:val="21"/>
              </w:rPr>
            </w:pPr>
            <w:r>
              <w:rPr>
                <w:rFonts w:hint="eastAsia" w:ascii="宋体" w:hAnsi="宋体" w:cs="宋体"/>
                <w:sz w:val="21"/>
                <w:szCs w:val="21"/>
              </w:rPr>
              <w:t>上海电力建设启动调整试验所有限公司、南方电网电力科技股份有限公司</w:t>
            </w:r>
          </w:p>
        </w:tc>
        <w:tc>
          <w:tcPr>
            <w:tcW w:w="1817" w:type="pct"/>
            <w:noWrap w:val="0"/>
            <w:vAlign w:val="center"/>
          </w:tcPr>
          <w:p w14:paraId="2C8D48BE">
            <w:pPr>
              <w:pStyle w:val="4"/>
              <w:jc w:val="center"/>
              <w:rPr>
                <w:rFonts w:hint="eastAsia" w:ascii="宋体" w:hAnsi="宋体" w:cs="宋体"/>
                <w:sz w:val="21"/>
                <w:szCs w:val="21"/>
              </w:rPr>
            </w:pPr>
            <w:r>
              <w:rPr>
                <w:rFonts w:hint="eastAsia" w:ascii="宋体" w:hAnsi="宋体" w:cs="宋体"/>
                <w:sz w:val="21"/>
                <w:szCs w:val="21"/>
              </w:rPr>
              <w:t>华北电力科学研究院有限责任公司、广东红海湾发电有限公司</w:t>
            </w:r>
          </w:p>
        </w:tc>
      </w:tr>
      <w:tr w14:paraId="3CC02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31F323BF">
            <w:pPr>
              <w:pStyle w:val="4"/>
              <w:jc w:val="center"/>
              <w:rPr>
                <w:rFonts w:hint="eastAsia" w:cs="宋体"/>
                <w:sz w:val="21"/>
                <w:szCs w:val="21"/>
              </w:rPr>
            </w:pPr>
            <w:r>
              <w:rPr>
                <w:rFonts w:hint="eastAsia" w:cs="宋体"/>
                <w:sz w:val="21"/>
                <w:szCs w:val="21"/>
              </w:rPr>
              <w:t>6.3</w:t>
            </w:r>
          </w:p>
        </w:tc>
        <w:tc>
          <w:tcPr>
            <w:tcW w:w="1019" w:type="pct"/>
            <w:noWrap w:val="0"/>
            <w:vAlign w:val="center"/>
          </w:tcPr>
          <w:p w14:paraId="7E9523DC">
            <w:pPr>
              <w:pStyle w:val="4"/>
              <w:jc w:val="center"/>
              <w:rPr>
                <w:rFonts w:hint="eastAsia" w:ascii="宋体" w:hAnsi="宋体" w:cs="宋体"/>
                <w:sz w:val="21"/>
                <w:szCs w:val="21"/>
              </w:rPr>
            </w:pPr>
            <w:r>
              <w:rPr>
                <w:rFonts w:hint="eastAsia" w:ascii="宋体" w:hAnsi="宋体" w:cs="宋体"/>
                <w:sz w:val="21"/>
                <w:szCs w:val="21"/>
              </w:rPr>
              <w:t>热工控制系统调试</w:t>
            </w:r>
          </w:p>
        </w:tc>
        <w:tc>
          <w:tcPr>
            <w:tcW w:w="1726" w:type="pct"/>
            <w:noWrap w:val="0"/>
            <w:vAlign w:val="center"/>
          </w:tcPr>
          <w:p w14:paraId="6AA5F63E">
            <w:pPr>
              <w:pStyle w:val="4"/>
              <w:jc w:val="center"/>
              <w:rPr>
                <w:rFonts w:hint="eastAsia" w:ascii="宋体" w:hAnsi="宋体" w:cs="宋体"/>
                <w:sz w:val="21"/>
                <w:szCs w:val="21"/>
              </w:rPr>
            </w:pPr>
            <w:r>
              <w:rPr>
                <w:rFonts w:hint="eastAsia" w:ascii="宋体" w:hAnsi="宋体" w:cs="宋体"/>
                <w:sz w:val="21"/>
                <w:szCs w:val="21"/>
              </w:rPr>
              <w:t>广州粤能电力科技开发有限公司、</w:t>
            </w:r>
            <w:bookmarkStart w:id="24" w:name="OLE_LINK10"/>
            <w:r>
              <w:rPr>
                <w:rFonts w:hint="eastAsia" w:ascii="宋体" w:hAnsi="宋体" w:cs="宋体"/>
                <w:sz w:val="21"/>
                <w:szCs w:val="21"/>
              </w:rPr>
              <w:t>上海电力建设启动调整试验所有限公司</w:t>
            </w:r>
            <w:bookmarkEnd w:id="24"/>
            <w:r>
              <w:rPr>
                <w:rFonts w:hint="eastAsia" w:ascii="宋体" w:hAnsi="宋体" w:cs="宋体"/>
                <w:sz w:val="21"/>
                <w:szCs w:val="21"/>
              </w:rPr>
              <w:t>、南方电网电力科技股份有限公司</w:t>
            </w:r>
          </w:p>
        </w:tc>
        <w:tc>
          <w:tcPr>
            <w:tcW w:w="1817" w:type="pct"/>
            <w:noWrap w:val="0"/>
            <w:vAlign w:val="center"/>
          </w:tcPr>
          <w:p w14:paraId="58FD277F">
            <w:pPr>
              <w:pStyle w:val="4"/>
              <w:jc w:val="center"/>
              <w:rPr>
                <w:rFonts w:hint="eastAsia" w:ascii="宋体" w:hAnsi="宋体" w:cs="宋体"/>
                <w:sz w:val="21"/>
                <w:szCs w:val="21"/>
              </w:rPr>
            </w:pPr>
            <w:r>
              <w:rPr>
                <w:rFonts w:hint="eastAsia" w:ascii="宋体" w:hAnsi="宋体" w:cs="宋体"/>
                <w:sz w:val="21"/>
                <w:szCs w:val="21"/>
              </w:rPr>
              <w:t>中国能源建设集团西北电力试验研究院有限公司、杭州意能电力技术有限公司、兰州陇能电力科技有限公司</w:t>
            </w:r>
          </w:p>
        </w:tc>
      </w:tr>
      <w:tr w14:paraId="3EF8F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35DF7ECE">
            <w:pPr>
              <w:pStyle w:val="4"/>
              <w:jc w:val="center"/>
              <w:rPr>
                <w:rFonts w:hint="eastAsia" w:cs="宋体"/>
                <w:sz w:val="21"/>
                <w:szCs w:val="21"/>
              </w:rPr>
            </w:pPr>
            <w:r>
              <w:rPr>
                <w:rFonts w:hint="eastAsia" w:cs="宋体"/>
                <w:sz w:val="21"/>
                <w:szCs w:val="21"/>
              </w:rPr>
              <w:t>6.4</w:t>
            </w:r>
          </w:p>
        </w:tc>
        <w:tc>
          <w:tcPr>
            <w:tcW w:w="1019" w:type="pct"/>
            <w:noWrap w:val="0"/>
            <w:vAlign w:val="center"/>
          </w:tcPr>
          <w:p w14:paraId="2B095A36">
            <w:pPr>
              <w:pStyle w:val="4"/>
              <w:jc w:val="center"/>
              <w:rPr>
                <w:rFonts w:hint="eastAsia" w:ascii="宋体" w:hAnsi="宋体" w:cs="宋体"/>
                <w:sz w:val="21"/>
                <w:szCs w:val="21"/>
              </w:rPr>
            </w:pPr>
            <w:r>
              <w:rPr>
                <w:rFonts w:hint="eastAsia" w:ascii="宋体" w:hAnsi="宋体" w:cs="宋体"/>
                <w:sz w:val="21"/>
                <w:szCs w:val="21"/>
              </w:rPr>
              <w:t>环保系统调试</w:t>
            </w:r>
          </w:p>
        </w:tc>
        <w:tc>
          <w:tcPr>
            <w:tcW w:w="1726" w:type="pct"/>
            <w:noWrap w:val="0"/>
            <w:vAlign w:val="center"/>
          </w:tcPr>
          <w:p w14:paraId="1D2827B1">
            <w:pPr>
              <w:pStyle w:val="4"/>
              <w:jc w:val="center"/>
              <w:rPr>
                <w:rFonts w:hint="eastAsia" w:ascii="宋体" w:hAnsi="宋体" w:cs="宋体"/>
                <w:sz w:val="21"/>
                <w:szCs w:val="21"/>
              </w:rPr>
            </w:pPr>
            <w:bookmarkStart w:id="25" w:name="OLE_LINK13"/>
            <w:r>
              <w:rPr>
                <w:rFonts w:hint="eastAsia" w:ascii="宋体" w:hAnsi="宋体" w:cs="宋体"/>
                <w:sz w:val="21"/>
                <w:szCs w:val="21"/>
              </w:rPr>
              <w:t>华北电力科学研究院有限责任公司、</w:t>
            </w:r>
            <w:bookmarkEnd w:id="25"/>
            <w:r>
              <w:rPr>
                <w:rFonts w:hint="eastAsia" w:ascii="宋体" w:hAnsi="宋体" w:cs="宋体"/>
                <w:sz w:val="21"/>
                <w:szCs w:val="21"/>
              </w:rPr>
              <w:t>南方电网电力科技股份有限公司</w:t>
            </w:r>
          </w:p>
        </w:tc>
        <w:tc>
          <w:tcPr>
            <w:tcW w:w="1817" w:type="pct"/>
            <w:noWrap w:val="0"/>
            <w:vAlign w:val="center"/>
          </w:tcPr>
          <w:p w14:paraId="6EFF0327">
            <w:pPr>
              <w:pStyle w:val="4"/>
              <w:jc w:val="center"/>
              <w:rPr>
                <w:rFonts w:hint="eastAsia" w:ascii="宋体" w:hAnsi="宋体" w:cs="宋体"/>
                <w:sz w:val="21"/>
                <w:szCs w:val="21"/>
              </w:rPr>
            </w:pPr>
            <w:r>
              <w:rPr>
                <w:rFonts w:hint="eastAsia" w:ascii="宋体" w:hAnsi="宋体" w:cs="宋体"/>
                <w:sz w:val="21"/>
                <w:szCs w:val="21"/>
              </w:rPr>
              <w:t>新疆准能投资有限公司、广东红海湾发电有限公司</w:t>
            </w:r>
          </w:p>
        </w:tc>
      </w:tr>
      <w:tr w14:paraId="1F443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0B4EEB76">
            <w:pPr>
              <w:pStyle w:val="4"/>
              <w:jc w:val="center"/>
              <w:rPr>
                <w:rFonts w:hint="eastAsia" w:cs="宋体"/>
                <w:sz w:val="21"/>
                <w:szCs w:val="21"/>
              </w:rPr>
            </w:pPr>
            <w:r>
              <w:rPr>
                <w:rFonts w:hint="eastAsia" w:cs="宋体"/>
                <w:sz w:val="21"/>
                <w:szCs w:val="21"/>
              </w:rPr>
              <w:t>附录A</w:t>
            </w:r>
          </w:p>
        </w:tc>
        <w:tc>
          <w:tcPr>
            <w:tcW w:w="1019" w:type="pct"/>
            <w:noWrap w:val="0"/>
            <w:vAlign w:val="center"/>
          </w:tcPr>
          <w:p w14:paraId="1D81489A">
            <w:pPr>
              <w:pStyle w:val="4"/>
              <w:jc w:val="center"/>
              <w:rPr>
                <w:rFonts w:hint="eastAsia" w:ascii="宋体" w:hAnsi="宋体" w:cs="宋体"/>
                <w:sz w:val="21"/>
                <w:szCs w:val="21"/>
              </w:rPr>
            </w:pPr>
            <w:r>
              <w:rPr>
                <w:rFonts w:hint="eastAsia" w:ascii="宋体" w:hAnsi="宋体" w:cs="宋体"/>
                <w:sz w:val="21"/>
                <w:szCs w:val="21"/>
              </w:rPr>
              <w:t>机组深度调峰能力评估样表</w:t>
            </w:r>
          </w:p>
        </w:tc>
        <w:tc>
          <w:tcPr>
            <w:tcW w:w="1726" w:type="pct"/>
            <w:noWrap w:val="0"/>
            <w:vAlign w:val="center"/>
          </w:tcPr>
          <w:p w14:paraId="40700DC3">
            <w:pPr>
              <w:pStyle w:val="4"/>
              <w:jc w:val="center"/>
              <w:rPr>
                <w:rFonts w:hint="eastAsia" w:ascii="宋体" w:hAnsi="宋体" w:cs="宋体"/>
                <w:sz w:val="21"/>
                <w:szCs w:val="21"/>
              </w:rPr>
            </w:pPr>
            <w:r>
              <w:rPr>
                <w:rFonts w:hint="eastAsia" w:ascii="宋体" w:hAnsi="宋体" w:cs="宋体"/>
                <w:sz w:val="21"/>
                <w:szCs w:val="21"/>
              </w:rPr>
              <w:t>各参编单位</w:t>
            </w:r>
          </w:p>
        </w:tc>
        <w:tc>
          <w:tcPr>
            <w:tcW w:w="1817" w:type="pct"/>
            <w:noWrap w:val="0"/>
            <w:vAlign w:val="center"/>
          </w:tcPr>
          <w:p w14:paraId="22DC260F">
            <w:pPr>
              <w:pStyle w:val="4"/>
              <w:jc w:val="center"/>
              <w:rPr>
                <w:rFonts w:hint="eastAsia" w:ascii="宋体" w:hAnsi="宋体" w:cs="宋体"/>
                <w:sz w:val="21"/>
                <w:szCs w:val="21"/>
              </w:rPr>
            </w:pPr>
          </w:p>
        </w:tc>
      </w:tr>
      <w:tr w14:paraId="7FEF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37" w:type="pct"/>
            <w:noWrap w:val="0"/>
            <w:vAlign w:val="center"/>
          </w:tcPr>
          <w:p w14:paraId="4DB77AD9">
            <w:pPr>
              <w:pStyle w:val="4"/>
              <w:jc w:val="center"/>
              <w:rPr>
                <w:rFonts w:hint="eastAsia" w:cs="宋体"/>
                <w:sz w:val="21"/>
                <w:szCs w:val="21"/>
              </w:rPr>
            </w:pPr>
            <w:r>
              <w:rPr>
                <w:rFonts w:hint="eastAsia" w:cs="宋体"/>
                <w:sz w:val="21"/>
                <w:szCs w:val="21"/>
              </w:rPr>
              <w:t>附件2</w:t>
            </w:r>
          </w:p>
        </w:tc>
        <w:tc>
          <w:tcPr>
            <w:tcW w:w="1019" w:type="pct"/>
            <w:noWrap w:val="0"/>
            <w:vAlign w:val="center"/>
          </w:tcPr>
          <w:p w14:paraId="3DC18319">
            <w:pPr>
              <w:pStyle w:val="4"/>
              <w:jc w:val="center"/>
              <w:rPr>
                <w:rFonts w:hint="eastAsia" w:ascii="宋体" w:hAnsi="宋体" w:cs="宋体"/>
                <w:sz w:val="21"/>
                <w:szCs w:val="21"/>
              </w:rPr>
            </w:pPr>
            <w:r>
              <w:rPr>
                <w:rFonts w:hint="eastAsia" w:ascii="宋体" w:hAnsi="宋体" w:cs="宋体"/>
                <w:sz w:val="21"/>
                <w:szCs w:val="21"/>
              </w:rPr>
              <w:t>编制说明</w:t>
            </w:r>
          </w:p>
        </w:tc>
        <w:tc>
          <w:tcPr>
            <w:tcW w:w="1726" w:type="pct"/>
            <w:noWrap w:val="0"/>
            <w:vAlign w:val="center"/>
          </w:tcPr>
          <w:p w14:paraId="226A91E2">
            <w:pPr>
              <w:pStyle w:val="4"/>
              <w:jc w:val="center"/>
              <w:rPr>
                <w:rFonts w:hint="eastAsia" w:ascii="宋体" w:hAnsi="宋体" w:cs="宋体"/>
                <w:sz w:val="21"/>
                <w:szCs w:val="21"/>
              </w:rPr>
            </w:pPr>
            <w:r>
              <w:rPr>
                <w:rFonts w:hint="eastAsia" w:ascii="宋体" w:hAnsi="宋体" w:cs="宋体"/>
                <w:sz w:val="21"/>
                <w:szCs w:val="21"/>
              </w:rPr>
              <w:t>各参编单位</w:t>
            </w:r>
          </w:p>
        </w:tc>
        <w:tc>
          <w:tcPr>
            <w:tcW w:w="1817" w:type="pct"/>
            <w:noWrap w:val="0"/>
            <w:vAlign w:val="center"/>
          </w:tcPr>
          <w:p w14:paraId="207AD929">
            <w:pPr>
              <w:pStyle w:val="4"/>
              <w:jc w:val="center"/>
              <w:rPr>
                <w:rFonts w:hint="eastAsia" w:ascii="宋体" w:hAnsi="宋体" w:cs="宋体"/>
                <w:sz w:val="21"/>
                <w:szCs w:val="21"/>
              </w:rPr>
            </w:pPr>
          </w:p>
        </w:tc>
      </w:tr>
    </w:tbl>
    <w:p w14:paraId="4940C26B">
      <w:pPr>
        <w:pStyle w:val="2"/>
        <w:spacing w:before="0" w:after="0" w:line="600" w:lineRule="exact"/>
        <w:rPr>
          <w:rFonts w:hint="eastAsia" w:ascii="黑体" w:hAnsi="黑体" w:eastAsia="黑体" w:cs="黑体"/>
          <w:bCs w:val="0"/>
          <w:sz w:val="28"/>
          <w:szCs w:val="20"/>
        </w:rPr>
      </w:pPr>
      <w:bookmarkStart w:id="26" w:name="_Toc28766"/>
      <w:bookmarkStart w:id="27" w:name="_Toc27796"/>
      <w:bookmarkStart w:id="28" w:name="_Toc2631"/>
      <w:bookmarkStart w:id="29" w:name="_Toc7501"/>
      <w:r>
        <w:rPr>
          <w:rFonts w:hint="eastAsia" w:ascii="黑体" w:hAnsi="黑体" w:eastAsia="黑体" w:cs="黑体"/>
          <w:bCs w:val="0"/>
          <w:sz w:val="28"/>
          <w:szCs w:val="20"/>
        </w:rPr>
        <w:t>2、标准制定原则和主要内容</w:t>
      </w:r>
      <w:bookmarkEnd w:id="26"/>
      <w:bookmarkEnd w:id="27"/>
      <w:bookmarkEnd w:id="28"/>
      <w:bookmarkEnd w:id="29"/>
    </w:p>
    <w:p w14:paraId="484D305D">
      <w:pPr>
        <w:pStyle w:val="3"/>
        <w:numPr>
          <w:ilvl w:val="1"/>
          <w:numId w:val="0"/>
        </w:numPr>
        <w:spacing w:before="140" w:after="0" w:line="416" w:lineRule="auto"/>
        <w:ind w:left="578" w:hanging="578"/>
        <w:rPr>
          <w:rFonts w:hint="eastAsia" w:ascii="黑体" w:hAnsi="黑体" w:cs="黑体"/>
          <w:b w:val="0"/>
          <w:bCs/>
          <w:sz w:val="28"/>
          <w:szCs w:val="20"/>
        </w:rPr>
      </w:pPr>
      <w:bookmarkStart w:id="30" w:name="_Toc6663"/>
      <w:bookmarkStart w:id="31" w:name="_Toc7792"/>
      <w:bookmarkStart w:id="32" w:name="_Toc25078"/>
      <w:r>
        <w:rPr>
          <w:rFonts w:hint="eastAsia" w:ascii="黑体" w:hAnsi="黑体" w:cs="黑体"/>
          <w:b w:val="0"/>
          <w:bCs/>
          <w:sz w:val="28"/>
          <w:szCs w:val="20"/>
        </w:rPr>
        <w:t>2.1 制定原则</w:t>
      </w:r>
      <w:bookmarkEnd w:id="30"/>
      <w:bookmarkEnd w:id="31"/>
      <w:bookmarkEnd w:id="32"/>
    </w:p>
    <w:p w14:paraId="7D356575">
      <w:pPr>
        <w:spacing w:line="360" w:lineRule="auto"/>
        <w:ind w:firstLine="480" w:firstLineChars="200"/>
        <w:rPr>
          <w:rFonts w:hint="eastAsia" w:hAnsi="宋体"/>
          <w:sz w:val="24"/>
        </w:rPr>
      </w:pPr>
      <w:r>
        <w:rPr>
          <w:rFonts w:hint="eastAsia" w:hAnsi="宋体"/>
          <w:sz w:val="24"/>
        </w:rPr>
        <w:t>本导则规定了电站燃煤机组深度调峰调试的总体原则、技术路线、调试措施、验收措施。本导则适用于新建、改建、扩建电站燃煤机组深度调峰调试工作。电站燃煤机组深度调峰调试工作，除应符合本导则外，尚应符合国家现行有关标准的规定。</w:t>
      </w:r>
    </w:p>
    <w:p w14:paraId="3E3A38D3">
      <w:pPr>
        <w:pStyle w:val="3"/>
        <w:numPr>
          <w:ilvl w:val="1"/>
          <w:numId w:val="0"/>
        </w:numPr>
        <w:spacing w:before="140" w:after="0" w:line="416" w:lineRule="auto"/>
        <w:ind w:left="578" w:hanging="578"/>
        <w:rPr>
          <w:rFonts w:hint="eastAsia" w:ascii="黑体" w:hAnsi="黑体" w:cs="黑体"/>
          <w:b w:val="0"/>
          <w:bCs/>
          <w:sz w:val="28"/>
          <w:szCs w:val="20"/>
        </w:rPr>
      </w:pPr>
      <w:bookmarkStart w:id="33" w:name="_Toc21664"/>
      <w:bookmarkStart w:id="34" w:name="_Toc5425"/>
      <w:bookmarkStart w:id="35" w:name="_Toc21476"/>
      <w:r>
        <w:rPr>
          <w:rFonts w:hint="eastAsia" w:ascii="黑体" w:hAnsi="黑体" w:cs="黑体"/>
          <w:b w:val="0"/>
          <w:bCs/>
          <w:sz w:val="28"/>
          <w:szCs w:val="20"/>
        </w:rPr>
        <w:t>2.2 标准制定主要内容</w:t>
      </w:r>
      <w:bookmarkEnd w:id="33"/>
      <w:bookmarkEnd w:id="34"/>
      <w:bookmarkEnd w:id="35"/>
    </w:p>
    <w:p w14:paraId="564412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rPr>
      </w:pPr>
      <w:r>
        <w:rPr>
          <w:rFonts w:hAnsi="宋体"/>
          <w:sz w:val="24"/>
        </w:rPr>
        <w:t>主要内容如下：</w:t>
      </w:r>
    </w:p>
    <w:p w14:paraId="3B08474B">
      <w:pPr>
        <w:ind w:left="482"/>
        <w:rPr>
          <w:szCs w:val="21"/>
        </w:rPr>
      </w:pPr>
      <w:r>
        <w:rPr>
          <w:rFonts w:hint="eastAsia" w:hAnsi="宋体"/>
          <w:szCs w:val="21"/>
        </w:rPr>
        <w:t>（1）</w:t>
      </w:r>
      <w:r>
        <w:rPr>
          <w:rFonts w:hAnsi="宋体"/>
          <w:szCs w:val="21"/>
        </w:rPr>
        <w:t>在第</w:t>
      </w:r>
      <w:r>
        <w:rPr>
          <w:szCs w:val="21"/>
        </w:rPr>
        <w:t>1</w:t>
      </w:r>
      <w:r>
        <w:rPr>
          <w:rFonts w:hAnsi="宋体"/>
          <w:szCs w:val="21"/>
        </w:rPr>
        <w:t>章范围中</w:t>
      </w:r>
      <w:r>
        <w:rPr>
          <w:rFonts w:hint="eastAsia" w:hAnsi="宋体"/>
          <w:szCs w:val="21"/>
        </w:rPr>
        <w:t>，明确</w:t>
      </w:r>
      <w:r>
        <w:rPr>
          <w:rFonts w:hAnsi="宋体"/>
          <w:szCs w:val="21"/>
        </w:rPr>
        <w:t>了标准的适用范围。</w:t>
      </w:r>
    </w:p>
    <w:p w14:paraId="2430D0CB">
      <w:pPr>
        <w:ind w:left="482"/>
        <w:rPr>
          <w:rFonts w:hint="eastAsia"/>
          <w:szCs w:val="21"/>
        </w:rPr>
      </w:pPr>
      <w:r>
        <w:rPr>
          <w:rFonts w:hint="eastAsia" w:hAnsi="宋体"/>
          <w:szCs w:val="21"/>
        </w:rPr>
        <w:t>（2）</w:t>
      </w:r>
      <w:r>
        <w:rPr>
          <w:rFonts w:hAnsi="宋体"/>
          <w:szCs w:val="21"/>
        </w:rPr>
        <w:t>在第</w:t>
      </w:r>
      <w:r>
        <w:rPr>
          <w:szCs w:val="21"/>
        </w:rPr>
        <w:t>2</w:t>
      </w:r>
      <w:r>
        <w:rPr>
          <w:rFonts w:hAnsi="宋体"/>
          <w:szCs w:val="21"/>
        </w:rPr>
        <w:t>章</w:t>
      </w:r>
      <w:r>
        <w:rPr>
          <w:rFonts w:hint="eastAsia"/>
          <w:szCs w:val="21"/>
        </w:rPr>
        <w:t>术语和定义中，定义了标准中涉及的主要专业术语或名词。</w:t>
      </w:r>
    </w:p>
    <w:p w14:paraId="4FD2F260">
      <w:pPr>
        <w:ind w:left="482"/>
        <w:rPr>
          <w:szCs w:val="21"/>
        </w:rPr>
      </w:pPr>
      <w:r>
        <w:rPr>
          <w:rFonts w:hint="eastAsia" w:hAnsi="宋体"/>
          <w:szCs w:val="21"/>
        </w:rPr>
        <w:t>（3）</w:t>
      </w:r>
      <w:r>
        <w:rPr>
          <w:rFonts w:hAnsi="宋体"/>
          <w:szCs w:val="21"/>
        </w:rPr>
        <w:t>在第</w:t>
      </w:r>
      <w:r>
        <w:rPr>
          <w:szCs w:val="21"/>
        </w:rPr>
        <w:t>3</w:t>
      </w:r>
      <w:r>
        <w:rPr>
          <w:rFonts w:hAnsi="宋体"/>
          <w:szCs w:val="21"/>
        </w:rPr>
        <w:t>章</w:t>
      </w:r>
      <w:r>
        <w:rPr>
          <w:rFonts w:hint="eastAsia" w:hAnsi="宋体"/>
          <w:szCs w:val="21"/>
        </w:rPr>
        <w:t>基本规定</w:t>
      </w:r>
      <w:r>
        <w:rPr>
          <w:rFonts w:hAnsi="宋体"/>
          <w:szCs w:val="21"/>
        </w:rPr>
        <w:t>，</w:t>
      </w:r>
      <w:r>
        <w:rPr>
          <w:rFonts w:hint="eastAsia" w:hAnsi="宋体"/>
          <w:szCs w:val="21"/>
        </w:rPr>
        <w:t>规定了燃煤机组锅炉深度调峰改造总体原则和技术原则。</w:t>
      </w:r>
    </w:p>
    <w:p w14:paraId="74BA810B">
      <w:pPr>
        <w:ind w:left="482"/>
        <w:rPr>
          <w:szCs w:val="21"/>
        </w:rPr>
      </w:pPr>
      <w:r>
        <w:rPr>
          <w:rFonts w:hint="eastAsia" w:hAnsi="宋体"/>
          <w:szCs w:val="21"/>
        </w:rPr>
        <w:t>（4）</w:t>
      </w:r>
      <w:r>
        <w:rPr>
          <w:rFonts w:hAnsi="宋体"/>
          <w:szCs w:val="21"/>
        </w:rPr>
        <w:t>在第</w:t>
      </w:r>
      <w:r>
        <w:rPr>
          <w:szCs w:val="21"/>
        </w:rPr>
        <w:t>4</w:t>
      </w:r>
      <w:r>
        <w:rPr>
          <w:rFonts w:hAnsi="宋体"/>
          <w:szCs w:val="21"/>
        </w:rPr>
        <w:t>章</w:t>
      </w:r>
      <w:r>
        <w:rPr>
          <w:rFonts w:hint="eastAsia" w:hAnsi="宋体"/>
          <w:szCs w:val="21"/>
        </w:rPr>
        <w:t>改造机组深度调峰能力评估</w:t>
      </w:r>
      <w:r>
        <w:rPr>
          <w:rFonts w:hAnsi="宋体"/>
          <w:szCs w:val="21"/>
        </w:rPr>
        <w:t>，规定了</w:t>
      </w:r>
      <w:r>
        <w:rPr>
          <w:rFonts w:hint="eastAsia" w:hAnsi="宋体"/>
          <w:szCs w:val="21"/>
        </w:rPr>
        <w:t>安全性评估的内容</w:t>
      </w:r>
      <w:r>
        <w:rPr>
          <w:rFonts w:hAnsi="宋体"/>
          <w:szCs w:val="21"/>
        </w:rPr>
        <w:t>。</w:t>
      </w:r>
    </w:p>
    <w:p w14:paraId="05086BA3">
      <w:pPr>
        <w:ind w:left="482"/>
        <w:rPr>
          <w:szCs w:val="21"/>
        </w:rPr>
      </w:pPr>
      <w:r>
        <w:rPr>
          <w:rFonts w:hint="eastAsia"/>
          <w:szCs w:val="21"/>
        </w:rPr>
        <w:t>（5）在第5章深度调峰摸底试验中，规定了摸底试验前应具备的条件和试验内容。</w:t>
      </w:r>
    </w:p>
    <w:p w14:paraId="07FB65CA">
      <w:pPr>
        <w:ind w:left="482"/>
        <w:rPr>
          <w:szCs w:val="21"/>
        </w:rPr>
      </w:pPr>
      <w:r>
        <w:rPr>
          <w:rFonts w:hint="eastAsia" w:hAnsi="宋体"/>
          <w:szCs w:val="21"/>
        </w:rPr>
        <w:t>（6）</w:t>
      </w:r>
      <w:r>
        <w:rPr>
          <w:rFonts w:hAnsi="宋体"/>
          <w:szCs w:val="21"/>
        </w:rPr>
        <w:t>在第</w:t>
      </w:r>
      <w:r>
        <w:rPr>
          <w:szCs w:val="21"/>
        </w:rPr>
        <w:t>6</w:t>
      </w:r>
      <w:r>
        <w:rPr>
          <w:rFonts w:hAnsi="宋体"/>
          <w:szCs w:val="21"/>
        </w:rPr>
        <w:t>章</w:t>
      </w:r>
      <w:r>
        <w:rPr>
          <w:rFonts w:hint="eastAsia" w:hAnsi="宋体"/>
          <w:szCs w:val="21"/>
        </w:rPr>
        <w:t>深度调峰调试工作</w:t>
      </w:r>
      <w:r>
        <w:rPr>
          <w:rFonts w:hAnsi="宋体"/>
          <w:szCs w:val="21"/>
        </w:rPr>
        <w:t>，规定了</w:t>
      </w:r>
      <w:r>
        <w:rPr>
          <w:rFonts w:hint="eastAsia" w:hAnsi="宋体"/>
          <w:szCs w:val="21"/>
        </w:rPr>
        <w:t>煤机组锅炉深度调峰调试主要内容</w:t>
      </w:r>
      <w:r>
        <w:rPr>
          <w:rFonts w:hAnsi="宋体"/>
          <w:szCs w:val="21"/>
        </w:rPr>
        <w:t>。</w:t>
      </w:r>
    </w:p>
    <w:p w14:paraId="25538839">
      <w:pPr>
        <w:ind w:left="482"/>
        <w:rPr>
          <w:szCs w:val="21"/>
        </w:rPr>
      </w:pPr>
      <w:r>
        <w:rPr>
          <w:rFonts w:hint="eastAsia" w:hAnsi="宋体"/>
          <w:szCs w:val="21"/>
        </w:rPr>
        <w:t>（7）</w:t>
      </w:r>
      <w:r>
        <w:rPr>
          <w:rFonts w:hAnsi="宋体"/>
          <w:szCs w:val="21"/>
        </w:rPr>
        <w:t>在</w:t>
      </w:r>
      <w:r>
        <w:rPr>
          <w:rFonts w:hint="eastAsia" w:hAnsi="宋体"/>
          <w:szCs w:val="21"/>
        </w:rPr>
        <w:t>附录A中，为机组深度调峰能力评估样表。</w:t>
      </w:r>
    </w:p>
    <w:p w14:paraId="45520A0B">
      <w:pPr>
        <w:pStyle w:val="2"/>
        <w:spacing w:before="0" w:after="0" w:line="600" w:lineRule="exact"/>
        <w:rPr>
          <w:rFonts w:ascii="黑体" w:hAnsi="黑体" w:eastAsia="黑体" w:cs="黑体"/>
          <w:bCs w:val="0"/>
          <w:sz w:val="28"/>
          <w:szCs w:val="20"/>
        </w:rPr>
      </w:pPr>
      <w:bookmarkStart w:id="36" w:name="_Toc2529"/>
      <w:bookmarkStart w:id="37" w:name="_Toc30886"/>
      <w:bookmarkStart w:id="38" w:name="_Toc20705"/>
      <w:bookmarkStart w:id="39" w:name="_Toc6263"/>
      <w:r>
        <w:rPr>
          <w:rFonts w:hint="eastAsia" w:ascii="黑体" w:hAnsi="黑体" w:eastAsia="黑体" w:cs="黑体"/>
          <w:bCs w:val="0"/>
          <w:sz w:val="28"/>
          <w:szCs w:val="20"/>
        </w:rPr>
        <w:t>3、</w:t>
      </w:r>
      <w:bookmarkEnd w:id="36"/>
      <w:r>
        <w:rPr>
          <w:rFonts w:hint="eastAsia" w:ascii="黑体" w:hAnsi="黑体" w:eastAsia="黑体" w:cs="黑体"/>
          <w:bCs w:val="0"/>
          <w:sz w:val="28"/>
          <w:szCs w:val="20"/>
        </w:rPr>
        <w:t>预期效益</w:t>
      </w:r>
      <w:bookmarkEnd w:id="37"/>
      <w:bookmarkEnd w:id="38"/>
      <w:bookmarkEnd w:id="39"/>
    </w:p>
    <w:p w14:paraId="45AD3A64">
      <w:pPr>
        <w:spacing w:line="360" w:lineRule="auto"/>
        <w:ind w:firstLine="480" w:firstLineChars="200"/>
        <w:rPr>
          <w:rFonts w:hAnsi="宋体"/>
          <w:sz w:val="24"/>
        </w:rPr>
      </w:pPr>
      <w:r>
        <w:rPr>
          <w:rFonts w:hint="eastAsia" w:hAnsi="宋体"/>
          <w:sz w:val="24"/>
        </w:rPr>
        <w:t>本标准可填补燃煤机组锅炉深度调峰调试领域技术标准的空白，提出了涉及燃煤机组深度调峰调试的技术要求；可为今后燃煤机组锅炉灵活性改造的提升提供重要依据，助力新能源电力的消纳和双碳目标，具有积极的经济社会效益</w:t>
      </w:r>
      <w:r>
        <w:rPr>
          <w:rFonts w:hAnsi="宋体"/>
          <w:sz w:val="24"/>
        </w:rPr>
        <w:t>。</w:t>
      </w:r>
    </w:p>
    <w:p w14:paraId="5AF6735D">
      <w:pPr>
        <w:pStyle w:val="2"/>
        <w:spacing w:before="0" w:after="0" w:line="600" w:lineRule="exact"/>
        <w:rPr>
          <w:rFonts w:hint="eastAsia" w:ascii="黑体" w:hAnsi="黑体" w:eastAsia="黑体" w:cs="黑体"/>
          <w:bCs w:val="0"/>
          <w:sz w:val="28"/>
          <w:szCs w:val="20"/>
        </w:rPr>
      </w:pPr>
      <w:bookmarkStart w:id="40" w:name="_Toc22344"/>
      <w:bookmarkStart w:id="41" w:name="_Toc8177"/>
      <w:bookmarkStart w:id="42" w:name="_Toc32395"/>
      <w:bookmarkStart w:id="43" w:name="_Toc7808"/>
      <w:r>
        <w:rPr>
          <w:rFonts w:hint="eastAsia" w:ascii="黑体" w:hAnsi="黑体" w:eastAsia="黑体" w:cs="黑体"/>
          <w:bCs w:val="0"/>
          <w:sz w:val="28"/>
          <w:szCs w:val="20"/>
        </w:rPr>
        <w:t>4、与国际、国外同类标准技术内容的对比</w:t>
      </w:r>
      <w:bookmarkEnd w:id="40"/>
      <w:bookmarkEnd w:id="41"/>
      <w:bookmarkEnd w:id="42"/>
      <w:bookmarkEnd w:id="43"/>
    </w:p>
    <w:p w14:paraId="52810E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sz w:val="24"/>
        </w:rPr>
      </w:pPr>
      <w:r>
        <w:rPr>
          <w:rFonts w:hint="eastAsia" w:hAnsi="宋体"/>
          <w:sz w:val="24"/>
        </w:rPr>
        <w:t>与燃煤机组锅炉深度调峰能力评估试验导则（DL/T 2497）对比，本导则主要关于深度调峰下调试技术，而DL/T 2497主要关于深度调峰能力评估试验内容，包括：试验项目和要求、测试内容和方法、基础计算、锅炉深度调峰能力评估标准、试验报告等内容。本导则涉及到燃煤机组多个专业，重点关注调试内容，与DL/T 2497行业标准有</w:t>
      </w:r>
      <w:r>
        <w:rPr>
          <w:rFonts w:hint="eastAsia" w:hAnsi="宋体"/>
          <w:sz w:val="24"/>
          <w:lang w:val="en-US" w:eastAsia="zh-CN"/>
        </w:rPr>
        <w:t>明显</w:t>
      </w:r>
      <w:r>
        <w:rPr>
          <w:rFonts w:hint="eastAsia" w:hAnsi="宋体"/>
          <w:sz w:val="24"/>
        </w:rPr>
        <w:t>区别。</w:t>
      </w:r>
    </w:p>
    <w:p w14:paraId="7B1D87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宋体" w:eastAsia="宋体" w:cs="Times New Roman"/>
          <w:sz w:val="24"/>
        </w:rPr>
      </w:pPr>
      <w:r>
        <w:rPr>
          <w:rFonts w:hint="eastAsia" w:ascii="Times New Roman" w:hAnsi="宋体" w:eastAsia="宋体" w:cs="Times New Roman"/>
          <w:sz w:val="24"/>
        </w:rPr>
        <w:t>总体上看，目前我国燃煤电厂深度调峰领域，缺少调试标准，迫切需要制定相关的标准，为行业技术进步贡献力量。</w:t>
      </w:r>
    </w:p>
    <w:p w14:paraId="41F51F17">
      <w:pPr>
        <w:pStyle w:val="2"/>
        <w:spacing w:before="0" w:after="0" w:line="600" w:lineRule="exact"/>
        <w:rPr>
          <w:rFonts w:ascii="黑体" w:hAnsi="黑体" w:eastAsia="黑体" w:cs="黑体"/>
          <w:bCs w:val="0"/>
          <w:sz w:val="28"/>
          <w:szCs w:val="20"/>
        </w:rPr>
      </w:pPr>
      <w:bookmarkStart w:id="44" w:name="_Toc20382"/>
      <w:bookmarkStart w:id="45" w:name="_Toc10250"/>
      <w:bookmarkStart w:id="46" w:name="_Toc24337"/>
      <w:bookmarkStart w:id="47" w:name="_Toc21097"/>
      <w:r>
        <w:rPr>
          <w:rFonts w:hint="eastAsia" w:ascii="黑体" w:hAnsi="黑体" w:eastAsia="黑体" w:cs="黑体"/>
          <w:bCs w:val="0"/>
          <w:sz w:val="28"/>
          <w:szCs w:val="20"/>
        </w:rPr>
        <w:t>5、</w:t>
      </w:r>
      <w:bookmarkEnd w:id="44"/>
      <w:r>
        <w:rPr>
          <w:rFonts w:hint="eastAsia" w:ascii="黑体" w:hAnsi="黑体" w:eastAsia="黑体" w:cs="黑体"/>
          <w:bCs w:val="0"/>
          <w:sz w:val="28"/>
          <w:szCs w:val="20"/>
        </w:rPr>
        <w:t>采用国际国外标准情况</w:t>
      </w:r>
      <w:bookmarkEnd w:id="45"/>
      <w:bookmarkEnd w:id="46"/>
      <w:bookmarkEnd w:id="47"/>
    </w:p>
    <w:p w14:paraId="3842E2B5">
      <w:pPr>
        <w:spacing w:line="360" w:lineRule="auto"/>
        <w:ind w:firstLine="480" w:firstLineChars="200"/>
        <w:rPr>
          <w:rFonts w:hint="eastAsia" w:hAnsi="宋体"/>
          <w:sz w:val="24"/>
        </w:rPr>
      </w:pPr>
      <w:r>
        <w:rPr>
          <w:rFonts w:hint="eastAsia" w:hAnsi="宋体"/>
          <w:sz w:val="24"/>
        </w:rPr>
        <w:t>目前缺少相关的国际</w:t>
      </w:r>
      <w:r>
        <w:rPr>
          <w:rFonts w:hint="eastAsia" w:hAnsi="宋体"/>
          <w:sz w:val="24"/>
          <w:lang w:eastAsia="zh-CN"/>
        </w:rPr>
        <w:t>、</w:t>
      </w:r>
      <w:r>
        <w:rPr>
          <w:rFonts w:hint="eastAsia" w:hAnsi="宋体"/>
          <w:sz w:val="24"/>
          <w:lang w:val="en-US" w:eastAsia="zh-CN"/>
        </w:rPr>
        <w:t>国外</w:t>
      </w:r>
      <w:r>
        <w:rPr>
          <w:rFonts w:hint="eastAsia" w:hAnsi="宋体"/>
          <w:sz w:val="24"/>
        </w:rPr>
        <w:t>标准，没有可以应用的国际</w:t>
      </w:r>
      <w:r>
        <w:rPr>
          <w:rFonts w:hint="eastAsia" w:hAnsi="宋体"/>
          <w:sz w:val="24"/>
          <w:lang w:eastAsia="zh-CN"/>
        </w:rPr>
        <w:t>、</w:t>
      </w:r>
      <w:r>
        <w:rPr>
          <w:rFonts w:hint="eastAsia" w:hAnsi="宋体"/>
          <w:sz w:val="24"/>
          <w:lang w:val="en-US" w:eastAsia="zh-CN"/>
        </w:rPr>
        <w:t>国外</w:t>
      </w:r>
      <w:r>
        <w:rPr>
          <w:rFonts w:hint="eastAsia" w:hAnsi="宋体"/>
          <w:sz w:val="24"/>
        </w:rPr>
        <w:t>标准。</w:t>
      </w:r>
    </w:p>
    <w:p w14:paraId="40EE8840">
      <w:pPr>
        <w:pStyle w:val="2"/>
        <w:spacing w:before="0" w:after="0" w:line="600" w:lineRule="exact"/>
        <w:rPr>
          <w:rFonts w:hint="eastAsia" w:ascii="黑体" w:hAnsi="黑体" w:eastAsia="黑体" w:cs="黑体"/>
          <w:bCs w:val="0"/>
          <w:sz w:val="28"/>
          <w:szCs w:val="20"/>
        </w:rPr>
      </w:pPr>
      <w:bookmarkStart w:id="48" w:name="_Toc13924"/>
      <w:bookmarkStart w:id="49" w:name="_Toc29845"/>
      <w:bookmarkStart w:id="50" w:name="_Toc22482"/>
      <w:bookmarkStart w:id="51" w:name="_Toc24725"/>
      <w:r>
        <w:rPr>
          <w:rFonts w:hint="eastAsia" w:ascii="黑体" w:hAnsi="黑体" w:eastAsia="黑体" w:cs="黑体"/>
          <w:bCs w:val="0"/>
          <w:sz w:val="28"/>
          <w:szCs w:val="20"/>
        </w:rPr>
        <w:t>6、与有关法律、行政法规及相关标准的</w:t>
      </w:r>
      <w:bookmarkEnd w:id="48"/>
      <w:r>
        <w:rPr>
          <w:rFonts w:hint="eastAsia" w:ascii="黑体" w:hAnsi="黑体" w:eastAsia="黑体" w:cs="黑体"/>
          <w:bCs w:val="0"/>
          <w:sz w:val="28"/>
          <w:szCs w:val="20"/>
        </w:rPr>
        <w:t>关系</w:t>
      </w:r>
      <w:bookmarkEnd w:id="49"/>
      <w:bookmarkEnd w:id="50"/>
      <w:bookmarkEnd w:id="51"/>
    </w:p>
    <w:p w14:paraId="1ACD2E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hAnsi="宋体"/>
          <w:sz w:val="24"/>
        </w:rPr>
      </w:pPr>
      <w:r>
        <w:rPr>
          <w:rFonts w:hAnsi="宋体"/>
          <w:sz w:val="24"/>
        </w:rPr>
        <w:t>本标准的编制尽量做到了与现行相关标准协调一致，不与现行的有关法律、法规、政策冲突。</w:t>
      </w:r>
    </w:p>
    <w:p w14:paraId="4630A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Ansi="宋体"/>
          <w:sz w:val="24"/>
        </w:rPr>
      </w:pPr>
      <w:r>
        <w:rPr>
          <w:rFonts w:hAnsi="宋体"/>
          <w:sz w:val="24"/>
        </w:rPr>
        <w:t>本标准规范性引用国家标准</w:t>
      </w:r>
      <w:r>
        <w:rPr>
          <w:sz w:val="24"/>
        </w:rPr>
        <w:t>5</w:t>
      </w:r>
      <w:r>
        <w:rPr>
          <w:rFonts w:hAnsi="宋体"/>
          <w:sz w:val="24"/>
        </w:rPr>
        <w:t>项，行业标准</w:t>
      </w:r>
      <w:r>
        <w:rPr>
          <w:rFonts w:hint="eastAsia"/>
          <w:sz w:val="24"/>
        </w:rPr>
        <w:t>1</w:t>
      </w:r>
      <w:r>
        <w:rPr>
          <w:sz w:val="24"/>
        </w:rPr>
        <w:t>4</w:t>
      </w:r>
      <w:r>
        <w:rPr>
          <w:rFonts w:hAnsi="宋体"/>
          <w:sz w:val="24"/>
        </w:rPr>
        <w:t>项。</w:t>
      </w:r>
    </w:p>
    <w:p w14:paraId="789F13C4">
      <w:pPr>
        <w:pStyle w:val="2"/>
        <w:spacing w:before="0" w:after="0" w:line="600" w:lineRule="exact"/>
        <w:rPr>
          <w:rFonts w:hint="eastAsia" w:ascii="黑体" w:hAnsi="黑体" w:eastAsia="黑体" w:cs="黑体"/>
          <w:bCs w:val="0"/>
          <w:sz w:val="28"/>
          <w:szCs w:val="20"/>
        </w:rPr>
      </w:pPr>
      <w:bookmarkStart w:id="52" w:name="_Toc32387"/>
      <w:bookmarkStart w:id="53" w:name="_Toc14446"/>
      <w:bookmarkStart w:id="54" w:name="_Toc17820"/>
      <w:bookmarkStart w:id="55" w:name="_Toc25742"/>
      <w:r>
        <w:rPr>
          <w:rFonts w:hint="eastAsia" w:ascii="黑体" w:hAnsi="黑体" w:eastAsia="黑体" w:cs="黑体"/>
          <w:bCs w:val="0"/>
          <w:sz w:val="28"/>
          <w:szCs w:val="20"/>
        </w:rPr>
        <w:t>7、重大分歧意见的处理经过和依据</w:t>
      </w:r>
      <w:bookmarkEnd w:id="52"/>
      <w:bookmarkEnd w:id="53"/>
      <w:bookmarkEnd w:id="54"/>
      <w:bookmarkEnd w:id="55"/>
    </w:p>
    <w:p w14:paraId="58A55B22">
      <w:pPr>
        <w:spacing w:line="360" w:lineRule="auto"/>
        <w:ind w:firstLine="480" w:firstLineChars="200"/>
        <w:rPr>
          <w:rFonts w:hint="eastAsia"/>
          <w:sz w:val="24"/>
        </w:rPr>
      </w:pPr>
      <w:r>
        <w:rPr>
          <w:rFonts w:hint="eastAsia"/>
          <w:sz w:val="24"/>
        </w:rPr>
        <w:t>没有重大分歧意见。</w:t>
      </w:r>
    </w:p>
    <w:p w14:paraId="6A62F9E2">
      <w:pPr>
        <w:pStyle w:val="2"/>
        <w:spacing w:before="0" w:after="0" w:line="600" w:lineRule="exact"/>
        <w:rPr>
          <w:rFonts w:hint="eastAsia" w:ascii="黑体" w:hAnsi="黑体" w:eastAsia="黑体" w:cs="黑体"/>
          <w:bCs w:val="0"/>
          <w:sz w:val="28"/>
          <w:szCs w:val="20"/>
        </w:rPr>
      </w:pPr>
      <w:bookmarkStart w:id="56" w:name="_Toc20868"/>
      <w:bookmarkStart w:id="57" w:name="_Toc11825"/>
      <w:bookmarkStart w:id="58" w:name="_Toc32064"/>
      <w:bookmarkStart w:id="59" w:name="_Toc8346"/>
      <w:r>
        <w:rPr>
          <w:rFonts w:hint="eastAsia" w:ascii="黑体" w:hAnsi="黑体" w:eastAsia="黑体" w:cs="黑体"/>
          <w:bCs w:val="0"/>
          <w:sz w:val="28"/>
          <w:szCs w:val="20"/>
        </w:rPr>
        <w:t>8、涉及专利的有关说明</w:t>
      </w:r>
      <w:bookmarkEnd w:id="56"/>
      <w:bookmarkEnd w:id="57"/>
      <w:bookmarkEnd w:id="58"/>
      <w:bookmarkEnd w:id="59"/>
    </w:p>
    <w:p w14:paraId="7189F102">
      <w:pPr>
        <w:spacing w:line="360" w:lineRule="auto"/>
        <w:ind w:firstLine="480" w:firstLineChars="200"/>
        <w:rPr>
          <w:rFonts w:hint="eastAsia"/>
          <w:sz w:val="24"/>
        </w:rPr>
      </w:pPr>
      <w:r>
        <w:rPr>
          <w:rFonts w:hint="eastAsia"/>
          <w:sz w:val="24"/>
        </w:rPr>
        <w:t>本导则没有引用专利内容。</w:t>
      </w:r>
    </w:p>
    <w:p w14:paraId="6C02ED3C">
      <w:pPr>
        <w:pStyle w:val="2"/>
        <w:spacing w:before="0" w:after="0" w:line="600" w:lineRule="exact"/>
        <w:rPr>
          <w:rFonts w:ascii="黑体" w:hAnsi="黑体" w:eastAsia="黑体" w:cs="黑体"/>
          <w:bCs w:val="0"/>
          <w:sz w:val="28"/>
          <w:szCs w:val="20"/>
        </w:rPr>
      </w:pPr>
      <w:bookmarkStart w:id="60" w:name="_Toc13398"/>
      <w:bookmarkStart w:id="61" w:name="_Toc23099"/>
      <w:bookmarkStart w:id="62" w:name="_Toc30679"/>
      <w:bookmarkStart w:id="63" w:name="_Toc4051"/>
      <w:r>
        <w:rPr>
          <w:rFonts w:hint="eastAsia" w:ascii="黑体" w:hAnsi="黑体" w:eastAsia="黑体" w:cs="黑体"/>
          <w:bCs w:val="0"/>
          <w:sz w:val="28"/>
          <w:szCs w:val="20"/>
        </w:rPr>
        <w:t>9、</w:t>
      </w:r>
      <w:bookmarkEnd w:id="60"/>
      <w:r>
        <w:rPr>
          <w:rFonts w:hint="eastAsia" w:ascii="黑体" w:hAnsi="黑体" w:eastAsia="黑体" w:cs="黑体"/>
          <w:bCs w:val="0"/>
          <w:sz w:val="28"/>
          <w:szCs w:val="20"/>
        </w:rPr>
        <w:t>标准实施建议</w:t>
      </w:r>
      <w:bookmarkEnd w:id="61"/>
      <w:bookmarkEnd w:id="62"/>
      <w:bookmarkEnd w:id="63"/>
    </w:p>
    <w:p w14:paraId="680C50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rPr>
      </w:pPr>
      <w:r>
        <w:rPr>
          <w:rFonts w:hint="eastAsia"/>
          <w:sz w:val="24"/>
        </w:rPr>
        <w:t>本规程为首次制定，颁布后建议做好规程的宣贯工作；同时加强对规程的管理，积极收集规程使用过程中的反馈信息及建议，必要时及时进行修定工作。</w:t>
      </w:r>
    </w:p>
    <w:p w14:paraId="1ADE3936">
      <w:pPr>
        <w:pStyle w:val="2"/>
        <w:spacing w:before="0" w:after="0" w:line="600" w:lineRule="exact"/>
        <w:rPr>
          <w:rFonts w:hint="eastAsia" w:ascii="黑体" w:hAnsi="黑体" w:eastAsia="黑体" w:cs="黑体"/>
          <w:bCs w:val="0"/>
          <w:sz w:val="28"/>
          <w:szCs w:val="20"/>
        </w:rPr>
      </w:pPr>
      <w:bookmarkStart w:id="64" w:name="_Toc7827"/>
      <w:bookmarkStart w:id="65" w:name="_Toc17690"/>
      <w:bookmarkStart w:id="66" w:name="_Toc25211"/>
      <w:bookmarkStart w:id="67" w:name="_Toc28407"/>
      <w:r>
        <w:rPr>
          <w:rFonts w:hint="eastAsia" w:ascii="黑体" w:hAnsi="黑体" w:eastAsia="黑体" w:cs="黑体"/>
          <w:bCs w:val="0"/>
          <w:sz w:val="28"/>
          <w:szCs w:val="20"/>
        </w:rPr>
        <w:t>10、其他应当说明的事项</w:t>
      </w:r>
      <w:bookmarkEnd w:id="64"/>
      <w:bookmarkEnd w:id="65"/>
      <w:bookmarkEnd w:id="66"/>
      <w:bookmarkEnd w:id="67"/>
    </w:p>
    <w:p w14:paraId="451374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宋体"/>
          <w:lang w:eastAsia="zh-CN"/>
        </w:rPr>
      </w:pPr>
      <w:r>
        <w:rPr>
          <w:rFonts w:hint="eastAsia" w:hAnsi="宋体"/>
          <w:sz w:val="24"/>
          <w:lang w:val="en-US" w:eastAsia="zh-CN"/>
        </w:rPr>
        <w:t>无。</w:t>
      </w:r>
    </w:p>
    <w:p w14:paraId="6891E6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4C2F5">
    <w:pPr>
      <w:pStyle w:val="5"/>
      <w:jc w:val="center"/>
    </w:pPr>
  </w:p>
  <w:p w14:paraId="5A621F49">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EBD36">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592DB34C">
                          <w:pPr>
                            <w:pStyle w:val="5"/>
                            <w:jc w:val="center"/>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592DB34C">
                    <w:pPr>
                      <w:pStyle w:val="5"/>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500044F8">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FD969">
    <w:pPr>
      <w:pStyle w:val="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6A7C0CE">
                          <w:pPr>
                            <w:pStyle w:val="5"/>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06A7C0CE">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rPr>
      <w:t xml:space="preserve"> </w:t>
    </w:r>
  </w:p>
  <w:p w14:paraId="1779E365">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603CD">
    <w:pPr>
      <w:pStyle w:val="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3F8FBB8C">
                          <w:pPr>
                            <w:pStyle w:val="5"/>
                            <w:jc w:val="center"/>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14:paraId="3F8FBB8C">
                    <w:pPr>
                      <w:pStyle w:val="5"/>
                      <w:jc w:val="center"/>
                    </w:pPr>
                    <w:r>
                      <w:fldChar w:fldCharType="begin"/>
                    </w:r>
                    <w:r>
                      <w:instrText xml:space="preserve"> PAGE  \* MERGEFORMAT </w:instrText>
                    </w:r>
                    <w:r>
                      <w:fldChar w:fldCharType="separate"/>
                    </w:r>
                    <w:r>
                      <w:t>1</w:t>
                    </w:r>
                    <w:r>
                      <w:fldChar w:fldCharType="end"/>
                    </w:r>
                  </w:p>
                </w:txbxContent>
              </v:textbox>
            </v:shape>
          </w:pict>
        </mc:Fallback>
      </mc:AlternateContent>
    </w:r>
  </w:p>
  <w:p w14:paraId="449D517D">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B4DDD">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EE3B">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7A0F8A"/>
    <w:rsid w:val="1E7A0F8A"/>
    <w:rsid w:val="6525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Calibri" w:hAnsi="Calibri" w:cs="Times New Roman"/>
      <w:b/>
      <w:bCs/>
      <w:kern w:val="44"/>
      <w:sz w:val="44"/>
      <w:szCs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4">
    <w:name w:val="Body Text"/>
    <w:basedOn w:val="1"/>
    <w:qFormat/>
    <w:uiPriority w:val="0"/>
    <w:pPr>
      <w:spacing w:line="360" w:lineRule="auto"/>
    </w:pPr>
    <w:rPr>
      <w:sz w:val="2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tabs>
        <w:tab w:val="right" w:leader="dot" w:pos="9241"/>
      </w:tabs>
      <w:spacing w:before="25" w:beforeLines="25" w:after="25" w:afterLines="25"/>
      <w:jc w:val="left"/>
    </w:pPr>
    <w:rPr>
      <w:rFonts w:ascii="黑体" w:eastAsia="黑体"/>
      <w:szCs w:val="21"/>
    </w:rPr>
  </w:style>
  <w:style w:type="paragraph" w:styleId="8">
    <w:name w:val="toc 2"/>
    <w:basedOn w:val="1"/>
    <w:next w:val="1"/>
    <w:qFormat/>
    <w:uiPriority w:val="39"/>
    <w:pPr>
      <w:ind w:left="420" w:leftChars="200"/>
    </w:pPr>
  </w:style>
  <w:style w:type="paragraph" w:styleId="9">
    <w:name w:val="Normal (Web)"/>
    <w:basedOn w:val="1"/>
    <w:next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12">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2376</Words>
  <Characters>2544</Characters>
  <Lines>0</Lines>
  <Paragraphs>0</Paragraphs>
  <TotalTime>2</TotalTime>
  <ScaleCrop>false</ScaleCrop>
  <LinksUpToDate>false</LinksUpToDate>
  <CharactersWithSpaces>2575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2026-01-20T03:12:00Z</dcterms:created>
  <dc:creator>ThinkPad</dc:creator>
  <cp:lastModifiedBy>ThinkPad</cp:lastModifiedBy>
  <dcterms:modified xsi:type="dcterms:W3CDTF">2026-01-22T06:16:23Z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23C57451D64D4CE489A84B8A46E9F1AB_11</vt:lpwstr>
  </property>
  <property fmtid="{D5CDD505-2E9C-101B-9397-08002B2CF9AE}" pid="4" name="KSOTemplateDocerSaveRecord">
    <vt:lpwstr>eyJoZGlkIjoiZDRjOTBkOThhY2NkMDFlYzM2YjllMjViNTBiYTA3ZDAiLCJ1c2VySWQiOiI0NTA3Nzk3NTAifQ==</vt:lpwstr>
  </property>
</Properties>
</file>