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6C180">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中国电力建设企业协会团体标准</w:t>
      </w:r>
    </w:p>
    <w:p w14:paraId="2A8A305C">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《智能微电网AI芯片应用与跨域安全技术</w:t>
      </w:r>
      <w:bookmarkStart w:id="0" w:name="_GoBack"/>
      <w:bookmarkEnd w:id="0"/>
      <w:r>
        <w:rPr>
          <w:rFonts w:hint="eastAsia" w:ascii="方正小标宋_GBK" w:hAnsi="方正小标宋_GBK" w:eastAsia="方正小标宋_GBK" w:cs="方正小标宋_GBK"/>
          <w:sz w:val="44"/>
          <w:szCs w:val="44"/>
        </w:rPr>
        <w:t>规范》编制说明</w:t>
      </w:r>
    </w:p>
    <w:p w14:paraId="126DF046">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工作简况</w:t>
      </w:r>
    </w:p>
    <w:p w14:paraId="0D868AA0">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二十大报告明确提出“建设新型能源体系”“推动数字技术与实体经济深度融合”，为行业发展定调。2025年我国智能微电网行业规模化普及提速，全年市场规模突破2100亿元，累计建成项目达4300个，其中工业园区部署占比超38%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数据来源：</w:t>
      </w:r>
      <w:r>
        <w:rPr>
          <w:rFonts w:hint="eastAsia" w:ascii="仿宋_GB2312" w:hAnsi="仿宋_GB2312" w:eastAsia="仿宋_GB2312" w:cs="仿宋_GB2312"/>
          <w:sz w:val="32"/>
          <w:szCs w:val="32"/>
          <w:lang w:eastAsia="zh-CN"/>
        </w:rPr>
        <w:t>《2025中国智能微电网行业发展研究报告》）</w:t>
      </w:r>
      <w:r>
        <w:rPr>
          <w:rFonts w:hint="eastAsia" w:ascii="仿宋_GB2312" w:hAnsi="仿宋_GB2312" w:eastAsia="仿宋_GB2312" w:cs="仿宋_GB2312"/>
          <w:sz w:val="32"/>
          <w:szCs w:val="32"/>
        </w:rPr>
        <w:t>，成为核心应用场景。衔接顶层部署，十四五末期《关于新形势下配电网高质量发展的指导意见》（发改能源〔2024〕187号）推动微电网建设，十五五开局《工业绿色微电网建设与应用指南（2026—2030年）》进一步将其纳入新型电网平台核心。在此背景下，AI芯片在微电网场景应用比例升至76.2%，但技术标准缺失问题凸显，亟需专项规范引导。</w:t>
      </w:r>
    </w:p>
    <w:p w14:paraId="44451DE7">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智能微电网兼具多能融合与主配微协同复杂性，叠加“人工智能+能源”融合需求，传统模式下的问题持续放大。AI芯片选型无统一标准，厂商产品在算力、协议、模型支持上差异明显，某园区项目因芯片不兼容专用AI模型，额外投入45%成本开发适配工具，拖累推广效率。跨域安全风险更为突出，物理域、信息域、控制域融合扩大攻击面，2025年多起案例显示，部分项目沿用传统安全手段，未防范AI对抗样本攻击，且存在加密算法混用问题，曾发生控制指令被劫持导致储能系统停运的情况。</w:t>
      </w:r>
    </w:p>
    <w:p w14:paraId="1CBBD7B5">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智慧技术已规模化落地，但AI芯片与跨域安全规范呈碎片化。现有通信协议虽采用IEC61850与MQTT融合架构，但AI芯片与感知设备、数字孪生平台接口不统一，阻碍协同调度。安全防护体系滞后，部分项目未建立分层机制，对AI模型鲁棒性检测、隐私计算应用缺乏指引，风险隐患突出。这种现状导致AI芯片算力优势难以发挥，安全防护沦为“被动防御”，既不符合政策要求，也制约微电网“自平衡、自调节、自安全”目标实现。</w:t>
      </w:r>
    </w:p>
    <w:p w14:paraId="3162A538">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落实党的二十大精神及十四五、十五五相关政策，破解行业发展痛点，本规范应运而生。规范聚焦智能微电网多场景适配需求，构建针对性技术体系，明确芯片算力分级、模型适配等核心参数，统一接口规范与国密加密标准。通过搭建物理层、通信层、数据层、模型层四级防护机制，实现AI安全技术全流程标准化。同时推动数据资产化，形成可推广的技术标准，填补行业空白，助力微电网成为新型能源体系建设与能源绿色低碳转型的核心支撑。</w:t>
      </w:r>
    </w:p>
    <w:p w14:paraId="7EE80C36">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为有序推进本规范编制工作，各项工作按节点稳步开展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标准于2025年3月向中国电力建设企业协会提出立项申请，并于4月份进行评审立项；2025年6月征集标准编制单位，并于8月召开编制启动会确立编写大纲及基本内容；2025年11月召开初稿讨论会，确定标准主要内容及编制节点安排；2025年12月召开征求意见稿讨论会，形成征求意见稿及安排下一步工作。</w:t>
      </w:r>
    </w:p>
    <w:p w14:paraId="30691C14">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团体标准编制原则、主要内容及其确定依据</w:t>
      </w:r>
    </w:p>
    <w:p w14:paraId="4B66F0B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本标准按GB/T 1.1-2020《标准化工作导则 第1部分：标准的结构和编写规则》给出的规则编写。</w:t>
      </w:r>
    </w:p>
    <w:p w14:paraId="1F79D01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本文件规定了智能微电网系统中AI芯片的安全应用要求，包括系统架构、AI芯片功能与性能要求、跨域安全防护策略、数据安全、通信安全和测试验证方法。</w:t>
      </w:r>
    </w:p>
    <w:p w14:paraId="400C4B1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本文件适用于智能微电网及分布式能源系统中AI芯片的选型配置、集成应用、测试验收及运行维护。</w:t>
      </w:r>
    </w:p>
    <w:p w14:paraId="435935FA">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范围</w:t>
      </w:r>
    </w:p>
    <w:p w14:paraId="50788260">
      <w:p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对标准的适用范围进行了限定。</w:t>
      </w:r>
    </w:p>
    <w:p w14:paraId="3A2E6C73">
      <w:pPr>
        <w:numPr>
          <w:ilvl w:val="0"/>
          <w:numId w:val="2"/>
        </w:num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规范性引用文件</w:t>
      </w:r>
    </w:p>
    <w:p w14:paraId="22034DDF">
      <w:p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列举了本标准所引用的标准、文件</w:t>
      </w:r>
      <w:r>
        <w:rPr>
          <w:rFonts w:hint="eastAsia" w:ascii="仿宋_GB2312" w:hAnsi="仿宋_GB2312" w:eastAsia="仿宋_GB2312" w:cs="仿宋_GB2312"/>
          <w:sz w:val="32"/>
          <w:szCs w:val="32"/>
        </w:rPr>
        <w:t>。</w:t>
      </w:r>
    </w:p>
    <w:p w14:paraId="73CF3289">
      <w:pPr>
        <w:numPr>
          <w:ilvl w:val="0"/>
          <w:numId w:val="2"/>
        </w:num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术语与定义</w:t>
      </w:r>
    </w:p>
    <w:p w14:paraId="6ED29965">
      <w:p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本标准</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个术语与定义，均已经被行业内广泛接受和认可。</w:t>
      </w:r>
    </w:p>
    <w:p w14:paraId="205399A0">
      <w:pPr>
        <w:numPr>
          <w:ilvl w:val="0"/>
          <w:numId w:val="2"/>
        </w:num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总体要求</w:t>
      </w:r>
    </w:p>
    <w:p w14:paraId="4239523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对智能微电网 AI 芯片应用与跨域安全管控的总体要求进行了规定，主要包括技术参数、接口兼容及安全防护的一般要求。</w:t>
      </w:r>
    </w:p>
    <w:p w14:paraId="2C12C4B8">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AI芯片应用技术要求</w:t>
      </w:r>
    </w:p>
    <w:p w14:paraId="6711930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从硬件、软件以及运行维护三个维度，对AI芯片在智能微电网中的具体应用提出了详细的技术指标和功能要求。</w:t>
      </w:r>
    </w:p>
    <w:p w14:paraId="284302C9">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安全技术要求</w:t>
      </w:r>
    </w:p>
    <w:p w14:paraId="2DCEA12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针对智能微电网的跨域特性，规定了数据安全、通信安全、系统与网络安全、第三方接入、AI 芯片及边缘计算、供应链安全等多维度的安全防护要求。</w:t>
      </w:r>
    </w:p>
    <w:p w14:paraId="7B87B79D">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互操作性与检测认证要求</w:t>
      </w:r>
    </w:p>
    <w:p w14:paraId="3A58C1D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对系统的兼容性要求以及检测认证流程做出了规定，旨在确保不同厂商、不同域之间的设备和系统能够顺畅互联。</w:t>
      </w:r>
    </w:p>
    <w:p w14:paraId="633332BD">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测试与验证</w:t>
      </w:r>
    </w:p>
    <w:p w14:paraId="5194D96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规定了测试的总体原则，并详细列出了AI芯片功能测试、性能测试、安全功能测试及系统级联调与验证的具体方法和要求。</w:t>
      </w:r>
    </w:p>
    <w:p w14:paraId="0C8987DD">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运维要求</w:t>
      </w:r>
    </w:p>
    <w:p w14:paraId="3B4FE80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提出了运维技术支撑、AI 芯片与算法模型运维、数据与安全运维管理、以及第三方接入管理的具体要求，并强调了建档与持续改进机制。</w:t>
      </w:r>
    </w:p>
    <w:p w14:paraId="67ECAA1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附录</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xml:space="preserve">  AI芯片性能参数表及典型测试基准配置表</w:t>
      </w:r>
    </w:p>
    <w:p w14:paraId="6E10638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详细规定了在安全实时控制级、经济在线调度级、运维离线分析级三种不同场景下，AI芯片的计算性能、存储性能、能耗指标、环境可靠性、安全要求等具体参数指标，以及针对故障波形识别、负荷预测等任务的推荐基准模型和输入数据规格</w:t>
      </w:r>
      <w:r>
        <w:rPr>
          <w:rFonts w:hint="eastAsia" w:ascii="仿宋_GB2312" w:hAnsi="仿宋_GB2312" w:eastAsia="仿宋_GB2312" w:cs="仿宋_GB2312"/>
          <w:sz w:val="32"/>
          <w:szCs w:val="32"/>
          <w:lang w:eastAsia="zh-CN"/>
        </w:rPr>
        <w:t>。</w:t>
      </w:r>
    </w:p>
    <w:p w14:paraId="30B01E3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附录</w:t>
      </w: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测试方法指导原则</w:t>
      </w:r>
    </w:p>
    <w:p w14:paraId="7D472D2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给出了测试方法指导原则。提供了测试管理、典型场景（如并网/孤岛切换、源网荷储协同控制）及数据处理的测试内容摘要及建议引用标准条款，为实施测试提供参考</w:t>
      </w:r>
      <w:r>
        <w:rPr>
          <w:rFonts w:hint="eastAsia" w:ascii="仿宋_GB2312" w:hAnsi="仿宋_GB2312" w:eastAsia="仿宋_GB2312" w:cs="仿宋_GB2312"/>
          <w:sz w:val="32"/>
          <w:szCs w:val="32"/>
          <w:lang w:eastAsia="zh-CN"/>
        </w:rPr>
        <w:t>。</w:t>
      </w:r>
    </w:p>
    <w:p w14:paraId="2E9CB68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3.试验验证的分析、综述报告，技术经济论证，预期的经济效益、社会效益和生态效益</w:t>
      </w:r>
    </w:p>
    <w:p w14:paraId="67D5AAC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制组选取了智能微电网典型应用场景及多款主流AI芯片产品，依据本标准附录A及附录B的规定开展了多轮试验验证。重点结合“安全实时控制”、“经济在线调度”及“运维离线分析”分级场景，对芯片的计算性能、通信时延及环境可靠性进行了实测。验证结果表明，标准中设定的单次推理时延、算力能效比等关键指标均在当前技术可达范围内，且国产密码算法在边缘侧的运行效率满足实时性要求。相关技术指标既保证了标准的前瞻性，又兼顾了产业现状，验证结论科学有效。</w:t>
      </w:r>
    </w:p>
    <w:p w14:paraId="369F3FC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通过统一AI芯片的硬件接口标准、模型框架及跨域交互协议，有效解决了微电网建设中存在的设备选型难、系统集成适配度低等痛点。标准化的设计大幅降低了异构算力的软硬件适配难度与系统集成复杂度，显著减少了产业链上下游企业的重复研发投入与测试成本。同时，明确的跨域安全防护要求有助于规避网络安全风险，极大降低了因安全事故导致的潜在运维成本与资产损失，具有良好的技术可行性与经济合理性。</w:t>
      </w:r>
    </w:p>
    <w:p w14:paraId="00754371">
      <w:pPr>
        <w:ind w:firstLine="640" w:firstLineChars="200"/>
      </w:pPr>
      <w:r>
        <w:rPr>
          <w:rFonts w:hint="eastAsia" w:ascii="仿宋_GB2312" w:hAnsi="仿宋_GB2312" w:eastAsia="仿宋_GB2312" w:cs="仿宋_GB2312"/>
          <w:sz w:val="32"/>
          <w:szCs w:val="32"/>
        </w:rPr>
        <w:t>经济效益方面，标准的实施将促进AI芯片与微电网产业的深度融合，加速国产芯片的规模化应用，带动芯片模组、边缘设备等产业链协同发展。社会效益方面，标准提升了微电网系统的本质安全水平，增强了关键电力基础设施抵御网络攻击的能力，有效保障了电力供应的连续性与可靠性。生态效益方面，通过规范化的AI算法优化“源网荷储”协同运行策略，可进一步提升分布式可再生能源的利用效率与就地消纳水平，助力能源系统的绿色低碳转型。</w:t>
      </w:r>
    </w:p>
    <w:p w14:paraId="4D12D55F">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4.与国际、国外、国内同类标准技术内容的对比情况，或者与测试的样品、样机的有关数据对比情况</w:t>
      </w:r>
    </w:p>
    <w:p w14:paraId="2932271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编制组在标准起草工作的调研与立项阶段，对我国现行的国家标准（GB）、电力行业标准（DL）、能源行业标准（NB）</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sz w:val="32"/>
          <w:szCs w:val="32"/>
        </w:rPr>
        <w:t>国际电工委员会（IEC）、美国电气与电子工程师协会（IEEE）以及进行了全面、细致的检索与梳理。经查证，目前国内外现有的标准体系大多呈现专业垂直分立的状态，即存在成熟的微电网系统设计与运行标准，也存在通用的集成电路或人工智能芯片标准，以及独立的网络安全防护标准。然而，截至本标准编制之时，尚未发现专门针对“智能微电网场景下AI芯片应用及跨域安全”的综合性专项标准。本标准首次将微电网的工业控制特性、AI芯片的算力技术指标以及跨域交互的内生安全要求进行了有机融合，填补了该细分技术领域的国内空白。</w:t>
      </w:r>
    </w:p>
    <w:p w14:paraId="3396C04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在国际标准层面，IEEE 2030系列标准和IEC 61850标准体系长期以来作为智能电网领域的基石，主要发挥着顶层设计的规范作用。例如，IEEE 2030.7规范了微电网控制器的功能要求，IEC 61850-7-420定义了分布式能源的通信逻辑节点。这些国际标准主要侧重于系统级的互操作性、通信协议的一致性以及宏观架构的逻辑定义，其技术颗粒度主要停留在系统层或设备层，鲜有深入到核心元器件级。国际标准中目前尚未针对承载核心控制算法的AI芯片本身提出硬件级的性能约束，如具体的算力能效比、硬件加密引擎等指标。此外，在跨域安全方面，国际标准多推荐采用通用的 IT 安全协议，而本标准结合我国电力监控系统安全防护的特殊要求，明确提出了支持国产密码算法的硬件实现要求，在自主可控与安全合规性上确立了更符合我国关键基础设施现状的技术路线。</w:t>
      </w:r>
    </w:p>
    <w:p w14:paraId="50CCEF9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聚焦于国内标准现状，现有的相关标准主要集中在微电网并网技术、电力监控安全以及通用芯片测试三个维度，本标准在继承这些基础要求的同时，重点解决了它们在交叉应用领域的空白。</w:t>
      </w:r>
    </w:p>
    <w:p w14:paraId="49B3AA7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首先，在微电网系统及并网技术方面，我国已发布了 GB/T 36547-2018《电化学储能系统接入电网技术规定》、GB/T 33593-2017《分布式电源并网技术要求》以及 GB/T 51341-2018《微电网工程设计标准》。这些现行国标详细规定了微电网与大电网连接时的电压偏差、频率偏差、谐波限制、保护定值等电气特性，以及系统级的运行控制策略，通过这些标准解决了“微电网应该做什么”的功能性问题。然而，随着微电网控制策略从传统 PID阈值控制向基于AI的预测性控制转变，上述标准并未涉及“用什么硬件来做”的设备实现问题。传统标准中对控制器的要求无法涵盖AI芯片特有的算力时延、模型推理精度、量化损失等新指标。本标准在引用并遵循上述标准电气要求的基础上，补充了实现这些高级智能化控制功能所需的底层芯片技术规范，构成了对现有微电网标准体系的重要补充。</w:t>
      </w:r>
    </w:p>
    <w:p w14:paraId="57F242F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其次，在电力系统网络安全及运行控制方面，国内主要依据包括 GB/T 22239-2019《信息安全技术 网络安全等级保护基本要求》以及 DL/T 2041-2019《分布式电源接入电网承载力评估导则》。其中，GB/T 22239提出了通用的分等级保护要求，DL/T 2041则强调了分布式电源的数据采集与通信规范。现有的这些安全标准大多侧重于网络边界防护和系统软件层面的安全策略，例如防火墙配置、软件杀毒、访问控制列表等。与之不同的是，本标准的核心创新在于提出了“芯片级内生安全”和“跨域硬件安全”的要求。针对微电网特有的“源-网-荷-储”跨域协同场景，本标准第6章详细规定了AI芯片必须在硬件层面支持安全启动（Secure Boot）、内存隔离以及国密算法（SM2/SM3/SM4）的硬件加速。这种将安全防线从软件层下沉至芯片硬件层的做法，弥补了通用安全标准在边缘计算跨域场景下针对性不足的问题，有效防范了针对底层硬件的侧信道攻击和固件篡改风险。</w:t>
      </w:r>
    </w:p>
    <w:p w14:paraId="3CD4FA8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最后，在人工智能及芯片通用技术方面，国内虽然已有 GB/T 37048-2018《集成电路 质量控制》和 GB/T 40586-2021《人工智能 深度学习算法评估规范》等标准，但这些标准主要面向消费电子或通用的互联网应用，其环境适应性要求通常较宽泛，且评价体系多关注吞吐量等通用指标。考虑到微电网户外柜、箱式变电站等实际部署环境的严苛性，本标准大幅提升了环境适应性指标，明确要求芯片需满足-40℃+85℃的工业宽温标准。同时，针对电力控制对实时性的极高要求，本标准摒弃了通用AI标准中仅关注“吞吐量（FPS）”的评价方式，转而引入“单次推理时延（Latency）”和“确定性”作为核心考量指标，确保了微电网在毫秒级故障处置中的可靠性。</w:t>
      </w:r>
    </w:p>
    <w:p w14:paraId="059CC99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综上所述，本标准在编制过程中充分借鉴了 GB/T 36547、GB/T 22239 等国家标准的基础要求，但在技术路线上进行了针对性的延伸与创新。目前国内尚无标准同时涵盖“微电网工业特性”、“AI 芯片性能指标”与“跨域硬件安全”这三个核心要素。本标准的制定，不仅未与现有标准发生冲突，反而在微电网智能化转型的关键节点上，建立了连接“上层电力应用标准”与“底层通用芯片标准”之间的技术桥梁，解决了行业无标可依的现状，具有鲜明的技术独特性和行业领先性。</w:t>
      </w:r>
    </w:p>
    <w:p w14:paraId="66907B2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5.以国际、国内标准为基础的起草情况，以及是否合规引用或者采用相关标准，并说明未采用相关标准的原因</w:t>
      </w:r>
    </w:p>
    <w:p w14:paraId="583CBC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本标准主要引用文件：</w:t>
      </w:r>
    </w:p>
    <w:p w14:paraId="00E00E4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2423 电工电子产品环境试验</w:t>
      </w:r>
    </w:p>
    <w:p w14:paraId="41D3806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GB/T 17626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电磁兼容 试验和测量技术</w:t>
      </w:r>
    </w:p>
    <w:p w14:paraId="60A7C0A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19582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基于 Modbus 协议的工业自动化网络规范</w:t>
      </w:r>
    </w:p>
    <w:p w14:paraId="0516C5F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22239</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网络安全等级保护基本要求</w:t>
      </w:r>
    </w:p>
    <w:p w14:paraId="65DE7C3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27930</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非车载传导式充电机与电动汽车之间的数字通信协议</w:t>
      </w:r>
    </w:p>
    <w:p w14:paraId="6217AC6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28448</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网络安全等级保护测评要求</w:t>
      </w:r>
    </w:p>
    <w:p w14:paraId="7A4124F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33592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分布式电源并网运行控制规范</w:t>
      </w:r>
    </w:p>
    <w:p w14:paraId="1F9BE4D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36572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电力监控系统网络安全防护导则</w:t>
      </w:r>
    </w:p>
    <w:p w14:paraId="27F5E8B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36274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微电网能量管理系统技术规范</w:t>
      </w:r>
    </w:p>
    <w:p w14:paraId="344745C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36547</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电化学储能电站接入电网技术规定</w:t>
      </w:r>
    </w:p>
    <w:p w14:paraId="45104D2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36637</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ICT供应链安全风险管理指南</w:t>
      </w:r>
    </w:p>
    <w:p w14:paraId="15E9A53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37044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物联网安全参考模型及通用要求</w:t>
      </w:r>
    </w:p>
    <w:p w14:paraId="70E890E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38953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微电网继电保护技术规定</w:t>
      </w:r>
    </w:p>
    <w:p w14:paraId="011BB4E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40813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工业控制系统测控终端安全要求</w:t>
      </w:r>
    </w:p>
    <w:p w14:paraId="0542F80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41479</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网络数据处理安全要求</w:t>
      </w:r>
    </w:p>
    <w:p w14:paraId="7163465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41780.1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物联网边缘计算 第1部分：通用要求</w:t>
      </w:r>
    </w:p>
    <w:p w14:paraId="56E052D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41864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信息技术 计算机视觉 术语</w:t>
      </w:r>
    </w:p>
    <w:p w14:paraId="02D284F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41867</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信息技术 人工智能 术语</w:t>
      </w:r>
    </w:p>
    <w:p w14:paraId="5332B73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GB/T 42731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微电网技术要求</w:t>
      </w:r>
    </w:p>
    <w:p w14:paraId="4381D9A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46284 人工智能 联邦学习技术规范</w:t>
      </w:r>
    </w:p>
    <w:p w14:paraId="27A40EA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43696</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网络安全技术 零信任参考体系架构</w:t>
      </w:r>
    </w:p>
    <w:p w14:paraId="0617EF4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GB/T 43697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信息安全技术 数据分类分级规则</w:t>
      </w:r>
    </w:p>
    <w:p w14:paraId="6A2618A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43698</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网络安全技术 软件供应链安全要求</w:t>
      </w:r>
    </w:p>
    <w:p w14:paraId="4ACAB65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GB/T 45087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用户侧分布式储能系统并网接口检验规范</w:t>
      </w:r>
    </w:p>
    <w:p w14:paraId="00BA44E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45994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信息技术 大数据 跨域数据可信共享参考架构</w:t>
      </w:r>
    </w:p>
    <w:p w14:paraId="0D273AF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GB/T 46346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人工智能 计算中心 计算能力评估</w:t>
      </w:r>
    </w:p>
    <w:p w14:paraId="69D5C80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GB/T 46662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数据中心IT系统动态能效要求和测量方法</w:t>
      </w:r>
    </w:p>
    <w:p w14:paraId="4EC7496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DL/T 634.5104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远动设备及系统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第 5-104 部分：传输规约</w:t>
      </w:r>
    </w:p>
    <w:p w14:paraId="444BD1E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DL/T 645</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多功能电能表通信协议</w:t>
      </w:r>
    </w:p>
    <w:p w14:paraId="355CFDE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YD/T 3944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人工智能芯片基准测试评估方法</w:t>
      </w:r>
    </w:p>
    <w:p w14:paraId="4FD222C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6.与有关法律、行政法规及相关标准的关系</w:t>
      </w:r>
    </w:p>
    <w:p w14:paraId="6D596C3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本标准与现行有关法律法规和强制性标准相协调一致。</w:t>
      </w:r>
    </w:p>
    <w:p w14:paraId="1A9A370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制定参考和引用了多项国家、行业标准或企业成功经验，同时参考了国内企业、行业标准要求，与国家法规、标准规范、行业标准一致性没有任何的冲突。本标准主要体现在更为专业性、针对性和具备可操作性。</w:t>
      </w:r>
    </w:p>
    <w:p w14:paraId="57437AB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符合《中华人民共和国网络安全法》、《中华人民共和国数据安全法》、《中华人民共和国密码法》、《中华人民共和国电力法》、《关键信息基础设施安全保护条例》以及《生成式人工智能服务管理暂行办法》等现行法律、法规的要求。同时衔接《信息安全技术 网络安全等级保护基本要求》（GB/T 22239）、《微电网工程设计标准》（GB/T 51341）、《电力监控系统网络安全防护导则》（GB/T 36572）《电力行业网络安全等级保护基本要求》（DL/T 2614—2023）、《电力系统调度自动化设计技术规程》（DL/T5003-2017）等国家标准和行业标准。本标准所制定条款对上述国家标准和行业标准在智能微电网AI芯片应用、跨域数据交互及内生安全防护等方面进行了细化，并根据边缘计算场景提出了一些针对性的补充要求，可满足智能微电网AI芯片安全应用与跨域风险管控的专项需求。</w:t>
      </w:r>
    </w:p>
    <w:p w14:paraId="4B8CCCF6">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7.重大分歧意见的处理经过和依据</w:t>
      </w:r>
    </w:p>
    <w:p w14:paraId="611EAAA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739FDAB2">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8.涉及专利的有关说明</w:t>
      </w:r>
    </w:p>
    <w:p w14:paraId="1EC8F92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695DCFE">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9.实施团体标准的要求，以及组织措施、技术措施、过渡期和实施日期的建议等措施建议</w:t>
      </w:r>
    </w:p>
    <w:p w14:paraId="02136EE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计划在标准发布后，利用1个月时间举办智能微电网AI芯片应用与跨域安全团体标准及相关安全管控标准培训班，对协会智能微电网等领域市场主体相关部门的管理人员和技术骨干开展系统培训，同步组织专家前往典型工业园区、用户侧微电网项目地区开展实地辅导，保障标准落地执行。</w:t>
      </w:r>
    </w:p>
    <w:p w14:paraId="3E928D1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（2）向有关单位和人员发放本标准，通过协会官网、行业期刊、专题研讨会等渠道开展全方位宣传解读，提升标准知晓度与认可度。</w:t>
      </w:r>
    </w:p>
    <w:p w14:paraId="3E06553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（3）在标准实施初期，加强标准在实际应用中的指导，以便行业从业者正确把握标准、运用标准，并及时总结经验，推广本标准的使用。</w:t>
      </w:r>
    </w:p>
    <w:p w14:paraId="4E4BDFB4">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10.其他应当说明的事项</w:t>
      </w:r>
      <w:r>
        <w:rPr>
          <w:rFonts w:hint="eastAsia" w:ascii="仿宋_GB2312" w:hAnsi="仿宋_GB2312" w:eastAsia="仿宋_GB2312" w:cs="仿宋_GB2312"/>
          <w:sz w:val="32"/>
          <w:szCs w:val="32"/>
        </w:rPr>
        <w:t>（包括标准名称、主要内容、主编单位、参编单位及主要起草人等发生变更或存在无法克服困难需撤销申请情况，标准征求意见情况，报批阶段应补充专家审查会情况。）</w:t>
      </w:r>
    </w:p>
    <w:p w14:paraId="5ADF76B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1" w:fontKey="{F01FCA62-CDC0-457E-B9F8-7B2675D2C7E6}"/>
  </w:font>
  <w:font w:name="仿宋_GB2312">
    <w:panose1 w:val="02010609030101010101"/>
    <w:charset w:val="86"/>
    <w:family w:val="modern"/>
    <w:pitch w:val="default"/>
    <w:sig w:usb0="00000001" w:usb1="080E0000" w:usb2="00000000" w:usb3="00000000" w:csb0="00040000" w:csb1="00000000"/>
    <w:embedRegular r:id="rId2" w:fontKey="{08719BDC-D396-48A5-ADE2-892F7B050D9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abstractNum w:abstractNumId="1">
    <w:nsid w:val="78A33296"/>
    <w:multiLevelType w:val="singleLevel"/>
    <w:tmpl w:val="78A33296"/>
    <w:lvl w:ilvl="0" w:tentative="0">
      <w:start w:val="1"/>
      <w:numFmt w:val="low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38F71C9"/>
    <w:rsid w:val="04142E23"/>
    <w:rsid w:val="089645E3"/>
    <w:rsid w:val="0F5A3229"/>
    <w:rsid w:val="0FF26B15"/>
    <w:rsid w:val="15075231"/>
    <w:rsid w:val="154A38CF"/>
    <w:rsid w:val="15993A76"/>
    <w:rsid w:val="18B35F28"/>
    <w:rsid w:val="1FCC231E"/>
    <w:rsid w:val="2403362A"/>
    <w:rsid w:val="2A4D0323"/>
    <w:rsid w:val="2ABA0FCB"/>
    <w:rsid w:val="2C0927B9"/>
    <w:rsid w:val="2EE6563F"/>
    <w:rsid w:val="319B4E07"/>
    <w:rsid w:val="33154F2A"/>
    <w:rsid w:val="38595180"/>
    <w:rsid w:val="3DBF3A9D"/>
    <w:rsid w:val="3E965F19"/>
    <w:rsid w:val="3EFF5D00"/>
    <w:rsid w:val="3FA24034"/>
    <w:rsid w:val="4A933177"/>
    <w:rsid w:val="4B4340EE"/>
    <w:rsid w:val="4B4664A2"/>
    <w:rsid w:val="4BC66D8F"/>
    <w:rsid w:val="4E115480"/>
    <w:rsid w:val="4ED25642"/>
    <w:rsid w:val="50A3118B"/>
    <w:rsid w:val="544B4013"/>
    <w:rsid w:val="544B7BAF"/>
    <w:rsid w:val="56D848CE"/>
    <w:rsid w:val="5921524A"/>
    <w:rsid w:val="5AD912A5"/>
    <w:rsid w:val="5C9A5700"/>
    <w:rsid w:val="5E6F4DA2"/>
    <w:rsid w:val="5EE543DC"/>
    <w:rsid w:val="620036D7"/>
    <w:rsid w:val="66F70DFE"/>
    <w:rsid w:val="67E70BAD"/>
    <w:rsid w:val="690F71C7"/>
    <w:rsid w:val="6A113E14"/>
    <w:rsid w:val="6A714E92"/>
    <w:rsid w:val="6AFE4BC5"/>
    <w:rsid w:val="6F6E431D"/>
    <w:rsid w:val="6FBB7E47"/>
    <w:rsid w:val="704115C7"/>
    <w:rsid w:val="78A3770E"/>
    <w:rsid w:val="7BD714B4"/>
    <w:rsid w:val="7CD67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Body Text"/>
    <w:basedOn w:val="1"/>
    <w:link w:val="29"/>
    <w:qFormat/>
    <w:uiPriority w:val="0"/>
    <w:pPr>
      <w:spacing w:after="120" w:afterLines="0" w:afterAutospacing="0"/>
    </w:pPr>
  </w:style>
  <w:style w:type="paragraph" w:styleId="6">
    <w:name w:val="toc 3"/>
    <w:basedOn w:val="1"/>
    <w:next w:val="1"/>
    <w:qFormat/>
    <w:uiPriority w:val="0"/>
    <w:pPr>
      <w:ind w:left="840" w:leftChars="400"/>
    </w:pPr>
  </w:style>
  <w:style w:type="paragraph" w:styleId="7">
    <w:name w:val="footer"/>
    <w:basedOn w:val="1"/>
    <w:link w:val="27"/>
    <w:qFormat/>
    <w:uiPriority w:val="0"/>
    <w:pPr>
      <w:tabs>
        <w:tab w:val="center" w:pos="4153"/>
        <w:tab w:val="right" w:pos="8306"/>
      </w:tabs>
      <w:snapToGrid w:val="0"/>
      <w:jc w:val="left"/>
    </w:pPr>
    <w:rPr>
      <w:sz w:val="18"/>
      <w:szCs w:val="18"/>
    </w:rPr>
  </w:style>
  <w:style w:type="paragraph" w:styleId="8">
    <w:name w:val="header"/>
    <w:basedOn w:val="1"/>
    <w:link w:val="26"/>
    <w:qFormat/>
    <w:uiPriority w:val="0"/>
    <w:pPr>
      <w:tabs>
        <w:tab w:val="center" w:pos="4153"/>
        <w:tab w:val="right" w:pos="8306"/>
      </w:tabs>
      <w:snapToGrid w:val="0"/>
      <w:jc w:val="center"/>
    </w:pPr>
    <w:rPr>
      <w:sz w:val="18"/>
      <w:szCs w:val="18"/>
    </w:rPr>
  </w:style>
  <w:style w:type="paragraph" w:styleId="9">
    <w:name w:val="Title"/>
    <w:basedOn w:val="1"/>
    <w:qFormat/>
    <w:uiPriority w:val="0"/>
    <w:pPr>
      <w:spacing w:before="240" w:after="60"/>
      <w:jc w:val="center"/>
      <w:outlineLvl w:val="0"/>
    </w:pPr>
    <w:rPr>
      <w:rFonts w:ascii="Arial" w:hAnsi="Arial"/>
      <w:b/>
      <w:sz w:val="32"/>
    </w:rPr>
  </w:style>
  <w:style w:type="paragraph" w:customStyle="1" w:styleId="12">
    <w:name w:val="标题1"/>
    <w:basedOn w:val="2"/>
    <w:qFormat/>
    <w:uiPriority w:val="0"/>
    <w:rPr>
      <w:rFonts w:hint="eastAsia" w:ascii="黑体" w:hAnsi="黑体" w:eastAsia="黑体" w:cs="黑体"/>
      <w:kern w:val="2"/>
      <w:sz w:val="32"/>
      <w:szCs w:val="32"/>
    </w:rPr>
  </w:style>
  <w:style w:type="paragraph" w:customStyle="1" w:styleId="13">
    <w:name w:val="2标题"/>
    <w:basedOn w:val="9"/>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4">
    <w:name w:val="3标题"/>
    <w:basedOn w:val="9"/>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5">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6">
    <w:name w:val="正文表格"/>
    <w:basedOn w:val="1"/>
    <w:qFormat/>
    <w:uiPriority w:val="0"/>
    <w:pPr>
      <w:snapToGrid w:val="0"/>
      <w:jc w:val="left"/>
    </w:pPr>
    <w:rPr>
      <w:rFonts w:hint="eastAsia" w:ascii="仿宋" w:hAnsi="仿宋" w:eastAsia="仿宋" w:cs="仿宋"/>
      <w:szCs w:val="21"/>
    </w:rPr>
  </w:style>
  <w:style w:type="paragraph" w:customStyle="1" w:styleId="17">
    <w:name w:val="样式1"/>
    <w:basedOn w:val="1"/>
    <w:next w:val="1"/>
    <w:qFormat/>
    <w:uiPriority w:val="0"/>
    <w:pPr>
      <w:keepNext/>
      <w:keepLines/>
      <w:ind w:firstLine="482"/>
      <w:outlineLvl w:val="2"/>
    </w:pPr>
    <w:rPr>
      <w:rFonts w:eastAsia="仿宋"/>
      <w:b/>
      <w:sz w:val="28"/>
    </w:rPr>
  </w:style>
  <w:style w:type="paragraph" w:customStyle="1" w:styleId="18">
    <w:name w:val="三（三）标题"/>
    <w:basedOn w:val="1"/>
    <w:next w:val="1"/>
    <w:qFormat/>
    <w:uiPriority w:val="0"/>
    <w:pPr>
      <w:keepNext/>
      <w:keepLines/>
      <w:ind w:firstLine="482"/>
      <w:outlineLvl w:val="2"/>
    </w:pPr>
    <w:rPr>
      <w:rFonts w:eastAsia="仿宋"/>
      <w:b/>
      <w:sz w:val="28"/>
    </w:rPr>
  </w:style>
  <w:style w:type="paragraph" w:customStyle="1" w:styleId="19">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0">
    <w:name w:val="表格1"/>
    <w:basedOn w:val="1"/>
    <w:qFormat/>
    <w:uiPriority w:val="0"/>
    <w:pPr>
      <w:keepNext/>
      <w:keepLines/>
      <w:outlineLvl w:val="2"/>
    </w:pPr>
    <w:rPr>
      <w:rFonts w:hint="eastAsia" w:ascii="黑体" w:hAnsi="黑体" w:eastAsia="黑体" w:cs="黑体"/>
      <w:b/>
      <w:bCs/>
      <w:sz w:val="32"/>
      <w:szCs w:val="32"/>
    </w:rPr>
  </w:style>
  <w:style w:type="paragraph" w:customStyle="1" w:styleId="21">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2">
    <w:name w:val="表正文"/>
    <w:basedOn w:val="1"/>
    <w:qFormat/>
    <w:uiPriority w:val="0"/>
    <w:pPr>
      <w:snapToGrid w:val="0"/>
      <w:jc w:val="left"/>
    </w:pPr>
    <w:rPr>
      <w:rFonts w:hint="eastAsia" w:ascii="仿宋" w:hAnsi="仿宋" w:eastAsia="宋体" w:cs="仿宋"/>
      <w:sz w:val="24"/>
      <w:szCs w:val="21"/>
    </w:rPr>
  </w:style>
  <w:style w:type="paragraph" w:customStyle="1" w:styleId="23">
    <w:name w:val="1.1.1"/>
    <w:basedOn w:val="6"/>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4">
    <w:name w:val="标题一"/>
    <w:basedOn w:val="1"/>
    <w:qFormat/>
    <w:uiPriority w:val="0"/>
    <w:pPr>
      <w:jc w:val="left"/>
      <w:outlineLvl w:val="0"/>
    </w:pPr>
    <w:rPr>
      <w:rFonts w:ascii="黑体" w:hAnsi="黑体" w:eastAsia="黑体" w:cs="黑体"/>
      <w:sz w:val="32"/>
      <w:szCs w:val="32"/>
    </w:rPr>
  </w:style>
  <w:style w:type="paragraph" w:styleId="25">
    <w:name w:val="List Paragraph"/>
    <w:basedOn w:val="1"/>
    <w:unhideWhenUsed/>
    <w:qFormat/>
    <w:uiPriority w:val="99"/>
    <w:pPr>
      <w:ind w:firstLine="420" w:firstLineChars="200"/>
    </w:pPr>
  </w:style>
  <w:style w:type="character" w:customStyle="1" w:styleId="26">
    <w:name w:val="页眉 字符"/>
    <w:basedOn w:val="11"/>
    <w:link w:val="8"/>
    <w:qFormat/>
    <w:uiPriority w:val="0"/>
    <w:rPr>
      <w:kern w:val="2"/>
      <w:sz w:val="18"/>
      <w:szCs w:val="18"/>
    </w:rPr>
  </w:style>
  <w:style w:type="character" w:customStyle="1" w:styleId="27">
    <w:name w:val="页脚 字符"/>
    <w:basedOn w:val="11"/>
    <w:link w:val="7"/>
    <w:qFormat/>
    <w:uiPriority w:val="0"/>
    <w:rPr>
      <w:kern w:val="2"/>
      <w:sz w:val="18"/>
      <w:szCs w:val="18"/>
    </w:rPr>
  </w:style>
  <w:style w:type="paragraph" w:customStyle="1" w:styleId="28">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9">
    <w:name w:val="正文文本 字符"/>
    <w:basedOn w:val="11"/>
    <w:link w:val="5"/>
    <w:qFormat/>
    <w:uiPriority w:val="0"/>
    <w:rPr>
      <w:rFonts w:hint="eastAsia" w:ascii="宋体" w:hAnsi="宋体" w:eastAsia="宋体" w:cs="宋体"/>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537</Words>
  <Characters>576</Characters>
  <Lines>110</Lines>
  <Paragraphs>78</Paragraphs>
  <TotalTime>89</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汪广涛</cp:lastModifiedBy>
  <dcterms:modified xsi:type="dcterms:W3CDTF">2026-02-12T02:32:17Z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0004FD22261C4EF98EEA10DC900A8385_13</vt:lpwstr>
  </property>
  <property fmtid="{D5CDD505-2E9C-101B-9397-08002B2CF9AE}" pid="4" name="KSOTemplateDocerSaveRecord">
    <vt:lpwstr>eyJoZGlkIjoiZGQ5MTY0ODc3MTVlZGQ0NGE2NzhkMWRlNmM0N2Q5MmMiLCJ1c2VySWQiOiIxMjEwMTI1MDE1In0=</vt:lpwstr>
  </property>
</Properties>
</file>