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0709E">
      <w:pPr>
        <w:framePr w:hSpace="181" w:vSpace="181" w:wrap="around" w:vAnchor="page" w:hAnchor="page" w:x="1145" w:y="913" w:anchorLock="1"/>
        <w:jc w:val="left"/>
        <w:textAlignment w:val="cente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 xml:space="preserve">1    </w:t>
      </w:r>
    </w:p>
    <w:p w14:paraId="2EC2C0DD">
      <w:pPr>
        <w:framePr w:hSpace="181" w:vSpace="181" w:wrap="around" w:vAnchor="page" w:hAnchor="page" w:x="1145" w:y="913" w:anchorLock="1"/>
        <w:jc w:val="left"/>
        <w:textAlignment w:val="center"/>
        <w:rPr>
          <w:rFonts w:ascii="黑体" w:hAnsi="黑体" w:eastAsia="黑体" w:cs="黑体"/>
          <w:color w:val="000000" w:themeColor="text1"/>
          <w:kern w:val="0"/>
          <w:szCs w:val="21"/>
          <w14:textFill>
            <w14:solidFill>
              <w14:schemeClr w14:val="tx1"/>
            </w14:solidFill>
          </w14:textFill>
        </w:rPr>
      </w:pPr>
      <w:r>
        <w:rPr>
          <w:rFonts w:ascii="Times New Roman" w:hAnsi="Times New Roman" w:eastAsia="黑体"/>
          <w:color w:val="000000" w:themeColor="text1"/>
          <w:kern w:val="0"/>
          <w:szCs w:val="21"/>
          <w14:textFill>
            <w14:solidFill>
              <w14:schemeClr w14:val="tx1"/>
            </w14:solidFill>
          </w14:textFill>
        </w:rPr>
        <w:t xml:space="preserve">ICS </w:t>
      </w:r>
      <w:r>
        <w:rPr>
          <w:rFonts w:ascii="黑体" w:hAnsi="黑体" w:eastAsia="黑体" w:cs="黑体"/>
          <w:color w:val="000000" w:themeColor="text1"/>
          <w:kern w:val="0"/>
          <w:szCs w:val="21"/>
          <w14:textFill>
            <w14:solidFill>
              <w14:schemeClr w14:val="tx1"/>
            </w14:solidFill>
          </w14:textFill>
        </w:rPr>
        <w:t>xx.xxx</w:t>
      </w:r>
    </w:p>
    <w:p w14:paraId="006DA95E">
      <w:pPr>
        <w:framePr w:hSpace="181" w:vSpace="181" w:wrap="around" w:vAnchor="page" w:hAnchor="page" w:x="1145" w:y="913" w:anchorLock="1"/>
        <w:tabs>
          <w:tab w:val="left" w:pos="8921"/>
        </w:tabs>
        <w:jc w:val="left"/>
        <w:textAlignment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CCS</w:t>
      </w:r>
    </w:p>
    <w:p w14:paraId="0A072EC7">
      <w:pPr>
        <w:framePr w:w="5433" w:h="1389" w:hRule="exact" w:hSpace="181" w:vSpace="181" w:wrap="around" w:vAnchor="page" w:hAnchor="page" w:x="5278" w:y="1173" w:anchorLock="1"/>
        <w:shd w:val="solid" w:color="FFFFFF" w:fill="FFFFFF"/>
        <w:spacing w:line="0" w:lineRule="atLeast"/>
        <w:jc w:val="right"/>
        <w:rPr>
          <w:rFonts w:ascii="Times New Roman" w:hAnsi="Times New Roman" w:eastAsia="微软雅黑"/>
          <w:color w:val="000000" w:themeColor="text1"/>
          <w:w w:val="170"/>
          <w:sz w:val="72"/>
          <w:szCs w:val="72"/>
          <w14:textFill>
            <w14:solidFill>
              <w14:schemeClr w14:val="tx1"/>
            </w14:solidFill>
          </w14:textFill>
        </w:rPr>
      </w:pPr>
      <w:r>
        <w:rPr>
          <w:rFonts w:ascii="Times New Roman" w:hAnsi="Times New Roman" w:eastAsia="微软雅黑"/>
          <w:color w:val="000000" w:themeColor="text1"/>
          <w:w w:val="170"/>
          <w:sz w:val="72"/>
          <w:szCs w:val="72"/>
          <w14:textFill>
            <w14:solidFill>
              <w14:schemeClr w14:val="tx1"/>
            </w14:solidFill>
          </w14:textFill>
        </w:rPr>
        <w:t>T/CE</w:t>
      </w:r>
      <w:r>
        <w:rPr>
          <w:rFonts w:hint="eastAsia" w:ascii="Times New Roman" w:hAnsi="Times New Roman" w:eastAsia="微软雅黑"/>
          <w:color w:val="000000" w:themeColor="text1"/>
          <w:w w:val="170"/>
          <w:sz w:val="72"/>
          <w:szCs w:val="72"/>
          <w14:textFill>
            <w14:solidFill>
              <w14:schemeClr w14:val="tx1"/>
            </w14:solidFill>
          </w14:textFill>
        </w:rPr>
        <w:t>PCA</w:t>
      </w:r>
    </w:p>
    <w:p w14:paraId="509A418A">
      <w:pPr>
        <w:framePr w:w="8505" w:h="567" w:hRule="exact" w:hSpace="181" w:vSpace="181" w:wrap="around" w:vAnchor="page" w:hAnchor="page" w:x="1829" w:y="2212" w:anchorLock="1"/>
        <w:jc w:val="distribute"/>
        <w:rPr>
          <w:rFonts w:ascii="Times New Roman" w:hAnsi="Times New Roman"/>
          <w:color w:val="000000" w:themeColor="text1"/>
          <w:spacing w:val="-40"/>
          <w:sz w:val="48"/>
          <w:szCs w:val="52"/>
          <w14:textFill>
            <w14:solidFill>
              <w14:schemeClr w14:val="tx1"/>
            </w14:solidFill>
          </w14:textFill>
        </w:rPr>
      </w:pPr>
      <w:r>
        <w:rPr>
          <w:rFonts w:hint="eastAsia" w:ascii="Times New Roman" w:hAnsi="Times New Roman"/>
          <w:color w:val="000000" w:themeColor="text1"/>
          <w:spacing w:val="-40"/>
          <w:sz w:val="48"/>
          <w:szCs w:val="52"/>
          <w14:textFill>
            <w14:solidFill>
              <w14:schemeClr w14:val="tx1"/>
            </w14:solidFill>
          </w14:textFill>
        </w:rPr>
        <w:t>中国电力建设企业协会团体标准</w:t>
      </w:r>
    </w:p>
    <w:p w14:paraId="48D127C8">
      <w:pPr>
        <w:framePr w:w="9140" w:h="1242" w:hRule="exact" w:hSpace="284" w:wrap="around" w:vAnchor="page" w:hAnchor="page" w:x="1597" w:y="2881" w:anchorLock="1"/>
        <w:spacing w:before="357" w:line="280" w:lineRule="exact"/>
        <w:jc w:val="right"/>
        <w:rPr>
          <w:rFonts w:ascii="Times New Roman" w:hAnsi="Times New Roman" w:eastAsia="黑体"/>
          <w:color w:val="000000" w:themeColor="text1"/>
          <w:sz w:val="28"/>
          <w:szCs w:val="28"/>
          <w:lang w:val="fr-FR"/>
          <w14:textFill>
            <w14:solidFill>
              <w14:schemeClr w14:val="tx1"/>
            </w14:solidFill>
          </w14:textFill>
        </w:rPr>
      </w:pPr>
      <w:bookmarkStart w:id="0" w:name="_Hlk48982523"/>
      <w:r>
        <w:rPr>
          <w:rFonts w:ascii="Times New Roman" w:hAnsi="Times New Roman" w:eastAsia="黑体"/>
          <w:color w:val="000000" w:themeColor="text1"/>
          <w:sz w:val="28"/>
          <w:szCs w:val="28"/>
          <w:lang w:val="fr-FR"/>
          <w14:textFill>
            <w14:solidFill>
              <w14:schemeClr w14:val="tx1"/>
            </w14:solidFill>
          </w14:textFill>
        </w:rPr>
        <w:t>T/CE</w:t>
      </w:r>
      <w:r>
        <w:rPr>
          <w:rFonts w:hint="eastAsia" w:ascii="Times New Roman" w:hAnsi="Times New Roman" w:eastAsia="黑体"/>
          <w:color w:val="000000" w:themeColor="text1"/>
          <w:sz w:val="28"/>
          <w:szCs w:val="28"/>
          <w:lang w:val="fr-FR"/>
          <w14:textFill>
            <w14:solidFill>
              <w14:schemeClr w14:val="tx1"/>
            </w14:solidFill>
          </w14:textFill>
        </w:rPr>
        <w:t>PCA</w:t>
      </w:r>
      <w:r>
        <w:rPr>
          <w:rFonts w:ascii="Times New Roman" w:hAnsi="Times New Roman" w:eastAsia="黑体"/>
          <w:color w:val="000000" w:themeColor="text1"/>
          <w:sz w:val="28"/>
          <w:szCs w:val="28"/>
          <w:lang w:val="fr-FR"/>
          <w14:textFill>
            <w14:solidFill>
              <w14:schemeClr w14:val="tx1"/>
            </w14:solidFill>
          </w14:textFill>
        </w:rPr>
        <w:t xml:space="preserve"> </w:t>
      </w:r>
      <w:r>
        <w:rPr>
          <w:rFonts w:hint="eastAsia" w:ascii="Times New Roman" w:hAnsi="Times New Roman" w:eastAsia="黑体"/>
          <w:color w:val="000000" w:themeColor="text1"/>
          <w:sz w:val="28"/>
          <w:szCs w:val="28"/>
          <w:lang w:val="fr-FR"/>
          <w14:textFill>
            <w14:solidFill>
              <w14:schemeClr w14:val="tx1"/>
            </w14:solidFill>
          </w14:textFill>
        </w:rPr>
        <w:t>XX.XX</w:t>
      </w:r>
      <w:r>
        <w:rPr>
          <w:rFonts w:ascii="Times New Roman" w:hAnsi="Times New Roman" w:eastAsia="黑体"/>
          <w:color w:val="000000" w:themeColor="text1"/>
          <w:sz w:val="28"/>
          <w:szCs w:val="28"/>
          <w:lang w:val="fr-FR"/>
          <w14:textFill>
            <w14:solidFill>
              <w14:schemeClr w14:val="tx1"/>
            </w14:solidFill>
          </w14:textFill>
        </w:rPr>
        <w:t>—20</w:t>
      </w:r>
      <w:r>
        <w:rPr>
          <w:rFonts w:hint="eastAsia" w:ascii="Times New Roman" w:hAnsi="Times New Roman" w:eastAsia="黑体"/>
          <w:color w:val="000000" w:themeColor="text1"/>
          <w:sz w:val="28"/>
          <w:szCs w:val="28"/>
          <w:lang w:val="fr-FR"/>
          <w14:textFill>
            <w14:solidFill>
              <w14:schemeClr w14:val="tx1"/>
            </w14:solidFill>
          </w14:textFill>
        </w:rPr>
        <w:t>25</w:t>
      </w:r>
    </w:p>
    <w:bookmarkEnd w:id="0"/>
    <w:tbl>
      <w:tblPr>
        <w:tblStyle w:val="40"/>
        <w:tblW w:w="935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46F5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AF00152">
            <w:pPr>
              <w:framePr w:w="9140" w:h="1242" w:hRule="exact" w:hSpace="284" w:wrap="around" w:vAnchor="page" w:hAnchor="page" w:x="1597" w:y="2881" w:anchorLock="1"/>
              <w:spacing w:before="57" w:line="280" w:lineRule="exact"/>
              <w:jc w:val="right"/>
              <w:rPr>
                <w:rFonts w:hAnsi="Times New Roman"/>
                <w:color w:val="000000" w:themeColor="text1"/>
                <w:szCs w:val="21"/>
                <w:lang w:val="fr-FR"/>
                <w14:textFill>
                  <w14:solidFill>
                    <w14:schemeClr w14:val="tx1"/>
                  </w14:solidFill>
                </w14:textFill>
              </w:rPr>
            </w:pPr>
            <w:bookmarkStart w:id="1" w:name="DT"/>
            <w:r>
              <w:rPr>
                <w:rFonts w:hAnsi="Times New Roman"/>
                <w:color w:val="000000" w:themeColor="text1"/>
                <w:szCs w:val="21"/>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14:paraId="71A72D13">
                                  <w:pPr>
                                    <w:jc w:val="center"/>
                                    <w:rPr>
                                      <w:rFonts w:ascii="Calibri" w:hAnsi="Calibri" w:cs="黑体"/>
                                      <w:szCs w:val="22"/>
                                    </w:rPr>
                                  </w:pPr>
                                </w:p>
                              </w:txbxContent>
                            </wps:txbx>
                            <wps:bodyPr upright="1"/>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HmDyy9YAAAAIAQAA&#10;DwAAAAAAAAABACAAAAAiAAAAZHJzL2Rvd25yZXYueG1sUEsBAhQAFAAAAAgAh07iQKg6o2OpAQAA&#10;cgMAAA4AAAAAAAAAAQAgAAAAJQEAAGRycy9lMm9Eb2MueG1sUEsFBgAAAAAGAAYAWQEAAEAFAAAA&#10;AA==&#10;">
                      <v:fill on="t" focussize="0,0"/>
                      <v:stroke on="f"/>
                      <v:imagedata o:title=""/>
                      <o:lock v:ext="edit" aspectratio="f"/>
                      <v:textbox>
                        <w:txbxContent>
                          <w:p w14:paraId="71A72D13">
                            <w:pPr>
                              <w:jc w:val="center"/>
                              <w:rPr>
                                <w:rFonts w:ascii="Calibri" w:hAnsi="Calibri" w:cs="黑体"/>
                                <w:szCs w:val="22"/>
                              </w:rPr>
                            </w:pPr>
                          </w:p>
                        </w:txbxContent>
                      </v:textbox>
                    </v:rect>
                  </w:pict>
                </mc:Fallback>
              </mc:AlternateContent>
            </w:r>
            <w:bookmarkEnd w:id="1"/>
          </w:p>
        </w:tc>
      </w:tr>
    </w:tbl>
    <w:p w14:paraId="3F317103">
      <w:pPr>
        <w:framePr w:w="9140" w:h="1242" w:hRule="exact" w:hSpace="284" w:wrap="around" w:vAnchor="page" w:hAnchor="page" w:x="1597" w:y="2881" w:anchorLock="1"/>
        <w:spacing w:before="357" w:line="280" w:lineRule="exact"/>
        <w:jc w:val="right"/>
        <w:rPr>
          <w:rFonts w:ascii="黑体" w:hAnsi="黑体" w:eastAsia="黑体"/>
          <w:color w:val="000000" w:themeColor="text1"/>
          <w:sz w:val="28"/>
          <w:szCs w:val="28"/>
          <w:lang w:val="fr-FR"/>
          <w14:textFill>
            <w14:solidFill>
              <w14:schemeClr w14:val="tx1"/>
            </w14:solidFill>
          </w14:textFill>
        </w:rPr>
      </w:pPr>
    </w:p>
    <w:p w14:paraId="66C9616B">
      <w:pPr>
        <w:framePr w:w="9140" w:h="1242" w:hRule="exact" w:hSpace="284" w:wrap="around" w:vAnchor="page" w:hAnchor="page" w:x="1597" w:y="2881" w:anchorLock="1"/>
        <w:spacing w:before="357" w:line="280" w:lineRule="exact"/>
        <w:jc w:val="right"/>
        <w:rPr>
          <w:rFonts w:ascii="黑体" w:hAnsi="黑体" w:eastAsia="黑体"/>
          <w:color w:val="000000" w:themeColor="text1"/>
          <w:sz w:val="28"/>
          <w:szCs w:val="28"/>
          <w:lang w:val="fr-FR"/>
          <w14:textFill>
            <w14:solidFill>
              <w14:schemeClr w14:val="tx1"/>
            </w14:solidFill>
          </w14:textFill>
        </w:rPr>
      </w:pPr>
    </w:p>
    <w:p w14:paraId="56AB4433">
      <w:pPr>
        <w:framePr w:w="9639" w:h="6917" w:hRule="exact" w:wrap="around" w:vAnchor="page" w:hAnchor="page" w:x="1390" w:y="5384" w:anchorLock="1"/>
        <w:spacing w:before="370" w:after="156" w:afterLines="50" w:line="360" w:lineRule="auto"/>
        <w:jc w:val="center"/>
        <w:textAlignment w:val="center"/>
        <w:rPr>
          <w:rFonts w:ascii="黑体" w:hAnsi="Times New Roman" w:eastAsia="黑体"/>
          <w:color w:val="000000" w:themeColor="text1"/>
          <w:sz w:val="52"/>
          <w:szCs w:val="52"/>
          <w14:textFill>
            <w14:solidFill>
              <w14:schemeClr w14:val="tx1"/>
            </w14:solidFill>
          </w14:textFill>
        </w:rPr>
      </w:pPr>
      <w:bookmarkStart w:id="2" w:name="_Hlk48671518"/>
      <w:r>
        <w:rPr>
          <w:rFonts w:hint="eastAsia" w:ascii="黑体" w:hAnsi="Times New Roman" w:eastAsia="黑体"/>
          <w:color w:val="000000" w:themeColor="text1"/>
          <w:sz w:val="52"/>
          <w:szCs w:val="52"/>
          <w14:textFill>
            <w14:solidFill>
              <w14:schemeClr w14:val="tx1"/>
            </w14:solidFill>
          </w14:textFill>
        </w:rPr>
        <w:t>智能微电网</w:t>
      </w:r>
      <w:r>
        <w:rPr>
          <w:rFonts w:ascii="黑体" w:hAnsi="Times New Roman" w:eastAsia="黑体"/>
          <w:color w:val="000000" w:themeColor="text1"/>
          <w:sz w:val="52"/>
          <w:szCs w:val="52"/>
          <w14:textFill>
            <w14:solidFill>
              <w14:schemeClr w14:val="tx1"/>
            </w14:solidFill>
          </w14:textFill>
        </w:rPr>
        <w:t>AI芯片应用与跨域安全技术规范</w:t>
      </w:r>
    </w:p>
    <w:p w14:paraId="03643BD0">
      <w:pPr>
        <w:framePr w:w="9639" w:h="6917" w:hRule="exact" w:wrap="around" w:vAnchor="page" w:hAnchor="page" w:x="1390" w:y="5384" w:anchorLock="1"/>
        <w:spacing w:before="370" w:after="156" w:afterLines="50" w:line="360" w:lineRule="auto"/>
        <w:jc w:val="center"/>
        <w:textAlignment w:val="center"/>
        <w:rPr>
          <w:rFonts w:ascii="Times New Roman" w:hAnsi="Times New Roman" w:eastAsia="黑体"/>
          <w:color w:val="000000" w:themeColor="text1"/>
          <w:sz w:val="28"/>
          <w:szCs w:val="28"/>
          <w14:textFill>
            <w14:solidFill>
              <w14:schemeClr w14:val="tx1"/>
            </w14:solidFill>
          </w14:textFill>
        </w:rPr>
      </w:pPr>
      <w:r>
        <w:rPr>
          <w:rFonts w:ascii="Times New Roman" w:hAnsi="Times New Roman" w:eastAsia="黑体"/>
          <w:color w:val="000000" w:themeColor="text1"/>
          <w:sz w:val="28"/>
          <w:szCs w:val="28"/>
          <w14:textFill>
            <w14:solidFill>
              <w14:schemeClr w14:val="tx1"/>
            </w14:solidFill>
          </w14:textFill>
        </w:rPr>
        <w:t>Application of AI Chips in Smart Microgrids and Cross-Domain Security Technical Specifications</w:t>
      </w:r>
    </w:p>
    <w:p w14:paraId="37574187">
      <w:pPr>
        <w:pStyle w:val="2"/>
        <w:framePr w:w="9639" w:h="6917" w:hRule="exact" w:wrap="around" w:vAnchor="page" w:hAnchor="page" w:x="1390" w:y="5384" w:anchorLock="1"/>
        <w:jc w:val="center"/>
      </w:pPr>
    </w:p>
    <w:bookmarkEnd w:id="2"/>
    <w:p w14:paraId="29799CE7">
      <w:pPr>
        <w:framePr w:w="9639" w:h="6917" w:hRule="exact" w:wrap="around" w:vAnchor="page" w:hAnchor="page" w:x="1390" w:y="5384" w:anchorLock="1"/>
        <w:spacing w:before="440" w:line="400" w:lineRule="exact"/>
        <w:jc w:val="center"/>
        <w:textAlignment w:val="center"/>
        <w:rPr>
          <w:rFonts w:hAnsi="Times New Roman"/>
          <w:color w:val="000000" w:themeColor="text1"/>
          <w:sz w:val="28"/>
          <w:szCs w:val="28"/>
          <w14:textFill>
            <w14:solidFill>
              <w14:schemeClr w14:val="tx1"/>
            </w14:solidFill>
          </w14:textFill>
        </w:rPr>
      </w:pPr>
    </w:p>
    <w:tbl>
      <w:tblPr>
        <w:tblStyle w:val="40"/>
        <w:tblW w:w="985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434F3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98520FC">
            <w:pPr>
              <w:framePr w:w="9639" w:h="6917" w:hRule="exact" w:wrap="around" w:vAnchor="page" w:hAnchor="page" w:x="1390" w:y="5384" w:anchorLock="1"/>
              <w:spacing w:before="370"/>
              <w:jc w:val="center"/>
              <w:textAlignment w:val="center"/>
              <w:rPr>
                <w:rFonts w:ascii="Times New Roman" w:hAnsi="Times New Roman" w:eastAsia="黑体"/>
                <w:color w:val="000000" w:themeColor="text1"/>
                <w:sz w:val="28"/>
                <w:szCs w:val="28"/>
                <w14:textFill>
                  <w14:solidFill>
                    <w14:schemeClr w14:val="tx1"/>
                  </w14:solidFill>
                </w14:textFill>
              </w:rPr>
            </w:pPr>
            <w:r>
              <w:rPr>
                <w:rFonts w:hint="eastAsia" w:ascii="Times New Roman" w:hAnsi="Calibri" w:eastAsia="黑体"/>
                <w:color w:val="000000" w:themeColor="text1"/>
                <w:sz w:val="28"/>
                <w:szCs w:val="28"/>
                <w14:textFill>
                  <w14:solidFill>
                    <w14:schemeClr w14:val="tx1"/>
                  </w14:solidFill>
                </w14:textFill>
              </w:rPr>
              <w:t>（征求意见稿）</w:t>
            </w:r>
            <w:r>
              <w:rPr>
                <w:rFonts w:ascii="Times New Roman" w:hAnsi="Calibri" w:eastAsia="黑体"/>
                <w:color w:val="000000" w:themeColor="text1"/>
                <w:sz w:val="28"/>
                <w:szCs w:val="28"/>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txbx>
                              <w:txbxContent>
                                <w:p w14:paraId="0683DBF9">
                                  <w:pPr>
                                    <w:jc w:val="center"/>
                                    <w:rPr>
                                      <w:rFonts w:ascii="Calibri" w:hAnsi="Calibri" w:cs="黑体"/>
                                      <w:szCs w:val="22"/>
                                    </w:rPr>
                                  </w:pPr>
                                </w:p>
                              </w:txbxContent>
                            </wps:txbx>
                            <wps:bodyPr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Fia6S1QAAAAoBAAAP&#10;AAAAAAAAAAEAIAAAACIAAABkcnMvZG93bnJldi54bWxQSwECFAAUAAAACACHTuJAlAbNWakBAABy&#10;AwAADgAAAAAAAAABACAAAAAkAQAAZHJzL2Uyb0RvYy54bWxQSwUGAAAAAAYABgBZAQAAPwUAAAAA&#10;">
                      <v:fill on="t" focussize="0,0"/>
                      <v:stroke on="f"/>
                      <v:imagedata o:title=""/>
                      <o:lock v:ext="edit" aspectratio="f"/>
                      <v:textbox>
                        <w:txbxContent>
                          <w:p w14:paraId="0683DBF9">
                            <w:pPr>
                              <w:jc w:val="center"/>
                              <w:rPr>
                                <w:rFonts w:ascii="Calibri" w:hAnsi="Calibri" w:cs="黑体"/>
                                <w:szCs w:val="22"/>
                              </w:rPr>
                            </w:pPr>
                          </w:p>
                        </w:txbxContent>
                      </v:textbox>
                      <w10:anchorlock/>
                    </v:rect>
                  </w:pict>
                </mc:Fallback>
              </mc:AlternateContent>
            </w:r>
            <w:r>
              <w:rPr>
                <w:rFonts w:ascii="Times New Roman" w:hAnsi="Calibri" w:eastAsia="黑体"/>
                <w:color w:val="000000" w:themeColor="text1"/>
                <w:sz w:val="28"/>
                <w:szCs w:val="28"/>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1"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txbx>
                              <w:txbxContent>
                                <w:p w14:paraId="4679302C">
                                  <w:pPr>
                                    <w:jc w:val="center"/>
                                    <w:rPr>
                                      <w:rFonts w:ascii="Calibri" w:hAnsi="Calibri" w:cs="黑体"/>
                                      <w:szCs w:val="22"/>
                                    </w:rPr>
                                  </w:pPr>
                                </w:p>
                              </w:txbxContent>
                            </wps:txbx>
                            <wps:bodyPr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D4Yvl1gAAAAkBAAAP&#10;AAAAAAAAAAEAIAAAACIAAABkcnMvZG93bnJldi54bWxQSwECFAAUAAAACACHTuJAG2BpJ6gBAABy&#10;AwAADgAAAAAAAAABACAAAAAlAQAAZHJzL2Uyb0RvYy54bWxQSwUGAAAAAAYABgBZAQAAPwUAAAAA&#10;">
                      <v:fill on="t" focussize="0,0"/>
                      <v:stroke on="f"/>
                      <v:imagedata o:title=""/>
                      <o:lock v:ext="edit" aspectratio="f"/>
                      <v:textbox>
                        <w:txbxContent>
                          <w:p w14:paraId="4679302C">
                            <w:pPr>
                              <w:jc w:val="center"/>
                              <w:rPr>
                                <w:rFonts w:ascii="Calibri" w:hAnsi="Calibri" w:cs="黑体"/>
                                <w:szCs w:val="22"/>
                              </w:rPr>
                            </w:pPr>
                          </w:p>
                        </w:txbxContent>
                      </v:textbox>
                    </v:rect>
                  </w:pict>
                </mc:Fallback>
              </mc:AlternateContent>
            </w:r>
          </w:p>
        </w:tc>
      </w:tr>
      <w:tr w14:paraId="1094E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2548C3D">
            <w:pPr>
              <w:framePr w:w="9639" w:h="6917" w:hRule="exact" w:wrap="around" w:vAnchor="page" w:hAnchor="page" w:x="1390" w:y="5384" w:anchorLock="1"/>
              <w:spacing w:before="180" w:after="160" w:line="180" w:lineRule="exact"/>
              <w:jc w:val="center"/>
              <w:textAlignment w:val="center"/>
              <w:rPr>
                <w:rFonts w:hAnsi="Times New Roman"/>
                <w:color w:val="000000" w:themeColor="text1"/>
                <w:szCs w:val="28"/>
                <w14:textFill>
                  <w14:solidFill>
                    <w14:schemeClr w14:val="tx1"/>
                  </w14:solidFill>
                </w14:textFill>
              </w:rPr>
            </w:pPr>
          </w:p>
        </w:tc>
      </w:tr>
    </w:tbl>
    <w:p w14:paraId="3B6A6D6E">
      <w:pPr>
        <w:framePr w:w="3997" w:h="471" w:hRule="exact" w:vSpace="181" w:wrap="around" w:vAnchor="page" w:hAnchor="page" w:x="1726" w:y="14041" w:anchorLock="1"/>
        <w:rPr>
          <w:rFonts w:ascii="Times New Roman" w:hAnsi="Times New Roman" w:eastAsia="黑体"/>
          <w:color w:val="000000" w:themeColor="text1"/>
          <w:sz w:val="28"/>
          <w14:textFill>
            <w14:solidFill>
              <w14:schemeClr w14:val="tx1"/>
            </w14:solidFill>
          </w14:textFill>
        </w:rPr>
      </w:pPr>
      <w:r>
        <w:rPr>
          <w:rFonts w:ascii="黑体" w:hAnsi="Times New Roman" w:eastAsia="黑体"/>
          <w:color w:val="000000" w:themeColor="text1"/>
          <w:sz w:val="28"/>
          <w14:textFill>
            <w14:solidFill>
              <w14:schemeClr w14:val="tx1"/>
            </w14:solidFill>
          </w14:textFill>
        </w:rPr>
        <w:t>202</w:t>
      </w:r>
      <w:r>
        <w:rPr>
          <w:rFonts w:hint="eastAsia" w:ascii="黑体" w:hAnsi="Times New Roman" w:eastAsia="黑体"/>
          <w:color w:val="000000" w:themeColor="text1"/>
          <w:sz w:val="28"/>
          <w14:textFill>
            <w14:solidFill>
              <w14:schemeClr w14:val="tx1"/>
            </w14:solidFill>
          </w14:textFill>
        </w:rPr>
        <w:t>5</w:t>
      </w:r>
      <w:r>
        <w:rPr>
          <w:rFonts w:ascii="Times New Roman" w:hAnsi="Times New Roman" w:eastAsia="黑体"/>
          <w:color w:val="000000" w:themeColor="text1"/>
          <w:sz w:val="28"/>
          <w14:textFill>
            <w14:solidFill>
              <w14:schemeClr w14:val="tx1"/>
            </w14:solidFill>
          </w14:textFill>
        </w:rPr>
        <w:t xml:space="preserve"> </w:t>
      </w:r>
      <w:r>
        <w:rPr>
          <w:rFonts w:ascii="黑体" w:hAnsi="Times New Roman" w:eastAsia="黑体"/>
          <w:color w:val="000000" w:themeColor="text1"/>
          <w:sz w:val="28"/>
          <w14:textFill>
            <w14:solidFill>
              <w14:schemeClr w14:val="tx1"/>
            </w14:solidFill>
          </w14:textFill>
        </w:rPr>
        <w:t>-</w:t>
      </w:r>
      <w:r>
        <w:rPr>
          <w:rFonts w:ascii="Times New Roman" w:hAnsi="Times New Roman" w:eastAsia="黑体"/>
          <w:color w:val="000000" w:themeColor="text1"/>
          <w:sz w:val="28"/>
          <w14:textFill>
            <w14:solidFill>
              <w14:schemeClr w14:val="tx1"/>
            </w14:solidFill>
          </w14:textFill>
        </w:rPr>
        <w:t xml:space="preserve"> </w:t>
      </w:r>
      <w:r>
        <w:rPr>
          <w:rFonts w:ascii="黑体" w:hAnsi="Times New Roman" w:eastAsia="黑体"/>
          <w:color w:val="000000" w:themeColor="text1"/>
          <w:sz w:val="28"/>
          <w14:textFill>
            <w14:solidFill>
              <w14:schemeClr w14:val="tx1"/>
            </w14:solidFill>
          </w14:textFill>
        </w:rPr>
        <w:fldChar w:fldCharType="begin">
          <w:ffData>
            <w:name w:val="FM"/>
            <w:enabled/>
            <w:calcOnExit w:val="0"/>
            <w:textInput>
              <w:default w:val="XX"/>
              <w:maxLength w:val="2"/>
            </w:textInput>
          </w:ffData>
        </w:fldChar>
      </w:r>
      <w:r>
        <w:rPr>
          <w:rFonts w:ascii="黑体" w:hAnsi="Times New Roman" w:eastAsia="黑体"/>
          <w:color w:val="000000" w:themeColor="text1"/>
          <w:sz w:val="28"/>
          <w14:textFill>
            <w14:solidFill>
              <w14:schemeClr w14:val="tx1"/>
            </w14:solidFill>
          </w14:textFill>
        </w:rPr>
        <w:instrText xml:space="preserve"> FORMTEXT </w:instrText>
      </w:r>
      <w:r>
        <w:rPr>
          <w:rFonts w:ascii="黑体" w:hAnsi="Times New Roman" w:eastAsia="黑体"/>
          <w:color w:val="000000" w:themeColor="text1"/>
          <w:sz w:val="28"/>
          <w14:textFill>
            <w14:solidFill>
              <w14:schemeClr w14:val="tx1"/>
            </w14:solidFill>
          </w14:textFill>
        </w:rPr>
        <w:fldChar w:fldCharType="separate"/>
      </w:r>
      <w:r>
        <w:rPr>
          <w:rFonts w:ascii="黑体" w:hAnsi="Times New Roman" w:eastAsia="黑体"/>
          <w:color w:val="000000" w:themeColor="text1"/>
          <w:sz w:val="28"/>
          <w14:textFill>
            <w14:solidFill>
              <w14:schemeClr w14:val="tx1"/>
            </w14:solidFill>
          </w14:textFill>
        </w:rPr>
        <w:t>XX</w:t>
      </w:r>
      <w:r>
        <w:rPr>
          <w:rFonts w:ascii="黑体" w:hAnsi="Times New Roman" w:eastAsia="黑体"/>
          <w:color w:val="000000" w:themeColor="text1"/>
          <w:sz w:val="28"/>
          <w14:textFill>
            <w14:solidFill>
              <w14:schemeClr w14:val="tx1"/>
            </w14:solidFill>
          </w14:textFill>
        </w:rPr>
        <w:fldChar w:fldCharType="end"/>
      </w:r>
      <w:r>
        <w:rPr>
          <w:rFonts w:ascii="Times New Roman" w:hAnsi="Times New Roman" w:eastAsia="黑体"/>
          <w:color w:val="000000" w:themeColor="text1"/>
          <w:sz w:val="28"/>
          <w14:textFill>
            <w14:solidFill>
              <w14:schemeClr w14:val="tx1"/>
            </w14:solidFill>
          </w14:textFill>
        </w:rPr>
        <w:t xml:space="preserve"> </w:t>
      </w:r>
      <w:r>
        <w:rPr>
          <w:rFonts w:ascii="黑体" w:hAnsi="Times New Roman" w:eastAsia="黑体"/>
          <w:color w:val="000000" w:themeColor="text1"/>
          <w:sz w:val="28"/>
          <w14:textFill>
            <w14:solidFill>
              <w14:schemeClr w14:val="tx1"/>
            </w14:solidFill>
          </w14:textFill>
        </w:rPr>
        <w:t>-</w:t>
      </w:r>
      <w:r>
        <w:rPr>
          <w:rFonts w:ascii="Times New Roman" w:hAnsi="Times New Roman" w:eastAsia="黑体"/>
          <w:color w:val="000000" w:themeColor="text1"/>
          <w:sz w:val="28"/>
          <w14:textFill>
            <w14:solidFill>
              <w14:schemeClr w14:val="tx1"/>
            </w14:solidFill>
          </w14:textFill>
        </w:rPr>
        <w:t xml:space="preserve"> </w:t>
      </w:r>
      <w:bookmarkStart w:id="3" w:name="FD"/>
      <w:r>
        <w:rPr>
          <w:rFonts w:ascii="黑体" w:hAnsi="Times New Roman" w:eastAsia="黑体"/>
          <w:color w:val="000000" w:themeColor="text1"/>
          <w:sz w:val="28"/>
          <w14:textFill>
            <w14:solidFill>
              <w14:schemeClr w14:val="tx1"/>
            </w14:solidFill>
          </w14:textFill>
        </w:rPr>
        <w:fldChar w:fldCharType="begin">
          <w:ffData>
            <w:name w:val="FD"/>
            <w:enabled/>
            <w:calcOnExit w:val="0"/>
            <w:textInput>
              <w:default w:val="XX"/>
              <w:maxLength w:val="2"/>
            </w:textInput>
          </w:ffData>
        </w:fldChar>
      </w:r>
      <w:r>
        <w:rPr>
          <w:rFonts w:ascii="黑体" w:hAnsi="Times New Roman" w:eastAsia="黑体"/>
          <w:color w:val="000000" w:themeColor="text1"/>
          <w:sz w:val="28"/>
          <w14:textFill>
            <w14:solidFill>
              <w14:schemeClr w14:val="tx1"/>
            </w14:solidFill>
          </w14:textFill>
        </w:rPr>
        <w:instrText xml:space="preserve"> FORMTEXT </w:instrText>
      </w:r>
      <w:r>
        <w:rPr>
          <w:rFonts w:ascii="黑体" w:hAnsi="Times New Roman" w:eastAsia="黑体"/>
          <w:color w:val="000000" w:themeColor="text1"/>
          <w:sz w:val="28"/>
          <w14:textFill>
            <w14:solidFill>
              <w14:schemeClr w14:val="tx1"/>
            </w14:solidFill>
          </w14:textFill>
        </w:rPr>
        <w:fldChar w:fldCharType="separate"/>
      </w:r>
      <w:r>
        <w:rPr>
          <w:rFonts w:ascii="黑体" w:hAnsi="Times New Roman" w:eastAsia="黑体"/>
          <w:color w:val="000000" w:themeColor="text1"/>
          <w:sz w:val="28"/>
          <w14:textFill>
            <w14:solidFill>
              <w14:schemeClr w14:val="tx1"/>
            </w14:solidFill>
          </w14:textFill>
        </w:rPr>
        <w:t>XX</w:t>
      </w:r>
      <w:r>
        <w:rPr>
          <w:rFonts w:ascii="黑体" w:hAnsi="Times New Roman" w:eastAsia="黑体"/>
          <w:color w:val="000000" w:themeColor="text1"/>
          <w:sz w:val="28"/>
          <w14:textFill>
            <w14:solidFill>
              <w14:schemeClr w14:val="tx1"/>
            </w14:solidFill>
          </w14:textFill>
        </w:rPr>
        <w:fldChar w:fldCharType="end"/>
      </w:r>
      <w:bookmarkEnd w:id="3"/>
      <w:r>
        <w:rPr>
          <w:rFonts w:hint="eastAsia" w:ascii="Times New Roman" w:hAnsi="Times New Roman" w:eastAsia="黑体"/>
          <w:color w:val="000000" w:themeColor="text1"/>
          <w:sz w:val="28"/>
          <w14:textFill>
            <w14:solidFill>
              <w14:schemeClr w14:val="tx1"/>
            </w14:solidFill>
          </w14:textFill>
        </w:rPr>
        <w:t>发布</w:t>
      </w:r>
      <w:r>
        <w:rPr>
          <w:rFonts w:ascii="Times New Roman" w:hAnsi="Times New Roman" w:eastAsia="黑体"/>
          <w:color w:val="000000" w:themeColor="text1"/>
          <w:sz w:val="28"/>
          <w14:textFill>
            <w14:solidFill>
              <w14:schemeClr w14:val="tx1"/>
            </w14:solidFill>
          </w14:textFill>
        </w:rPr>
        <mc:AlternateContent>
          <mc:Choice Requires="wps">
            <w:drawing>
              <wp:anchor distT="0" distB="0" distL="114300" distR="114300" simplePos="0" relativeHeight="251659264" behindDoc="0" locked="1" layoutInCell="1" allowOverlap="1">
                <wp:simplePos x="0" y="0"/>
                <wp:positionH relativeFrom="column">
                  <wp:posOffset>-333375</wp:posOffset>
                </wp:positionH>
                <wp:positionV relativeFrom="page">
                  <wp:posOffset>9251950</wp:posOffset>
                </wp:positionV>
                <wp:extent cx="6119495" cy="635"/>
                <wp:effectExtent l="0" t="0" r="0" b="0"/>
                <wp:wrapNone/>
                <wp:docPr id="2" name="Line 3"/>
                <wp:cNvGraphicFramePr/>
                <a:graphic xmlns:a="http://schemas.openxmlformats.org/drawingml/2006/main">
                  <a:graphicData uri="http://schemas.microsoft.com/office/word/2010/wordprocessingShape">
                    <wps:wsp>
                      <wps:cNvCnPr/>
                      <wps:spPr>
                        <a:xfrm>
                          <a:off x="0" y="0"/>
                          <a:ext cx="611949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 o:spid="_x0000_s1026" o:spt="20" style="position:absolute;left:0pt;margin-left:-26.25pt;margin-top:728.5pt;height:0.05pt;width:481.85pt;mso-position-vertical-relative:page;z-index:251659264;mso-width-relative:page;mso-height-relative:page;" filled="f" stroked="t" coordsize="21600,21600" o:gfxdata="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7rR9r2QAAAA0BAAAPAAAAAAAA&#10;AAEAIAAAACIAAABkcnMvZG93bnJldi54bWxQSwECFAAUAAAACACHTuJAaQaSxtgBAADdAwAADgAA&#10;AAAAAAABACAAAAAoAQAAZHJzL2Uyb0RvYy54bWxQSwUGAAAAAAYABgBZAQAAcgUAAAAA&#10;">
                <v:fill on="f" focussize="0,0"/>
                <v:stroke color="#000000" joinstyle="round"/>
                <v:imagedata o:title=""/>
                <o:lock v:ext="edit" aspectratio="f"/>
                <w10:anchorlock/>
              </v:line>
            </w:pict>
          </mc:Fallback>
        </mc:AlternateContent>
      </w:r>
    </w:p>
    <w:p w14:paraId="7CF4DC11">
      <w:pPr>
        <w:framePr w:w="3997" w:h="471" w:hRule="exact" w:vSpace="181" w:wrap="around" w:vAnchor="page" w:hAnchor="page" w:x="6346" w:y="14056" w:anchorLock="1"/>
        <w:jc w:val="right"/>
        <w:rPr>
          <w:rFonts w:ascii="Times New Roman" w:hAnsi="Times New Roman" w:eastAsia="黑体"/>
          <w:color w:val="000000" w:themeColor="text1"/>
          <w:sz w:val="28"/>
          <w14:textFill>
            <w14:solidFill>
              <w14:schemeClr w14:val="tx1"/>
            </w14:solidFill>
          </w14:textFill>
        </w:rPr>
      </w:pPr>
      <w:r>
        <w:rPr>
          <w:rFonts w:ascii="黑体" w:hAnsi="Times New Roman" w:eastAsia="黑体"/>
          <w:color w:val="000000" w:themeColor="text1"/>
          <w:sz w:val="28"/>
          <w14:textFill>
            <w14:solidFill>
              <w14:schemeClr w14:val="tx1"/>
            </w14:solidFill>
          </w14:textFill>
        </w:rPr>
        <w:t>202</w:t>
      </w:r>
      <w:r>
        <w:rPr>
          <w:rFonts w:hint="eastAsia" w:ascii="黑体" w:hAnsi="Times New Roman" w:eastAsia="黑体"/>
          <w:color w:val="000000" w:themeColor="text1"/>
          <w:sz w:val="28"/>
          <w14:textFill>
            <w14:solidFill>
              <w14:schemeClr w14:val="tx1"/>
            </w14:solidFill>
          </w14:textFill>
        </w:rPr>
        <w:t>5</w:t>
      </w:r>
      <w:r>
        <w:rPr>
          <w:rFonts w:ascii="Times New Roman" w:hAnsi="Times New Roman" w:eastAsia="黑体"/>
          <w:color w:val="000000" w:themeColor="text1"/>
          <w:sz w:val="28"/>
          <w14:textFill>
            <w14:solidFill>
              <w14:schemeClr w14:val="tx1"/>
            </w14:solidFill>
          </w14:textFill>
        </w:rPr>
        <w:t xml:space="preserve"> </w:t>
      </w:r>
      <w:r>
        <w:rPr>
          <w:rFonts w:ascii="黑体" w:hAnsi="Times New Roman" w:eastAsia="黑体"/>
          <w:color w:val="000000" w:themeColor="text1"/>
          <w:sz w:val="28"/>
          <w14:textFill>
            <w14:solidFill>
              <w14:schemeClr w14:val="tx1"/>
            </w14:solidFill>
          </w14:textFill>
        </w:rPr>
        <w:t>-</w:t>
      </w:r>
      <w:r>
        <w:rPr>
          <w:rFonts w:ascii="Times New Roman" w:hAnsi="Times New Roman" w:eastAsia="黑体"/>
          <w:color w:val="000000" w:themeColor="text1"/>
          <w:sz w:val="28"/>
          <w14:textFill>
            <w14:solidFill>
              <w14:schemeClr w14:val="tx1"/>
            </w14:solidFill>
          </w14:textFill>
        </w:rPr>
        <w:t xml:space="preserve"> </w:t>
      </w:r>
      <w:bookmarkStart w:id="4" w:name="SM"/>
      <w:r>
        <w:rPr>
          <w:rFonts w:ascii="黑体" w:hAnsi="Times New Roman" w:eastAsia="黑体"/>
          <w:color w:val="000000" w:themeColor="text1"/>
          <w:sz w:val="28"/>
          <w14:textFill>
            <w14:solidFill>
              <w14:schemeClr w14:val="tx1"/>
            </w14:solidFill>
          </w14:textFill>
        </w:rPr>
        <w:fldChar w:fldCharType="begin">
          <w:ffData>
            <w:name w:val="SM"/>
            <w:enabled/>
            <w:calcOnExit w:val="0"/>
            <w:textInput>
              <w:default w:val="XX"/>
              <w:maxLength w:val="2"/>
            </w:textInput>
          </w:ffData>
        </w:fldChar>
      </w:r>
      <w:r>
        <w:rPr>
          <w:rFonts w:ascii="黑体" w:hAnsi="Times New Roman" w:eastAsia="黑体"/>
          <w:color w:val="000000" w:themeColor="text1"/>
          <w:sz w:val="28"/>
          <w14:textFill>
            <w14:solidFill>
              <w14:schemeClr w14:val="tx1"/>
            </w14:solidFill>
          </w14:textFill>
        </w:rPr>
        <w:instrText xml:space="preserve"> FORMTEXT </w:instrText>
      </w:r>
      <w:r>
        <w:rPr>
          <w:rFonts w:ascii="黑体" w:hAnsi="Times New Roman" w:eastAsia="黑体"/>
          <w:color w:val="000000" w:themeColor="text1"/>
          <w:sz w:val="28"/>
          <w14:textFill>
            <w14:solidFill>
              <w14:schemeClr w14:val="tx1"/>
            </w14:solidFill>
          </w14:textFill>
        </w:rPr>
        <w:fldChar w:fldCharType="separate"/>
      </w:r>
      <w:r>
        <w:rPr>
          <w:rFonts w:ascii="黑体" w:hAnsi="Times New Roman" w:eastAsia="黑体"/>
          <w:color w:val="000000" w:themeColor="text1"/>
          <w:sz w:val="28"/>
          <w14:textFill>
            <w14:solidFill>
              <w14:schemeClr w14:val="tx1"/>
            </w14:solidFill>
          </w14:textFill>
        </w:rPr>
        <w:t>XX</w:t>
      </w:r>
      <w:r>
        <w:rPr>
          <w:rFonts w:ascii="黑体" w:hAnsi="Times New Roman" w:eastAsia="黑体"/>
          <w:color w:val="000000" w:themeColor="text1"/>
          <w:sz w:val="28"/>
          <w14:textFill>
            <w14:solidFill>
              <w14:schemeClr w14:val="tx1"/>
            </w14:solidFill>
          </w14:textFill>
        </w:rPr>
        <w:fldChar w:fldCharType="end"/>
      </w:r>
      <w:bookmarkEnd w:id="4"/>
      <w:r>
        <w:rPr>
          <w:rFonts w:ascii="Times New Roman" w:hAnsi="Times New Roman" w:eastAsia="黑体"/>
          <w:color w:val="000000" w:themeColor="text1"/>
          <w:sz w:val="28"/>
          <w14:textFill>
            <w14:solidFill>
              <w14:schemeClr w14:val="tx1"/>
            </w14:solidFill>
          </w14:textFill>
        </w:rPr>
        <w:t xml:space="preserve"> </w:t>
      </w:r>
      <w:r>
        <w:rPr>
          <w:rFonts w:ascii="黑体" w:hAnsi="Times New Roman" w:eastAsia="黑体"/>
          <w:color w:val="000000" w:themeColor="text1"/>
          <w:sz w:val="28"/>
          <w14:textFill>
            <w14:solidFill>
              <w14:schemeClr w14:val="tx1"/>
            </w14:solidFill>
          </w14:textFill>
        </w:rPr>
        <w:t>-</w:t>
      </w:r>
      <w:r>
        <w:rPr>
          <w:rFonts w:ascii="Times New Roman" w:hAnsi="Times New Roman" w:eastAsia="黑体"/>
          <w:color w:val="000000" w:themeColor="text1"/>
          <w:sz w:val="28"/>
          <w14:textFill>
            <w14:solidFill>
              <w14:schemeClr w14:val="tx1"/>
            </w14:solidFill>
          </w14:textFill>
        </w:rPr>
        <w:t xml:space="preserve"> </w:t>
      </w:r>
      <w:bookmarkStart w:id="5" w:name="SD"/>
      <w:r>
        <w:rPr>
          <w:rFonts w:ascii="黑体" w:hAnsi="Times New Roman" w:eastAsia="黑体"/>
          <w:color w:val="000000" w:themeColor="text1"/>
          <w:sz w:val="28"/>
          <w14:textFill>
            <w14:solidFill>
              <w14:schemeClr w14:val="tx1"/>
            </w14:solidFill>
          </w14:textFill>
        </w:rPr>
        <w:fldChar w:fldCharType="begin">
          <w:ffData>
            <w:name w:val="SD"/>
            <w:enabled/>
            <w:calcOnExit w:val="0"/>
            <w:textInput>
              <w:default w:val="XX"/>
              <w:maxLength w:val="2"/>
            </w:textInput>
          </w:ffData>
        </w:fldChar>
      </w:r>
      <w:r>
        <w:rPr>
          <w:rFonts w:ascii="黑体" w:hAnsi="Times New Roman" w:eastAsia="黑体"/>
          <w:color w:val="000000" w:themeColor="text1"/>
          <w:sz w:val="28"/>
          <w14:textFill>
            <w14:solidFill>
              <w14:schemeClr w14:val="tx1"/>
            </w14:solidFill>
          </w14:textFill>
        </w:rPr>
        <w:instrText xml:space="preserve"> FORMTEXT </w:instrText>
      </w:r>
      <w:r>
        <w:rPr>
          <w:rFonts w:ascii="黑体" w:hAnsi="Times New Roman" w:eastAsia="黑体"/>
          <w:color w:val="000000" w:themeColor="text1"/>
          <w:sz w:val="28"/>
          <w14:textFill>
            <w14:solidFill>
              <w14:schemeClr w14:val="tx1"/>
            </w14:solidFill>
          </w14:textFill>
        </w:rPr>
        <w:fldChar w:fldCharType="separate"/>
      </w:r>
      <w:r>
        <w:rPr>
          <w:rFonts w:ascii="黑体" w:hAnsi="Times New Roman" w:eastAsia="黑体"/>
          <w:color w:val="000000" w:themeColor="text1"/>
          <w:sz w:val="28"/>
          <w14:textFill>
            <w14:solidFill>
              <w14:schemeClr w14:val="tx1"/>
            </w14:solidFill>
          </w14:textFill>
        </w:rPr>
        <w:t>XX</w:t>
      </w:r>
      <w:r>
        <w:rPr>
          <w:rFonts w:ascii="黑体" w:hAnsi="Times New Roman" w:eastAsia="黑体"/>
          <w:color w:val="000000" w:themeColor="text1"/>
          <w:sz w:val="28"/>
          <w14:textFill>
            <w14:solidFill>
              <w14:schemeClr w14:val="tx1"/>
            </w14:solidFill>
          </w14:textFill>
        </w:rPr>
        <w:fldChar w:fldCharType="end"/>
      </w:r>
      <w:bookmarkEnd w:id="5"/>
      <w:r>
        <w:rPr>
          <w:rFonts w:hint="eastAsia" w:ascii="Times New Roman" w:hAnsi="Times New Roman" w:eastAsia="黑体"/>
          <w:color w:val="000000" w:themeColor="text1"/>
          <w:sz w:val="28"/>
          <w14:textFill>
            <w14:solidFill>
              <w14:schemeClr w14:val="tx1"/>
            </w14:solidFill>
          </w14:textFill>
        </w:rPr>
        <w:t>实施</w:t>
      </w:r>
    </w:p>
    <w:p w14:paraId="58AB607A">
      <w:pPr>
        <w:framePr w:w="7938" w:h="1134" w:hRule="exact" w:hSpace="125" w:vSpace="181" w:wrap="around" w:vAnchor="page" w:hAnchor="page" w:x="2150" w:y="15310" w:anchorLock="1"/>
        <w:jc w:val="center"/>
        <w:rPr>
          <w:rFonts w:ascii="黑体" w:hAnsi="Times New Roman" w:eastAsia="黑体"/>
          <w:color w:val="000000" w:themeColor="text1"/>
          <w:spacing w:val="20"/>
          <w:w w:val="135"/>
          <w:sz w:val="28"/>
          <w14:textFill>
            <w14:solidFill>
              <w14:schemeClr w14:val="tx1"/>
            </w14:solidFill>
          </w14:textFill>
        </w:rPr>
      </w:pPr>
      <w:r>
        <w:rPr>
          <w:rFonts w:hint="eastAsia" w:ascii="黑体" w:hAnsi="Times New Roman" w:eastAsia="黑体"/>
          <w:color w:val="000000" w:themeColor="text1"/>
          <w:spacing w:val="20"/>
          <w:w w:val="135"/>
          <w:sz w:val="28"/>
          <w14:textFill>
            <w14:solidFill>
              <w14:schemeClr w14:val="tx1"/>
            </w14:solidFill>
          </w14:textFill>
        </w:rPr>
        <w:t>中国电力建设企业协会</w:t>
      </w:r>
      <w:r>
        <w:rPr>
          <w:rFonts w:ascii="MS Mincho" w:hAnsi="MS Mincho" w:eastAsia="MS Mincho" w:cs="MS Mincho"/>
          <w:color w:val="000000" w:themeColor="text1"/>
          <w:spacing w:val="20"/>
          <w:w w:val="135"/>
          <w:sz w:val="28"/>
          <w14:textFill>
            <w14:solidFill>
              <w14:schemeClr w14:val="tx1"/>
            </w14:solidFill>
          </w14:textFill>
        </w:rPr>
        <w:t>   </w:t>
      </w:r>
      <w:r>
        <w:rPr>
          <w:rFonts w:hint="eastAsia" w:ascii="黑体" w:hAnsi="Calibri" w:eastAsia="黑体" w:cs="黑体"/>
          <w:color w:val="000000" w:themeColor="text1"/>
          <w:spacing w:val="85"/>
          <w:position w:val="3"/>
          <w:sz w:val="28"/>
          <w:szCs w:val="28"/>
          <w14:textFill>
            <w14:solidFill>
              <w14:schemeClr w14:val="tx1"/>
            </w14:solidFill>
          </w14:textFill>
        </w:rPr>
        <w:t>发布</w:t>
      </w:r>
    </w:p>
    <w:p w14:paraId="41A0FC2A">
      <w:pPr>
        <w:pStyle w:val="20"/>
        <w:rPr>
          <w:rFonts w:asciiTheme="minorEastAsia" w:hAnsiTheme="minorEastAsia" w:eastAsiaTheme="minorEastAsia" w:cstheme="minorEastAsia"/>
          <w:color w:val="000000" w:themeColor="text1"/>
          <w:sz w:val="32"/>
          <w14:textFill>
            <w14:solidFill>
              <w14:schemeClr w14:val="tx1"/>
            </w14:solidFill>
          </w14:textFill>
        </w:rPr>
      </w:pPr>
      <w:bookmarkStart w:id="148" w:name="_GoBack"/>
      <w:bookmarkEnd w:id="148"/>
    </w:p>
    <w:p w14:paraId="57F6BAE9">
      <w:pPr>
        <w:pStyle w:val="20"/>
        <w:rPr>
          <w:rFonts w:asciiTheme="minorEastAsia" w:hAnsiTheme="minorEastAsia" w:eastAsiaTheme="minorEastAsia" w:cstheme="minorEastAsia"/>
          <w:color w:val="000000" w:themeColor="text1"/>
          <w:sz w:val="32"/>
          <w14:textFill>
            <w14:solidFill>
              <w14:schemeClr w14:val="tx1"/>
            </w14:solidFill>
          </w14:textFill>
        </w:rPr>
      </w:pPr>
    </w:p>
    <w:p w14:paraId="2F6D6CD0">
      <w:pPr>
        <w:pStyle w:val="80"/>
        <w:autoSpaceDE w:val="0"/>
        <w:autoSpaceDN w:val="0"/>
        <w:adjustRightInd w:val="0"/>
        <w:jc w:val="both"/>
        <w:rPr>
          <w:rFonts w:hAnsi="Times New Roman" w:cs="宋体"/>
          <w:color w:val="000000" w:themeColor="text1"/>
          <w14:textFill>
            <w14:solidFill>
              <w14:schemeClr w14:val="tx1"/>
            </w14:solidFill>
          </w14:textFill>
        </w:rPr>
        <w:sectPr>
          <w:headerReference r:id="rId5" w:type="first"/>
          <w:headerReference r:id="rId3" w:type="default"/>
          <w:footerReference r:id="rId6" w:type="default"/>
          <w:headerReference r:id="rId4" w:type="even"/>
          <w:footerReference r:id="rId7" w:type="even"/>
          <w:pgSz w:w="11906" w:h="16838"/>
          <w:pgMar w:top="1134" w:right="1134" w:bottom="1134" w:left="1134" w:header="737" w:footer="737" w:gutter="0"/>
          <w:pgNumType w:fmt="upperRoman"/>
          <w:cols w:space="425" w:num="1"/>
          <w:formProt w:val="0"/>
          <w:titlePg/>
          <w:docGrid w:type="lines" w:linePitch="312" w:charSpace="0"/>
        </w:sectPr>
      </w:pPr>
      <w:bookmarkStart w:id="6" w:name="_Toc10595"/>
    </w:p>
    <w:bookmarkEnd w:id="6"/>
    <w:sdt>
      <w:sdtPr>
        <w:id w:val="147477438"/>
        <w15:color w:val="DBDBDB"/>
        <w:docPartObj>
          <w:docPartGallery w:val="Table of Contents"/>
          <w:docPartUnique/>
        </w:docPartObj>
      </w:sdtPr>
      <w:sdtContent>
        <w:p w14:paraId="13F43E2F">
          <w:pPr>
            <w:jc w:val="center"/>
          </w:pPr>
          <w:r>
            <w:t>目</w:t>
          </w:r>
          <w:r>
            <w:rPr>
              <w:rFonts w:hint="eastAsia"/>
            </w:rPr>
            <w:t xml:space="preserve">  </w:t>
          </w:r>
          <w:r>
            <w:t>录</w:t>
          </w:r>
        </w:p>
        <w:p w14:paraId="000AD9B8">
          <w:pPr>
            <w:pStyle w:val="25"/>
            <w:spacing w:before="78" w:after="78"/>
            <w:rPr>
              <w:rFonts w:asciiTheme="minorHAnsi" w:hAnsiTheme="minorHAnsi" w:eastAsiaTheme="minorEastAsia" w:cstheme="minorBidi"/>
              <w:szCs w:val="24"/>
            </w:rPr>
          </w:pPr>
          <w:r>
            <w:fldChar w:fldCharType="begin"/>
          </w:r>
          <w:r>
            <w:instrText xml:space="preserve">TOC \o "1-3" \h \u </w:instrText>
          </w:r>
          <w:r>
            <w:fldChar w:fldCharType="separate"/>
          </w:r>
          <w:r>
            <w:fldChar w:fldCharType="begin"/>
          </w:r>
          <w:r>
            <w:instrText xml:space="preserve"> HYPERLINK \l "_Toc220189988" </w:instrText>
          </w:r>
          <w:r>
            <w:fldChar w:fldCharType="separate"/>
          </w:r>
          <w:r>
            <w:rPr>
              <w:rStyle w:val="48"/>
              <w:rFonts w:ascii="Times New Roman" w:hAnsi="Arial"/>
            </w:rPr>
            <w:t>前  言</w:t>
          </w:r>
          <w:r>
            <w:tab/>
          </w:r>
          <w:r>
            <w:fldChar w:fldCharType="begin"/>
          </w:r>
          <w:r>
            <w:instrText xml:space="preserve"> PAGEREF _Toc220189988 \h </w:instrText>
          </w:r>
          <w:r>
            <w:fldChar w:fldCharType="separate"/>
          </w:r>
          <w:r>
            <w:t>II</w:t>
          </w:r>
          <w:r>
            <w:fldChar w:fldCharType="end"/>
          </w:r>
          <w:r>
            <w:fldChar w:fldCharType="end"/>
          </w:r>
        </w:p>
        <w:p w14:paraId="3B4F1F37">
          <w:pPr>
            <w:pStyle w:val="25"/>
            <w:spacing w:before="78" w:after="78"/>
            <w:rPr>
              <w:rFonts w:asciiTheme="minorHAnsi" w:hAnsiTheme="minorHAnsi" w:eastAsiaTheme="minorEastAsia" w:cstheme="minorBidi"/>
              <w:szCs w:val="24"/>
            </w:rPr>
          </w:pPr>
          <w:r>
            <w:fldChar w:fldCharType="begin"/>
          </w:r>
          <w:r>
            <w:instrText xml:space="preserve"> HYPERLINK \l "_Toc220189989" </w:instrText>
          </w:r>
          <w:r>
            <w:fldChar w:fldCharType="separate"/>
          </w:r>
          <w:r>
            <w:rPr>
              <w:rStyle w:val="48"/>
              <w:b/>
              <w:bCs/>
            </w:rPr>
            <w:t>1</w:t>
          </w:r>
          <w:r>
            <w:rPr>
              <w:rStyle w:val="48"/>
            </w:rPr>
            <w:t xml:space="preserve"> 范围</w:t>
          </w:r>
          <w:r>
            <w:tab/>
          </w:r>
          <w:r>
            <w:fldChar w:fldCharType="begin"/>
          </w:r>
          <w:r>
            <w:instrText xml:space="preserve"> PAGEREF _Toc220189989 \h </w:instrText>
          </w:r>
          <w:r>
            <w:fldChar w:fldCharType="separate"/>
          </w:r>
          <w:r>
            <w:t>1</w:t>
          </w:r>
          <w:r>
            <w:fldChar w:fldCharType="end"/>
          </w:r>
          <w:r>
            <w:fldChar w:fldCharType="end"/>
          </w:r>
        </w:p>
        <w:p w14:paraId="656D63BC">
          <w:pPr>
            <w:pStyle w:val="25"/>
            <w:spacing w:before="78" w:after="78"/>
            <w:rPr>
              <w:rFonts w:asciiTheme="minorHAnsi" w:hAnsiTheme="minorHAnsi" w:eastAsiaTheme="minorEastAsia" w:cstheme="minorBidi"/>
              <w:szCs w:val="24"/>
            </w:rPr>
          </w:pPr>
          <w:r>
            <w:fldChar w:fldCharType="begin"/>
          </w:r>
          <w:r>
            <w:instrText xml:space="preserve"> HYPERLINK \l "_Toc220189990" </w:instrText>
          </w:r>
          <w:r>
            <w:fldChar w:fldCharType="separate"/>
          </w:r>
          <w:r>
            <w:rPr>
              <w:rStyle w:val="48"/>
              <w:b/>
              <w:bCs/>
            </w:rPr>
            <w:t>2</w:t>
          </w:r>
          <w:r>
            <w:rPr>
              <w:rStyle w:val="48"/>
            </w:rPr>
            <w:t xml:space="preserve"> 规范性引用文件</w:t>
          </w:r>
          <w:r>
            <w:tab/>
          </w:r>
          <w:r>
            <w:fldChar w:fldCharType="begin"/>
          </w:r>
          <w:r>
            <w:instrText xml:space="preserve"> PAGEREF _Toc220189990 \h </w:instrText>
          </w:r>
          <w:r>
            <w:fldChar w:fldCharType="separate"/>
          </w:r>
          <w:r>
            <w:t>1</w:t>
          </w:r>
          <w:r>
            <w:fldChar w:fldCharType="end"/>
          </w:r>
          <w:r>
            <w:fldChar w:fldCharType="end"/>
          </w:r>
        </w:p>
        <w:p w14:paraId="30981A36">
          <w:pPr>
            <w:pStyle w:val="25"/>
            <w:spacing w:before="78" w:after="78"/>
            <w:rPr>
              <w:rFonts w:asciiTheme="minorHAnsi" w:hAnsiTheme="minorHAnsi" w:eastAsiaTheme="minorEastAsia" w:cstheme="minorBidi"/>
              <w:szCs w:val="24"/>
            </w:rPr>
          </w:pPr>
          <w:r>
            <w:fldChar w:fldCharType="begin"/>
          </w:r>
          <w:r>
            <w:instrText xml:space="preserve"> HYPERLINK \l "_Toc220189991" </w:instrText>
          </w:r>
          <w:r>
            <w:fldChar w:fldCharType="separate"/>
          </w:r>
          <w:r>
            <w:rPr>
              <w:rStyle w:val="48"/>
              <w:b/>
              <w:bCs/>
            </w:rPr>
            <w:t>3</w:t>
          </w:r>
          <w:r>
            <w:rPr>
              <w:rStyle w:val="48"/>
            </w:rPr>
            <w:t xml:space="preserve"> 术语和定义</w:t>
          </w:r>
          <w:r>
            <w:tab/>
          </w:r>
          <w:r>
            <w:fldChar w:fldCharType="begin"/>
          </w:r>
          <w:r>
            <w:instrText xml:space="preserve"> PAGEREF _Toc220189991 \h </w:instrText>
          </w:r>
          <w:r>
            <w:fldChar w:fldCharType="separate"/>
          </w:r>
          <w:r>
            <w:t>1</w:t>
          </w:r>
          <w:r>
            <w:fldChar w:fldCharType="end"/>
          </w:r>
          <w:r>
            <w:fldChar w:fldCharType="end"/>
          </w:r>
        </w:p>
        <w:p w14:paraId="56324735">
          <w:pPr>
            <w:pStyle w:val="25"/>
            <w:spacing w:before="78" w:after="78"/>
            <w:rPr>
              <w:rFonts w:asciiTheme="minorHAnsi" w:hAnsiTheme="minorHAnsi" w:eastAsiaTheme="minorEastAsia" w:cstheme="minorBidi"/>
              <w:szCs w:val="24"/>
            </w:rPr>
          </w:pPr>
          <w:r>
            <w:fldChar w:fldCharType="begin"/>
          </w:r>
          <w:r>
            <w:instrText xml:space="preserve"> HYPERLINK \l "_Toc220189993" </w:instrText>
          </w:r>
          <w:r>
            <w:fldChar w:fldCharType="separate"/>
          </w:r>
          <w:r>
            <w:rPr>
              <w:rStyle w:val="48"/>
              <w:b/>
              <w:bCs/>
            </w:rPr>
            <w:t>4</w:t>
          </w:r>
          <w:r>
            <w:rPr>
              <w:rStyle w:val="48"/>
            </w:rPr>
            <w:t xml:space="preserve"> 基本要求</w:t>
          </w:r>
          <w:r>
            <w:tab/>
          </w:r>
          <w:r>
            <w:fldChar w:fldCharType="begin"/>
          </w:r>
          <w:r>
            <w:instrText xml:space="preserve"> PAGEREF _Toc220189993 \h </w:instrText>
          </w:r>
          <w:r>
            <w:fldChar w:fldCharType="separate"/>
          </w:r>
          <w:r>
            <w:t>3</w:t>
          </w:r>
          <w:r>
            <w:fldChar w:fldCharType="end"/>
          </w:r>
          <w:r>
            <w:fldChar w:fldCharType="end"/>
          </w:r>
        </w:p>
        <w:p w14:paraId="61E2A1EE">
          <w:pPr>
            <w:pStyle w:val="34"/>
            <w:rPr>
              <w:rFonts w:asciiTheme="minorHAnsi" w:hAnsiTheme="minorHAnsi" w:eastAsiaTheme="minorEastAsia" w:cstheme="minorBidi"/>
              <w:szCs w:val="24"/>
            </w:rPr>
          </w:pPr>
          <w:r>
            <w:fldChar w:fldCharType="begin"/>
          </w:r>
          <w:r>
            <w:instrText xml:space="preserve"> HYPERLINK \l "_Toc220189994" </w:instrText>
          </w:r>
          <w:r>
            <w:fldChar w:fldCharType="separate"/>
          </w:r>
          <w:r>
            <w:rPr>
              <w:rStyle w:val="48"/>
              <w:rFonts w:hAnsi="Times New Roman"/>
              <w:b/>
              <w:bCs/>
            </w:rPr>
            <w:t>4.1</w:t>
          </w:r>
          <w:r>
            <w:rPr>
              <w:rStyle w:val="48"/>
            </w:rPr>
            <w:t xml:space="preserve"> 智能微电网系统总体架构</w:t>
          </w:r>
          <w:r>
            <w:tab/>
          </w:r>
          <w:r>
            <w:fldChar w:fldCharType="begin"/>
          </w:r>
          <w:r>
            <w:instrText xml:space="preserve"> PAGEREF _Toc220189994 \h </w:instrText>
          </w:r>
          <w:r>
            <w:fldChar w:fldCharType="separate"/>
          </w:r>
          <w:r>
            <w:t>3</w:t>
          </w:r>
          <w:r>
            <w:fldChar w:fldCharType="end"/>
          </w:r>
          <w:r>
            <w:fldChar w:fldCharType="end"/>
          </w:r>
        </w:p>
        <w:p w14:paraId="4E6B13F5">
          <w:pPr>
            <w:pStyle w:val="34"/>
            <w:rPr>
              <w:rFonts w:asciiTheme="minorHAnsi" w:hAnsiTheme="minorHAnsi" w:eastAsiaTheme="minorEastAsia" w:cstheme="minorBidi"/>
              <w:szCs w:val="24"/>
            </w:rPr>
          </w:pPr>
          <w:r>
            <w:fldChar w:fldCharType="begin"/>
          </w:r>
          <w:r>
            <w:instrText xml:space="preserve"> HYPERLINK \l "_Toc220189995" </w:instrText>
          </w:r>
          <w:r>
            <w:fldChar w:fldCharType="separate"/>
          </w:r>
          <w:r>
            <w:rPr>
              <w:rStyle w:val="48"/>
              <w:rFonts w:hAnsi="Times New Roman"/>
              <w:b/>
              <w:bCs/>
            </w:rPr>
            <w:t>4.2</w:t>
          </w:r>
          <w:r>
            <w:rPr>
              <w:rStyle w:val="48"/>
            </w:rPr>
            <w:t xml:space="preserve"> 跨域安全基本原则</w:t>
          </w:r>
          <w:r>
            <w:tab/>
          </w:r>
          <w:r>
            <w:fldChar w:fldCharType="begin"/>
          </w:r>
          <w:r>
            <w:instrText xml:space="preserve"> PAGEREF _Toc220189995 \h </w:instrText>
          </w:r>
          <w:r>
            <w:fldChar w:fldCharType="separate"/>
          </w:r>
          <w:r>
            <w:t>4</w:t>
          </w:r>
          <w:r>
            <w:fldChar w:fldCharType="end"/>
          </w:r>
          <w:r>
            <w:fldChar w:fldCharType="end"/>
          </w:r>
        </w:p>
        <w:p w14:paraId="7CE97870">
          <w:pPr>
            <w:pStyle w:val="25"/>
            <w:spacing w:before="78" w:after="78"/>
            <w:rPr>
              <w:rFonts w:asciiTheme="minorHAnsi" w:hAnsiTheme="minorHAnsi" w:eastAsiaTheme="minorEastAsia" w:cstheme="minorBidi"/>
              <w:szCs w:val="24"/>
            </w:rPr>
          </w:pPr>
          <w:r>
            <w:fldChar w:fldCharType="begin"/>
          </w:r>
          <w:r>
            <w:instrText xml:space="preserve"> HYPERLINK \l "_Toc220189996" </w:instrText>
          </w:r>
          <w:r>
            <w:fldChar w:fldCharType="separate"/>
          </w:r>
          <w:r>
            <w:rPr>
              <w:rStyle w:val="48"/>
              <w:b/>
              <w:bCs/>
            </w:rPr>
            <w:t>5</w:t>
          </w:r>
          <w:r>
            <w:rPr>
              <w:rStyle w:val="48"/>
            </w:rPr>
            <w:t xml:space="preserve"> AI芯片应用技术要求</w:t>
          </w:r>
          <w:r>
            <w:tab/>
          </w:r>
          <w:r>
            <w:fldChar w:fldCharType="begin"/>
          </w:r>
          <w:r>
            <w:instrText xml:space="preserve"> PAGEREF _Toc220189996 \h </w:instrText>
          </w:r>
          <w:r>
            <w:fldChar w:fldCharType="separate"/>
          </w:r>
          <w:r>
            <w:t>4</w:t>
          </w:r>
          <w:r>
            <w:fldChar w:fldCharType="end"/>
          </w:r>
          <w:r>
            <w:fldChar w:fldCharType="end"/>
          </w:r>
        </w:p>
        <w:p w14:paraId="23BE6A1C">
          <w:pPr>
            <w:pStyle w:val="34"/>
            <w:rPr>
              <w:rFonts w:asciiTheme="minorHAnsi" w:hAnsiTheme="minorHAnsi" w:eastAsiaTheme="minorEastAsia" w:cstheme="minorBidi"/>
              <w:szCs w:val="24"/>
            </w:rPr>
          </w:pPr>
          <w:r>
            <w:fldChar w:fldCharType="begin"/>
          </w:r>
          <w:r>
            <w:instrText xml:space="preserve"> HYPERLINK \l "_Toc220189997" </w:instrText>
          </w:r>
          <w:r>
            <w:fldChar w:fldCharType="separate"/>
          </w:r>
          <w:r>
            <w:rPr>
              <w:rStyle w:val="48"/>
              <w:rFonts w:hAnsi="Times New Roman"/>
              <w:b/>
              <w:bCs/>
            </w:rPr>
            <w:t>5.1</w:t>
          </w:r>
          <w:r>
            <w:rPr>
              <w:rStyle w:val="48"/>
            </w:rPr>
            <w:t xml:space="preserve"> 硬件技术要求</w:t>
          </w:r>
          <w:r>
            <w:tab/>
          </w:r>
          <w:r>
            <w:fldChar w:fldCharType="begin"/>
          </w:r>
          <w:r>
            <w:instrText xml:space="preserve"> PAGEREF _Toc220189997 \h </w:instrText>
          </w:r>
          <w:r>
            <w:fldChar w:fldCharType="separate"/>
          </w:r>
          <w:r>
            <w:t>4</w:t>
          </w:r>
          <w:r>
            <w:fldChar w:fldCharType="end"/>
          </w:r>
          <w:r>
            <w:fldChar w:fldCharType="end"/>
          </w:r>
        </w:p>
        <w:p w14:paraId="5AF96CBE">
          <w:pPr>
            <w:pStyle w:val="34"/>
            <w:rPr>
              <w:rFonts w:asciiTheme="minorHAnsi" w:hAnsiTheme="minorHAnsi" w:eastAsiaTheme="minorEastAsia" w:cstheme="minorBidi"/>
              <w:szCs w:val="24"/>
            </w:rPr>
          </w:pPr>
          <w:r>
            <w:fldChar w:fldCharType="begin"/>
          </w:r>
          <w:r>
            <w:instrText xml:space="preserve"> HYPERLINK \l "_Toc220189998" </w:instrText>
          </w:r>
          <w:r>
            <w:fldChar w:fldCharType="separate"/>
          </w:r>
          <w:r>
            <w:rPr>
              <w:rStyle w:val="48"/>
              <w:rFonts w:hAnsi="Times New Roman"/>
              <w:b/>
              <w:bCs/>
            </w:rPr>
            <w:t>5.2</w:t>
          </w:r>
          <w:r>
            <w:rPr>
              <w:rStyle w:val="48"/>
            </w:rPr>
            <w:t xml:space="preserve"> 软件与算法技术要求</w:t>
          </w:r>
          <w:r>
            <w:tab/>
          </w:r>
          <w:r>
            <w:fldChar w:fldCharType="begin"/>
          </w:r>
          <w:r>
            <w:instrText xml:space="preserve"> PAGEREF _Toc220189998 \h </w:instrText>
          </w:r>
          <w:r>
            <w:fldChar w:fldCharType="separate"/>
          </w:r>
          <w:r>
            <w:t>5</w:t>
          </w:r>
          <w:r>
            <w:fldChar w:fldCharType="end"/>
          </w:r>
          <w:r>
            <w:fldChar w:fldCharType="end"/>
          </w:r>
        </w:p>
        <w:p w14:paraId="2DCD942F">
          <w:pPr>
            <w:pStyle w:val="34"/>
            <w:rPr>
              <w:rFonts w:asciiTheme="minorHAnsi" w:hAnsiTheme="minorHAnsi" w:eastAsiaTheme="minorEastAsia" w:cstheme="minorBidi"/>
              <w:szCs w:val="24"/>
            </w:rPr>
          </w:pPr>
          <w:r>
            <w:fldChar w:fldCharType="begin"/>
          </w:r>
          <w:r>
            <w:instrText xml:space="preserve"> HYPERLINK \l "_Toc220190000" </w:instrText>
          </w:r>
          <w:r>
            <w:fldChar w:fldCharType="separate"/>
          </w:r>
          <w:r>
            <w:rPr>
              <w:rStyle w:val="48"/>
              <w:rFonts w:hAnsi="Times New Roman"/>
              <w:b/>
              <w:bCs/>
            </w:rPr>
            <w:t>5.3</w:t>
          </w:r>
          <w:r>
            <w:rPr>
              <w:rStyle w:val="48"/>
            </w:rPr>
            <w:t xml:space="preserve"> 运行与维护要求</w:t>
          </w:r>
          <w:r>
            <w:tab/>
          </w:r>
          <w:r>
            <w:fldChar w:fldCharType="begin"/>
          </w:r>
          <w:r>
            <w:instrText xml:space="preserve"> PAGEREF _Toc220190000 \h </w:instrText>
          </w:r>
          <w:r>
            <w:fldChar w:fldCharType="separate"/>
          </w:r>
          <w:r>
            <w:t>7</w:t>
          </w:r>
          <w:r>
            <w:fldChar w:fldCharType="end"/>
          </w:r>
          <w:r>
            <w:fldChar w:fldCharType="end"/>
          </w:r>
        </w:p>
        <w:p w14:paraId="42BA9CC6">
          <w:pPr>
            <w:pStyle w:val="25"/>
            <w:spacing w:before="78" w:after="78"/>
            <w:rPr>
              <w:rFonts w:asciiTheme="minorHAnsi" w:hAnsiTheme="minorHAnsi" w:eastAsiaTheme="minorEastAsia" w:cstheme="minorBidi"/>
              <w:szCs w:val="24"/>
            </w:rPr>
          </w:pPr>
          <w:r>
            <w:fldChar w:fldCharType="begin"/>
          </w:r>
          <w:r>
            <w:instrText xml:space="preserve"> HYPERLINK \l "_Toc220190001" </w:instrText>
          </w:r>
          <w:r>
            <w:fldChar w:fldCharType="separate"/>
          </w:r>
          <w:r>
            <w:rPr>
              <w:rStyle w:val="48"/>
              <w:b/>
              <w:bCs/>
            </w:rPr>
            <w:t>6</w:t>
          </w:r>
          <w:r>
            <w:rPr>
              <w:rStyle w:val="48"/>
            </w:rPr>
            <w:t xml:space="preserve"> 安全技术要求</w:t>
          </w:r>
          <w:r>
            <w:tab/>
          </w:r>
          <w:r>
            <w:fldChar w:fldCharType="begin"/>
          </w:r>
          <w:r>
            <w:instrText xml:space="preserve"> PAGEREF _Toc220190001 \h </w:instrText>
          </w:r>
          <w:r>
            <w:fldChar w:fldCharType="separate"/>
          </w:r>
          <w:r>
            <w:t>7</w:t>
          </w:r>
          <w:r>
            <w:fldChar w:fldCharType="end"/>
          </w:r>
          <w:r>
            <w:fldChar w:fldCharType="end"/>
          </w:r>
        </w:p>
        <w:p w14:paraId="0C1D3FA2">
          <w:pPr>
            <w:pStyle w:val="34"/>
            <w:rPr>
              <w:rFonts w:asciiTheme="minorHAnsi" w:hAnsiTheme="minorHAnsi" w:eastAsiaTheme="minorEastAsia" w:cstheme="minorBidi"/>
              <w:szCs w:val="24"/>
            </w:rPr>
          </w:pPr>
          <w:r>
            <w:fldChar w:fldCharType="begin"/>
          </w:r>
          <w:r>
            <w:instrText xml:space="preserve"> HYPERLINK \l "_Toc220190002" </w:instrText>
          </w:r>
          <w:r>
            <w:fldChar w:fldCharType="separate"/>
          </w:r>
          <w:r>
            <w:rPr>
              <w:rStyle w:val="48"/>
              <w:rFonts w:hAnsi="Times New Roman"/>
              <w:b/>
              <w:bCs/>
            </w:rPr>
            <w:t>6.1</w:t>
          </w:r>
          <w:r>
            <w:rPr>
              <w:rStyle w:val="48"/>
            </w:rPr>
            <w:t xml:space="preserve"> 数据安全要求</w:t>
          </w:r>
          <w:r>
            <w:tab/>
          </w:r>
          <w:r>
            <w:fldChar w:fldCharType="begin"/>
          </w:r>
          <w:r>
            <w:instrText xml:space="preserve"> PAGEREF _Toc220190002 \h </w:instrText>
          </w:r>
          <w:r>
            <w:fldChar w:fldCharType="separate"/>
          </w:r>
          <w:r>
            <w:t>7</w:t>
          </w:r>
          <w:r>
            <w:fldChar w:fldCharType="end"/>
          </w:r>
          <w:r>
            <w:fldChar w:fldCharType="end"/>
          </w:r>
        </w:p>
        <w:p w14:paraId="591EEC50">
          <w:pPr>
            <w:pStyle w:val="34"/>
            <w:rPr>
              <w:rFonts w:asciiTheme="minorHAnsi" w:hAnsiTheme="minorHAnsi" w:eastAsiaTheme="minorEastAsia" w:cstheme="minorBidi"/>
              <w:szCs w:val="24"/>
            </w:rPr>
          </w:pPr>
          <w:r>
            <w:fldChar w:fldCharType="begin"/>
          </w:r>
          <w:r>
            <w:instrText xml:space="preserve"> HYPERLINK \l "_Toc220190003" </w:instrText>
          </w:r>
          <w:r>
            <w:fldChar w:fldCharType="separate"/>
          </w:r>
          <w:r>
            <w:rPr>
              <w:rStyle w:val="48"/>
              <w:rFonts w:hAnsi="Times New Roman"/>
              <w:b/>
              <w:bCs/>
            </w:rPr>
            <w:t>6.2</w:t>
          </w:r>
          <w:r>
            <w:rPr>
              <w:rStyle w:val="48"/>
            </w:rPr>
            <w:t xml:space="preserve"> 通信安全要求</w:t>
          </w:r>
          <w:r>
            <w:tab/>
          </w:r>
          <w:r>
            <w:fldChar w:fldCharType="begin"/>
          </w:r>
          <w:r>
            <w:instrText xml:space="preserve"> PAGEREF _Toc220190003 \h </w:instrText>
          </w:r>
          <w:r>
            <w:fldChar w:fldCharType="separate"/>
          </w:r>
          <w:r>
            <w:t>7</w:t>
          </w:r>
          <w:r>
            <w:fldChar w:fldCharType="end"/>
          </w:r>
          <w:r>
            <w:fldChar w:fldCharType="end"/>
          </w:r>
        </w:p>
        <w:p w14:paraId="125C9753">
          <w:pPr>
            <w:pStyle w:val="34"/>
            <w:rPr>
              <w:rFonts w:asciiTheme="minorHAnsi" w:hAnsiTheme="minorHAnsi" w:eastAsiaTheme="minorEastAsia" w:cstheme="minorBidi"/>
              <w:szCs w:val="24"/>
            </w:rPr>
          </w:pPr>
          <w:r>
            <w:fldChar w:fldCharType="begin"/>
          </w:r>
          <w:r>
            <w:instrText xml:space="preserve"> HYPERLINK \l "_Toc220190004" </w:instrText>
          </w:r>
          <w:r>
            <w:fldChar w:fldCharType="separate"/>
          </w:r>
          <w:r>
            <w:rPr>
              <w:rStyle w:val="48"/>
              <w:rFonts w:hAnsi="Times New Roman"/>
              <w:b/>
              <w:bCs/>
            </w:rPr>
            <w:t>6.3</w:t>
          </w:r>
          <w:r>
            <w:rPr>
              <w:rStyle w:val="48"/>
            </w:rPr>
            <w:t xml:space="preserve"> 系统与网络安全要求</w:t>
          </w:r>
          <w:r>
            <w:tab/>
          </w:r>
          <w:r>
            <w:fldChar w:fldCharType="begin"/>
          </w:r>
          <w:r>
            <w:instrText xml:space="preserve"> PAGEREF _Toc220190004 \h </w:instrText>
          </w:r>
          <w:r>
            <w:fldChar w:fldCharType="separate"/>
          </w:r>
          <w:r>
            <w:t>8</w:t>
          </w:r>
          <w:r>
            <w:fldChar w:fldCharType="end"/>
          </w:r>
          <w:r>
            <w:fldChar w:fldCharType="end"/>
          </w:r>
        </w:p>
        <w:p w14:paraId="052611F7">
          <w:pPr>
            <w:pStyle w:val="34"/>
            <w:rPr>
              <w:rFonts w:asciiTheme="minorHAnsi" w:hAnsiTheme="minorHAnsi" w:eastAsiaTheme="minorEastAsia" w:cstheme="minorBidi"/>
              <w:szCs w:val="24"/>
            </w:rPr>
          </w:pPr>
          <w:r>
            <w:fldChar w:fldCharType="begin"/>
          </w:r>
          <w:r>
            <w:instrText xml:space="preserve"> HYPERLINK \l "_Toc220190005" </w:instrText>
          </w:r>
          <w:r>
            <w:fldChar w:fldCharType="separate"/>
          </w:r>
          <w:r>
            <w:rPr>
              <w:rStyle w:val="48"/>
              <w:rFonts w:hAnsi="Times New Roman"/>
              <w:b/>
              <w:bCs/>
            </w:rPr>
            <w:t>6.4</w:t>
          </w:r>
          <w:r>
            <w:rPr>
              <w:rStyle w:val="48"/>
            </w:rPr>
            <w:t xml:space="preserve"> 第三方接入及跨域协同安全要求</w:t>
          </w:r>
          <w:r>
            <w:tab/>
          </w:r>
          <w:r>
            <w:fldChar w:fldCharType="begin"/>
          </w:r>
          <w:r>
            <w:instrText xml:space="preserve"> PAGEREF _Toc220190005 \h </w:instrText>
          </w:r>
          <w:r>
            <w:fldChar w:fldCharType="separate"/>
          </w:r>
          <w:r>
            <w:t>8</w:t>
          </w:r>
          <w:r>
            <w:fldChar w:fldCharType="end"/>
          </w:r>
          <w:r>
            <w:fldChar w:fldCharType="end"/>
          </w:r>
        </w:p>
        <w:p w14:paraId="208BD6CC">
          <w:pPr>
            <w:pStyle w:val="34"/>
            <w:rPr>
              <w:rFonts w:asciiTheme="minorHAnsi" w:hAnsiTheme="minorHAnsi" w:eastAsiaTheme="minorEastAsia" w:cstheme="minorBidi"/>
              <w:szCs w:val="24"/>
            </w:rPr>
          </w:pPr>
          <w:r>
            <w:fldChar w:fldCharType="begin"/>
          </w:r>
          <w:r>
            <w:instrText xml:space="preserve"> HYPERLINK \l "_Toc220190006" </w:instrText>
          </w:r>
          <w:r>
            <w:fldChar w:fldCharType="separate"/>
          </w:r>
          <w:r>
            <w:rPr>
              <w:rStyle w:val="48"/>
              <w:rFonts w:hAnsi="Times New Roman"/>
              <w:b/>
              <w:bCs/>
            </w:rPr>
            <w:t>6.5</w:t>
          </w:r>
          <w:r>
            <w:rPr>
              <w:rStyle w:val="48"/>
            </w:rPr>
            <w:t xml:space="preserve"> AI芯片及边缘计算安全要求</w:t>
          </w:r>
          <w:r>
            <w:tab/>
          </w:r>
          <w:r>
            <w:fldChar w:fldCharType="begin"/>
          </w:r>
          <w:r>
            <w:instrText xml:space="preserve"> PAGEREF _Toc220190006 \h </w:instrText>
          </w:r>
          <w:r>
            <w:fldChar w:fldCharType="separate"/>
          </w:r>
          <w:r>
            <w:t>9</w:t>
          </w:r>
          <w:r>
            <w:fldChar w:fldCharType="end"/>
          </w:r>
          <w:r>
            <w:fldChar w:fldCharType="end"/>
          </w:r>
        </w:p>
        <w:p w14:paraId="2FBC0E14">
          <w:pPr>
            <w:pStyle w:val="34"/>
            <w:rPr>
              <w:rFonts w:asciiTheme="minorHAnsi" w:hAnsiTheme="minorHAnsi" w:eastAsiaTheme="minorEastAsia" w:cstheme="minorBidi"/>
              <w:szCs w:val="24"/>
            </w:rPr>
          </w:pPr>
          <w:r>
            <w:fldChar w:fldCharType="begin"/>
          </w:r>
          <w:r>
            <w:instrText xml:space="preserve"> HYPERLINK \l "_Toc220190007" </w:instrText>
          </w:r>
          <w:r>
            <w:fldChar w:fldCharType="separate"/>
          </w:r>
          <w:r>
            <w:rPr>
              <w:rStyle w:val="48"/>
              <w:rFonts w:hAnsi="Times New Roman"/>
              <w:b/>
              <w:bCs/>
            </w:rPr>
            <w:t>6.6</w:t>
          </w:r>
          <w:r>
            <w:rPr>
              <w:rStyle w:val="48"/>
            </w:rPr>
            <w:t xml:space="preserve"> 供应链安全要求</w:t>
          </w:r>
          <w:r>
            <w:tab/>
          </w:r>
          <w:r>
            <w:fldChar w:fldCharType="begin"/>
          </w:r>
          <w:r>
            <w:instrText xml:space="preserve"> PAGEREF _Toc220190007 \h </w:instrText>
          </w:r>
          <w:r>
            <w:fldChar w:fldCharType="separate"/>
          </w:r>
          <w:r>
            <w:t>9</w:t>
          </w:r>
          <w:r>
            <w:fldChar w:fldCharType="end"/>
          </w:r>
          <w:r>
            <w:fldChar w:fldCharType="end"/>
          </w:r>
        </w:p>
        <w:p w14:paraId="5C74D10F">
          <w:pPr>
            <w:pStyle w:val="25"/>
            <w:spacing w:before="78" w:after="78"/>
            <w:rPr>
              <w:rFonts w:asciiTheme="minorHAnsi" w:hAnsiTheme="minorHAnsi" w:eastAsiaTheme="minorEastAsia" w:cstheme="minorBidi"/>
              <w:szCs w:val="24"/>
            </w:rPr>
          </w:pPr>
          <w:r>
            <w:fldChar w:fldCharType="begin"/>
          </w:r>
          <w:r>
            <w:instrText xml:space="preserve"> HYPERLINK \l "_Toc220190008" </w:instrText>
          </w:r>
          <w:r>
            <w:fldChar w:fldCharType="separate"/>
          </w:r>
          <w:r>
            <w:rPr>
              <w:rStyle w:val="48"/>
              <w:b/>
              <w:bCs/>
            </w:rPr>
            <w:t>7</w:t>
          </w:r>
          <w:r>
            <w:rPr>
              <w:rStyle w:val="48"/>
            </w:rPr>
            <w:t xml:space="preserve"> 互操作性与检测认证要求</w:t>
          </w:r>
          <w:r>
            <w:tab/>
          </w:r>
          <w:r>
            <w:fldChar w:fldCharType="begin"/>
          </w:r>
          <w:r>
            <w:instrText xml:space="preserve"> PAGEREF _Toc220190008 \h </w:instrText>
          </w:r>
          <w:r>
            <w:fldChar w:fldCharType="separate"/>
          </w:r>
          <w:r>
            <w:t>10</w:t>
          </w:r>
          <w:r>
            <w:fldChar w:fldCharType="end"/>
          </w:r>
          <w:r>
            <w:fldChar w:fldCharType="end"/>
          </w:r>
        </w:p>
        <w:p w14:paraId="08850458">
          <w:pPr>
            <w:pStyle w:val="34"/>
            <w:rPr>
              <w:rFonts w:asciiTheme="minorHAnsi" w:hAnsiTheme="minorHAnsi" w:eastAsiaTheme="minorEastAsia" w:cstheme="minorBidi"/>
              <w:szCs w:val="24"/>
            </w:rPr>
          </w:pPr>
          <w:r>
            <w:fldChar w:fldCharType="begin"/>
          </w:r>
          <w:r>
            <w:instrText xml:space="preserve"> HYPERLINK \l "_Toc220190009" </w:instrText>
          </w:r>
          <w:r>
            <w:fldChar w:fldCharType="separate"/>
          </w:r>
          <w:r>
            <w:rPr>
              <w:rStyle w:val="48"/>
              <w:rFonts w:hAnsi="Times New Roman"/>
              <w:b/>
              <w:bCs/>
            </w:rPr>
            <w:t>7.1</w:t>
          </w:r>
          <w:r>
            <w:rPr>
              <w:rStyle w:val="48"/>
            </w:rPr>
            <w:t xml:space="preserve"> 兼容性要求</w:t>
          </w:r>
          <w:r>
            <w:tab/>
          </w:r>
          <w:r>
            <w:fldChar w:fldCharType="begin"/>
          </w:r>
          <w:r>
            <w:instrText xml:space="preserve"> PAGEREF _Toc220190009 \h </w:instrText>
          </w:r>
          <w:r>
            <w:fldChar w:fldCharType="separate"/>
          </w:r>
          <w:r>
            <w:t>10</w:t>
          </w:r>
          <w:r>
            <w:fldChar w:fldCharType="end"/>
          </w:r>
          <w:r>
            <w:fldChar w:fldCharType="end"/>
          </w:r>
        </w:p>
        <w:p w14:paraId="720459EA">
          <w:pPr>
            <w:pStyle w:val="34"/>
            <w:rPr>
              <w:rFonts w:asciiTheme="minorHAnsi" w:hAnsiTheme="minorHAnsi" w:eastAsiaTheme="minorEastAsia" w:cstheme="minorBidi"/>
              <w:szCs w:val="24"/>
            </w:rPr>
          </w:pPr>
          <w:r>
            <w:fldChar w:fldCharType="begin"/>
          </w:r>
          <w:r>
            <w:instrText xml:space="preserve"> HYPERLINK \l "_Toc220190010" </w:instrText>
          </w:r>
          <w:r>
            <w:fldChar w:fldCharType="separate"/>
          </w:r>
          <w:r>
            <w:rPr>
              <w:rStyle w:val="48"/>
              <w:rFonts w:hAnsi="Times New Roman"/>
              <w:b/>
              <w:bCs/>
            </w:rPr>
            <w:t>7.2</w:t>
          </w:r>
          <w:r>
            <w:rPr>
              <w:rStyle w:val="48"/>
            </w:rPr>
            <w:t xml:space="preserve"> 测试认证</w:t>
          </w:r>
          <w:r>
            <w:tab/>
          </w:r>
          <w:r>
            <w:fldChar w:fldCharType="begin"/>
          </w:r>
          <w:r>
            <w:instrText xml:space="preserve"> PAGEREF _Toc220190010 \h </w:instrText>
          </w:r>
          <w:r>
            <w:fldChar w:fldCharType="separate"/>
          </w:r>
          <w:r>
            <w:t>10</w:t>
          </w:r>
          <w:r>
            <w:fldChar w:fldCharType="end"/>
          </w:r>
          <w:r>
            <w:fldChar w:fldCharType="end"/>
          </w:r>
        </w:p>
        <w:p w14:paraId="2BFA5DD2">
          <w:pPr>
            <w:pStyle w:val="25"/>
            <w:spacing w:before="78" w:after="78"/>
            <w:rPr>
              <w:rFonts w:asciiTheme="minorHAnsi" w:hAnsiTheme="minorHAnsi" w:eastAsiaTheme="minorEastAsia" w:cstheme="minorBidi"/>
              <w:szCs w:val="24"/>
            </w:rPr>
          </w:pPr>
          <w:r>
            <w:fldChar w:fldCharType="begin"/>
          </w:r>
          <w:r>
            <w:instrText xml:space="preserve"> HYPERLINK \l "_Toc220190011" </w:instrText>
          </w:r>
          <w:r>
            <w:fldChar w:fldCharType="separate"/>
          </w:r>
          <w:r>
            <w:rPr>
              <w:rStyle w:val="48"/>
              <w:b/>
              <w:bCs/>
            </w:rPr>
            <w:t>8</w:t>
          </w:r>
          <w:r>
            <w:rPr>
              <w:rStyle w:val="48"/>
            </w:rPr>
            <w:t xml:space="preserve"> 测试与验证</w:t>
          </w:r>
          <w:r>
            <w:tab/>
          </w:r>
          <w:r>
            <w:fldChar w:fldCharType="begin"/>
          </w:r>
          <w:r>
            <w:instrText xml:space="preserve"> PAGEREF _Toc220190011 \h </w:instrText>
          </w:r>
          <w:r>
            <w:fldChar w:fldCharType="separate"/>
          </w:r>
          <w:r>
            <w:t>10</w:t>
          </w:r>
          <w:r>
            <w:fldChar w:fldCharType="end"/>
          </w:r>
          <w:r>
            <w:fldChar w:fldCharType="end"/>
          </w:r>
        </w:p>
        <w:p w14:paraId="3EEE05D9">
          <w:pPr>
            <w:pStyle w:val="34"/>
            <w:rPr>
              <w:rFonts w:asciiTheme="minorHAnsi" w:hAnsiTheme="minorHAnsi" w:eastAsiaTheme="minorEastAsia" w:cstheme="minorBidi"/>
              <w:szCs w:val="24"/>
            </w:rPr>
          </w:pPr>
          <w:r>
            <w:fldChar w:fldCharType="begin"/>
          </w:r>
          <w:r>
            <w:instrText xml:space="preserve"> HYPERLINK \l "_Toc220190012" </w:instrText>
          </w:r>
          <w:r>
            <w:fldChar w:fldCharType="separate"/>
          </w:r>
          <w:r>
            <w:rPr>
              <w:rStyle w:val="48"/>
              <w:rFonts w:hAnsi="Times New Roman"/>
              <w:b/>
              <w:bCs/>
            </w:rPr>
            <w:t>8.1</w:t>
          </w:r>
          <w:r>
            <w:rPr>
              <w:rStyle w:val="48"/>
            </w:rPr>
            <w:t xml:space="preserve"> 测试总体原则</w:t>
          </w:r>
          <w:r>
            <w:tab/>
          </w:r>
          <w:r>
            <w:fldChar w:fldCharType="begin"/>
          </w:r>
          <w:r>
            <w:instrText xml:space="preserve"> PAGEREF _Toc220190012 \h </w:instrText>
          </w:r>
          <w:r>
            <w:fldChar w:fldCharType="separate"/>
          </w:r>
          <w:r>
            <w:t>10</w:t>
          </w:r>
          <w:r>
            <w:fldChar w:fldCharType="end"/>
          </w:r>
          <w:r>
            <w:fldChar w:fldCharType="end"/>
          </w:r>
        </w:p>
        <w:p w14:paraId="4C633763">
          <w:pPr>
            <w:pStyle w:val="34"/>
            <w:rPr>
              <w:rFonts w:asciiTheme="minorHAnsi" w:hAnsiTheme="minorHAnsi" w:eastAsiaTheme="minorEastAsia" w:cstheme="minorBidi"/>
              <w:szCs w:val="24"/>
            </w:rPr>
          </w:pPr>
          <w:r>
            <w:fldChar w:fldCharType="begin"/>
          </w:r>
          <w:r>
            <w:instrText xml:space="preserve"> HYPERLINK \l "_Toc220190013" </w:instrText>
          </w:r>
          <w:r>
            <w:fldChar w:fldCharType="separate"/>
          </w:r>
          <w:r>
            <w:rPr>
              <w:rStyle w:val="48"/>
              <w:rFonts w:hAnsi="Times New Roman"/>
              <w:b/>
              <w:bCs/>
            </w:rPr>
            <w:t>8.2</w:t>
          </w:r>
          <w:r>
            <w:rPr>
              <w:rStyle w:val="48"/>
            </w:rPr>
            <w:t xml:space="preserve"> AI芯片功能测试</w:t>
          </w:r>
          <w:r>
            <w:tab/>
          </w:r>
          <w:r>
            <w:fldChar w:fldCharType="begin"/>
          </w:r>
          <w:r>
            <w:instrText xml:space="preserve"> PAGEREF _Toc220190013 \h </w:instrText>
          </w:r>
          <w:r>
            <w:fldChar w:fldCharType="separate"/>
          </w:r>
          <w:r>
            <w:t>11</w:t>
          </w:r>
          <w:r>
            <w:fldChar w:fldCharType="end"/>
          </w:r>
          <w:r>
            <w:fldChar w:fldCharType="end"/>
          </w:r>
        </w:p>
        <w:p w14:paraId="1550BDD7">
          <w:pPr>
            <w:pStyle w:val="34"/>
            <w:rPr>
              <w:rFonts w:asciiTheme="minorHAnsi" w:hAnsiTheme="minorHAnsi" w:eastAsiaTheme="minorEastAsia" w:cstheme="minorBidi"/>
              <w:szCs w:val="24"/>
            </w:rPr>
          </w:pPr>
          <w:r>
            <w:fldChar w:fldCharType="begin"/>
          </w:r>
          <w:r>
            <w:instrText xml:space="preserve"> HYPERLINK \l "_Toc220190016" </w:instrText>
          </w:r>
          <w:r>
            <w:fldChar w:fldCharType="separate"/>
          </w:r>
          <w:r>
            <w:rPr>
              <w:rStyle w:val="48"/>
              <w:rFonts w:hAnsi="Times New Roman"/>
              <w:b/>
              <w:bCs/>
            </w:rPr>
            <w:t>8.3</w:t>
          </w:r>
          <w:r>
            <w:rPr>
              <w:rStyle w:val="48"/>
            </w:rPr>
            <w:t xml:space="preserve"> AI芯片性能测试</w:t>
          </w:r>
          <w:r>
            <w:tab/>
          </w:r>
          <w:r>
            <w:fldChar w:fldCharType="begin"/>
          </w:r>
          <w:r>
            <w:instrText xml:space="preserve"> PAGEREF _Toc220190016 \h </w:instrText>
          </w:r>
          <w:r>
            <w:fldChar w:fldCharType="separate"/>
          </w:r>
          <w:r>
            <w:t>12</w:t>
          </w:r>
          <w:r>
            <w:fldChar w:fldCharType="end"/>
          </w:r>
          <w:r>
            <w:fldChar w:fldCharType="end"/>
          </w:r>
        </w:p>
        <w:p w14:paraId="558F91A8">
          <w:pPr>
            <w:pStyle w:val="34"/>
            <w:rPr>
              <w:rFonts w:asciiTheme="minorHAnsi" w:hAnsiTheme="minorHAnsi" w:eastAsiaTheme="minorEastAsia" w:cstheme="minorBidi"/>
              <w:szCs w:val="24"/>
            </w:rPr>
          </w:pPr>
          <w:r>
            <w:fldChar w:fldCharType="begin"/>
          </w:r>
          <w:r>
            <w:instrText xml:space="preserve"> HYPERLINK \l "_Toc220190017" </w:instrText>
          </w:r>
          <w:r>
            <w:fldChar w:fldCharType="separate"/>
          </w:r>
          <w:r>
            <w:rPr>
              <w:rStyle w:val="48"/>
              <w:rFonts w:hAnsi="Times New Roman"/>
              <w:b/>
              <w:bCs/>
            </w:rPr>
            <w:t>8.4</w:t>
          </w:r>
          <w:r>
            <w:rPr>
              <w:rStyle w:val="48"/>
            </w:rPr>
            <w:t xml:space="preserve"> 安全功能测试</w:t>
          </w:r>
          <w:r>
            <w:tab/>
          </w:r>
          <w:r>
            <w:fldChar w:fldCharType="begin"/>
          </w:r>
          <w:r>
            <w:instrText xml:space="preserve"> PAGEREF _Toc220190017 \h </w:instrText>
          </w:r>
          <w:r>
            <w:fldChar w:fldCharType="separate"/>
          </w:r>
          <w:r>
            <w:t>13</w:t>
          </w:r>
          <w:r>
            <w:fldChar w:fldCharType="end"/>
          </w:r>
          <w:r>
            <w:fldChar w:fldCharType="end"/>
          </w:r>
        </w:p>
        <w:p w14:paraId="7FD3CED7">
          <w:pPr>
            <w:pStyle w:val="34"/>
            <w:rPr>
              <w:rFonts w:asciiTheme="minorHAnsi" w:hAnsiTheme="minorHAnsi" w:eastAsiaTheme="minorEastAsia" w:cstheme="minorBidi"/>
              <w:szCs w:val="24"/>
            </w:rPr>
          </w:pPr>
          <w:r>
            <w:fldChar w:fldCharType="begin"/>
          </w:r>
          <w:r>
            <w:instrText xml:space="preserve"> HYPERLINK \l "_Toc220190018" </w:instrText>
          </w:r>
          <w:r>
            <w:fldChar w:fldCharType="separate"/>
          </w:r>
          <w:r>
            <w:rPr>
              <w:rStyle w:val="48"/>
              <w:rFonts w:hAnsi="Times New Roman"/>
              <w:b/>
              <w:bCs/>
            </w:rPr>
            <w:t>8.5</w:t>
          </w:r>
          <w:r>
            <w:rPr>
              <w:rStyle w:val="48"/>
            </w:rPr>
            <w:t xml:space="preserve"> 系统级联调与验证</w:t>
          </w:r>
          <w:r>
            <w:tab/>
          </w:r>
          <w:r>
            <w:fldChar w:fldCharType="begin"/>
          </w:r>
          <w:r>
            <w:instrText xml:space="preserve"> PAGEREF _Toc220190018 \h </w:instrText>
          </w:r>
          <w:r>
            <w:fldChar w:fldCharType="separate"/>
          </w:r>
          <w:r>
            <w:t>13</w:t>
          </w:r>
          <w:r>
            <w:fldChar w:fldCharType="end"/>
          </w:r>
          <w:r>
            <w:fldChar w:fldCharType="end"/>
          </w:r>
        </w:p>
        <w:p w14:paraId="7BB3151F">
          <w:pPr>
            <w:pStyle w:val="34"/>
            <w:rPr>
              <w:rFonts w:asciiTheme="minorHAnsi" w:hAnsiTheme="minorHAnsi" w:eastAsiaTheme="minorEastAsia" w:cstheme="minorBidi"/>
              <w:szCs w:val="24"/>
            </w:rPr>
          </w:pPr>
          <w:r>
            <w:fldChar w:fldCharType="begin"/>
          </w:r>
          <w:r>
            <w:instrText xml:space="preserve"> HYPERLINK \l "_Toc220190019" </w:instrText>
          </w:r>
          <w:r>
            <w:fldChar w:fldCharType="separate"/>
          </w:r>
          <w:r>
            <w:rPr>
              <w:rStyle w:val="48"/>
              <w:rFonts w:hAnsi="Times New Roman"/>
              <w:b/>
              <w:bCs/>
            </w:rPr>
            <w:t>8.6</w:t>
          </w:r>
          <w:r>
            <w:rPr>
              <w:rStyle w:val="48"/>
            </w:rPr>
            <w:t xml:space="preserve"> 测试报告及评审要求</w:t>
          </w:r>
          <w:r>
            <w:tab/>
          </w:r>
          <w:r>
            <w:fldChar w:fldCharType="begin"/>
          </w:r>
          <w:r>
            <w:instrText xml:space="preserve"> PAGEREF _Toc220190019 \h </w:instrText>
          </w:r>
          <w:r>
            <w:fldChar w:fldCharType="separate"/>
          </w:r>
          <w:r>
            <w:t>14</w:t>
          </w:r>
          <w:r>
            <w:fldChar w:fldCharType="end"/>
          </w:r>
          <w:r>
            <w:fldChar w:fldCharType="end"/>
          </w:r>
        </w:p>
        <w:p w14:paraId="203E52C1">
          <w:pPr>
            <w:pStyle w:val="25"/>
            <w:spacing w:before="78" w:after="78"/>
            <w:rPr>
              <w:rFonts w:asciiTheme="minorHAnsi" w:hAnsiTheme="minorHAnsi" w:eastAsiaTheme="minorEastAsia" w:cstheme="minorBidi"/>
              <w:szCs w:val="24"/>
            </w:rPr>
          </w:pPr>
          <w:r>
            <w:fldChar w:fldCharType="begin"/>
          </w:r>
          <w:r>
            <w:instrText xml:space="preserve"> HYPERLINK \l "_Toc220190020" </w:instrText>
          </w:r>
          <w:r>
            <w:fldChar w:fldCharType="separate"/>
          </w:r>
          <w:r>
            <w:rPr>
              <w:rStyle w:val="48"/>
              <w:b/>
              <w:bCs/>
            </w:rPr>
            <w:t>9</w:t>
          </w:r>
          <w:r>
            <w:rPr>
              <w:rStyle w:val="48"/>
            </w:rPr>
            <w:t xml:space="preserve"> 运维要求</w:t>
          </w:r>
          <w:r>
            <w:tab/>
          </w:r>
          <w:r>
            <w:fldChar w:fldCharType="begin"/>
          </w:r>
          <w:r>
            <w:instrText xml:space="preserve"> PAGEREF _Toc220190020 \h </w:instrText>
          </w:r>
          <w:r>
            <w:fldChar w:fldCharType="separate"/>
          </w:r>
          <w:r>
            <w:t>14</w:t>
          </w:r>
          <w:r>
            <w:fldChar w:fldCharType="end"/>
          </w:r>
          <w:r>
            <w:fldChar w:fldCharType="end"/>
          </w:r>
        </w:p>
        <w:p w14:paraId="11F97FC5">
          <w:pPr>
            <w:pStyle w:val="34"/>
            <w:rPr>
              <w:rFonts w:asciiTheme="minorHAnsi" w:hAnsiTheme="minorHAnsi" w:eastAsiaTheme="minorEastAsia" w:cstheme="minorBidi"/>
              <w:szCs w:val="24"/>
            </w:rPr>
          </w:pPr>
          <w:r>
            <w:fldChar w:fldCharType="begin"/>
          </w:r>
          <w:r>
            <w:instrText xml:space="preserve"> HYPERLINK \l "_Toc220190021" </w:instrText>
          </w:r>
          <w:r>
            <w:fldChar w:fldCharType="separate"/>
          </w:r>
          <w:r>
            <w:rPr>
              <w:rStyle w:val="48"/>
              <w:rFonts w:hAnsi="Times New Roman"/>
              <w:b/>
              <w:bCs/>
            </w:rPr>
            <w:t>9.1</w:t>
          </w:r>
          <w:r>
            <w:rPr>
              <w:rStyle w:val="48"/>
            </w:rPr>
            <w:t xml:space="preserve"> 运维技术支撑要求</w:t>
          </w:r>
          <w:r>
            <w:tab/>
          </w:r>
          <w:r>
            <w:fldChar w:fldCharType="begin"/>
          </w:r>
          <w:r>
            <w:instrText xml:space="preserve"> PAGEREF _Toc220190021 \h </w:instrText>
          </w:r>
          <w:r>
            <w:fldChar w:fldCharType="separate"/>
          </w:r>
          <w:r>
            <w:t>14</w:t>
          </w:r>
          <w:r>
            <w:fldChar w:fldCharType="end"/>
          </w:r>
          <w:r>
            <w:fldChar w:fldCharType="end"/>
          </w:r>
        </w:p>
        <w:p w14:paraId="2BA77140">
          <w:pPr>
            <w:pStyle w:val="34"/>
            <w:rPr>
              <w:rFonts w:asciiTheme="minorHAnsi" w:hAnsiTheme="minorHAnsi" w:eastAsiaTheme="minorEastAsia" w:cstheme="minorBidi"/>
              <w:szCs w:val="24"/>
            </w:rPr>
          </w:pPr>
          <w:r>
            <w:fldChar w:fldCharType="begin"/>
          </w:r>
          <w:r>
            <w:instrText xml:space="preserve"> HYPERLINK \l "_Toc220190022" </w:instrText>
          </w:r>
          <w:r>
            <w:fldChar w:fldCharType="separate"/>
          </w:r>
          <w:r>
            <w:rPr>
              <w:rStyle w:val="48"/>
              <w:rFonts w:hAnsi="Times New Roman"/>
              <w:b/>
              <w:bCs/>
            </w:rPr>
            <w:t>9.2</w:t>
          </w:r>
          <w:r>
            <w:rPr>
              <w:rStyle w:val="48"/>
            </w:rPr>
            <w:t xml:space="preserve"> AI芯片与算法模型运维</w:t>
          </w:r>
          <w:r>
            <w:tab/>
          </w:r>
          <w:r>
            <w:fldChar w:fldCharType="begin"/>
          </w:r>
          <w:r>
            <w:instrText xml:space="preserve"> PAGEREF _Toc220190022 \h </w:instrText>
          </w:r>
          <w:r>
            <w:fldChar w:fldCharType="separate"/>
          </w:r>
          <w:r>
            <w:t>14</w:t>
          </w:r>
          <w:r>
            <w:fldChar w:fldCharType="end"/>
          </w:r>
          <w:r>
            <w:fldChar w:fldCharType="end"/>
          </w:r>
        </w:p>
        <w:p w14:paraId="51B05F11">
          <w:pPr>
            <w:pStyle w:val="34"/>
            <w:rPr>
              <w:rFonts w:asciiTheme="minorHAnsi" w:hAnsiTheme="minorHAnsi" w:eastAsiaTheme="minorEastAsia" w:cstheme="minorBidi"/>
              <w:szCs w:val="24"/>
            </w:rPr>
          </w:pPr>
          <w:r>
            <w:fldChar w:fldCharType="begin"/>
          </w:r>
          <w:r>
            <w:instrText xml:space="preserve"> HYPERLINK \l "_Toc220190023" </w:instrText>
          </w:r>
          <w:r>
            <w:fldChar w:fldCharType="separate"/>
          </w:r>
          <w:r>
            <w:rPr>
              <w:rStyle w:val="48"/>
              <w:rFonts w:hAnsi="Times New Roman"/>
              <w:b/>
              <w:bCs/>
            </w:rPr>
            <w:t>9.3</w:t>
          </w:r>
          <w:r>
            <w:rPr>
              <w:rStyle w:val="48"/>
            </w:rPr>
            <w:t xml:space="preserve"> 数据与安全运维管理</w:t>
          </w:r>
          <w:r>
            <w:tab/>
          </w:r>
          <w:r>
            <w:fldChar w:fldCharType="begin"/>
          </w:r>
          <w:r>
            <w:instrText xml:space="preserve"> PAGEREF _Toc220190023 \h </w:instrText>
          </w:r>
          <w:r>
            <w:fldChar w:fldCharType="separate"/>
          </w:r>
          <w:r>
            <w:t>15</w:t>
          </w:r>
          <w:r>
            <w:fldChar w:fldCharType="end"/>
          </w:r>
          <w:r>
            <w:fldChar w:fldCharType="end"/>
          </w:r>
        </w:p>
        <w:p w14:paraId="763BFF91">
          <w:pPr>
            <w:pStyle w:val="34"/>
            <w:rPr>
              <w:rFonts w:asciiTheme="minorHAnsi" w:hAnsiTheme="minorHAnsi" w:eastAsiaTheme="minorEastAsia" w:cstheme="minorBidi"/>
              <w:szCs w:val="24"/>
            </w:rPr>
          </w:pPr>
          <w:r>
            <w:fldChar w:fldCharType="begin"/>
          </w:r>
          <w:r>
            <w:instrText xml:space="preserve"> HYPERLINK \l "_Toc220190024" </w:instrText>
          </w:r>
          <w:r>
            <w:fldChar w:fldCharType="separate"/>
          </w:r>
          <w:r>
            <w:rPr>
              <w:rStyle w:val="48"/>
              <w:rFonts w:hAnsi="Times New Roman"/>
              <w:b/>
              <w:bCs/>
            </w:rPr>
            <w:t>9.4</w:t>
          </w:r>
          <w:r>
            <w:rPr>
              <w:rStyle w:val="48"/>
            </w:rPr>
            <w:t xml:space="preserve"> 第三方接入及外部系统管理</w:t>
          </w:r>
          <w:r>
            <w:tab/>
          </w:r>
          <w:r>
            <w:fldChar w:fldCharType="begin"/>
          </w:r>
          <w:r>
            <w:instrText xml:space="preserve"> PAGEREF _Toc220190024 \h </w:instrText>
          </w:r>
          <w:r>
            <w:fldChar w:fldCharType="separate"/>
          </w:r>
          <w:r>
            <w:t>15</w:t>
          </w:r>
          <w:r>
            <w:fldChar w:fldCharType="end"/>
          </w:r>
          <w:r>
            <w:fldChar w:fldCharType="end"/>
          </w:r>
        </w:p>
        <w:p w14:paraId="76C84932">
          <w:pPr>
            <w:pStyle w:val="34"/>
            <w:rPr>
              <w:rFonts w:asciiTheme="minorHAnsi" w:hAnsiTheme="minorHAnsi" w:eastAsiaTheme="minorEastAsia" w:cstheme="minorBidi"/>
              <w:szCs w:val="24"/>
            </w:rPr>
          </w:pPr>
          <w:r>
            <w:fldChar w:fldCharType="begin"/>
          </w:r>
          <w:r>
            <w:instrText xml:space="preserve"> HYPERLINK \l "_Toc220190025" </w:instrText>
          </w:r>
          <w:r>
            <w:fldChar w:fldCharType="separate"/>
          </w:r>
          <w:r>
            <w:rPr>
              <w:rStyle w:val="48"/>
              <w:rFonts w:hAnsi="Times New Roman"/>
              <w:b/>
              <w:bCs/>
            </w:rPr>
            <w:t>9.5</w:t>
          </w:r>
          <w:r>
            <w:rPr>
              <w:rStyle w:val="48"/>
            </w:rPr>
            <w:t xml:space="preserve"> 维档案与持续改进</w:t>
          </w:r>
          <w:r>
            <w:tab/>
          </w:r>
          <w:r>
            <w:fldChar w:fldCharType="begin"/>
          </w:r>
          <w:r>
            <w:instrText xml:space="preserve"> PAGEREF _Toc220190025 \h </w:instrText>
          </w:r>
          <w:r>
            <w:fldChar w:fldCharType="separate"/>
          </w:r>
          <w:r>
            <w:t>15</w:t>
          </w:r>
          <w:r>
            <w:fldChar w:fldCharType="end"/>
          </w:r>
          <w:r>
            <w:fldChar w:fldCharType="end"/>
          </w:r>
        </w:p>
        <w:p w14:paraId="7CACF62D">
          <w:pPr>
            <w:pStyle w:val="25"/>
            <w:spacing w:before="78" w:after="78"/>
            <w:rPr>
              <w:rFonts w:asciiTheme="minorHAnsi" w:hAnsiTheme="minorHAnsi" w:eastAsiaTheme="minorEastAsia" w:cstheme="minorBidi"/>
              <w:szCs w:val="24"/>
            </w:rPr>
          </w:pPr>
          <w:r>
            <w:fldChar w:fldCharType="begin"/>
          </w:r>
          <w:r>
            <w:instrText xml:space="preserve"> HYPERLINK \l "_Toc220190026" </w:instrText>
          </w:r>
          <w:r>
            <w:fldChar w:fldCharType="separate"/>
          </w:r>
          <w:r>
            <w:rPr>
              <w:rStyle w:val="48"/>
              <w:rFonts w:hAnsi="Times New Roman"/>
            </w:rPr>
            <w:t>附　录　A</w:t>
          </w:r>
          <w:r>
            <w:rPr>
              <w:rStyle w:val="48"/>
              <w:kern w:val="21"/>
            </w:rPr>
            <w:t xml:space="preserve"> （规范性）</w:t>
          </w:r>
          <w:r>
            <w:tab/>
          </w:r>
          <w:r>
            <w:fldChar w:fldCharType="begin"/>
          </w:r>
          <w:r>
            <w:instrText xml:space="preserve"> PAGEREF _Toc220190026 \h </w:instrText>
          </w:r>
          <w:r>
            <w:fldChar w:fldCharType="separate"/>
          </w:r>
          <w:r>
            <w:t>16</w:t>
          </w:r>
          <w:r>
            <w:fldChar w:fldCharType="end"/>
          </w:r>
          <w:r>
            <w:fldChar w:fldCharType="end"/>
          </w:r>
        </w:p>
        <w:p w14:paraId="126D15A9">
          <w:pPr>
            <w:pStyle w:val="25"/>
            <w:spacing w:before="78" w:after="78"/>
            <w:rPr>
              <w:rFonts w:asciiTheme="minorHAnsi" w:hAnsiTheme="minorHAnsi" w:eastAsiaTheme="minorEastAsia" w:cstheme="minorBidi"/>
              <w:szCs w:val="24"/>
            </w:rPr>
          </w:pPr>
          <w:r>
            <w:fldChar w:fldCharType="begin"/>
          </w:r>
          <w:r>
            <w:instrText xml:space="preserve"> HYPERLINK \l "_Toc220190027" </w:instrText>
          </w:r>
          <w:r>
            <w:fldChar w:fldCharType="separate"/>
          </w:r>
          <w:r>
            <w:rPr>
              <w:rStyle w:val="48"/>
              <w:rFonts w:hAnsi="Times New Roman"/>
            </w:rPr>
            <w:t>附　录　A</w:t>
          </w:r>
          <w:r>
            <w:rPr>
              <w:rStyle w:val="48"/>
              <w:kern w:val="21"/>
            </w:rPr>
            <w:t xml:space="preserve"> （规范性）</w:t>
          </w:r>
          <w:r>
            <w:tab/>
          </w:r>
          <w:r>
            <w:fldChar w:fldCharType="begin"/>
          </w:r>
          <w:r>
            <w:instrText xml:space="preserve"> PAGEREF _Toc220190027 \h </w:instrText>
          </w:r>
          <w:r>
            <w:fldChar w:fldCharType="separate"/>
          </w:r>
          <w:r>
            <w:t>17</w:t>
          </w:r>
          <w:r>
            <w:fldChar w:fldCharType="end"/>
          </w:r>
          <w:r>
            <w:fldChar w:fldCharType="end"/>
          </w:r>
        </w:p>
        <w:p w14:paraId="7DE4AADD">
          <w:pPr>
            <w:pStyle w:val="25"/>
            <w:spacing w:before="78" w:after="78"/>
            <w:rPr>
              <w:rFonts w:asciiTheme="minorHAnsi" w:hAnsiTheme="minorHAnsi" w:eastAsiaTheme="minorEastAsia" w:cstheme="minorBidi"/>
              <w:szCs w:val="24"/>
            </w:rPr>
          </w:pPr>
          <w:r>
            <w:fldChar w:fldCharType="begin"/>
          </w:r>
          <w:r>
            <w:instrText xml:space="preserve"> HYPERLINK \l "_Toc220190028" </w:instrText>
          </w:r>
          <w:r>
            <w:fldChar w:fldCharType="separate"/>
          </w:r>
          <w:r>
            <w:rPr>
              <w:rStyle w:val="48"/>
              <w:rFonts w:hAnsi="Times New Roman"/>
            </w:rPr>
            <w:t>附　录　B</w:t>
          </w:r>
          <w:r>
            <w:rPr>
              <w:rStyle w:val="48"/>
              <w:kern w:val="21"/>
            </w:rPr>
            <w:t xml:space="preserve"> （资料性）</w:t>
          </w:r>
          <w:r>
            <w:tab/>
          </w:r>
          <w:r>
            <w:fldChar w:fldCharType="begin"/>
          </w:r>
          <w:r>
            <w:instrText xml:space="preserve"> PAGEREF _Toc220190028 \h </w:instrText>
          </w:r>
          <w:r>
            <w:fldChar w:fldCharType="separate"/>
          </w:r>
          <w:r>
            <w:t>18</w:t>
          </w:r>
          <w:r>
            <w:fldChar w:fldCharType="end"/>
          </w:r>
          <w:r>
            <w:fldChar w:fldCharType="end"/>
          </w:r>
        </w:p>
        <w:p w14:paraId="0E9703C8">
          <w:r>
            <w:fldChar w:fldCharType="end"/>
          </w:r>
        </w:p>
      </w:sdtContent>
    </w:sdt>
    <w:p w14:paraId="5278D304">
      <w:pPr>
        <w:pStyle w:val="2"/>
      </w:pPr>
    </w:p>
    <w:p w14:paraId="0044259C">
      <w:pPr>
        <w:pStyle w:val="136"/>
        <w:spacing w:after="680"/>
        <w:rPr>
          <w:rFonts w:ascii="Times New Roman" w:hAnsi="Arial"/>
        </w:rPr>
      </w:pPr>
      <w:bookmarkStart w:id="7" w:name="_Toc19447"/>
      <w:bookmarkStart w:id="8" w:name="_Toc4535"/>
      <w:bookmarkStart w:id="9" w:name="_Toc217822729"/>
      <w:bookmarkStart w:id="10" w:name="_Toc217822942"/>
      <w:bookmarkStart w:id="11" w:name="_Toc220189988"/>
      <w:bookmarkStart w:id="12" w:name="_Toc30321"/>
      <w:r>
        <w:rPr>
          <w:rFonts w:hint="eastAsia" w:ascii="Times New Roman" w:hAnsi="Arial"/>
        </w:rPr>
        <w:t>前  言</w:t>
      </w:r>
      <w:bookmarkEnd w:id="7"/>
      <w:bookmarkEnd w:id="8"/>
      <w:bookmarkEnd w:id="9"/>
      <w:bookmarkEnd w:id="10"/>
      <w:bookmarkEnd w:id="11"/>
      <w:bookmarkEnd w:id="12"/>
    </w:p>
    <w:p w14:paraId="51638D64">
      <w:pPr>
        <w:pStyle w:val="198"/>
        <w:snapToGrid w:val="0"/>
        <w:ind w:firstLine="420"/>
      </w:pPr>
      <w:r>
        <w:rPr>
          <w:rFonts w:hint="eastAsia"/>
        </w:rPr>
        <w:t>本文件按照GB/T 1.1-2020《标准化工作导则</w:t>
      </w:r>
      <w:r>
        <w:rPr>
          <w:rFonts w:ascii="黑体" w:hAnsi="黑体" w:eastAsia="黑体"/>
        </w:rPr>
        <w:t xml:space="preserve">  </w:t>
      </w:r>
      <w:r>
        <w:rPr>
          <w:rFonts w:hint="eastAsia"/>
        </w:rPr>
        <w:t>第1部分：标准化文件的结构和起草规则》的规定起草。</w:t>
      </w:r>
    </w:p>
    <w:p w14:paraId="73340640">
      <w:pPr>
        <w:pStyle w:val="198"/>
        <w:snapToGrid w:val="0"/>
        <w:ind w:firstLine="420"/>
      </w:pPr>
      <w:r>
        <w:rPr>
          <w:rFonts w:hint="eastAsia"/>
        </w:rPr>
        <w:t>请注意本文件的某些内容可能涉及专利。本文件的发布机构不承担识别专利的责任。</w:t>
      </w:r>
    </w:p>
    <w:p w14:paraId="2DE0B412">
      <w:pPr>
        <w:pStyle w:val="198"/>
        <w:snapToGrid w:val="0"/>
        <w:ind w:firstLine="420"/>
      </w:pPr>
      <w:r>
        <w:rPr>
          <w:rFonts w:hint="eastAsia"/>
        </w:rPr>
        <w:t>本文件由中国电力建设企业协会提出。</w:t>
      </w:r>
    </w:p>
    <w:p w14:paraId="2068E2E5">
      <w:pPr>
        <w:pStyle w:val="198"/>
        <w:snapToGrid w:val="0"/>
        <w:ind w:firstLine="420"/>
      </w:pPr>
      <w:r>
        <w:rPr>
          <w:rFonts w:hint="eastAsia"/>
        </w:rPr>
        <w:t>本文件由中国电力建设企业协会标准化管理委员会归口。</w:t>
      </w:r>
    </w:p>
    <w:p w14:paraId="72D52230">
      <w:pPr>
        <w:pStyle w:val="198"/>
        <w:snapToGrid w:val="0"/>
        <w:ind w:firstLine="420"/>
      </w:pPr>
      <w:r>
        <w:rPr>
          <w:rFonts w:hint="eastAsia"/>
        </w:rPr>
        <w:t>本文件起草单位：</w:t>
      </w:r>
    </w:p>
    <w:p w14:paraId="758D71B6">
      <w:pPr>
        <w:pStyle w:val="199"/>
        <w:snapToGrid w:val="0"/>
        <w:ind w:firstLine="420"/>
        <w:rPr>
          <w:kern w:val="2"/>
        </w:rPr>
      </w:pPr>
      <w:r>
        <w:rPr>
          <w:rFonts w:hint="eastAsia"/>
          <w:kern w:val="2"/>
        </w:rPr>
        <w:t>本文件主要起草人：</w:t>
      </w:r>
    </w:p>
    <w:p w14:paraId="4E505112">
      <w:pPr>
        <w:pStyle w:val="199"/>
        <w:snapToGrid w:val="0"/>
        <w:ind w:firstLine="420"/>
        <w:rPr>
          <w:rFonts w:hAnsi="Times New Roman"/>
          <w:color w:val="000000" w:themeColor="text1"/>
          <w:szCs w:val="20"/>
          <w14:textFill>
            <w14:solidFill>
              <w14:schemeClr w14:val="tx1"/>
            </w14:solidFill>
          </w14:textFill>
        </w:rPr>
      </w:pPr>
      <w:r>
        <w:rPr>
          <w:rFonts w:hint="eastAsia"/>
          <w:kern w:val="2"/>
        </w:rPr>
        <w:t>本文件主要审查人：</w:t>
      </w:r>
    </w:p>
    <w:p w14:paraId="7A43066A">
      <w:pPr>
        <w:pStyle w:val="20"/>
      </w:pPr>
    </w:p>
    <w:p w14:paraId="7859F968">
      <w:pPr>
        <w:pStyle w:val="20"/>
        <w:ind w:left="0" w:leftChars="0"/>
        <w:jc w:val="center"/>
        <w:rPr>
          <w:rFonts w:ascii="黑体" w:eastAsia="黑体" w:cs="宋体"/>
          <w:color w:val="000000" w:themeColor="text1"/>
          <w:kern w:val="0"/>
          <w:sz w:val="32"/>
          <w:szCs w:val="20"/>
          <w14:textFill>
            <w14:solidFill>
              <w14:schemeClr w14:val="tx1"/>
            </w14:solidFill>
          </w14:textFill>
        </w:rPr>
      </w:pPr>
    </w:p>
    <w:p w14:paraId="2EC1F003">
      <w:pPr>
        <w:pStyle w:val="20"/>
        <w:ind w:left="0" w:leftChars="0"/>
        <w:jc w:val="center"/>
        <w:rPr>
          <w:rFonts w:ascii="黑体" w:eastAsia="黑体" w:cs="宋体"/>
          <w:color w:val="000000" w:themeColor="text1"/>
          <w:kern w:val="0"/>
          <w:sz w:val="32"/>
          <w:szCs w:val="20"/>
          <w14:textFill>
            <w14:solidFill>
              <w14:schemeClr w14:val="tx1"/>
            </w14:solidFill>
          </w14:textFill>
        </w:rPr>
        <w:sectPr>
          <w:footerReference r:id="rId8" w:type="default"/>
          <w:footerReference r:id="rId9" w:type="even"/>
          <w:pgSz w:w="11906" w:h="16838"/>
          <w:pgMar w:top="1134" w:right="1134" w:bottom="1134" w:left="1134" w:header="737" w:footer="737" w:gutter="0"/>
          <w:pgNumType w:fmt="upperRoman" w:start="1"/>
          <w:cols w:space="425" w:num="1"/>
          <w:formProt w:val="0"/>
          <w:docGrid w:type="lines" w:linePitch="312" w:charSpace="0"/>
        </w:sectPr>
      </w:pPr>
    </w:p>
    <w:p w14:paraId="612165D9">
      <w:pPr>
        <w:pStyle w:val="20"/>
        <w:ind w:left="0" w:leftChars="0"/>
        <w:jc w:val="center"/>
        <w:rPr>
          <w:rFonts w:ascii="黑体" w:eastAsia="黑体" w:cs="宋体"/>
          <w:color w:val="000000" w:themeColor="text1"/>
          <w:kern w:val="0"/>
          <w:sz w:val="32"/>
          <w:szCs w:val="20"/>
          <w14:textFill>
            <w14:solidFill>
              <w14:schemeClr w14:val="tx1"/>
            </w14:solidFill>
          </w14:textFill>
        </w:rPr>
      </w:pPr>
      <w:r>
        <w:rPr>
          <w:rFonts w:hint="eastAsia" w:ascii="黑体" w:eastAsia="黑体" w:cs="宋体"/>
          <w:color w:val="000000" w:themeColor="text1"/>
          <w:kern w:val="0"/>
          <w:sz w:val="32"/>
          <w:szCs w:val="20"/>
          <w14:textFill>
            <w14:solidFill>
              <w14:schemeClr w14:val="tx1"/>
            </w14:solidFill>
          </w14:textFill>
        </w:rPr>
        <w:t>智能微电网</w:t>
      </w:r>
      <w:r>
        <w:rPr>
          <w:rFonts w:ascii="黑体" w:eastAsia="黑体" w:cs="宋体"/>
          <w:color w:val="000000" w:themeColor="text1"/>
          <w:kern w:val="0"/>
          <w:sz w:val="32"/>
          <w:szCs w:val="20"/>
          <w14:textFill>
            <w14:solidFill>
              <w14:schemeClr w14:val="tx1"/>
            </w14:solidFill>
          </w14:textFill>
        </w:rPr>
        <w:t>AI芯片应用与跨域安全技术规范</w:t>
      </w:r>
    </w:p>
    <w:p w14:paraId="594D2FF7">
      <w:pPr>
        <w:pStyle w:val="54"/>
        <w:spacing w:before="312" w:after="312"/>
        <w:outlineLvl w:val="0"/>
        <w:rPr>
          <w:color w:val="000000" w:themeColor="text1"/>
          <w:szCs w:val="21"/>
          <w14:textFill>
            <w14:solidFill>
              <w14:schemeClr w14:val="tx1"/>
            </w14:solidFill>
          </w14:textFill>
        </w:rPr>
      </w:pPr>
      <w:bookmarkStart w:id="13" w:name="_Toc217822730"/>
      <w:bookmarkStart w:id="14" w:name="_Toc217822943"/>
      <w:bookmarkStart w:id="15" w:name="_Toc12470"/>
      <w:bookmarkStart w:id="16" w:name="_Toc25559"/>
      <w:bookmarkStart w:id="17" w:name="_Toc220189989"/>
      <w:r>
        <w:rPr>
          <w:rFonts w:hint="eastAsia"/>
          <w:color w:val="000000" w:themeColor="text1"/>
          <w:szCs w:val="21"/>
          <w14:textFill>
            <w14:solidFill>
              <w14:schemeClr w14:val="tx1"/>
            </w14:solidFill>
          </w14:textFill>
        </w:rPr>
        <w:t>范围</w:t>
      </w:r>
      <w:bookmarkEnd w:id="13"/>
      <w:bookmarkEnd w:id="14"/>
      <w:bookmarkEnd w:id="15"/>
      <w:bookmarkEnd w:id="16"/>
      <w:bookmarkEnd w:id="17"/>
    </w:p>
    <w:p w14:paraId="0135F36C">
      <w:pPr>
        <w:pStyle w:val="2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本文件规定了智能微电网系统中</w:t>
      </w:r>
      <w:r>
        <w:rPr>
          <w:color w:val="000000" w:themeColor="text1"/>
          <w:szCs w:val="21"/>
          <w14:textFill>
            <w14:solidFill>
              <w14:schemeClr w14:val="tx1"/>
            </w14:solidFill>
          </w14:textFill>
        </w:rPr>
        <w:t>AI芯片的</w:t>
      </w:r>
      <w:r>
        <w:rPr>
          <w:rFonts w:hint="eastAsia"/>
          <w:color w:val="000000" w:themeColor="text1"/>
          <w:szCs w:val="21"/>
          <w14:textFill>
            <w14:solidFill>
              <w14:schemeClr w14:val="tx1"/>
            </w14:solidFill>
          </w14:textFill>
        </w:rPr>
        <w:t>安全</w:t>
      </w:r>
      <w:r>
        <w:rPr>
          <w:color w:val="000000" w:themeColor="text1"/>
          <w:szCs w:val="21"/>
          <w14:textFill>
            <w14:solidFill>
              <w14:schemeClr w14:val="tx1"/>
            </w14:solidFill>
          </w14:textFill>
        </w:rPr>
        <w:t>应用要求，包括系统架构、AI芯片功能与性能要求、跨域安全防护策略、数据安全、通信安全和测试验证方法。</w:t>
      </w:r>
    </w:p>
    <w:p w14:paraId="0DC81DCD">
      <w:pPr>
        <w:pStyle w:val="29"/>
        <w:rPr>
          <w:color w:val="000000" w:themeColor="text1"/>
          <w14:textFill>
            <w14:solidFill>
              <w14:schemeClr w14:val="tx1"/>
            </w14:solidFill>
          </w14:textFill>
        </w:rPr>
      </w:pPr>
      <w:r>
        <w:rPr>
          <w:color w:val="000000" w:themeColor="text1"/>
          <w:szCs w:val="21"/>
          <w14:textFill>
            <w14:solidFill>
              <w14:schemeClr w14:val="tx1"/>
            </w14:solidFill>
          </w14:textFill>
        </w:rPr>
        <w:t>本文件适用于智能微电网及分布式能源系统中AI芯片的选型配置、集成应用、测试验收及运行维护。</w:t>
      </w:r>
    </w:p>
    <w:p w14:paraId="512BF15A">
      <w:pPr>
        <w:pStyle w:val="54"/>
        <w:spacing w:before="312" w:after="312"/>
        <w:outlineLvl w:val="0"/>
        <w:rPr>
          <w:color w:val="000000" w:themeColor="text1"/>
          <w:szCs w:val="21"/>
          <w14:textFill>
            <w14:solidFill>
              <w14:schemeClr w14:val="tx1"/>
            </w14:solidFill>
          </w14:textFill>
        </w:rPr>
      </w:pPr>
      <w:bookmarkStart w:id="18" w:name="_Toc217822944"/>
      <w:bookmarkStart w:id="19" w:name="_Toc217822731"/>
      <w:bookmarkStart w:id="20" w:name="_Toc31413"/>
      <w:bookmarkStart w:id="21" w:name="_Toc10482"/>
      <w:bookmarkStart w:id="22" w:name="_Toc220189990"/>
      <w:r>
        <w:rPr>
          <w:rFonts w:hint="eastAsia"/>
          <w:color w:val="000000" w:themeColor="text1"/>
          <w:szCs w:val="21"/>
          <w14:textFill>
            <w14:solidFill>
              <w14:schemeClr w14:val="tx1"/>
            </w14:solidFill>
          </w14:textFill>
        </w:rPr>
        <w:t>规范性引用文件</w:t>
      </w:r>
      <w:bookmarkEnd w:id="18"/>
      <w:bookmarkEnd w:id="19"/>
      <w:bookmarkEnd w:id="20"/>
      <w:bookmarkEnd w:id="21"/>
      <w:bookmarkEnd w:id="22"/>
    </w:p>
    <w:p w14:paraId="1DD6F1A9">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EFB996D">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2423</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电工电子产品环境试验</w:t>
      </w:r>
    </w:p>
    <w:p w14:paraId="59FAA662">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17626 电磁兼容 试验和测量技术</w:t>
      </w:r>
    </w:p>
    <w:p w14:paraId="5A01A806">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19582基于 Modbus 协议的工业自动化网络规范</w:t>
      </w:r>
    </w:p>
    <w:p w14:paraId="7E173EB8">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22239信息安全技术 网络安全等级保护基本要求</w:t>
      </w:r>
    </w:p>
    <w:p w14:paraId="0C97E0E6">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27930非车载传导式充电机与电动汽车之间的数字通信协议</w:t>
      </w:r>
    </w:p>
    <w:p w14:paraId="109A6406">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28448信息安全技术 网络安全等级保护测评要求</w:t>
      </w:r>
    </w:p>
    <w:p w14:paraId="399B8E8E">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33592分布式电源接入电网运行控制规范</w:t>
      </w:r>
    </w:p>
    <w:p w14:paraId="4C0F1555">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36572</w:t>
      </w:r>
      <w:r>
        <w:rPr>
          <w:rFonts w:hint="eastAsia"/>
          <w:color w:val="000000" w:themeColor="text1"/>
          <w14:textFill>
            <w14:solidFill>
              <w14:schemeClr w14:val="tx1"/>
            </w14:solidFill>
          </w14:textFill>
        </w:rPr>
        <w:t xml:space="preserve">-2018 </w:t>
      </w:r>
      <w:r>
        <w:rPr>
          <w:color w:val="000000" w:themeColor="text1"/>
          <w14:textFill>
            <w14:solidFill>
              <w14:schemeClr w14:val="tx1"/>
            </w14:solidFill>
          </w14:textFill>
        </w:rPr>
        <w:t>电力监控系统网络安全防护导则</w:t>
      </w:r>
    </w:p>
    <w:p w14:paraId="1FB89D81">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36274-2018</w:t>
      </w:r>
      <w:r>
        <w:rPr>
          <w:rFonts w:hint="eastAsia"/>
          <w:color w:val="000000" w:themeColor="text1"/>
          <w14:textFill>
            <w14:solidFill>
              <w14:schemeClr w14:val="tx1"/>
            </w14:solidFill>
          </w14:textFill>
        </w:rPr>
        <w:t xml:space="preserve"> 微电网能量管理系统技术规范</w:t>
      </w:r>
    </w:p>
    <w:p w14:paraId="087F0F05">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36547电化学储能电站接入电网技术规定</w:t>
      </w:r>
    </w:p>
    <w:p w14:paraId="60CDDB7A">
      <w:pPr>
        <w:pStyle w:val="29"/>
        <w:tabs>
          <w:tab w:val="left" w:pos="1356"/>
          <w:tab w:val="clear" w:pos="4201"/>
          <w:tab w:val="clear" w:pos="9298"/>
        </w:tabs>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36637信息安全技术 ICT供应链安全风险管理指南</w:t>
      </w:r>
    </w:p>
    <w:p w14:paraId="06451312">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37044-2018 信息安全技术 物联网安全参考模型及通用要求</w:t>
      </w:r>
    </w:p>
    <w:p w14:paraId="19C89293">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38953</w:t>
      </w:r>
      <w:r>
        <w:rPr>
          <w:rFonts w:hint="eastAsia"/>
          <w:color w:val="000000" w:themeColor="text1"/>
          <w14:textFill>
            <w14:solidFill>
              <w14:schemeClr w14:val="tx1"/>
            </w14:solidFill>
          </w14:textFill>
        </w:rPr>
        <w:t>微电网继电保护技术规定</w:t>
      </w:r>
    </w:p>
    <w:p w14:paraId="3147F6F0">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40813信息安全技术 工业控制系统测控终端安全要求</w:t>
      </w:r>
    </w:p>
    <w:p w14:paraId="60F16349">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41479信息安全技术 网络数据处理安全要求</w:t>
      </w:r>
    </w:p>
    <w:p w14:paraId="277ACC73">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41780.1-2022 物联网边缘计算 第1部分：通用要求</w:t>
      </w:r>
    </w:p>
    <w:p w14:paraId="5A5EF448">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41864-2022 信息技术 计算机视觉 术语</w:t>
      </w:r>
    </w:p>
    <w:p w14:paraId="711E74AA">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41867-2022 信息技术 人工智能 术语</w:t>
      </w:r>
    </w:p>
    <w:p w14:paraId="2D0224F4">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42731</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微电网技术要求</w:t>
      </w:r>
    </w:p>
    <w:p w14:paraId="49F7EFAD">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46284</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人工智能 联邦学习技术规范</w:t>
      </w:r>
    </w:p>
    <w:p w14:paraId="47B29245">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43696-2024 网络安全技术 零信任参考体系架构</w:t>
      </w:r>
    </w:p>
    <w:p w14:paraId="28A2336A">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43697信息安全技术 数据分类分级规则</w:t>
      </w:r>
    </w:p>
    <w:p w14:paraId="719B34E2">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43698-2024 网络安全技术 软件供应链安全要求</w:t>
      </w:r>
    </w:p>
    <w:p w14:paraId="4B8F0D24">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45087</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用户侧分布式储能系统并网接口检验规范</w:t>
      </w:r>
    </w:p>
    <w:p w14:paraId="4EA2A181">
      <w:pPr>
        <w:pStyle w:val="29"/>
        <w:adjustRightInd w:val="0"/>
        <w:snapToGrid w:val="0"/>
        <w:rPr>
          <w:rFonts w:hint="eastAsia"/>
          <w:color w:val="000000" w:themeColor="text1"/>
          <w14:textFill>
            <w14:solidFill>
              <w14:schemeClr w14:val="tx1"/>
            </w14:solidFill>
          </w14:textFill>
        </w:rPr>
      </w:pPr>
      <w:r>
        <w:rPr>
          <w:color w:val="000000" w:themeColor="text1"/>
          <w14:textFill>
            <w14:solidFill>
              <w14:schemeClr w14:val="tx1"/>
            </w14:solidFill>
          </w14:textFill>
        </w:rPr>
        <w:t>GB/T 45994</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信息技术 大数据 跨域数据可信共享参考架构</w:t>
      </w:r>
    </w:p>
    <w:p w14:paraId="19954069">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46346</w:t>
      </w:r>
      <w:r>
        <w:rPr>
          <w:rFonts w:hint="eastAsia"/>
          <w:color w:val="000000" w:themeColor="text1"/>
          <w14:textFill>
            <w14:solidFill>
              <w14:schemeClr w14:val="tx1"/>
            </w14:solidFill>
          </w14:textFill>
        </w:rPr>
        <w:t xml:space="preserve"> 人工智能</w:t>
      </w:r>
      <w:r>
        <w:rPr>
          <w:color w:val="000000" w:themeColor="text1"/>
          <w14:textFill>
            <w14:solidFill>
              <w14:schemeClr w14:val="tx1"/>
            </w14:solidFill>
          </w14:textFill>
        </w:rPr>
        <w:t xml:space="preserve"> 计算中心 计算能力评估</w:t>
      </w:r>
    </w:p>
    <w:p w14:paraId="0DD4B16C">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GB/T 46662-数据中心IT系统动态能效要求和测量方法</w:t>
      </w:r>
    </w:p>
    <w:p w14:paraId="33A73555">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DL/T 634.5104远动设备及系统 第 5-104 部分：传输规约（基于 IEC 60870-5-104 标准）</w:t>
      </w:r>
    </w:p>
    <w:p w14:paraId="30B5C117">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DL/T 645多功能电能表通信协议</w:t>
      </w:r>
    </w:p>
    <w:p w14:paraId="47BD6692">
      <w:pPr>
        <w:pStyle w:val="29"/>
        <w:adjustRightInd w:val="0"/>
        <w:snapToGrid w:val="0"/>
        <w:rPr>
          <w:color w:val="000000" w:themeColor="text1"/>
          <w14:textFill>
            <w14:solidFill>
              <w14:schemeClr w14:val="tx1"/>
            </w14:solidFill>
          </w14:textFill>
        </w:rPr>
      </w:pPr>
      <w:r>
        <w:rPr>
          <w:color w:val="000000" w:themeColor="text1"/>
          <w14:textFill>
            <w14:solidFill>
              <w14:schemeClr w14:val="tx1"/>
            </w14:solidFill>
          </w14:textFill>
        </w:rPr>
        <w:t>YD/T 3944人工智能芯片基准测试评估方法</w:t>
      </w:r>
    </w:p>
    <w:p w14:paraId="4814D95D">
      <w:pPr>
        <w:pStyle w:val="29"/>
        <w:adjustRightInd w:val="0"/>
        <w:snapToGrid w:val="0"/>
        <w:rPr>
          <w:strike/>
          <w:color w:val="000000" w:themeColor="text1"/>
          <w14:textFill>
            <w14:solidFill>
              <w14:schemeClr w14:val="tx1"/>
            </w14:solidFill>
          </w14:textFill>
        </w:rPr>
      </w:pPr>
    </w:p>
    <w:p w14:paraId="62E394F5">
      <w:pPr>
        <w:pStyle w:val="54"/>
        <w:spacing w:before="312" w:after="312"/>
        <w:outlineLvl w:val="0"/>
        <w:rPr>
          <w:color w:val="000000" w:themeColor="text1"/>
          <w:szCs w:val="21"/>
          <w14:textFill>
            <w14:solidFill>
              <w14:schemeClr w14:val="tx1"/>
            </w14:solidFill>
          </w14:textFill>
        </w:rPr>
      </w:pPr>
      <w:bookmarkStart w:id="23" w:name="_Toc28598"/>
      <w:bookmarkStart w:id="24" w:name="_Toc217822732"/>
      <w:bookmarkStart w:id="25" w:name="_Toc220189991"/>
      <w:bookmarkStart w:id="26" w:name="_Toc217822945"/>
      <w:bookmarkStart w:id="27" w:name="_Toc12330"/>
      <w:r>
        <w:rPr>
          <w:rFonts w:hint="eastAsia"/>
          <w:color w:val="000000" w:themeColor="text1"/>
          <w:szCs w:val="21"/>
          <w14:textFill>
            <w14:solidFill>
              <w14:schemeClr w14:val="tx1"/>
            </w14:solidFill>
          </w14:textFill>
        </w:rPr>
        <w:t>术语和定义</w:t>
      </w:r>
      <w:bookmarkEnd w:id="23"/>
      <w:bookmarkEnd w:id="24"/>
      <w:bookmarkEnd w:id="25"/>
      <w:bookmarkEnd w:id="26"/>
      <w:bookmarkEnd w:id="27"/>
      <w:bookmarkStart w:id="28" w:name="_Toc7143"/>
      <w:bookmarkEnd w:id="28"/>
      <w:bookmarkStart w:id="29" w:name="_Toc6222"/>
      <w:bookmarkEnd w:id="29"/>
      <w:bookmarkStart w:id="30" w:name="_Toc27482"/>
      <w:bookmarkEnd w:id="30"/>
      <w:bookmarkStart w:id="31" w:name="_Toc678"/>
      <w:bookmarkEnd w:id="31"/>
      <w:bookmarkStart w:id="32" w:name="_Toc16262"/>
      <w:bookmarkEnd w:id="32"/>
      <w:bookmarkStart w:id="33" w:name="_Toc25245"/>
      <w:bookmarkEnd w:id="33"/>
      <w:bookmarkStart w:id="34" w:name="_Toc14197"/>
      <w:bookmarkEnd w:id="34"/>
    </w:p>
    <w:p w14:paraId="4FD6627B">
      <w:pPr>
        <w:pStyle w:val="203"/>
        <w:ind w:left="0"/>
        <w:rPr>
          <w:rFonts w:ascii="Times New Roman"/>
          <w:color w:val="000000" w:themeColor="text1"/>
          <w14:textFill>
            <w14:solidFill>
              <w14:schemeClr w14:val="tx1"/>
            </w14:solidFill>
          </w14:textFill>
        </w:rPr>
      </w:pPr>
      <w:bookmarkStart w:id="35" w:name="_Toc9385"/>
    </w:p>
    <w:p w14:paraId="2E227E39">
      <w:pPr>
        <w:widowControl/>
        <w:ind w:firstLine="420" w:firstLineChars="200"/>
        <w:jc w:val="left"/>
        <w:rPr>
          <w:rFonts w:ascii="黑体" w:hAnsi="Times New Roman" w:eastAsia="黑体"/>
          <w:color w:val="000000" w:themeColor="text1"/>
          <w:kern w:val="0"/>
          <w:szCs w:val="21"/>
          <w14:textFill>
            <w14:solidFill>
              <w14:schemeClr w14:val="tx1"/>
            </w14:solidFill>
          </w14:textFill>
        </w:rPr>
      </w:pPr>
      <w:r>
        <w:rPr>
          <w:rFonts w:ascii="黑体" w:hAnsi="Times New Roman" w:eastAsia="黑体"/>
          <w:color w:val="000000" w:themeColor="text1"/>
          <w:kern w:val="0"/>
          <w:szCs w:val="21"/>
          <w14:textFill>
            <w14:solidFill>
              <w14:schemeClr w14:val="tx1"/>
            </w14:solidFill>
          </w14:textFill>
        </w:rPr>
        <w:t>微电网 microgrid</w:t>
      </w:r>
    </w:p>
    <w:p w14:paraId="370E03D1">
      <w:pPr>
        <w:widowControl/>
        <w:ind w:firstLine="200"/>
        <w:jc w:val="left"/>
        <w:rPr>
          <w:rFonts w:hAnsi="Times New Roman"/>
          <w:snapToGrid w:val="0"/>
          <w:color w:val="000000" w:themeColor="text1"/>
          <w:kern w:val="0"/>
          <w:szCs w:val="20"/>
          <w14:textFill>
            <w14:solidFill>
              <w14:schemeClr w14:val="tx1"/>
            </w14:solidFill>
          </w14:textFill>
        </w:rPr>
      </w:pPr>
      <w:r>
        <w:rPr>
          <w:rFonts w:hAnsi="Times New Roman"/>
          <w:snapToGrid w:val="0"/>
          <w:color w:val="000000" w:themeColor="text1"/>
          <w:kern w:val="0"/>
          <w:szCs w:val="20"/>
          <w14:textFill>
            <w14:solidFill>
              <w14:schemeClr w14:val="tx1"/>
            </w14:solidFill>
          </w14:textFill>
        </w:rPr>
        <w:t>由分布式电源、用电负荷、监控、保护和自动化装置等组成（必要时含储能装置），是一个能够基本实现内部电力电量平衡的小型供电网络。微电网分为并网型微电网和独立型微电网。</w:t>
      </w:r>
    </w:p>
    <w:p w14:paraId="3D842742">
      <w:pPr>
        <w:pStyle w:val="29"/>
        <w:ind w:left="420" w:leftChars="200" w:firstLine="0" w:firstLineChars="0"/>
        <w:rPr>
          <w:snapToGrid w:val="0"/>
          <w:color w:val="000000" w:themeColor="text1"/>
          <w14:textFill>
            <w14:solidFill>
              <w14:schemeClr w14:val="tx1"/>
            </w14:solidFill>
          </w14:textFill>
        </w:rPr>
      </w:pPr>
      <w:bookmarkStart w:id="36" w:name="OLE_LINK1"/>
      <w:r>
        <w:rPr>
          <w:rFonts w:hint="eastAsia"/>
          <w:snapToGrid w:val="0"/>
          <w:color w:val="000000" w:themeColor="text1"/>
          <w14:textFill>
            <w14:solidFill>
              <w14:schemeClr w14:val="tx1"/>
            </w14:solidFill>
          </w14:textFill>
        </w:rPr>
        <w:t>[来源：</w:t>
      </w:r>
      <w:bookmarkStart w:id="37" w:name="OLE_LINK3"/>
      <w:r>
        <w:rPr>
          <w:snapToGrid w:val="0"/>
          <w:color w:val="000000" w:themeColor="text1"/>
          <w14:textFill>
            <w14:solidFill>
              <w14:schemeClr w14:val="tx1"/>
            </w14:solidFill>
          </w14:textFill>
        </w:rPr>
        <w:t>GB/T 36274-2018</w:t>
      </w:r>
      <w:bookmarkEnd w:id="37"/>
      <w:r>
        <w:rPr>
          <w:snapToGrid w:val="0"/>
          <w:color w:val="000000" w:themeColor="text1"/>
          <w14:textFill>
            <w14:solidFill>
              <w14:schemeClr w14:val="tx1"/>
            </w14:solidFill>
          </w14:textFill>
        </w:rPr>
        <w:t>, 3.1</w:t>
      </w:r>
      <w:r>
        <w:rPr>
          <w:rFonts w:hint="eastAsia"/>
          <w:snapToGrid w:val="0"/>
          <w:color w:val="000000" w:themeColor="text1"/>
          <w14:textFill>
            <w14:solidFill>
              <w14:schemeClr w14:val="tx1"/>
            </w14:solidFill>
          </w14:textFill>
        </w:rPr>
        <w:t>]</w:t>
      </w:r>
    </w:p>
    <w:bookmarkEnd w:id="36"/>
    <w:p w14:paraId="682610AF">
      <w:pPr>
        <w:pStyle w:val="203"/>
        <w:ind w:left="0"/>
        <w:rPr>
          <w:color w:val="000000" w:themeColor="text1"/>
          <w14:textFill>
            <w14:solidFill>
              <w14:schemeClr w14:val="tx1"/>
            </w14:solidFill>
          </w14:textFill>
        </w:rPr>
      </w:pPr>
    </w:p>
    <w:p w14:paraId="6E8CDC9A">
      <w:pPr>
        <w:pStyle w:val="203"/>
        <w:numPr>
          <w:ilvl w:val="255"/>
          <w:numId w:val="0"/>
        </w:numPr>
        <w:ind w:firstLine="420" w:firstLineChars="20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智能微电网</w:t>
      </w:r>
      <w:r>
        <w:rPr>
          <w:color w:val="000000" w:themeColor="text1"/>
          <w14:textFill>
            <w14:solidFill>
              <w14:schemeClr w14:val="tx1"/>
            </w14:solidFill>
          </w14:textFill>
        </w:rPr>
        <w:t xml:space="preserve"> Smart Microgrid</w:t>
      </w:r>
    </w:p>
    <w:p w14:paraId="2CF7EA92">
      <w:pPr>
        <w:pStyle w:val="29"/>
        <w:rPr>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在</w:t>
      </w:r>
      <w:r>
        <w:rPr>
          <w:snapToGrid w:val="0"/>
          <w:color w:val="000000" w:themeColor="text1"/>
          <w14:textFill>
            <w14:solidFill>
              <w14:schemeClr w14:val="tx1"/>
            </w14:solidFill>
          </w14:textFill>
        </w:rPr>
        <w:t>微电网的基础上，进一步集成人工智能算法、先进感知与控制技术，具备自感知、自决策、自调节能力的微电网系统。</w:t>
      </w:r>
    </w:p>
    <w:p w14:paraId="4E0C7CAC">
      <w:pPr>
        <w:pStyle w:val="29"/>
        <w:ind w:left="420" w:leftChars="200" w:firstLine="0" w:firstLineChars="0"/>
        <w:rPr>
          <w:snapToGrid w:val="0"/>
          <w:color w:val="000000" w:themeColor="text1"/>
          <w14:textFill>
            <w14:solidFill>
              <w14:schemeClr w14:val="tx1"/>
            </w14:solidFill>
          </w14:textFill>
        </w:rPr>
      </w:pPr>
      <w:r>
        <w:rPr>
          <w:snapToGrid w:val="0"/>
          <w:color w:val="000000" w:themeColor="text1"/>
          <w:sz w:val="20"/>
          <w:szCs w:val="18"/>
          <w14:textFill>
            <w14:solidFill>
              <w14:schemeClr w14:val="tx1"/>
            </w14:solidFill>
          </w14:textFill>
        </w:rPr>
        <w:t>注：本术语为本文件依据技术发展特性所定义的衍生术语。</w:t>
      </w:r>
    </w:p>
    <w:p w14:paraId="695D40F5">
      <w:pPr>
        <w:pStyle w:val="29"/>
        <w:ind w:left="420" w:leftChars="200" w:firstLine="0" w:firstLineChars="0"/>
        <w:rPr>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[来源：</w:t>
      </w:r>
      <w:r>
        <w:rPr>
          <w:snapToGrid w:val="0"/>
          <w:color w:val="000000" w:themeColor="text1"/>
          <w14:textFill>
            <w14:solidFill>
              <w14:schemeClr w14:val="tx1"/>
            </w14:solidFill>
          </w14:textFill>
        </w:rPr>
        <w:t>GB/T 36274-2018, 3.1</w:t>
      </w:r>
      <w:r>
        <w:rPr>
          <w:rFonts w:hint="eastAsia"/>
          <w:snapToGrid w:val="0"/>
          <w:color w:val="000000" w:themeColor="text1"/>
          <w14:textFill>
            <w14:solidFill>
              <w14:schemeClr w14:val="tx1"/>
            </w14:solidFill>
          </w14:textFill>
        </w:rPr>
        <w:t>，有修改]</w:t>
      </w:r>
    </w:p>
    <w:p w14:paraId="5D02A4F1">
      <w:pPr>
        <w:pStyle w:val="203"/>
        <w:ind w:left="0"/>
        <w:rPr>
          <w:rFonts w:ascii="Times New Roman"/>
          <w:color w:val="000000" w:themeColor="text1"/>
          <w14:textFill>
            <w14:solidFill>
              <w14:schemeClr w14:val="tx1"/>
            </w14:solidFill>
          </w14:textFill>
        </w:rPr>
      </w:pPr>
    </w:p>
    <w:p w14:paraId="497E9967">
      <w:pPr>
        <w:pStyle w:val="203"/>
        <w:numPr>
          <w:ilvl w:val="255"/>
          <w:numId w:val="0"/>
        </w:numPr>
        <w:ind w:left="210" w:firstLine="21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边缘计算</w:t>
      </w:r>
      <w:r>
        <w:rPr>
          <w:color w:val="000000" w:themeColor="text1"/>
          <w14:textFill>
            <w14:solidFill>
              <w14:schemeClr w14:val="tx1"/>
            </w14:solidFill>
          </w14:textFill>
        </w:rPr>
        <w:t xml:space="preserve"> Edge Computing</w:t>
      </w:r>
    </w:p>
    <w:p w14:paraId="18CFD4D2">
      <w:pPr>
        <w:pStyle w:val="29"/>
        <w:rPr>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将数据处理、存储放在物联网边缘侧的计算架构，可用于微电网的本地化控制与安全监测。</w:t>
      </w:r>
    </w:p>
    <w:p w14:paraId="5441BA8A">
      <w:pPr>
        <w:pStyle w:val="29"/>
        <w:rPr>
          <w:rFonts w:hint="eastAsia" w:ascii="Times New Roman"/>
          <w:color w:val="000000" w:themeColor="text1"/>
          <w:szCs w:val="21"/>
          <w14:textFill>
            <w14:solidFill>
              <w14:schemeClr w14:val="tx1"/>
            </w14:solidFill>
          </w14:textFill>
        </w:rPr>
      </w:pP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来源：</w:t>
      </w:r>
      <w:r>
        <w:rPr>
          <w:snapToGrid w:val="0"/>
          <w:color w:val="000000" w:themeColor="text1"/>
          <w14:textFill>
            <w14:solidFill>
              <w14:schemeClr w14:val="tx1"/>
            </w14:solidFill>
          </w14:textFill>
        </w:rPr>
        <w:t>GB/T 41780.1-2022, 3.1</w:t>
      </w:r>
      <w:r>
        <w:rPr>
          <w:rFonts w:hint="eastAsia"/>
          <w:snapToGrid w:val="0"/>
          <w:color w:val="000000" w:themeColor="text1"/>
          <w14:textFill>
            <w14:solidFill>
              <w14:schemeClr w14:val="tx1"/>
            </w14:solidFill>
          </w14:textFill>
        </w:rPr>
        <w:t>，有修改]</w:t>
      </w:r>
    </w:p>
    <w:p w14:paraId="3DEEA8CC">
      <w:pPr>
        <w:pStyle w:val="203"/>
        <w:ind w:left="0"/>
        <w:rPr>
          <w:rFonts w:ascii="Times New Roman"/>
          <w:color w:val="000000" w:themeColor="text1"/>
          <w14:textFill>
            <w14:solidFill>
              <w14:schemeClr w14:val="tx1"/>
            </w14:solidFill>
          </w14:textFill>
        </w:rPr>
      </w:pPr>
    </w:p>
    <w:p w14:paraId="07CE7813">
      <w:pPr>
        <w:pStyle w:val="203"/>
        <w:numPr>
          <w:ilvl w:val="255"/>
          <w:numId w:val="0"/>
        </w:numPr>
        <w:ind w:firstLine="420" w:firstLineChars="20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AI芯片</w:t>
      </w:r>
      <w:r>
        <w:rPr>
          <w:color w:val="000000" w:themeColor="text1"/>
          <w14:textFill>
            <w14:solidFill>
              <w14:schemeClr w14:val="tx1"/>
            </w14:solidFill>
          </w14:textFill>
        </w:rPr>
        <w:t xml:space="preserve"> AI Chip  </w:t>
      </w:r>
    </w:p>
    <w:p w14:paraId="29603738">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具备适配人工智能算法的运算微架构，能够完成人工智能应用运算处理的集成电路元件。</w:t>
      </w:r>
    </w:p>
    <w:p w14:paraId="61981300">
      <w:pPr>
        <w:pStyle w:val="29"/>
        <w:ind w:left="420" w:leftChars="200" w:firstLine="0" w:firstLineChars="0"/>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[来源：</w:t>
      </w:r>
      <w:r>
        <w:rPr>
          <w:snapToGrid w:val="0"/>
          <w:color w:val="000000" w:themeColor="text1"/>
          <w14:textFill>
            <w14:solidFill>
              <w14:schemeClr w14:val="tx1"/>
            </w14:solidFill>
          </w14:textFill>
        </w:rPr>
        <w:t xml:space="preserve"> GB/T 41867-2022, 3.1.5</w:t>
      </w:r>
      <w:r>
        <w:rPr>
          <w:rFonts w:hint="eastAsia"/>
          <w:snapToGrid w:val="0"/>
          <w:color w:val="000000" w:themeColor="text1"/>
          <w14:textFill>
            <w14:solidFill>
              <w14:schemeClr w14:val="tx1"/>
            </w14:solidFill>
          </w14:textFill>
        </w:rPr>
        <w:t>]</w:t>
      </w:r>
    </w:p>
    <w:p w14:paraId="2193BE20">
      <w:pPr>
        <w:pStyle w:val="203"/>
        <w:ind w:left="0"/>
        <w:rPr>
          <w:color w:val="000000" w:themeColor="text1"/>
          <w14:textFill>
            <w14:solidFill>
              <w14:schemeClr w14:val="tx1"/>
            </w14:solidFill>
          </w14:textFill>
        </w:rPr>
      </w:pPr>
    </w:p>
    <w:p w14:paraId="3BF19091">
      <w:pPr>
        <w:pStyle w:val="203"/>
        <w:numPr>
          <w:ilvl w:val="255"/>
          <w:numId w:val="0"/>
        </w:numPr>
        <w:ind w:left="210" w:firstLine="21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动态能效优化 </w:t>
      </w:r>
      <w:r>
        <w:rPr>
          <w:color w:val="000000" w:themeColor="text1"/>
          <w14:textFill>
            <w14:solidFill>
              <w14:schemeClr w14:val="tx1"/>
            </w14:solidFill>
          </w14:textFill>
        </w:rPr>
        <w:t>Dynamic Energy Efficiency Optimization</w:t>
      </w:r>
    </w:p>
    <w:p w14:paraId="3CF60261">
      <w:pPr>
        <w:pStyle w:val="29"/>
        <w:rPr>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指通过实时监测计算负载的变化，利用动态电压频率调整</w:t>
      </w:r>
      <w:r>
        <w:rPr>
          <w:snapToGrid w:val="0"/>
          <w:color w:val="000000" w:themeColor="text1"/>
          <w14:textFill>
            <w14:solidFill>
              <w14:schemeClr w14:val="tx1"/>
            </w14:solidFill>
          </w14:textFill>
        </w:rPr>
        <w:t>等技术手段，自动调节芯片或 IT 系统的工作电压与频率，以在满足性能需求的前提下实现能效最优化的机制</w:t>
      </w:r>
    </w:p>
    <w:p w14:paraId="44C620F9">
      <w:pPr>
        <w:pStyle w:val="203"/>
        <w:ind w:left="0"/>
        <w:rPr>
          <w:rFonts w:ascii="Times New Roman"/>
          <w:color w:val="000000" w:themeColor="text1"/>
          <w14:textFill>
            <w14:solidFill>
              <w14:schemeClr w14:val="tx1"/>
            </w14:solidFill>
          </w14:textFill>
        </w:rPr>
      </w:pPr>
    </w:p>
    <w:p w14:paraId="7FEBD335">
      <w:pPr>
        <w:pStyle w:val="203"/>
        <w:numPr>
          <w:ilvl w:val="255"/>
          <w:numId w:val="0"/>
        </w:numPr>
        <w:ind w:left="210" w:firstLine="21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跨域安全</w:t>
      </w:r>
      <w:r>
        <w:rPr>
          <w:color w:val="000000" w:themeColor="text1"/>
          <w14:textFill>
            <w14:solidFill>
              <w14:schemeClr w14:val="tx1"/>
            </w14:solidFill>
          </w14:textFill>
        </w:rPr>
        <w:t xml:space="preserve"> Cross-domain Security</w:t>
      </w:r>
    </w:p>
    <w:p w14:paraId="1512A7E5">
      <w:pPr>
        <w:pStyle w:val="29"/>
        <w:rPr>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覆盖物理设备、通信网络、数据流及控制系统的协同防护体系，</w:t>
      </w:r>
      <w:r>
        <w:rPr>
          <w:snapToGrid w:val="0"/>
          <w:color w:val="000000" w:themeColor="text1"/>
          <w14:textFill>
            <w14:solidFill>
              <w14:schemeClr w14:val="tx1"/>
            </w14:solidFill>
          </w14:textFill>
        </w:rPr>
        <w:t>涉及物理域、信息域和电力控制域之间的安全交互、认证与隔离机制。</w:t>
      </w:r>
    </w:p>
    <w:p w14:paraId="43BF7EF9">
      <w:pPr>
        <w:pStyle w:val="29"/>
        <w:ind w:firstLine="400"/>
        <w:rPr>
          <w:snapToGrid w:val="0"/>
          <w:color w:val="000000" w:themeColor="text1"/>
          <w14:textFill>
            <w14:solidFill>
              <w14:schemeClr w14:val="tx1"/>
            </w14:solidFill>
          </w14:textFill>
        </w:rPr>
      </w:pPr>
      <w:r>
        <w:rPr>
          <w:snapToGrid w:val="0"/>
          <w:color w:val="000000" w:themeColor="text1"/>
          <w:sz w:val="20"/>
          <w:szCs w:val="18"/>
          <w14:textFill>
            <w14:solidFill>
              <w14:schemeClr w14:val="tx1"/>
            </w14:solidFill>
          </w14:textFill>
        </w:rPr>
        <w:t>注：本文件结合智能微电网特点，将定义范围扩展至物理设备域、信息通信域与电力控制域的跨域协同防护。</w:t>
      </w:r>
    </w:p>
    <w:p w14:paraId="24B0EF0C">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来源：</w:t>
      </w:r>
      <w:r>
        <w:rPr>
          <w:snapToGrid w:val="0"/>
          <w:color w:val="000000" w:themeColor="text1"/>
          <w14:textFill>
            <w14:solidFill>
              <w14:schemeClr w14:val="tx1"/>
            </w14:solidFill>
          </w14:textFill>
        </w:rPr>
        <w:t>GB/T 45994-2025,</w:t>
      </w:r>
      <w:r>
        <w:rPr>
          <w:rFonts w:hint="eastAsia"/>
          <w:snapToGrid w:val="0"/>
          <w:color w:val="000000" w:themeColor="text1"/>
          <w14:textFill>
            <w14:solidFill>
              <w14:schemeClr w14:val="tx1"/>
            </w14:solidFill>
          </w14:textFill>
        </w:rPr>
        <w:t xml:space="preserve"> </w:t>
      </w:r>
      <w:r>
        <w:rPr>
          <w:snapToGrid w:val="0"/>
          <w:color w:val="000000" w:themeColor="text1"/>
          <w14:textFill>
            <w14:solidFill>
              <w14:schemeClr w14:val="tx1"/>
            </w14:solidFill>
          </w14:textFill>
        </w:rPr>
        <w:t>3.8,改写</w:t>
      </w:r>
      <w:r>
        <w:rPr>
          <w:rFonts w:hint="eastAsia"/>
          <w:snapToGrid w:val="0"/>
          <w:color w:val="000000" w:themeColor="text1"/>
          <w14:textFill>
            <w14:solidFill>
              <w14:schemeClr w14:val="tx1"/>
            </w14:solidFill>
          </w14:textFill>
        </w:rPr>
        <w:t>]</w:t>
      </w:r>
    </w:p>
    <w:p w14:paraId="60F3B715">
      <w:pPr>
        <w:pStyle w:val="203"/>
        <w:ind w:left="0"/>
        <w:rPr>
          <w:rFonts w:ascii="Times New Roman"/>
          <w:color w:val="000000" w:themeColor="text1"/>
          <w14:textFill>
            <w14:solidFill>
              <w14:schemeClr w14:val="tx1"/>
            </w14:solidFill>
          </w14:textFill>
        </w:rPr>
      </w:pPr>
    </w:p>
    <w:p w14:paraId="00C3918D">
      <w:pPr>
        <w:pStyle w:val="203"/>
        <w:numPr>
          <w:ilvl w:val="255"/>
          <w:numId w:val="0"/>
        </w:numPr>
        <w:ind w:left="210" w:firstLine="21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数据安全</w:t>
      </w:r>
      <w:r>
        <w:rPr>
          <w:color w:val="000000" w:themeColor="text1"/>
          <w14:textFill>
            <w14:solidFill>
              <w14:schemeClr w14:val="tx1"/>
            </w14:solidFill>
          </w14:textFill>
        </w:rPr>
        <w:t xml:space="preserve"> Data Security</w:t>
      </w:r>
    </w:p>
    <w:p w14:paraId="69B3776E">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通过采取必要措施，确保数据处于有效保护和合法利用的状态，以及具备保障持续安全状态的能力。</w:t>
      </w:r>
    </w:p>
    <w:p w14:paraId="24F9B36C">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[来源：</w:t>
      </w:r>
      <w:r>
        <w:rPr>
          <w:rFonts w:hint="eastAsia"/>
          <w:snapToGrid w:val="0"/>
          <w:color w:val="000000" w:themeColor="text1"/>
          <w14:textFill>
            <w14:solidFill>
              <w14:schemeClr w14:val="tx1"/>
            </w14:solidFill>
          </w14:textFill>
        </w:rPr>
        <w:t>GB/T 41479-2022</w:t>
      </w:r>
      <w:bookmarkStart w:id="38" w:name="OLE_LINK7"/>
      <w:r>
        <w:rPr>
          <w:snapToGrid w:val="0"/>
          <w:color w:val="000000" w:themeColor="text1"/>
          <w14:textFill>
            <w14:solidFill>
              <w14:schemeClr w14:val="tx1"/>
            </w14:solidFill>
          </w14:textFill>
        </w:rPr>
        <w:t>, 3.4</w:t>
      </w:r>
      <w:bookmarkEnd w:id="38"/>
      <w:r>
        <w:rPr>
          <w:snapToGrid w:val="0"/>
          <w:color w:val="000000" w:themeColor="text1"/>
          <w14:textFill>
            <w14:solidFill>
              <w14:schemeClr w14:val="tx1"/>
            </w14:solidFill>
          </w14:textFill>
        </w:rPr>
        <w:t>]</w:t>
      </w:r>
    </w:p>
    <w:p w14:paraId="016F987D">
      <w:pPr>
        <w:pStyle w:val="203"/>
        <w:ind w:left="0"/>
        <w:rPr>
          <w:rFonts w:ascii="Times New Roman"/>
          <w:color w:val="000000" w:themeColor="text1"/>
          <w14:textFill>
            <w14:solidFill>
              <w14:schemeClr w14:val="tx1"/>
            </w14:solidFill>
          </w14:textFill>
        </w:rPr>
      </w:pPr>
    </w:p>
    <w:p w14:paraId="3139A098">
      <w:pPr>
        <w:widowControl/>
        <w:ind w:firstLine="420" w:firstLineChars="200"/>
        <w:jc w:val="left"/>
        <w:rPr>
          <w:rFonts w:cs="宋体"/>
          <w:kern w:val="0"/>
          <w:sz w:val="24"/>
        </w:rPr>
      </w:pPr>
      <w:r>
        <w:rPr>
          <w:rFonts w:hint="eastAsia" w:ascii="黑体" w:hAnsi="Times New Roman" w:eastAsia="黑体"/>
          <w:color w:val="000000" w:themeColor="text1"/>
          <w:kern w:val="0"/>
          <w:szCs w:val="21"/>
          <w14:textFill>
            <w14:solidFill>
              <w14:schemeClr w14:val="tx1"/>
            </w14:solidFill>
          </w14:textFill>
        </w:rPr>
        <w:t>零信任</w:t>
      </w:r>
      <w:r>
        <w:rPr>
          <w:rFonts w:ascii="黑体" w:hAnsi="Times New Roman" w:eastAsia="黑体"/>
          <w:color w:val="000000" w:themeColor="text1"/>
          <w:kern w:val="0"/>
          <w:szCs w:val="21"/>
          <w14:textFill>
            <w14:solidFill>
              <w14:schemeClr w14:val="tx1"/>
            </w14:solidFill>
          </w14:textFill>
        </w:rPr>
        <w:t xml:space="preserve"> </w:t>
      </w:r>
      <w:r>
        <w:rPr>
          <w:rFonts w:hint="eastAsia" w:ascii="黑体" w:hAnsi="Times New Roman" w:eastAsia="黑体"/>
          <w:color w:val="000000" w:themeColor="text1"/>
          <w:kern w:val="0"/>
          <w:szCs w:val="21"/>
          <w14:textFill>
            <w14:solidFill>
              <w14:schemeClr w14:val="tx1"/>
            </w14:solidFill>
          </w14:textFill>
        </w:rPr>
        <w:t>Ze</w:t>
      </w:r>
      <w:r>
        <w:rPr>
          <w:rFonts w:ascii="黑体" w:hAnsi="Times New Roman" w:eastAsia="黑体"/>
          <w:color w:val="000000" w:themeColor="text1"/>
          <w:kern w:val="0"/>
          <w:szCs w:val="21"/>
          <w14:textFill>
            <w14:solidFill>
              <w14:schemeClr w14:val="tx1"/>
            </w14:solidFill>
          </w14:textFill>
        </w:rPr>
        <w:t xml:space="preserve">ro </w:t>
      </w:r>
      <w:r>
        <w:rPr>
          <w:rFonts w:hint="eastAsia" w:ascii="黑体" w:hAnsi="Times New Roman" w:eastAsia="黑体"/>
          <w:color w:val="000000" w:themeColor="text1"/>
          <w:kern w:val="0"/>
          <w:szCs w:val="21"/>
          <w14:textFill>
            <w14:solidFill>
              <w14:schemeClr w14:val="tx1"/>
            </w14:solidFill>
          </w14:textFill>
        </w:rPr>
        <w:t>T</w:t>
      </w:r>
      <w:r>
        <w:rPr>
          <w:rFonts w:ascii="黑体" w:hAnsi="Times New Roman" w:eastAsia="黑体"/>
          <w:color w:val="000000" w:themeColor="text1"/>
          <w:kern w:val="0"/>
          <w:szCs w:val="21"/>
          <w14:textFill>
            <w14:solidFill>
              <w14:schemeClr w14:val="tx1"/>
            </w14:solidFill>
          </w14:textFill>
        </w:rPr>
        <w:t>rust</w:t>
      </w:r>
    </w:p>
    <w:p w14:paraId="4EEC28D2">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一种以资源保护</w:t>
      </w:r>
      <w:r>
        <w:rPr>
          <w:rFonts w:hint="eastAsia"/>
          <w:snapToGrid w:val="0"/>
          <w:color w:val="000000" w:themeColor="text1"/>
          <w14:textFill>
            <w14:solidFill>
              <w14:schemeClr w14:val="tx1"/>
            </w14:solidFill>
          </w14:textFill>
        </w:rPr>
        <w:t>为</w:t>
      </w:r>
      <w:r>
        <w:rPr>
          <w:snapToGrid w:val="0"/>
          <w:color w:val="000000" w:themeColor="text1"/>
          <w14:textFill>
            <w14:solidFill>
              <w14:schemeClr w14:val="tx1"/>
            </w14:solidFill>
          </w14:textFill>
        </w:rPr>
        <w:t>核心的网络安全理念。</w:t>
      </w:r>
    </w:p>
    <w:p w14:paraId="0AD2AF01">
      <w:pPr>
        <w:pStyle w:val="29"/>
        <w:ind w:firstLine="400"/>
        <w:rPr>
          <w:snapToGrid w:val="0"/>
          <w:color w:val="000000" w:themeColor="text1"/>
          <w14:textFill>
            <w14:solidFill>
              <w14:schemeClr w14:val="tx1"/>
            </w14:solidFill>
          </w14:textFill>
        </w:rPr>
      </w:pPr>
      <w:r>
        <w:rPr>
          <w:snapToGrid w:val="0"/>
          <w:color w:val="000000" w:themeColor="text1"/>
          <w:sz w:val="20"/>
          <w:szCs w:val="18"/>
          <w14:textFill>
            <w14:solidFill>
              <w14:schemeClr w14:val="tx1"/>
            </w14:solidFill>
          </w14:textFill>
        </w:rPr>
        <w:t>注：该理念认为主体访问资源时，无论主体和资源是否可信，主体和资源之间的信任关系都需要通过持续状态感知与动态信任评估，从零开始进行构建，以实施端到端安全的访问控制</w:t>
      </w:r>
      <w:r>
        <w:rPr>
          <w:rFonts w:hint="eastAsia"/>
          <w:snapToGrid w:val="0"/>
          <w:color w:val="000000" w:themeColor="text1"/>
          <w:sz w:val="20"/>
          <w:szCs w:val="18"/>
          <w14:textFill>
            <w14:solidFill>
              <w14:schemeClr w14:val="tx1"/>
            </w14:solidFill>
          </w14:textFill>
        </w:rPr>
        <w:t>。</w:t>
      </w:r>
    </w:p>
    <w:p w14:paraId="26DD8AE7">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来源：</w:t>
      </w:r>
      <w:r>
        <w:rPr>
          <w:color w:val="000000" w:themeColor="text1"/>
          <w14:textFill>
            <w14:solidFill>
              <w14:schemeClr w14:val="tx1"/>
            </w14:solidFill>
          </w14:textFill>
        </w:rPr>
        <w:t>GB/T 43696-2024, 3.1</w:t>
      </w:r>
      <w:r>
        <w:rPr>
          <w:rFonts w:hint="eastAsia"/>
          <w:snapToGrid w:val="0"/>
          <w:color w:val="000000" w:themeColor="text1"/>
          <w14:textFill>
            <w14:solidFill>
              <w14:schemeClr w14:val="tx1"/>
            </w14:solidFill>
          </w14:textFill>
        </w:rPr>
        <w:t>]</w:t>
      </w:r>
    </w:p>
    <w:p w14:paraId="1117F869">
      <w:pPr>
        <w:pStyle w:val="203"/>
        <w:ind w:left="0"/>
        <w:rPr>
          <w:rFonts w:ascii="Times New Roman"/>
          <w:color w:val="000000" w:themeColor="text1"/>
          <w14:textFill>
            <w14:solidFill>
              <w14:schemeClr w14:val="tx1"/>
            </w14:solidFill>
          </w14:textFill>
        </w:rPr>
      </w:pPr>
    </w:p>
    <w:p w14:paraId="2501AC50">
      <w:pPr>
        <w:widowControl/>
        <w:ind w:firstLine="420" w:firstLineChars="200"/>
        <w:jc w:val="left"/>
        <w:rPr>
          <w:rFonts w:cs="宋体"/>
          <w:kern w:val="0"/>
          <w:sz w:val="24"/>
        </w:rPr>
      </w:pPr>
      <w:r>
        <w:rPr>
          <w:rFonts w:ascii="黑体" w:hAnsi="Times New Roman" w:eastAsia="黑体"/>
          <w:color w:val="000000" w:themeColor="text1"/>
          <w:kern w:val="0"/>
          <w:szCs w:val="21"/>
          <w14:textFill>
            <w14:solidFill>
              <w14:schemeClr w14:val="tx1"/>
            </w14:solidFill>
          </w14:textFill>
        </w:rPr>
        <w:t>联邦学习 Federated Learning</w:t>
      </w:r>
    </w:p>
    <w:p w14:paraId="5674870C">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多个参与方在保证各自原始数据不出数据方定义的可信域前提下，以保护隐私数据的方式交互中间数据，从而协作完成人工智能、机器学习任务的方法</w:t>
      </w:r>
      <w:r>
        <w:rPr>
          <w:rFonts w:hint="eastAsia"/>
          <w:snapToGrid w:val="0"/>
          <w:color w:val="000000" w:themeColor="text1"/>
          <w14:textFill>
            <w14:solidFill>
              <w14:schemeClr w14:val="tx1"/>
            </w14:solidFill>
          </w14:textFill>
        </w:rPr>
        <w:t>。</w:t>
      </w:r>
    </w:p>
    <w:p w14:paraId="4F6DC8BA">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来源：</w:t>
      </w:r>
      <w:r>
        <w:rPr>
          <w:color w:val="000000" w:themeColor="text1"/>
          <w14:textFill>
            <w14:solidFill>
              <w14:schemeClr w14:val="tx1"/>
            </w14:solidFill>
          </w14:textFill>
        </w:rPr>
        <w:t>GB/T 46284-2025, 3.1</w:t>
      </w:r>
      <w:r>
        <w:rPr>
          <w:rFonts w:hint="eastAsia"/>
          <w:snapToGrid w:val="0"/>
          <w:color w:val="000000" w:themeColor="text1"/>
          <w14:textFill>
            <w14:solidFill>
              <w14:schemeClr w14:val="tx1"/>
            </w14:solidFill>
          </w14:textFill>
        </w:rPr>
        <w:t>]</w:t>
      </w:r>
    </w:p>
    <w:p w14:paraId="2DD02025">
      <w:pPr>
        <w:pStyle w:val="203"/>
        <w:ind w:left="0"/>
        <w:rPr>
          <w:rFonts w:ascii="Times New Roman"/>
          <w:color w:val="000000" w:themeColor="text1"/>
          <w14:textFill>
            <w14:solidFill>
              <w14:schemeClr w14:val="tx1"/>
            </w14:solidFill>
          </w14:textFill>
        </w:rPr>
      </w:pPr>
    </w:p>
    <w:p w14:paraId="246DE703">
      <w:pPr>
        <w:widowControl/>
        <w:ind w:firstLine="420" w:firstLineChars="200"/>
        <w:jc w:val="left"/>
        <w:rPr>
          <w:rFonts w:cs="宋体"/>
          <w:kern w:val="0"/>
          <w:sz w:val="24"/>
        </w:rPr>
      </w:pPr>
      <w:r>
        <w:rPr>
          <w:rFonts w:ascii="黑体" w:hAnsi="Times New Roman" w:eastAsia="黑体"/>
          <w:color w:val="000000" w:themeColor="text1"/>
          <w:kern w:val="0"/>
          <w:szCs w:val="21"/>
          <w14:textFill>
            <w14:solidFill>
              <w14:schemeClr w14:val="tx1"/>
            </w14:solidFill>
          </w14:textFill>
        </w:rPr>
        <w:t xml:space="preserve">对抗样本 </w:t>
      </w:r>
      <w:r>
        <w:rPr>
          <w:rFonts w:hint="eastAsia" w:ascii="黑体" w:hAnsi="Times New Roman" w:eastAsia="黑体"/>
          <w:color w:val="000000" w:themeColor="text1"/>
          <w:kern w:val="0"/>
          <w:szCs w:val="21"/>
          <w14:textFill>
            <w14:solidFill>
              <w14:schemeClr w14:val="tx1"/>
            </w14:solidFill>
          </w14:textFill>
        </w:rPr>
        <w:t>A</w:t>
      </w:r>
      <w:r>
        <w:rPr>
          <w:rFonts w:ascii="黑体" w:hAnsi="Times New Roman" w:eastAsia="黑体"/>
          <w:color w:val="000000" w:themeColor="text1"/>
          <w:kern w:val="0"/>
          <w:szCs w:val="21"/>
          <w14:textFill>
            <w14:solidFill>
              <w14:schemeClr w14:val="tx1"/>
            </w14:solidFill>
          </w14:textFill>
        </w:rPr>
        <w:t xml:space="preserve">dversarial </w:t>
      </w:r>
      <w:r>
        <w:rPr>
          <w:rFonts w:hint="eastAsia" w:ascii="黑体" w:hAnsi="Times New Roman" w:eastAsia="黑体"/>
          <w:color w:val="000000" w:themeColor="text1"/>
          <w:kern w:val="0"/>
          <w:szCs w:val="21"/>
          <w14:textFill>
            <w14:solidFill>
              <w14:schemeClr w14:val="tx1"/>
            </w14:solidFill>
          </w14:textFill>
        </w:rPr>
        <w:t>E</w:t>
      </w:r>
      <w:r>
        <w:rPr>
          <w:rFonts w:ascii="黑体" w:hAnsi="Times New Roman" w:eastAsia="黑体"/>
          <w:color w:val="000000" w:themeColor="text1"/>
          <w:kern w:val="0"/>
          <w:szCs w:val="21"/>
          <w14:textFill>
            <w14:solidFill>
              <w14:schemeClr w14:val="tx1"/>
            </w14:solidFill>
          </w14:textFill>
        </w:rPr>
        <w:t>xample</w:t>
      </w:r>
    </w:p>
    <w:p w14:paraId="27442114">
      <w:pPr>
        <w:pStyle w:val="29"/>
        <w:rPr>
          <w:rFonts w:ascii="Times New Roman"/>
          <w:color w:val="000000" w:themeColor="text1"/>
          <w:szCs w:val="21"/>
          <w14:textFill>
            <w14:solidFill>
              <w14:schemeClr w14:val="tx1"/>
            </w14:solidFill>
          </w14:textFill>
        </w:rPr>
      </w:pPr>
      <w:r>
        <w:rPr>
          <w:snapToGrid w:val="0"/>
          <w:color w:val="000000" w:themeColor="text1"/>
          <w14:textFill>
            <w14:solidFill>
              <w14:schemeClr w14:val="tx1"/>
            </w14:solidFill>
          </w14:textFill>
        </w:rPr>
        <w:t>在原始数据（如图像、波形）中添加人类感官难以察觉的微小扰动，导致人工智能模型产生错误预测或分类的输入样本</w:t>
      </w:r>
      <w:r>
        <w:rPr>
          <w:rFonts w:hint="eastAsia"/>
          <w:snapToGrid w:val="0"/>
          <w:color w:val="000000" w:themeColor="text1"/>
          <w14:textFill>
            <w14:solidFill>
              <w14:schemeClr w14:val="tx1"/>
            </w14:solidFill>
          </w14:textFill>
        </w:rPr>
        <w:t>。</w:t>
      </w:r>
    </w:p>
    <w:p w14:paraId="62C59936">
      <w:pPr>
        <w:pStyle w:val="203"/>
        <w:ind w:left="0"/>
        <w:rPr>
          <w:rFonts w:ascii="Times New Roman"/>
          <w:color w:val="000000" w:themeColor="text1"/>
          <w14:textFill>
            <w14:solidFill>
              <w14:schemeClr w14:val="tx1"/>
            </w14:solidFill>
          </w14:textFill>
        </w:rPr>
      </w:pPr>
    </w:p>
    <w:p w14:paraId="5193AA59">
      <w:pPr>
        <w:widowControl/>
        <w:ind w:firstLine="420" w:firstLineChars="200"/>
        <w:jc w:val="left"/>
        <w:rPr>
          <w:rFonts w:cs="宋体"/>
          <w:kern w:val="0"/>
          <w:sz w:val="24"/>
        </w:rPr>
      </w:pPr>
      <w:r>
        <w:rPr>
          <w:rFonts w:ascii="黑体" w:hAnsi="Times New Roman" w:eastAsia="黑体"/>
          <w:color w:val="000000" w:themeColor="text1"/>
          <w:kern w:val="0"/>
          <w:szCs w:val="21"/>
          <w14:textFill>
            <w14:solidFill>
              <w14:schemeClr w14:val="tx1"/>
            </w14:solidFill>
          </w14:textFill>
        </w:rPr>
        <w:t xml:space="preserve">硬件木马 </w:t>
      </w:r>
      <w:r>
        <w:rPr>
          <w:rFonts w:hint="eastAsia" w:ascii="黑体" w:hAnsi="Times New Roman" w:eastAsia="黑体"/>
          <w:color w:val="000000" w:themeColor="text1"/>
          <w:kern w:val="0"/>
          <w:szCs w:val="21"/>
          <w14:textFill>
            <w14:solidFill>
              <w14:schemeClr w14:val="tx1"/>
            </w14:solidFill>
          </w14:textFill>
        </w:rPr>
        <w:t>H</w:t>
      </w:r>
      <w:r>
        <w:rPr>
          <w:rFonts w:ascii="黑体" w:hAnsi="Times New Roman" w:eastAsia="黑体"/>
          <w:color w:val="000000" w:themeColor="text1"/>
          <w:kern w:val="0"/>
          <w:szCs w:val="21"/>
          <w14:textFill>
            <w14:solidFill>
              <w14:schemeClr w14:val="tx1"/>
            </w14:solidFill>
          </w14:textFill>
        </w:rPr>
        <w:t xml:space="preserve">ardware </w:t>
      </w:r>
      <w:r>
        <w:rPr>
          <w:rFonts w:hint="eastAsia" w:ascii="黑体" w:hAnsi="Times New Roman" w:eastAsia="黑体"/>
          <w:color w:val="000000" w:themeColor="text1"/>
          <w:kern w:val="0"/>
          <w:szCs w:val="21"/>
          <w14:textFill>
            <w14:solidFill>
              <w14:schemeClr w14:val="tx1"/>
            </w14:solidFill>
          </w14:textFill>
        </w:rPr>
        <w:t>T</w:t>
      </w:r>
      <w:r>
        <w:rPr>
          <w:rFonts w:ascii="黑体" w:hAnsi="Times New Roman" w:eastAsia="黑体"/>
          <w:color w:val="000000" w:themeColor="text1"/>
          <w:kern w:val="0"/>
          <w:szCs w:val="21"/>
          <w14:textFill>
            <w14:solidFill>
              <w14:schemeClr w14:val="tx1"/>
            </w14:solidFill>
          </w14:textFill>
        </w:rPr>
        <w:t>rojan</w:t>
      </w:r>
    </w:p>
    <w:p w14:paraId="28FAEA3B">
      <w:pPr>
        <w:pStyle w:val="29"/>
        <w:rPr>
          <w:rFonts w:ascii="Times New Roman"/>
          <w:color w:val="000000" w:themeColor="text1"/>
          <w:szCs w:val="21"/>
          <w14:textFill>
            <w14:solidFill>
              <w14:schemeClr w14:val="tx1"/>
            </w14:solidFill>
          </w14:textFill>
        </w:rPr>
      </w:pPr>
      <w:r>
        <w:rPr>
          <w:snapToGrid w:val="0"/>
          <w:color w:val="000000" w:themeColor="text1"/>
          <w14:textFill>
            <w14:solidFill>
              <w14:schemeClr w14:val="tx1"/>
            </w14:solidFill>
          </w14:textFill>
        </w:rPr>
        <w:t>在集成电路设计或制造过程中被恶意植入的特殊电路模块。它通常处于潜伏状态，在特定触发条件下被激活，可导致芯片功能失效、信息泄露或性能降低</w:t>
      </w:r>
      <w:r>
        <w:rPr>
          <w:rFonts w:hint="eastAsia"/>
          <w:snapToGrid w:val="0"/>
          <w:color w:val="000000" w:themeColor="text1"/>
          <w14:textFill>
            <w14:solidFill>
              <w14:schemeClr w14:val="tx1"/>
            </w14:solidFill>
          </w14:textFill>
        </w:rPr>
        <w:t>。</w:t>
      </w:r>
    </w:p>
    <w:p w14:paraId="4779F2B2">
      <w:pPr>
        <w:pStyle w:val="203"/>
        <w:ind w:left="0"/>
        <w:rPr>
          <w:rFonts w:ascii="Times New Roman"/>
          <w:color w:val="000000" w:themeColor="text1"/>
          <w14:textFill>
            <w14:solidFill>
              <w14:schemeClr w14:val="tx1"/>
            </w14:solidFill>
          </w14:textFill>
        </w:rPr>
      </w:pPr>
    </w:p>
    <w:p w14:paraId="2C607693">
      <w:pPr>
        <w:widowControl/>
        <w:ind w:firstLine="420" w:firstLineChars="200"/>
        <w:jc w:val="left"/>
        <w:rPr>
          <w:rFonts w:cs="宋体"/>
          <w:kern w:val="0"/>
          <w:sz w:val="24"/>
        </w:rPr>
      </w:pPr>
      <w:r>
        <w:rPr>
          <w:rFonts w:ascii="黑体" w:hAnsi="Times New Roman" w:eastAsia="黑体"/>
          <w:color w:val="000000" w:themeColor="text1"/>
          <w:kern w:val="0"/>
          <w:szCs w:val="21"/>
          <w14:textFill>
            <w14:solidFill>
              <w14:schemeClr w14:val="tx1"/>
            </w14:solidFill>
          </w14:textFill>
        </w:rPr>
        <w:t xml:space="preserve">软件物料清单 </w:t>
      </w:r>
      <w:r>
        <w:rPr>
          <w:rFonts w:hint="eastAsia" w:ascii="黑体" w:hAnsi="Times New Roman" w:eastAsia="黑体"/>
          <w:color w:val="000000" w:themeColor="text1"/>
          <w:kern w:val="0"/>
          <w:szCs w:val="21"/>
          <w14:textFill>
            <w14:solidFill>
              <w14:schemeClr w14:val="tx1"/>
            </w14:solidFill>
          </w14:textFill>
        </w:rPr>
        <w:t>S</w:t>
      </w:r>
      <w:r>
        <w:rPr>
          <w:rFonts w:ascii="黑体" w:hAnsi="Times New Roman" w:eastAsia="黑体"/>
          <w:color w:val="000000" w:themeColor="text1"/>
          <w:kern w:val="0"/>
          <w:szCs w:val="21"/>
          <w14:textFill>
            <w14:solidFill>
              <w14:schemeClr w14:val="tx1"/>
            </w14:solidFill>
          </w14:textFill>
        </w:rPr>
        <w:t xml:space="preserve">oftware </w:t>
      </w:r>
      <w:r>
        <w:rPr>
          <w:rFonts w:hint="eastAsia" w:ascii="黑体" w:hAnsi="Times New Roman" w:eastAsia="黑体"/>
          <w:color w:val="000000" w:themeColor="text1"/>
          <w:kern w:val="0"/>
          <w:szCs w:val="21"/>
          <w14:textFill>
            <w14:solidFill>
              <w14:schemeClr w14:val="tx1"/>
            </w14:solidFill>
          </w14:textFill>
        </w:rPr>
        <w:t>B</w:t>
      </w:r>
      <w:r>
        <w:rPr>
          <w:rFonts w:ascii="黑体" w:hAnsi="Times New Roman" w:eastAsia="黑体"/>
          <w:color w:val="000000" w:themeColor="text1"/>
          <w:kern w:val="0"/>
          <w:szCs w:val="21"/>
          <w14:textFill>
            <w14:solidFill>
              <w14:schemeClr w14:val="tx1"/>
            </w14:solidFill>
          </w14:textFill>
        </w:rPr>
        <w:t xml:space="preserve">ill </w:t>
      </w:r>
      <w:r>
        <w:rPr>
          <w:rFonts w:hint="eastAsia" w:ascii="黑体" w:hAnsi="Times New Roman" w:eastAsia="黑体"/>
          <w:color w:val="000000" w:themeColor="text1"/>
          <w:kern w:val="0"/>
          <w:szCs w:val="21"/>
          <w14:textFill>
            <w14:solidFill>
              <w14:schemeClr w14:val="tx1"/>
            </w14:solidFill>
          </w14:textFill>
        </w:rPr>
        <w:t>O</w:t>
      </w:r>
      <w:r>
        <w:rPr>
          <w:rFonts w:ascii="黑体" w:hAnsi="Times New Roman" w:eastAsia="黑体"/>
          <w:color w:val="000000" w:themeColor="text1"/>
          <w:kern w:val="0"/>
          <w:szCs w:val="21"/>
          <w14:textFill>
            <w14:solidFill>
              <w14:schemeClr w14:val="tx1"/>
            </w14:solidFill>
          </w14:textFill>
        </w:rPr>
        <w:t xml:space="preserve">f </w:t>
      </w:r>
      <w:r>
        <w:rPr>
          <w:rFonts w:hint="eastAsia" w:ascii="黑体" w:hAnsi="Times New Roman" w:eastAsia="黑体"/>
          <w:color w:val="000000" w:themeColor="text1"/>
          <w:kern w:val="0"/>
          <w:szCs w:val="21"/>
          <w14:textFill>
            <w14:solidFill>
              <w14:schemeClr w14:val="tx1"/>
            </w14:solidFill>
          </w14:textFill>
        </w:rPr>
        <w:t>M</w:t>
      </w:r>
      <w:r>
        <w:rPr>
          <w:rFonts w:ascii="黑体" w:hAnsi="Times New Roman" w:eastAsia="黑体"/>
          <w:color w:val="000000" w:themeColor="text1"/>
          <w:kern w:val="0"/>
          <w:szCs w:val="21"/>
          <w14:textFill>
            <w14:solidFill>
              <w14:schemeClr w14:val="tx1"/>
            </w14:solidFill>
          </w14:textFill>
        </w:rPr>
        <w:t>aterials</w:t>
      </w:r>
    </w:p>
    <w:p w14:paraId="0BB1AC10">
      <w:pPr>
        <w:pStyle w:val="29"/>
        <w:rPr>
          <w:rFonts w:ascii="Times New Roman"/>
          <w:color w:val="000000" w:themeColor="text1"/>
          <w:szCs w:val="21"/>
          <w14:textFill>
            <w14:solidFill>
              <w14:schemeClr w14:val="tx1"/>
            </w14:solidFill>
          </w14:textFill>
        </w:rPr>
      </w:pPr>
      <w:r>
        <w:rPr>
          <w:snapToGrid w:val="0"/>
          <w:color w:val="000000" w:themeColor="text1"/>
          <w14:textFill>
            <w14:solidFill>
              <w14:schemeClr w14:val="tx1"/>
            </w14:solidFill>
          </w14:textFill>
        </w:rPr>
        <w:t>软件产品中所包含的所有组件、相关许可协议的清单，以及所有组件之间依赖关系的描述</w:t>
      </w:r>
      <w:r>
        <w:rPr>
          <w:rFonts w:hint="eastAsia"/>
          <w:snapToGrid w:val="0"/>
          <w:color w:val="000000" w:themeColor="text1"/>
          <w14:textFill>
            <w14:solidFill>
              <w14:schemeClr w14:val="tx1"/>
            </w14:solidFill>
          </w14:textFill>
        </w:rPr>
        <w:t>。</w:t>
      </w:r>
    </w:p>
    <w:p w14:paraId="3A22A04E">
      <w:pPr>
        <w:pStyle w:val="29"/>
        <w:rPr>
          <w:snapToGrid w:val="0"/>
          <w:color w:val="000000" w:themeColor="text1"/>
          <w14:textFill>
            <w14:solidFill>
              <w14:schemeClr w14:val="tx1"/>
            </w14:solidFill>
          </w14:textFill>
        </w:rPr>
      </w:pPr>
      <w:r>
        <w:rPr>
          <w:snapToGrid w:val="0"/>
          <w:color w:val="000000" w:themeColor="text1"/>
          <w14:textFill>
            <w14:solidFill>
              <w14:schemeClr w14:val="tx1"/>
            </w14:solidFill>
          </w14:textFill>
        </w:rPr>
        <w:t>[</w:t>
      </w:r>
      <w:r>
        <w:rPr>
          <w:rFonts w:hint="eastAsia"/>
          <w:snapToGrid w:val="0"/>
          <w:color w:val="000000" w:themeColor="text1"/>
          <w14:textFill>
            <w14:solidFill>
              <w14:schemeClr w14:val="tx1"/>
            </w14:solidFill>
          </w14:textFill>
        </w:rPr>
        <w:t>来源：</w:t>
      </w:r>
      <w:r>
        <w:rPr>
          <w:color w:val="000000" w:themeColor="text1"/>
          <w14:textFill>
            <w14:solidFill>
              <w14:schemeClr w14:val="tx1"/>
            </w14:solidFill>
          </w14:textFill>
        </w:rPr>
        <w:t>GB/T 43698-2024, 3.8</w:t>
      </w:r>
      <w:r>
        <w:rPr>
          <w:rFonts w:hint="eastAsia"/>
          <w:snapToGrid w:val="0"/>
          <w:color w:val="000000" w:themeColor="text1"/>
          <w14:textFill>
            <w14:solidFill>
              <w14:schemeClr w14:val="tx1"/>
            </w14:solidFill>
          </w14:textFill>
        </w:rPr>
        <w:t>]</w:t>
      </w:r>
    </w:p>
    <w:p w14:paraId="65BCAC61">
      <w:pPr>
        <w:pStyle w:val="29"/>
        <w:ind w:firstLine="0" w:firstLineChars="0"/>
        <w:rPr>
          <w:color w:val="000000" w:themeColor="text1"/>
          <w14:textFill>
            <w14:solidFill>
              <w14:schemeClr w14:val="tx1"/>
            </w14:solidFill>
          </w14:textFill>
        </w:rPr>
      </w:pPr>
    </w:p>
    <w:p w14:paraId="5167B726">
      <w:pPr>
        <w:pStyle w:val="54"/>
        <w:spacing w:before="312" w:after="312"/>
        <w:outlineLvl w:val="0"/>
        <w:rPr>
          <w:color w:val="000000" w:themeColor="text1"/>
          <w:szCs w:val="21"/>
          <w14:textFill>
            <w14:solidFill>
              <w14:schemeClr w14:val="tx1"/>
            </w14:solidFill>
          </w14:textFill>
        </w:rPr>
      </w:pPr>
      <w:bookmarkStart w:id="39" w:name="_Toc220189992"/>
      <w:bookmarkEnd w:id="39"/>
      <w:bookmarkStart w:id="40" w:name="_Toc23447"/>
      <w:bookmarkStart w:id="41" w:name="_Toc220189993"/>
      <w:bookmarkStart w:id="42" w:name="_Toc217822946"/>
      <w:bookmarkStart w:id="43" w:name="_Toc217822733"/>
      <w:r>
        <w:rPr>
          <w:rFonts w:hint="eastAsia"/>
          <w:color w:val="000000" w:themeColor="text1"/>
          <w:szCs w:val="21"/>
          <w14:textFill>
            <w14:solidFill>
              <w14:schemeClr w14:val="tx1"/>
            </w14:solidFill>
          </w14:textFill>
        </w:rPr>
        <w:t>基本</w:t>
      </w:r>
      <w:bookmarkEnd w:id="35"/>
      <w:bookmarkEnd w:id="40"/>
      <w:r>
        <w:rPr>
          <w:rFonts w:hint="eastAsia"/>
          <w:color w:val="000000" w:themeColor="text1"/>
          <w:szCs w:val="21"/>
          <w14:textFill>
            <w14:solidFill>
              <w14:schemeClr w14:val="tx1"/>
            </w14:solidFill>
          </w14:textFill>
        </w:rPr>
        <w:t>要求</w:t>
      </w:r>
      <w:bookmarkEnd w:id="41"/>
      <w:bookmarkEnd w:id="42"/>
      <w:bookmarkEnd w:id="43"/>
    </w:p>
    <w:p w14:paraId="12EA1C73">
      <w:pPr>
        <w:pStyle w:val="53"/>
        <w:spacing w:before="156" w:after="156"/>
        <w:jc w:val="left"/>
        <w:outlineLvl w:val="1"/>
        <w:rPr>
          <w:color w:val="000000" w:themeColor="text1"/>
          <w14:textFill>
            <w14:solidFill>
              <w14:schemeClr w14:val="tx1"/>
            </w14:solidFill>
          </w14:textFill>
        </w:rPr>
      </w:pPr>
      <w:bookmarkStart w:id="44" w:name="_Toc212041714"/>
      <w:bookmarkStart w:id="45" w:name="_Toc217822734"/>
      <w:bookmarkStart w:id="46" w:name="_Toc217822947"/>
      <w:bookmarkStart w:id="47" w:name="_Toc220189994"/>
      <w:r>
        <w:rPr>
          <w:rFonts w:hint="eastAsia"/>
          <w:color w:val="000000" w:themeColor="text1"/>
          <w14:textFill>
            <w14:solidFill>
              <w14:schemeClr w14:val="tx1"/>
            </w14:solidFill>
          </w14:textFill>
        </w:rPr>
        <w:t>智能微电网系统总体架构</w:t>
      </w:r>
      <w:bookmarkEnd w:id="44"/>
      <w:bookmarkEnd w:id="45"/>
      <w:bookmarkEnd w:id="46"/>
      <w:bookmarkEnd w:id="47"/>
    </w:p>
    <w:p w14:paraId="3A5233FB">
      <w:pPr>
        <w:rPr>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4.1.1 概述</w:t>
      </w:r>
    </w:p>
    <w:p w14:paraId="7EA0F39B">
      <w:pPr>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智能微电网系统由分布式电源、储能系统、负荷、</w:t>
      </w:r>
      <w:r>
        <w:rPr>
          <w:color w:val="000000" w:themeColor="text1"/>
          <w:kern w:val="0"/>
          <w:szCs w:val="20"/>
          <w14:textFill>
            <w14:solidFill>
              <w14:schemeClr w14:val="tx1"/>
            </w14:solidFill>
          </w14:textFill>
        </w:rPr>
        <w:t>AI</w:t>
      </w:r>
      <w:r>
        <w:rPr>
          <w:rFonts w:hint="eastAsia"/>
          <w:color w:val="000000" w:themeColor="text1"/>
          <w:kern w:val="0"/>
          <w:szCs w:val="20"/>
          <w14:textFill>
            <w14:solidFill>
              <w14:schemeClr w14:val="tx1"/>
            </w14:solidFill>
          </w14:textFill>
        </w:rPr>
        <w:t>芯片、控制系统、感知层和通信层等部分组成，形成源网荷储协调运行的综合能源系统。</w:t>
      </w:r>
    </w:p>
    <w:p w14:paraId="7FAE6FD3">
      <w:pPr>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 xml:space="preserve">4.1.2 </w:t>
      </w:r>
      <w:r>
        <w:rPr>
          <w:rFonts w:ascii="黑体" w:hAnsi="黑体" w:eastAsia="黑体"/>
          <w:color w:val="000000" w:themeColor="text1"/>
          <w:kern w:val="0"/>
          <w:szCs w:val="20"/>
          <w14:textFill>
            <w14:solidFill>
              <w14:schemeClr w14:val="tx1"/>
            </w14:solidFill>
          </w14:textFill>
        </w:rPr>
        <w:t>感知层</w:t>
      </w:r>
    </w:p>
    <w:p w14:paraId="6204EEDB">
      <w:pPr>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主要</w:t>
      </w:r>
      <w:r>
        <w:rPr>
          <w:color w:val="000000" w:themeColor="text1"/>
          <w:kern w:val="0"/>
          <w:szCs w:val="20"/>
          <w14:textFill>
            <w14:solidFill>
              <w14:schemeClr w14:val="tx1"/>
            </w14:solidFill>
          </w14:textFill>
        </w:rPr>
        <w:t>由智能电表、传感器、合并单元及边缘采集终端组成。该层应具备微电网源、网、荷、储各环节电气量、环境量及设备状态信息的实时采集、时间同步与数据预处理功能，为上层AI分析提供高精度、高频率的数据支撑。</w:t>
      </w:r>
    </w:p>
    <w:p w14:paraId="724C357A">
      <w:pPr>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 xml:space="preserve">4.1.3 </w:t>
      </w:r>
      <w:r>
        <w:rPr>
          <w:rFonts w:ascii="黑体" w:hAnsi="黑体" w:eastAsia="黑体"/>
          <w:color w:val="000000" w:themeColor="text1"/>
          <w:kern w:val="0"/>
          <w:szCs w:val="20"/>
          <w14:textFill>
            <w14:solidFill>
              <w14:schemeClr w14:val="tx1"/>
            </w14:solidFill>
          </w14:textFill>
        </w:rPr>
        <w:t>通信层</w:t>
      </w:r>
    </w:p>
    <w:p w14:paraId="70AC7511">
      <w:pPr>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主要</w:t>
      </w:r>
      <w:r>
        <w:rPr>
          <w:color w:val="000000" w:themeColor="text1"/>
          <w:kern w:val="0"/>
          <w:szCs w:val="20"/>
          <w14:textFill>
            <w14:solidFill>
              <w14:schemeClr w14:val="tx1"/>
            </w14:solidFill>
          </w14:textFill>
        </w:rPr>
        <w:t>由工业交换机、光纤网络、无线通信模块及通信网关组成。该层应支持异构通信协议的转换与互操作，构建连接感知层、智能计算层与决策控制层的高速数据通道，并应具备数据传输的加密认证与抗干扰能力，保障业务数据的实时性与完整性。</w:t>
      </w:r>
    </w:p>
    <w:p w14:paraId="2313EECF">
      <w:pPr>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4.1.4 感知分析层</w:t>
      </w:r>
    </w:p>
    <w:p w14:paraId="3861DF9C">
      <w:pPr>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以集成AI芯片的边缘计算单元或智能控制器为核心。该层应具备感存算一体化能力，利用AI芯片的硬件加速特性，在边缘侧执行负荷预测、运行状态识别、故障研判及安全攻击检测等算法推理任务，向决策层输出低时延、高置信度的分析结果。</w:t>
      </w:r>
    </w:p>
    <w:p w14:paraId="2291F65F">
      <w:pPr>
        <w:ind w:firstLine="400" w:firstLineChars="200"/>
        <w:rPr>
          <w:color w:val="000000" w:themeColor="text1"/>
          <w:kern w:val="0"/>
          <w:szCs w:val="20"/>
          <w14:textFill>
            <w14:solidFill>
              <w14:schemeClr w14:val="tx1"/>
            </w14:solidFill>
          </w14:textFill>
        </w:rPr>
      </w:pPr>
      <w:r>
        <w:rPr>
          <w:rFonts w:hint="eastAsia"/>
          <w:sz w:val="20"/>
          <w:szCs w:val="22"/>
        </w:rPr>
        <w:t>注：</w:t>
      </w:r>
      <w:r>
        <w:rPr>
          <w:sz w:val="20"/>
          <w:szCs w:val="22"/>
        </w:rPr>
        <w:t>感存算一体化</w:t>
      </w:r>
      <w:r>
        <w:rPr>
          <w:rFonts w:hint="eastAsia"/>
          <w:sz w:val="20"/>
          <w:szCs w:val="22"/>
        </w:rPr>
        <w:t>，</w:t>
      </w:r>
      <w:r>
        <w:rPr>
          <w:sz w:val="20"/>
          <w:szCs w:val="22"/>
        </w:rPr>
        <w:t>基于新型芯片架构的技术模式，将传感器数据采集、边缘存储与实时计算功能集成于单一硬件平台，提升微电网设备能效与响应速度。</w:t>
      </w:r>
    </w:p>
    <w:p w14:paraId="4E9CC783">
      <w:pPr>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 xml:space="preserve">4.1.5 </w:t>
      </w:r>
      <w:r>
        <w:rPr>
          <w:rFonts w:ascii="黑体" w:hAnsi="黑体" w:eastAsia="黑体"/>
          <w:color w:val="000000" w:themeColor="text1"/>
          <w:kern w:val="0"/>
          <w:szCs w:val="20"/>
          <w14:textFill>
            <w14:solidFill>
              <w14:schemeClr w14:val="tx1"/>
            </w14:solidFill>
          </w14:textFill>
        </w:rPr>
        <w:t>决策</w:t>
      </w:r>
      <w:r>
        <w:rPr>
          <w:rFonts w:hint="eastAsia" w:ascii="黑体" w:hAnsi="黑体" w:eastAsia="黑体"/>
          <w:color w:val="000000" w:themeColor="text1"/>
          <w:kern w:val="0"/>
          <w:szCs w:val="20"/>
          <w14:textFill>
            <w14:solidFill>
              <w14:schemeClr w14:val="tx1"/>
            </w14:solidFill>
          </w14:textFill>
        </w:rPr>
        <w:t>与调节</w:t>
      </w:r>
      <w:r>
        <w:rPr>
          <w:rFonts w:ascii="黑体" w:hAnsi="黑体" w:eastAsia="黑体"/>
          <w:color w:val="000000" w:themeColor="text1"/>
          <w:kern w:val="0"/>
          <w:szCs w:val="20"/>
          <w14:textFill>
            <w14:solidFill>
              <w14:schemeClr w14:val="tx1"/>
            </w14:solidFill>
          </w14:textFill>
        </w:rPr>
        <w:t>层</w:t>
      </w:r>
    </w:p>
    <w:p w14:paraId="6F9EDDA7">
      <w:pPr>
        <w:ind w:firstLine="420" w:firstLineChars="200"/>
        <w:rPr>
          <w:color w:val="000000" w:themeColor="text1"/>
          <w:kern w:val="0"/>
          <w:szCs w:val="20"/>
          <w14:textFill>
            <w14:solidFill>
              <w14:schemeClr w14:val="tx1"/>
            </w14:solidFill>
          </w14:textFill>
        </w:rPr>
      </w:pPr>
      <w:r>
        <w:rPr>
          <w:color w:val="000000" w:themeColor="text1"/>
          <w:kern w:val="0"/>
          <w:szCs w:val="20"/>
          <w14:textFill>
            <w14:solidFill>
              <w14:schemeClr w14:val="tx1"/>
            </w14:solidFill>
          </w14:textFill>
        </w:rPr>
        <w:t>主要由微电网中央控制器（MGCC）或协调控制系统组成。该层应依据智能计算层输出的推理结果及预设控制策略，生成针对分布式电源、储能系统及可控负荷的调节指令，实现微电网在并网、孤岛及过渡模式下的功率平衡与优化运行。</w:t>
      </w:r>
    </w:p>
    <w:p w14:paraId="3CAA538B">
      <w:pPr>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 xml:space="preserve">4.1.6 </w:t>
      </w:r>
      <w:r>
        <w:rPr>
          <w:rFonts w:ascii="黑体" w:hAnsi="黑体" w:eastAsia="黑体"/>
          <w:color w:val="000000" w:themeColor="text1"/>
          <w:kern w:val="0"/>
          <w:szCs w:val="20"/>
          <w14:textFill>
            <w14:solidFill>
              <w14:schemeClr w14:val="tx1"/>
            </w14:solidFill>
          </w14:textFill>
        </w:rPr>
        <w:t>应用与运维层</w:t>
      </w:r>
    </w:p>
    <w:p w14:paraId="6D53C958">
      <w:pPr>
        <w:pStyle w:val="29"/>
        <w:rPr>
          <w:color w:val="000000" w:themeColor="text1"/>
          <w14:textFill>
            <w14:solidFill>
              <w14:schemeClr w14:val="tx1"/>
            </w14:solidFill>
          </w14:textFill>
        </w:rPr>
      </w:pPr>
      <w:r>
        <w:rPr>
          <w:color w:val="000000" w:themeColor="text1"/>
          <w14:textFill>
            <w14:solidFill>
              <w14:schemeClr w14:val="tx1"/>
            </w14:solidFill>
          </w14:textFill>
        </w:rPr>
        <w:t>主要由监控工作站、云端管理平台及人机交互终端组成。该层应提供系统全景监控、能效分析、模型全生命周期管理及安全审计功能，支持通过可视化界面进行远程运维与辅助决策。</w:t>
      </w:r>
    </w:p>
    <w:p w14:paraId="42602A9B">
      <w:pPr>
        <w:pStyle w:val="53"/>
        <w:spacing w:before="156" w:after="156"/>
        <w:jc w:val="left"/>
        <w:outlineLvl w:val="1"/>
        <w:rPr>
          <w:color w:val="000000" w:themeColor="text1"/>
          <w14:textFill>
            <w14:solidFill>
              <w14:schemeClr w14:val="tx1"/>
            </w14:solidFill>
          </w14:textFill>
        </w:rPr>
      </w:pPr>
      <w:bookmarkStart w:id="48" w:name="_Toc217822735"/>
      <w:bookmarkStart w:id="49" w:name="_Toc220189995"/>
      <w:bookmarkStart w:id="50" w:name="_Toc212041715"/>
      <w:bookmarkStart w:id="51" w:name="_Toc217822948"/>
      <w:r>
        <w:rPr>
          <w:rFonts w:hint="eastAsia"/>
          <w:color w:val="000000" w:themeColor="text1"/>
          <w14:textFill>
            <w14:solidFill>
              <w14:schemeClr w14:val="tx1"/>
            </w14:solidFill>
          </w14:textFill>
        </w:rPr>
        <w:t>跨域安全基本原则</w:t>
      </w:r>
      <w:bookmarkEnd w:id="48"/>
      <w:bookmarkEnd w:id="49"/>
      <w:bookmarkEnd w:id="50"/>
      <w:bookmarkEnd w:id="51"/>
    </w:p>
    <w:p w14:paraId="7E4F5D0A">
      <w:pPr>
        <w:adjustRightInd w:val="0"/>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4.2.1</w:t>
      </w:r>
      <w:r>
        <w:rPr>
          <w:rFonts w:ascii="黑体" w:hAnsi="黑体" w:eastAsia="黑体"/>
          <w:color w:val="000000" w:themeColor="text1"/>
          <w:kern w:val="0"/>
          <w:szCs w:val="20"/>
          <w14:textFill>
            <w14:solidFill>
              <w14:schemeClr w14:val="tx1"/>
            </w14:solidFill>
          </w14:textFill>
        </w:rPr>
        <w:t>最小权限原则</w:t>
      </w:r>
    </w:p>
    <w:p w14:paraId="45B13594">
      <w:pPr>
        <w:adjustRightInd w:val="0"/>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系统各个模块、设备和用户应以最小权限原则进行访问控制，确保仅授权的人员或设备可访问必要的资源，降低潜在攻击面。</w:t>
      </w:r>
    </w:p>
    <w:p w14:paraId="3A614CCD">
      <w:pPr>
        <w:adjustRightInd w:val="0"/>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4.2.2</w:t>
      </w:r>
      <w:r>
        <w:rPr>
          <w:rFonts w:ascii="黑体" w:hAnsi="黑体" w:eastAsia="黑体"/>
          <w:color w:val="000000" w:themeColor="text1"/>
          <w:kern w:val="0"/>
          <w:szCs w:val="20"/>
          <w14:textFill>
            <w14:solidFill>
              <w14:schemeClr w14:val="tx1"/>
            </w14:solidFill>
          </w14:textFill>
        </w:rPr>
        <w:t>分层防护原则</w:t>
      </w:r>
    </w:p>
    <w:p w14:paraId="41CC2CBD">
      <w:pPr>
        <w:adjustRightInd w:val="0"/>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建立感知层、通信层、感知分析层、决策与调节层、应用与运维层等多层次安全防护体系，避免单点突破，提升系统整体安全韧性。各层安全防护相互独立、互为支撑。</w:t>
      </w:r>
    </w:p>
    <w:p w14:paraId="50DD2773">
      <w:pPr>
        <w:adjustRightInd w:val="0"/>
        <w:rPr>
          <w:rFonts w:ascii="黑体" w:hAnsi="黑体" w:eastAsia="黑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14:textFill>
            <w14:solidFill>
              <w14:schemeClr w14:val="tx1"/>
            </w14:solidFill>
          </w14:textFill>
        </w:rPr>
        <w:t>4.2.3</w:t>
      </w:r>
      <w:r>
        <w:rPr>
          <w:rFonts w:ascii="黑体" w:hAnsi="黑体" w:eastAsia="黑体"/>
          <w:color w:val="000000" w:themeColor="text1"/>
          <w:kern w:val="0"/>
          <w:szCs w:val="20"/>
          <w14:textFill>
            <w14:solidFill>
              <w14:schemeClr w14:val="tx1"/>
            </w14:solidFill>
          </w14:textFill>
        </w:rPr>
        <w:t>全生命周期管理原则</w:t>
      </w:r>
    </w:p>
    <w:p w14:paraId="4F3F49FB">
      <w:pPr>
        <w:adjustRightInd w:val="0"/>
        <w:ind w:firstLine="420" w:firstLineChars="200"/>
        <w:rPr>
          <w:color w:val="000000" w:themeColor="text1"/>
          <w:kern w:val="0"/>
          <w:szCs w:val="20"/>
          <w14:textFill>
            <w14:solidFill>
              <w14:schemeClr w14:val="tx1"/>
            </w14:solidFill>
          </w14:textFill>
        </w:rPr>
      </w:pPr>
      <w:r>
        <w:rPr>
          <w:rFonts w:hint="eastAsia"/>
          <w:color w:val="000000" w:themeColor="text1"/>
          <w:kern w:val="0"/>
          <w:szCs w:val="20"/>
          <w14:textFill>
            <w14:solidFill>
              <w14:schemeClr w14:val="tx1"/>
            </w14:solidFill>
          </w14:textFill>
        </w:rPr>
        <w:t>系统从规划设计、建设实施、运行运维到退役销毁全过程应纳入安全管理范畴。</w:t>
      </w:r>
      <w:r>
        <w:rPr>
          <w:color w:val="000000" w:themeColor="text1"/>
          <w:kern w:val="0"/>
          <w:szCs w:val="20"/>
          <w14:textFill>
            <w14:solidFill>
              <w14:schemeClr w14:val="tx1"/>
            </w14:solidFill>
          </w14:textFill>
        </w:rPr>
        <w:t>AI</w:t>
      </w:r>
      <w:r>
        <w:rPr>
          <w:rFonts w:hint="eastAsia"/>
          <w:color w:val="000000" w:themeColor="text1"/>
          <w:kern w:val="0"/>
          <w:szCs w:val="20"/>
          <w14:textFill>
            <w14:solidFill>
              <w14:schemeClr w14:val="tx1"/>
            </w14:solidFill>
          </w14:textFill>
        </w:rPr>
        <w:t>芯片、算法模型和数据的使用过程均应可追溯、可管控，确保系统长期安全可靠运行。</w:t>
      </w:r>
    </w:p>
    <w:p w14:paraId="4A060EE7">
      <w:pPr>
        <w:pStyle w:val="54"/>
        <w:spacing w:before="312" w:beforeLines="0" w:after="312" w:afterLines="0"/>
        <w:outlineLvl w:val="0"/>
        <w:rPr>
          <w:rFonts w:ascii="Times New Roman"/>
          <w:color w:val="000000" w:themeColor="text1"/>
          <w:szCs w:val="21"/>
          <w14:textFill>
            <w14:solidFill>
              <w14:schemeClr w14:val="tx1"/>
            </w14:solidFill>
          </w14:textFill>
        </w:rPr>
      </w:pPr>
      <w:bookmarkStart w:id="52" w:name="_Toc217822736"/>
      <w:bookmarkStart w:id="53" w:name="_Toc217822949"/>
      <w:bookmarkStart w:id="54" w:name="_Toc220189996"/>
      <w:bookmarkStart w:id="55" w:name="_Toc212041716"/>
      <w:r>
        <w:rPr>
          <w:rFonts w:hint="eastAsia"/>
          <w:color w:val="000000" w:themeColor="text1"/>
          <w14:textFill>
            <w14:solidFill>
              <w14:schemeClr w14:val="tx1"/>
            </w14:solidFill>
          </w14:textFill>
        </w:rPr>
        <w:t>AI芯片应用技术要求</w:t>
      </w:r>
      <w:bookmarkEnd w:id="52"/>
      <w:bookmarkEnd w:id="53"/>
      <w:bookmarkEnd w:id="54"/>
      <w:bookmarkEnd w:id="55"/>
    </w:p>
    <w:p w14:paraId="6576A342">
      <w:pPr>
        <w:pStyle w:val="53"/>
        <w:spacing w:before="156" w:after="156"/>
        <w:jc w:val="left"/>
        <w:outlineLvl w:val="1"/>
        <w:rPr>
          <w:color w:val="000000" w:themeColor="text1"/>
          <w14:textFill>
            <w14:solidFill>
              <w14:schemeClr w14:val="tx1"/>
            </w14:solidFill>
          </w14:textFill>
        </w:rPr>
      </w:pPr>
      <w:bookmarkStart w:id="56" w:name="_Toc212041717"/>
      <w:bookmarkStart w:id="57" w:name="_Toc220189997"/>
      <w:r>
        <w:rPr>
          <w:rFonts w:hint="eastAsia"/>
          <w:color w:val="000000" w:themeColor="text1"/>
          <w14:textFill>
            <w14:solidFill>
              <w14:schemeClr w14:val="tx1"/>
            </w14:solidFill>
          </w14:textFill>
        </w:rPr>
        <w:t>硬件技术要求</w:t>
      </w:r>
      <w:bookmarkEnd w:id="56"/>
      <w:bookmarkEnd w:id="57"/>
    </w:p>
    <w:p w14:paraId="13621809">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计算性能</w:t>
      </w:r>
    </w:p>
    <w:p w14:paraId="3540CAD1">
      <w:pPr>
        <w:pStyle w:val="29"/>
        <w:rPr>
          <w:color w:val="000000" w:themeColor="text1"/>
          <w14:textFill>
            <w14:solidFill>
              <w14:schemeClr w14:val="tx1"/>
            </w14:solidFill>
          </w14:textFill>
        </w:rPr>
      </w:pPr>
      <w:r>
        <w:rPr>
          <w:color w:val="000000" w:themeColor="text1"/>
          <w14:textFill>
            <w14:solidFill>
              <w14:schemeClr w14:val="tx1"/>
            </w14:solidFill>
          </w14:textFill>
        </w:rPr>
        <w:t>AI芯片计算性能按微电网场景实时性与重要性分3级，核心指标符合GB/T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46346、GB/T</w:t>
      </w:r>
      <w:r>
        <w:rPr>
          <w:color w:val="000000" w:themeColor="text1"/>
          <w:lang w:val="en-IN"/>
          <w14:textFill>
            <w14:solidFill>
              <w14:schemeClr w14:val="tx1"/>
            </w14:solidFill>
          </w14:textFill>
        </w:rPr>
        <w:t xml:space="preserve"> </w:t>
      </w:r>
      <w:r>
        <w:rPr>
          <w:color w:val="000000" w:themeColor="text1"/>
          <w14:textFill>
            <w14:solidFill>
              <w14:schemeClr w14:val="tx1"/>
            </w14:solidFill>
          </w14:textFill>
        </w:rPr>
        <w:t>42731规范</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各等级AI芯片及模组的详细性能参数指标详见附录 A 表 A.1。</w:t>
      </w:r>
    </w:p>
    <w:p w14:paraId="11B17A96">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5.1.1.1</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安全实时控制级</w:t>
      </w:r>
    </w:p>
    <w:p w14:paraId="60B88AFB">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适用于故障定位、攻击检测等安全实时控制场景，单次推理时延应不大于</w:t>
      </w:r>
      <w:r>
        <w:rPr>
          <w:color w:val="000000" w:themeColor="text1"/>
          <w14:textFill>
            <w14:solidFill>
              <w14:schemeClr w14:val="tx1"/>
            </w14:solidFill>
          </w14:textFill>
        </w:rPr>
        <w:t>10ms、算力</w:t>
      </w:r>
      <w:r>
        <w:rPr>
          <w:rFonts w:hint="eastAsia"/>
          <w:color w:val="000000" w:themeColor="text1"/>
          <w14:textFill>
            <w14:solidFill>
              <w14:schemeClr w14:val="tx1"/>
            </w14:solidFill>
          </w14:textFill>
        </w:rPr>
        <w:t>能效不小于0.5</w:t>
      </w:r>
      <w:r>
        <w:rPr>
          <w:color w:val="000000" w:themeColor="text1"/>
          <w14:textFill>
            <w14:solidFill>
              <w14:schemeClr w14:val="tx1"/>
            </w14:solidFill>
          </w14:textFill>
        </w:rPr>
        <w:t>TOPS/W，符合GB/T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38953实时性要求。</w:t>
      </w:r>
    </w:p>
    <w:p w14:paraId="22B8ABC2">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5.1.1.2</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经济在线调度级</w:t>
      </w:r>
    </w:p>
    <w:p w14:paraId="21A1EC86">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适用于负荷预测、储能调度等经济在线调度场景，单次推理时延应不大于</w:t>
      </w:r>
      <w:r>
        <w:rPr>
          <w:color w:val="000000" w:themeColor="text1"/>
          <w14:textFill>
            <w14:solidFill>
              <w14:schemeClr w14:val="tx1"/>
            </w14:solidFill>
          </w14:textFill>
        </w:rPr>
        <w:t>30ms、算力</w:t>
      </w:r>
      <w:r>
        <w:rPr>
          <w:rFonts w:hint="eastAsia"/>
          <w:color w:val="000000" w:themeColor="text1"/>
          <w14:textFill>
            <w14:solidFill>
              <w14:schemeClr w14:val="tx1"/>
            </w14:solidFill>
          </w14:textFill>
        </w:rPr>
        <w:t>能效不小于0.8</w:t>
      </w:r>
      <w:r>
        <w:rPr>
          <w:color w:val="000000" w:themeColor="text1"/>
          <w14:textFill>
            <w14:solidFill>
              <w14:schemeClr w14:val="tx1"/>
            </w14:solidFill>
          </w14:textFill>
        </w:rPr>
        <w:t>TOPS/W，契合GB/T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36274调度要求。</w:t>
      </w:r>
    </w:p>
    <w:p w14:paraId="5BFB8940">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5.1.1.3</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运维离线分析级</w:t>
      </w:r>
    </w:p>
    <w:p w14:paraId="5BCD3B68">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适用于设备评估、数据挖掘等运维离线分析场景，单次推理时延应不大于</w:t>
      </w:r>
      <w:r>
        <w:rPr>
          <w:color w:val="000000" w:themeColor="text1"/>
          <w14:textFill>
            <w14:solidFill>
              <w14:schemeClr w14:val="tx1"/>
            </w14:solidFill>
          </w14:textFill>
        </w:rPr>
        <w:t>300ms、算力</w:t>
      </w:r>
      <w:r>
        <w:rPr>
          <w:rFonts w:hint="eastAsia"/>
          <w:color w:val="000000" w:themeColor="text1"/>
          <w14:textFill>
            <w14:solidFill>
              <w14:schemeClr w14:val="tx1"/>
            </w14:solidFill>
          </w14:textFill>
        </w:rPr>
        <w:t>能效不小于1</w:t>
      </w:r>
      <w:r>
        <w:rPr>
          <w:color w:val="000000" w:themeColor="text1"/>
          <w14:textFill>
            <w14:solidFill>
              <w14:schemeClr w14:val="tx1"/>
            </w14:solidFill>
          </w14:textFill>
        </w:rPr>
        <w:t>TOPS/W，符合GB/T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46346离线指标。</w:t>
      </w:r>
    </w:p>
    <w:p w14:paraId="6B6CF8D8">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芯片选型时，应根据其最终部署的应用场景，明确其需满足的性能等级。</w:t>
      </w:r>
    </w:p>
    <w:p w14:paraId="4E935E2B">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存储与带宽能力</w:t>
      </w:r>
    </w:p>
    <w:p w14:paraId="06908073">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AI芯片应具备满足本地模型存储、历史数据缓存及实时数据流处理的存储能力，并支持边缘计算环境下的</w:t>
      </w:r>
      <w:bookmarkStart w:id="58" w:name="OLE_LINK11"/>
      <w:r>
        <w:rPr>
          <w:rFonts w:hint="eastAsia" w:ascii="Times New Roman"/>
          <w:color w:val="000000" w:themeColor="text1"/>
          <w:szCs w:val="21"/>
          <w14:textFill>
            <w14:solidFill>
              <w14:schemeClr w14:val="tx1"/>
            </w14:solidFill>
          </w14:textFill>
        </w:rPr>
        <w:t>吞吐数据处理需求</w:t>
      </w:r>
      <w:bookmarkEnd w:id="58"/>
      <w:r>
        <w:rPr>
          <w:rFonts w:hint="eastAsia" w:ascii="Times New Roman"/>
          <w:color w:val="000000" w:themeColor="text1"/>
          <w:szCs w:val="21"/>
          <w14:textFill>
            <w14:solidFill>
              <w14:schemeClr w14:val="tx1"/>
            </w14:solidFill>
          </w14:textFill>
        </w:rPr>
        <w:t>。</w:t>
      </w:r>
    </w:p>
    <w:p w14:paraId="1A27B388">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5.1.2.1　存储带宽</w:t>
      </w:r>
    </w:p>
    <w:p w14:paraId="7837C420">
      <w:pPr>
        <w:pStyle w:val="29"/>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为保障模型权重加载与中间计算结果的高速读写，AI芯片的片外存储带宽应与算力性能相匹配。</w:t>
      </w:r>
      <w:r>
        <w:rPr>
          <w:rFonts w:hint="eastAsia" w:ascii="Times New Roman"/>
          <w:color w:val="000000" w:themeColor="text1"/>
          <w:szCs w:val="21"/>
          <w14:textFill>
            <w14:solidFill>
              <w14:schemeClr w14:val="tx1"/>
            </w14:solidFill>
          </w14:textFill>
        </w:rPr>
        <w:t>具体如下：</w:t>
      </w:r>
    </w:p>
    <w:p w14:paraId="61E02723">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对于安全实时控制级与经济在线调度级，存储带宽宜不低于25.6 GB/s</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对应LPDDR4x双通道水平，以满足毫秒级推理的时延确定性要求；</w:t>
      </w:r>
    </w:p>
    <w:p w14:paraId="65F4B596">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对于运维离线分析级，存储带宽宜不低于51.2 GB/s，以支撑大批量数据的并发吞吐。</w:t>
      </w:r>
    </w:p>
    <w:p w14:paraId="5A5A96D9">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5.1.2.2　I/O</w:t>
      </w:r>
      <w:r>
        <w:rPr>
          <w:rFonts w:hint="eastAsia" w:ascii="黑体" w:hAnsi="黑体" w:eastAsia="黑体"/>
          <w:color w:val="000000" w:themeColor="text1"/>
          <w14:textFill>
            <w14:solidFill>
              <w14:schemeClr w14:val="tx1"/>
            </w14:solidFill>
          </w14:textFill>
        </w:rPr>
        <w:t>通信吞吐率</w:t>
      </w:r>
    </w:p>
    <w:p w14:paraId="7D78D609">
      <w:pPr>
        <w:pStyle w:val="29"/>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AI芯片及其模组应支持多路高频采样数据与控制指令的并发吞吐。</w:t>
      </w:r>
      <w:r>
        <w:rPr>
          <w:rFonts w:hint="eastAsia" w:ascii="Times New Roman"/>
          <w:color w:val="000000" w:themeColor="text1"/>
          <w:szCs w:val="21"/>
          <w14:textFill>
            <w14:solidFill>
              <w14:schemeClr w14:val="tx1"/>
            </w14:solidFill>
          </w14:textFill>
        </w:rPr>
        <w:t>具体如下：</w:t>
      </w:r>
    </w:p>
    <w:p w14:paraId="71F0EB27">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在满载工况下，网络接口的双向吞吐量应不低于标称带宽的90%；</w:t>
      </w:r>
    </w:p>
    <w:p w14:paraId="6488B665">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支持海量小包（64字节）线速转发，包转发率应满足微电网高密度采样数据的无阻塞接入需求。</w:t>
      </w:r>
    </w:p>
    <w:p w14:paraId="26790E8E">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5.1.2.3　本地存储容量</w:t>
      </w:r>
    </w:p>
    <w:p w14:paraId="5DB59DC2">
      <w:pPr>
        <w:pStyle w:val="29"/>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应具备不低于 8 GB 的非易失性存储空间，支持操作系统、AI算法模型库及不少于7天的关键运行数据本地循环缓存。</w:t>
      </w:r>
    </w:p>
    <w:p w14:paraId="709C73AC">
      <w:pPr>
        <w:pStyle w:val="92"/>
        <w:numPr>
          <w:ilvl w:val="2"/>
          <w:numId w:val="2"/>
        </w:numPr>
        <w:spacing w:before="156" w:after="156"/>
        <w:jc w:val="left"/>
        <w:rPr>
          <w:color w:val="000000" w:themeColor="text1"/>
          <w14:textFill>
            <w14:solidFill>
              <w14:schemeClr w14:val="tx1"/>
            </w14:solidFill>
          </w14:textFill>
        </w:rPr>
      </w:pPr>
      <w:bookmarkStart w:id="59" w:name="OLE_LINK13"/>
      <w:r>
        <w:rPr>
          <w:rFonts w:hint="eastAsia"/>
          <w:color w:val="000000" w:themeColor="text1"/>
          <w14:textFill>
            <w14:solidFill>
              <w14:schemeClr w14:val="tx1"/>
            </w14:solidFill>
          </w14:textFill>
        </w:rPr>
        <w:t>能耗与能耗要求</w:t>
      </w:r>
    </w:p>
    <w:bookmarkEnd w:id="59"/>
    <w:p w14:paraId="0D600817">
      <w:pPr>
        <w:widowControl/>
        <w:ind w:firstLine="420" w:firstLineChars="200"/>
        <w:jc w:val="left"/>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AI芯片及其模组应采用低功耗设计，支持动态能效优化技术</w:t>
      </w:r>
      <w:r>
        <w:rPr>
          <w:rFonts w:hint="eastAsia" w:ascii="Times New Roman" w:hAnsi="Times New Roman"/>
          <w:color w:val="000000" w:themeColor="text1"/>
          <w:kern w:val="0"/>
          <w:szCs w:val="21"/>
          <w14:textFill>
            <w14:solidFill>
              <w14:schemeClr w14:val="tx1"/>
            </w14:solidFill>
          </w14:textFill>
        </w:rPr>
        <w:t>。</w:t>
      </w:r>
    </w:p>
    <w:p w14:paraId="059C594A">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5.1.3.1　功耗限值</w:t>
      </w:r>
    </w:p>
    <w:p w14:paraId="15AAC061">
      <w:pPr>
        <w:pStyle w:val="29"/>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依据应用场景等级，芯片模组的热设计功耗与典型工作功耗应满足：</w:t>
      </w:r>
    </w:p>
    <w:p w14:paraId="0837AD21">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安全实时控制级</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典型功耗应</w:t>
      </w:r>
      <w:r>
        <w:rPr>
          <w:rFonts w:hint="eastAsia" w:ascii="Times New Roman"/>
          <w:color w:val="000000" w:themeColor="text1"/>
          <w:szCs w:val="21"/>
          <w14:textFill>
            <w14:solidFill>
              <w14:schemeClr w14:val="tx1"/>
            </w14:solidFill>
          </w14:textFill>
        </w:rPr>
        <w:t>不大于</w:t>
      </w:r>
      <w:r>
        <w:rPr>
          <w:rFonts w:ascii="Times New Roman"/>
          <w:color w:val="000000" w:themeColor="text1"/>
          <w:szCs w:val="21"/>
          <w14:textFill>
            <w14:solidFill>
              <w14:schemeClr w14:val="tx1"/>
            </w14:solidFill>
          </w14:textFill>
        </w:rPr>
        <w:t>5W，峰值功耗应</w:t>
      </w:r>
      <w:r>
        <w:rPr>
          <w:rFonts w:hint="eastAsia" w:ascii="Times New Roman"/>
          <w:color w:val="000000" w:themeColor="text1"/>
          <w:szCs w:val="21"/>
          <w14:textFill>
            <w14:solidFill>
              <w14:schemeClr w14:val="tx1"/>
            </w14:solidFill>
          </w14:textFill>
        </w:rPr>
        <w:t>不大于</w:t>
      </w:r>
      <w:r>
        <w:rPr>
          <w:rFonts w:ascii="Times New Roman"/>
          <w:color w:val="000000" w:themeColor="text1"/>
          <w:szCs w:val="21"/>
          <w14:textFill>
            <w14:solidFill>
              <w14:schemeClr w14:val="tx1"/>
            </w14:solidFill>
          </w14:textFill>
        </w:rPr>
        <w:t>8W，满足无风扇被动散热条件；</w:t>
      </w:r>
    </w:p>
    <w:p w14:paraId="1FF2CE13">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经济在线调度级</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典型功耗应</w:t>
      </w:r>
      <w:r>
        <w:rPr>
          <w:rFonts w:hint="eastAsia" w:ascii="Times New Roman"/>
          <w:color w:val="000000" w:themeColor="text1"/>
          <w:szCs w:val="21"/>
          <w14:textFill>
            <w14:solidFill>
              <w14:schemeClr w14:val="tx1"/>
            </w14:solidFill>
          </w14:textFill>
        </w:rPr>
        <w:t>不大于</w:t>
      </w:r>
      <w:r>
        <w:rPr>
          <w:rFonts w:ascii="Times New Roman"/>
          <w:color w:val="000000" w:themeColor="text1"/>
          <w:szCs w:val="21"/>
          <w14:textFill>
            <w14:solidFill>
              <w14:schemeClr w14:val="tx1"/>
            </w14:solidFill>
          </w14:textFill>
        </w:rPr>
        <w:t>10W，峰值功耗应</w:t>
      </w:r>
      <w:r>
        <w:rPr>
          <w:rFonts w:hint="eastAsia" w:ascii="Times New Roman"/>
          <w:color w:val="000000" w:themeColor="text1"/>
          <w:szCs w:val="21"/>
          <w14:textFill>
            <w14:solidFill>
              <w14:schemeClr w14:val="tx1"/>
            </w14:solidFill>
          </w14:textFill>
        </w:rPr>
        <w:t>不大于</w:t>
      </w:r>
      <w:r>
        <w:rPr>
          <w:rFonts w:ascii="Times New Roman"/>
          <w:color w:val="000000" w:themeColor="text1"/>
          <w:szCs w:val="21"/>
          <w14:textFill>
            <w14:solidFill>
              <w14:schemeClr w14:val="tx1"/>
            </w14:solidFill>
          </w14:textFill>
        </w:rPr>
        <w:t>15W；</w:t>
      </w:r>
    </w:p>
    <w:p w14:paraId="004B98D5">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运维离线分析级</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典型功耗应</w:t>
      </w:r>
      <w:r>
        <w:rPr>
          <w:rFonts w:hint="eastAsia" w:ascii="Times New Roman"/>
          <w:color w:val="000000" w:themeColor="text1"/>
          <w:szCs w:val="21"/>
          <w14:textFill>
            <w14:solidFill>
              <w14:schemeClr w14:val="tx1"/>
            </w14:solidFill>
          </w14:textFill>
        </w:rPr>
        <w:t>不大于</w:t>
      </w:r>
      <w:r>
        <w:rPr>
          <w:rFonts w:ascii="Times New Roman"/>
          <w:color w:val="000000" w:themeColor="text1"/>
          <w:szCs w:val="21"/>
          <w14:textFill>
            <w14:solidFill>
              <w14:schemeClr w14:val="tx1"/>
            </w14:solidFill>
          </w14:textFill>
        </w:rPr>
        <w:t>20W，峰值功耗应</w:t>
      </w:r>
      <w:r>
        <w:rPr>
          <w:rFonts w:hint="eastAsia" w:ascii="Times New Roman"/>
          <w:color w:val="000000" w:themeColor="text1"/>
          <w:szCs w:val="21"/>
          <w14:textFill>
            <w14:solidFill>
              <w14:schemeClr w14:val="tx1"/>
            </w14:solidFill>
          </w14:textFill>
        </w:rPr>
        <w:t>不大于</w:t>
      </w:r>
      <w:r>
        <w:rPr>
          <w:rFonts w:ascii="Times New Roman"/>
          <w:color w:val="000000" w:themeColor="text1"/>
          <w:szCs w:val="21"/>
          <w14:textFill>
            <w14:solidFill>
              <w14:schemeClr w14:val="tx1"/>
            </w14:solidFill>
          </w14:textFill>
        </w:rPr>
        <w:t>30W。</w:t>
      </w:r>
    </w:p>
    <w:p w14:paraId="6FFA1CC9">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5.1.3.2　算力能效比</w:t>
      </w:r>
    </w:p>
    <w:p w14:paraId="0B808BB6">
      <w:pPr>
        <w:pStyle w:val="29"/>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在典型业务负载下，芯片的能效比应满足5.1.1中规定的最低要求</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即0.5TOPS/W。</w:t>
      </w:r>
    </w:p>
    <w:p w14:paraId="6B88B6D8">
      <w:pPr>
        <w:pStyle w:val="29"/>
        <w:ind w:firstLine="0" w:firstLineChars="0"/>
        <w:rPr>
          <w:rFonts w:ascii="黑体" w:hAnsi="黑体" w:eastAsia="黑体"/>
          <w:color w:val="000000" w:themeColor="text1"/>
          <w14:textFill>
            <w14:solidFill>
              <w14:schemeClr w14:val="tx1"/>
            </w14:solidFill>
          </w14:textFill>
        </w:rPr>
      </w:pPr>
      <w:bookmarkStart w:id="60" w:name="OLE_LINK15"/>
      <w:r>
        <w:rPr>
          <w:rFonts w:ascii="黑体" w:hAnsi="黑体" w:eastAsia="黑体"/>
          <w:color w:val="000000" w:themeColor="text1"/>
          <w14:textFill>
            <w14:solidFill>
              <w14:schemeClr w14:val="tx1"/>
            </w14:solidFill>
          </w14:textFill>
        </w:rPr>
        <w:t>5.1.3.3　</w:t>
      </w:r>
      <w:r>
        <w:rPr>
          <w:rFonts w:hint="eastAsia" w:ascii="黑体" w:hAnsi="黑体" w:eastAsia="黑体"/>
          <w:color w:val="000000" w:themeColor="text1"/>
          <w14:textFill>
            <w14:solidFill>
              <w14:schemeClr w14:val="tx1"/>
            </w14:solidFill>
          </w14:textFill>
        </w:rPr>
        <w:t>动态能效管理</w:t>
      </w:r>
    </w:p>
    <w:bookmarkEnd w:id="60"/>
    <w:p w14:paraId="3FE3A9CC">
      <w:pPr>
        <w:pStyle w:val="29"/>
        <w:rPr>
          <w:rFonts w:ascii="Times New Roman"/>
          <w:color w:val="000000" w:themeColor="text1"/>
          <w:szCs w:val="21"/>
          <w14:textFill>
            <w14:solidFill>
              <w14:schemeClr w14:val="tx1"/>
            </w14:solidFill>
          </w14:textFill>
        </w:rPr>
      </w:pPr>
      <w:bookmarkStart w:id="61" w:name="OLE_LINK14"/>
      <w:r>
        <w:rPr>
          <w:rFonts w:ascii="Times New Roman"/>
          <w:color w:val="000000" w:themeColor="text1"/>
          <w:szCs w:val="21"/>
          <w14:textFill>
            <w14:solidFill>
              <w14:schemeClr w14:val="tx1"/>
            </w14:solidFill>
          </w14:textFill>
        </w:rPr>
        <w:t>应具备动态电压频率调整能力，支持根据计算负载自动调节工作电压与频率。在待机或低负载模式下，应支持进入深度休眠状态，恢复时间应满足业务实时性要求。</w:t>
      </w:r>
      <w:bookmarkEnd w:id="61"/>
    </w:p>
    <w:p w14:paraId="5C30462C">
      <w:pPr>
        <w:pStyle w:val="92"/>
        <w:numPr>
          <w:ilvl w:val="2"/>
          <w:numId w:val="2"/>
        </w:numPr>
        <w:spacing w:before="156" w:after="156"/>
        <w:jc w:val="left"/>
        <w:rPr>
          <w:color w:val="000000" w:themeColor="text1"/>
          <w14:textFill>
            <w14:solidFill>
              <w14:schemeClr w14:val="tx1"/>
            </w14:solidFill>
          </w14:textFill>
        </w:rPr>
      </w:pPr>
      <w:r>
        <w:rPr>
          <w:color w:val="000000" w:themeColor="text1"/>
          <w14:textFill>
            <w14:solidFill>
              <w14:schemeClr w14:val="tx1"/>
            </w14:solidFill>
          </w14:textFill>
        </w:rPr>
        <w:t>可靠性与环境适应性要求</w:t>
      </w:r>
    </w:p>
    <w:p w14:paraId="679F39DE">
      <w:pPr>
        <w:widowControl/>
        <w:ind w:firstLine="420" w:firstLineChars="200"/>
        <w:jc w:val="left"/>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AI芯片应具备工业级可靠性，适应微电网复杂现场环境</w:t>
      </w:r>
      <w:r>
        <w:rPr>
          <w:rFonts w:hint="eastAsia" w:ascii="Times New Roman" w:hAnsi="Times New Roman"/>
          <w:color w:val="000000" w:themeColor="text1"/>
          <w:kern w:val="0"/>
          <w:szCs w:val="21"/>
          <w14:textFill>
            <w14:solidFill>
              <w14:schemeClr w14:val="tx1"/>
            </w14:solidFill>
          </w14:textFill>
        </w:rPr>
        <w:t>。</w:t>
      </w:r>
    </w:p>
    <w:p w14:paraId="1233D448">
      <w:pPr>
        <w:pStyle w:val="29"/>
        <w:numPr>
          <w:ilvl w:val="3"/>
          <w:numId w:val="2"/>
        </w:numPr>
        <w:ind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环境适应性</w:t>
      </w:r>
    </w:p>
    <w:p w14:paraId="15526EEE">
      <w:pPr>
        <w:pStyle w:val="29"/>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AI芯片工作温度应支持在-40℃ ～ +85℃的宽温范围内连续正常工作</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抗扰度应符合GB/T 17626 系列标准规定的工业级电磁兼容要求</w:t>
      </w:r>
    </w:p>
    <w:p w14:paraId="5F976E11">
      <w:pPr>
        <w:pStyle w:val="29"/>
        <w:numPr>
          <w:ilvl w:val="3"/>
          <w:numId w:val="2"/>
        </w:numPr>
        <w:ind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长期可靠性</w:t>
      </w:r>
    </w:p>
    <w:p w14:paraId="3D0E7AA8">
      <w:pPr>
        <w:widowControl/>
        <w:ind w:firstLine="420" w:firstLineChars="200"/>
        <w:jc w:val="left"/>
      </w:pPr>
      <w:r>
        <w:rPr>
          <w:rFonts w:ascii="Times New Roman" w:hAnsi="Times New Roman"/>
          <w:color w:val="000000" w:themeColor="text1"/>
          <w:kern w:val="0"/>
          <w:szCs w:val="21"/>
          <w14:textFill>
            <w14:solidFill>
              <w14:schemeClr w14:val="tx1"/>
            </w14:solidFill>
          </w14:textFill>
        </w:rPr>
        <w:t>AI芯片寿命指标</w:t>
      </w:r>
      <w:r>
        <w:rPr>
          <w:rFonts w:hint="eastAsia" w:ascii="Times New Roman" w:hAnsi="Times New Roman"/>
          <w:color w:val="000000" w:themeColor="text1"/>
          <w:kern w:val="0"/>
          <w:szCs w:val="21"/>
          <w14:textFill>
            <w14:solidFill>
              <w14:schemeClr w14:val="tx1"/>
            </w14:solidFill>
          </w14:textFill>
        </w:rPr>
        <w:t>应达到</w:t>
      </w:r>
      <w:r>
        <w:rPr>
          <w:rFonts w:ascii="Times New Roman" w:hAnsi="Times New Roman"/>
          <w:color w:val="000000" w:themeColor="text1"/>
          <w:kern w:val="0"/>
          <w:szCs w:val="21"/>
          <w14:textFill>
            <w14:solidFill>
              <w14:schemeClr w14:val="tx1"/>
            </w14:solidFill>
          </w14:textFill>
        </w:rPr>
        <w:t>不低于10万小时平均无故障工作时间</w:t>
      </w:r>
      <w:r>
        <w:rPr>
          <w:rFonts w:hint="eastAsia" w:ascii="Times New Roman" w:hAnsi="Times New Roman"/>
          <w:color w:val="000000" w:themeColor="text1"/>
          <w:kern w:val="0"/>
          <w:szCs w:val="21"/>
          <w14:textFill>
            <w14:solidFill>
              <w14:schemeClr w14:val="tx1"/>
            </w14:solidFill>
          </w14:textFill>
        </w:rPr>
        <w:t>；</w:t>
      </w:r>
      <w:r>
        <w:t>长期运行应支持 7×24 小时长期不间断运行，且在满载工况下不出现性能衰减或热失控。</w:t>
      </w:r>
    </w:p>
    <w:p w14:paraId="6F844B88">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芯片级安全</w:t>
      </w:r>
    </w:p>
    <w:p w14:paraId="41528BB4">
      <w:pPr>
        <w:pStyle w:val="29"/>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AI芯片应具备硬件级防护机制，包含物理防护、固件加密存储、调试接口保护等，防范物理攻击和恶意篡改风险。</w:t>
      </w:r>
    </w:p>
    <w:p w14:paraId="16C6566E">
      <w:pPr>
        <w:pStyle w:val="53"/>
        <w:spacing w:before="156" w:after="156"/>
        <w:jc w:val="left"/>
        <w:outlineLvl w:val="1"/>
        <w:rPr>
          <w:color w:val="000000" w:themeColor="text1"/>
          <w14:textFill>
            <w14:solidFill>
              <w14:schemeClr w14:val="tx1"/>
            </w14:solidFill>
          </w14:textFill>
        </w:rPr>
      </w:pPr>
      <w:bookmarkStart w:id="62" w:name="_Toc212041718"/>
      <w:bookmarkStart w:id="63" w:name="_Toc220189998"/>
      <w:r>
        <w:rPr>
          <w:rFonts w:hint="eastAsia"/>
          <w:color w:val="000000" w:themeColor="text1"/>
          <w14:textFill>
            <w14:solidFill>
              <w14:schemeClr w14:val="tx1"/>
            </w14:solidFill>
          </w14:textFill>
        </w:rPr>
        <w:t>软件与算法技术要求</w:t>
      </w:r>
      <w:bookmarkEnd w:id="62"/>
      <w:bookmarkEnd w:id="63"/>
    </w:p>
    <w:p w14:paraId="51EE6BDD">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数据处理能力</w:t>
      </w:r>
    </w:p>
    <w:p w14:paraId="42ACD613">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AI芯片应具备现场数据采集、存储及预处理能力，能够对感知层采集的电气量、环境量和设备状态数据进行清洗、降噪和特征提取，为后续模型计算提供高质量数据支撑。</w:t>
      </w:r>
    </w:p>
    <w:p w14:paraId="7B9D7A1B">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AI算法功能</w:t>
      </w:r>
    </w:p>
    <w:p w14:paraId="6FE9D8B2">
      <w:pPr>
        <w:widowControl/>
        <w:jc w:val="left"/>
        <w:rPr>
          <w:rFonts w:ascii="黑体" w:hAnsi="黑体" w:eastAsia="黑体"/>
          <w:color w:val="000000" w:themeColor="text1"/>
          <w:kern w:val="0"/>
          <w:szCs w:val="20"/>
          <w14:textFill>
            <w14:solidFill>
              <w14:schemeClr w14:val="tx1"/>
            </w14:solidFill>
          </w14:textFill>
        </w:rPr>
      </w:pPr>
      <w:r>
        <w:rPr>
          <w:rFonts w:ascii="黑体" w:hAnsi="黑体" w:eastAsia="黑体"/>
          <w:color w:val="000000" w:themeColor="text1"/>
          <w:kern w:val="0"/>
          <w:szCs w:val="20"/>
          <w14:textFill>
            <w14:solidFill>
              <w14:schemeClr w14:val="tx1"/>
            </w14:solidFill>
          </w14:textFill>
        </w:rPr>
        <w:t>5.2.2.1　通用模型算子支持</w:t>
      </w:r>
    </w:p>
    <w:p w14:paraId="357A86CD">
      <w:pPr>
        <w:ind w:firstLine="420" w:firstLineChars="200"/>
      </w:pPr>
      <w:r>
        <w:t>AI芯片应具备完善的神经网络算子库，应支持业界主流通用算子集中不少于90%的算子类型，确保模型的广泛兼容性；支持TensorFlow、PyTorch等主流框架模型的量化部署，量化后的精度损失应控制在1%以内</w:t>
      </w:r>
      <w:r>
        <w:rPr>
          <w:rFonts w:hint="eastAsia"/>
        </w:rPr>
        <w:t>，</w:t>
      </w:r>
      <w:r>
        <w:t>确保微电网业务算法在边缘侧的高效推理。</w:t>
      </w:r>
    </w:p>
    <w:p w14:paraId="3134E887">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5.2.2.2　时序预测类算法加速</w:t>
      </w:r>
    </w:p>
    <w:p w14:paraId="13E210AB">
      <w:pPr>
        <w:pStyle w:val="29"/>
        <w:rPr>
          <w:color w:val="000000" w:themeColor="text1"/>
          <w14:textFill>
            <w14:solidFill>
              <w14:schemeClr w14:val="tx1"/>
            </w14:solidFill>
          </w14:textFill>
        </w:rPr>
      </w:pPr>
      <w:r>
        <w:rPr>
          <w:color w:val="000000" w:themeColor="text1"/>
          <w14:textFill>
            <w14:solidFill>
              <w14:schemeClr w14:val="tx1"/>
            </w14:solidFill>
          </w14:textFill>
        </w:rPr>
        <w:t>针对负荷预测及新能源出力预测场景，AI芯片应具备对Transformer、LSTM等时序网络的硬件加速能力。应支持输入序列长度不小于1024的时间步处理，满足长周期滚动预测需求。</w:t>
      </w:r>
    </w:p>
    <w:p w14:paraId="2947D86A">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5.2.2.3　特征提取与状态识别加速</w:t>
      </w:r>
    </w:p>
    <w:p w14:paraId="4446157A">
      <w:pPr>
        <w:pStyle w:val="29"/>
        <w:rPr>
          <w:color w:val="000000" w:themeColor="text1"/>
          <w14:textFill>
            <w14:solidFill>
              <w14:schemeClr w14:val="tx1"/>
            </w14:solidFill>
          </w14:textFill>
        </w:rPr>
      </w:pPr>
      <w:r>
        <w:rPr>
          <w:color w:val="000000" w:themeColor="text1"/>
          <w14:textFill>
            <w14:solidFill>
              <w14:schemeClr w14:val="tx1"/>
            </w14:solidFill>
          </w14:textFill>
        </w:rPr>
        <w:t>针对微电网电能质量分析、设备状态识别及异常检测场景，AI芯片应支持对多维波形数据及图像数据的高维特征提取。</w:t>
      </w:r>
      <w:r>
        <w:rPr>
          <w:rFonts w:hint="eastAsia"/>
          <w:color w:val="000000" w:themeColor="text1"/>
          <w14:textFill>
            <w14:solidFill>
              <w14:schemeClr w14:val="tx1"/>
            </w14:solidFill>
          </w14:textFill>
        </w:rPr>
        <w:t>应满足以下要求：</w:t>
      </w:r>
    </w:p>
    <w:p w14:paraId="5A443FB1">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算子要求</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应具备对卷积神经网络及图神经网络的硬件加速能力，支持高并发的向量矩阵运算。</w:t>
      </w:r>
    </w:p>
    <w:p w14:paraId="7C8730FE">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业务支撑</w:t>
      </w:r>
      <w:r>
        <w:rPr>
          <w:rFonts w:hint="eastAsia"/>
          <w:color w:val="000000" w:themeColor="text1"/>
          <w14:textFill>
            <w14:solidFill>
              <w14:schemeClr w14:val="tx1"/>
            </w14:solidFill>
          </w14:textFill>
        </w:rPr>
        <w:t>。应</w:t>
      </w:r>
      <w:r>
        <w:rPr>
          <w:color w:val="000000" w:themeColor="text1"/>
          <w14:textFill>
            <w14:solidFill>
              <w14:schemeClr w14:val="tx1"/>
            </w14:solidFill>
          </w14:textFill>
        </w:rPr>
        <w:t>能够支撑基于自动编码器或生成对抗网络的无监督异常检测模型运行，实现对微弱故障特征的快速捕捉与定位。</w:t>
      </w:r>
    </w:p>
    <w:p w14:paraId="4FB2C149">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5.2.2.4　决策优化类算法加速</w:t>
      </w:r>
    </w:p>
    <w:p w14:paraId="17ADF0CD">
      <w:pPr>
        <w:pStyle w:val="29"/>
        <w:rPr>
          <w:color w:val="000000" w:themeColor="text1"/>
          <w14:textFill>
            <w14:solidFill>
              <w14:schemeClr w14:val="tx1"/>
            </w14:solidFill>
          </w14:textFill>
        </w:rPr>
      </w:pPr>
      <w:r>
        <w:rPr>
          <w:color w:val="000000" w:themeColor="text1"/>
          <w14:textFill>
            <w14:solidFill>
              <w14:schemeClr w14:val="tx1"/>
            </w14:solidFill>
          </w14:textFill>
        </w:rPr>
        <w:t>针对源网荷储协同控制及博弈调度场景，AI芯片应具备对深度强化学习及运筹优化求解器的策略网络推理加速能力。</w:t>
      </w:r>
      <w:r>
        <w:rPr>
          <w:rFonts w:hint="eastAsia"/>
          <w:color w:val="000000" w:themeColor="text1"/>
          <w14:textFill>
            <w14:solidFill>
              <w14:schemeClr w14:val="tx1"/>
            </w14:solidFill>
          </w14:textFill>
        </w:rPr>
        <w:t>包含以下要求：</w:t>
      </w:r>
    </w:p>
    <w:p w14:paraId="215CCC18">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算子要求</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应支持策略网络与价值网络的快速前向传播。</w:t>
      </w:r>
    </w:p>
    <w:p w14:paraId="66AC9829">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业务支撑</w:t>
      </w:r>
      <w:r>
        <w:rPr>
          <w:rFonts w:hint="eastAsia"/>
          <w:color w:val="000000" w:themeColor="text1"/>
          <w14:textFill>
            <w14:solidFill>
              <w14:schemeClr w14:val="tx1"/>
            </w14:solidFill>
          </w14:textFill>
        </w:rPr>
        <w:t>。应</w:t>
      </w:r>
      <w:r>
        <w:rPr>
          <w:color w:val="000000" w:themeColor="text1"/>
          <w14:textFill>
            <w14:solidFill>
              <w14:schemeClr w14:val="tx1"/>
            </w14:solidFill>
          </w14:textFill>
        </w:rPr>
        <w:t>能够处理高维状态空间输入，在毫秒级时间内输出满足功率平衡与SOC约束的最优调度策略，支撑复杂工况下的实时博弈与控制。</w:t>
      </w:r>
    </w:p>
    <w:p w14:paraId="06FBB5CD">
      <w:pPr>
        <w:pStyle w:val="29"/>
        <w:ind w:firstLine="0" w:firstLineChars="0"/>
        <w:rPr>
          <w:rFonts w:ascii="黑体" w:hAnsi="黑体" w:eastAsia="黑体"/>
          <w:color w:val="000000" w:themeColor="text1"/>
          <w14:textFill>
            <w14:solidFill>
              <w14:schemeClr w14:val="tx1"/>
            </w14:solidFill>
          </w14:textFill>
        </w:rPr>
      </w:pPr>
      <w:bookmarkStart w:id="64" w:name="OLE_LINK18"/>
      <w:r>
        <w:rPr>
          <w:rFonts w:ascii="黑体" w:hAnsi="黑体" w:eastAsia="黑体"/>
          <w:color w:val="000000" w:themeColor="text1"/>
          <w14:textFill>
            <w14:solidFill>
              <w14:schemeClr w14:val="tx1"/>
            </w14:solidFill>
          </w14:textFill>
        </w:rPr>
        <w:t>5.2.2.5　片上学习与模型微调能力</w:t>
      </w:r>
      <w:bookmarkEnd w:id="64"/>
    </w:p>
    <w:p w14:paraId="017A3E56">
      <w:pPr>
        <w:pStyle w:val="29"/>
        <w:rPr>
          <w:color w:val="000000" w:themeColor="text1"/>
          <w14:textFill>
            <w14:solidFill>
              <w14:schemeClr w14:val="tx1"/>
            </w14:solidFill>
          </w14:textFill>
        </w:rPr>
      </w:pPr>
      <w:r>
        <w:rPr>
          <w:color w:val="000000" w:themeColor="text1"/>
          <w14:textFill>
            <w14:solidFill>
              <w14:schemeClr w14:val="tx1"/>
            </w14:solidFill>
          </w14:textFill>
        </w:rPr>
        <w:t>针对微电网运行环境的时变特性，AI芯片宜具备轻量级片上学习或迁移学习支持能力。</w:t>
      </w:r>
      <w:r>
        <w:rPr>
          <w:rFonts w:hint="eastAsia"/>
          <w:color w:val="000000" w:themeColor="text1"/>
          <w14:textFill>
            <w14:solidFill>
              <w14:schemeClr w14:val="tx1"/>
            </w14:solidFill>
          </w14:textFill>
        </w:rPr>
        <w:t>包含以下要求：</w:t>
      </w:r>
    </w:p>
    <w:p w14:paraId="5AE92F39">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硬件特性</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应支持部分网络层参数的的反向传播计算或增量更新，允许在边缘侧利用新产生的数据对模型进行微调。</w:t>
      </w:r>
    </w:p>
    <w:p w14:paraId="19ADC8C0">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安全要求</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芯片应在硬件层支持模型参数的加密存储与防篡改校验，确保在线更新过程中的模型安全</w:t>
      </w:r>
      <w:r>
        <w:rPr>
          <w:rFonts w:hint="eastAsia"/>
          <w:color w:val="000000" w:themeColor="text1"/>
          <w14:textFill>
            <w14:solidFill>
              <w14:schemeClr w14:val="tx1"/>
            </w14:solidFill>
          </w14:textFill>
        </w:rPr>
        <w:t>。</w:t>
      </w:r>
    </w:p>
    <w:p w14:paraId="0DAA47F6">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模型与算法接口</w:t>
      </w:r>
    </w:p>
    <w:p w14:paraId="58974F07">
      <w:pPr>
        <w:pStyle w:val="29"/>
        <w:rPr>
          <w:color w:val="000000" w:themeColor="text1"/>
          <w14:textFill>
            <w14:solidFill>
              <w14:schemeClr w14:val="tx1"/>
            </w14:solidFill>
          </w14:textFill>
        </w:rPr>
      </w:pPr>
      <w:bookmarkStart w:id="65" w:name="OLE_LINK19"/>
      <w:r>
        <w:rPr>
          <w:rFonts w:hint="eastAsia"/>
          <w:color w:val="000000" w:themeColor="text1"/>
          <w14:textFill>
            <w14:solidFill>
              <w14:schemeClr w14:val="tx1"/>
            </w14:solidFill>
          </w14:textFill>
        </w:rPr>
        <w:t>AI芯片应提供开放的模型与算法接口，支持模型热更新及版本管理，具备对业界主流的、开放的AI模型表示和交换格式的兼容能力，以实现模型跨平台部署。</w:t>
      </w:r>
    </w:p>
    <w:bookmarkEnd w:id="65"/>
    <w:p w14:paraId="43471230">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5.2.3.1　模型交换格式兼容性</w:t>
      </w:r>
    </w:p>
    <w:p w14:paraId="7A7E422D">
      <w:pPr>
        <w:pStyle w:val="29"/>
        <w:rPr>
          <w:color w:val="000000" w:themeColor="text1"/>
          <w14:textFill>
            <w14:solidFill>
              <w14:schemeClr w14:val="tx1"/>
            </w14:solidFill>
          </w14:textFill>
        </w:rPr>
      </w:pPr>
      <w:r>
        <w:rPr>
          <w:color w:val="000000" w:themeColor="text1"/>
          <w14:textFill>
            <w14:solidFill>
              <w14:schemeClr w14:val="tx1"/>
            </w14:solidFill>
          </w14:textFill>
        </w:rPr>
        <w:t>AI芯片应具备广泛的模型格式支持能力，以确保算法模型跨平台部署的互操作性。具体指标如下：</w:t>
      </w:r>
    </w:p>
    <w:p w14:paraId="14EF6B15">
      <w:pPr>
        <w:pStyle w:val="29"/>
      </w:pPr>
      <w:r>
        <w:rPr>
          <w:rFonts w:hint="eastAsia"/>
        </w:rPr>
        <w:t>——</w:t>
      </w:r>
      <w:r>
        <w:t>标准中间表示支持应原生支持或通过编译器支持格式模型的导入与部署，确保对Transformer等新型网络结构的解析能力。</w:t>
      </w:r>
    </w:p>
    <w:p w14:paraId="30EF0B4B">
      <w:pPr>
        <w:pStyle w:val="29"/>
      </w:pPr>
      <w:r>
        <w:rPr>
          <w:rFonts w:hint="eastAsia"/>
        </w:rPr>
        <w:t>——</w:t>
      </w:r>
      <w:r>
        <w:t>主流框架适配</w:t>
      </w:r>
      <w:r>
        <w:rPr>
          <w:rFonts w:hint="eastAsia"/>
        </w:rPr>
        <w:t>。</w:t>
      </w:r>
      <w:r>
        <w:t>厂商提供的工具链应具备将 TensorFlow、PyTorch 及 PaddlePaddle 等主流深度学习框架训练出的模型转换为芯片可执行文件的能力。</w:t>
      </w:r>
    </w:p>
    <w:p w14:paraId="78F326B9">
      <w:pPr>
        <w:pStyle w:val="29"/>
      </w:pPr>
      <w:r>
        <w:rPr>
          <w:rFonts w:hint="eastAsia"/>
        </w:rPr>
        <w:t>——</w:t>
      </w:r>
      <w:r>
        <w:t>转换成功率</w:t>
      </w:r>
      <w:r>
        <w:rPr>
          <w:rFonts w:hint="eastAsia"/>
        </w:rPr>
        <w:t>。</w:t>
      </w:r>
      <w:r>
        <w:t>针对上述框架的标准模型库（Model Zoo，包含ResNet、YOLO、LSTM、BERT等典型拓扑），模型转换与编译的成功率应不低于95%。</w:t>
      </w:r>
    </w:p>
    <w:p w14:paraId="260B3251">
      <w:pPr>
        <w:pStyle w:val="29"/>
        <w:ind w:firstLine="0" w:firstLineChars="0"/>
        <w:rPr>
          <w:rFonts w:ascii="黑体" w:hAnsi="黑体" w:eastAsia="黑体"/>
          <w:color w:val="000000" w:themeColor="text1"/>
          <w14:textFill>
            <w14:solidFill>
              <w14:schemeClr w14:val="tx1"/>
            </w14:solidFill>
          </w14:textFill>
        </w:rPr>
      </w:pPr>
      <w:bookmarkStart w:id="66" w:name="OLE_LINK20"/>
      <w:r>
        <w:rPr>
          <w:rFonts w:ascii="黑体" w:hAnsi="黑体" w:eastAsia="黑体"/>
          <w:color w:val="000000" w:themeColor="text1"/>
          <w14:textFill>
            <w14:solidFill>
              <w14:schemeClr w14:val="tx1"/>
            </w14:solidFill>
          </w14:textFill>
        </w:rPr>
        <w:t>5.2.3.2　应用开发接口（API）标准化</w:t>
      </w:r>
    </w:p>
    <w:p w14:paraId="197ECCE0">
      <w:pPr>
        <w:pStyle w:val="29"/>
        <w:rPr>
          <w:color w:val="000000" w:themeColor="text1"/>
          <w14:textFill>
            <w14:solidFill>
              <w14:schemeClr w14:val="tx1"/>
            </w14:solidFill>
          </w14:textFill>
        </w:rPr>
      </w:pPr>
      <w:r>
        <w:rPr>
          <w:color w:val="000000" w:themeColor="text1"/>
          <w14:textFill>
            <w14:solidFill>
              <w14:schemeClr w14:val="tx1"/>
            </w14:solidFill>
          </w14:textFill>
        </w:rPr>
        <w:t>AI芯片应提供标准化的软件开发工具包及推理接口，降低上层微电网控制应用的集成难度：</w:t>
      </w:r>
    </w:p>
    <w:p w14:paraId="6558042B">
      <w:pPr>
        <w:pStyle w:val="29"/>
      </w:pPr>
      <w:r>
        <w:rPr>
          <w:rFonts w:hint="eastAsia"/>
        </w:rPr>
        <w:t>——</w:t>
      </w:r>
      <w:r>
        <w:t>接口语言应至少提供C/C++及Python两种语言的调用接口。</w:t>
      </w:r>
    </w:p>
    <w:bookmarkEnd w:id="66"/>
    <w:p w14:paraId="5B14D837">
      <w:pPr>
        <w:pStyle w:val="29"/>
      </w:pPr>
      <w:r>
        <w:rPr>
          <w:rFonts w:hint="eastAsia"/>
        </w:rPr>
        <w:t>——</w:t>
      </w:r>
      <w:r>
        <w:t>API接口设计应轻量化，单次推理接口调用的软件栈开销应小于50μs，以保障微电网实时控制业务的低时延需求。</w:t>
      </w:r>
    </w:p>
    <w:p w14:paraId="1EE897D2">
      <w:pPr>
        <w:pStyle w:val="29"/>
      </w:pPr>
      <w:r>
        <w:rPr>
          <w:rFonts w:hint="eastAsia"/>
        </w:rPr>
        <w:t>——</w:t>
      </w:r>
      <w:r>
        <w:t>容器化支持</w:t>
      </w:r>
      <w:r>
        <w:rPr>
          <w:rFonts w:hint="eastAsia"/>
        </w:rPr>
        <w:t>。</w:t>
      </w:r>
      <w:r>
        <w:t>宜支持 Docker 容器化部署方式，并提供适配 Kubernetes或 KubeEdge的设备插件，以便于云边协同管理。</w:t>
      </w:r>
    </w:p>
    <w:p w14:paraId="7DC53218">
      <w:pPr>
        <w:pStyle w:val="29"/>
        <w:ind w:firstLine="0" w:firstLineChars="0"/>
        <w:rPr>
          <w:rFonts w:ascii="黑体" w:hAnsi="黑体" w:eastAsia="黑体"/>
          <w:color w:val="000000" w:themeColor="text1"/>
          <w14:textFill>
            <w14:solidFill>
              <w14:schemeClr w14:val="tx1"/>
            </w14:solidFill>
          </w14:textFill>
        </w:rPr>
      </w:pPr>
      <w:bookmarkStart w:id="67" w:name="OLE_LINK21"/>
      <w:r>
        <w:rPr>
          <w:rFonts w:ascii="黑体" w:hAnsi="黑体" w:eastAsia="黑体"/>
          <w:color w:val="000000" w:themeColor="text1"/>
          <w14:textFill>
            <w14:solidFill>
              <w14:schemeClr w14:val="tx1"/>
            </w14:solidFill>
          </w14:textFill>
        </w:rPr>
        <w:t>5.2.3.3　自定义算子扩展能力</w:t>
      </w:r>
    </w:p>
    <w:bookmarkEnd w:id="67"/>
    <w:p w14:paraId="23AC6A4D">
      <w:pPr>
        <w:pStyle w:val="29"/>
        <w:rPr>
          <w:color w:val="000000" w:themeColor="text1"/>
          <w14:textFill>
            <w14:solidFill>
              <w14:schemeClr w14:val="tx1"/>
            </w14:solidFill>
          </w14:textFill>
        </w:rPr>
      </w:pPr>
      <w:r>
        <w:rPr>
          <w:color w:val="000000" w:themeColor="text1"/>
          <w14:textFill>
            <w14:solidFill>
              <w14:schemeClr w14:val="tx1"/>
            </w14:solidFill>
          </w14:textFill>
        </w:rPr>
        <w:t>为应对微电网领域专用算法，AI芯片工具链应支持自定义算子的开发与注册：</w:t>
      </w:r>
    </w:p>
    <w:p w14:paraId="71BEDC4D">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——应支持</w:t>
      </w:r>
      <w:r>
        <w:rPr>
          <w:color w:val="000000" w:themeColor="text1"/>
          <w14:textFill>
            <w14:solidFill>
              <w14:schemeClr w14:val="tx1"/>
            </w14:solidFill>
          </w14:textFill>
        </w:rPr>
        <w:t>扩展机制</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提供基于C++或OpenCL的算子开发模板，允许开发者将不支持的特殊层手动实现并注册到推理引擎中。</w:t>
      </w:r>
    </w:p>
    <w:p w14:paraId="0C713372">
      <w:pPr>
        <w:pStyle w:val="29"/>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混合执行</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在遇到不支持的算子时，推理引擎应具备自动回退机制，将该算子调度至通用处理器执行，而不会导致整个推理任务失败。</w:t>
      </w:r>
    </w:p>
    <w:p w14:paraId="3FBFB541">
      <w:pPr>
        <w:pStyle w:val="150"/>
        <w:rPr>
          <w:rFonts w:ascii="黑体" w:hAnsi="黑体" w:eastAsia="黑体"/>
        </w:rPr>
      </w:pPr>
      <w:r>
        <w:rPr>
          <w:rFonts w:hint="eastAsia" w:ascii="黑体" w:hAnsi="黑体" w:eastAsia="黑体"/>
        </w:rPr>
        <w:t>通信协议支持</w:t>
      </w:r>
    </w:p>
    <w:p w14:paraId="3899662A">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5.2.4.1　电力系统通信规约兼容性</w:t>
      </w:r>
    </w:p>
    <w:p w14:paraId="6FF13425">
      <w:pPr>
        <w:pStyle w:val="29"/>
        <w:rPr>
          <w:color w:val="000000" w:themeColor="text1"/>
          <w14:textFill>
            <w14:solidFill>
              <w14:schemeClr w14:val="tx1"/>
            </w14:solidFill>
          </w14:textFill>
        </w:rPr>
      </w:pPr>
      <w:r>
        <w:rPr>
          <w:color w:val="000000" w:themeColor="text1"/>
          <w14:textFill>
            <w14:solidFill>
              <w14:schemeClr w14:val="tx1"/>
            </w14:solidFill>
          </w14:textFill>
        </w:rPr>
        <w:t>AI芯片的软件与接口应支持电力系统通信规约DL/T634.5104、DL/T645的解析、封装与交互，并满足工程接入与互操作要求。</w:t>
      </w:r>
    </w:p>
    <w:p w14:paraId="136A55F2">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5.2.4.2　工业通信协议兼容性</w:t>
      </w:r>
    </w:p>
    <w:p w14:paraId="716FEAF8">
      <w:pPr>
        <w:pStyle w:val="29"/>
        <w:rPr>
          <w:color w:val="000000" w:themeColor="text1"/>
          <w14:textFill>
            <w14:solidFill>
              <w14:schemeClr w14:val="tx1"/>
            </w14:solidFill>
          </w14:textFill>
        </w:rPr>
      </w:pPr>
      <w:r>
        <w:rPr>
          <w:color w:val="000000" w:themeColor="text1"/>
          <w14:textFill>
            <w14:solidFill>
              <w14:schemeClr w14:val="tx1"/>
            </w14:solidFill>
          </w14:textFill>
        </w:rPr>
        <w:t>AI芯片的软件与接口应支持Modbus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RTU与Modbus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TCP协议的解析、封装与交互，并满足现场设备接入与数据采集要求。</w:t>
      </w:r>
    </w:p>
    <w:p w14:paraId="6D9625ED">
      <w:pPr>
        <w:pStyle w:val="92"/>
        <w:numPr>
          <w:ilvl w:val="2"/>
          <w:numId w:val="2"/>
        </w:numPr>
        <w:spacing w:before="156" w:after="15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数据安全与隐私保护</w:t>
      </w:r>
    </w:p>
    <w:p w14:paraId="3439DC6D">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AI芯片应内置数据加密处理机制，应支持国密算法（SM2/SM3/SM4）及国际主流加密算法，保障采集数据、算法模型和决策结果的安全性和完整性。在处理跨域用户隐私及敏感数据时，应采用隐私增强技术，确保在不直接暴露原始数据的前提下完成计算和分析任务。</w:t>
      </w:r>
    </w:p>
    <w:p w14:paraId="1FD81181">
      <w:pPr>
        <w:pStyle w:val="29"/>
        <w:ind w:firstLine="0" w:firstLineChars="0"/>
        <w:rPr>
          <w:rFonts w:ascii="黑体" w:hAnsi="黑体" w:eastAsia="黑体"/>
          <w:color w:val="000000" w:themeColor="text1"/>
          <w14:textFill>
            <w14:solidFill>
              <w14:schemeClr w14:val="tx1"/>
            </w14:solidFill>
          </w14:textFill>
        </w:rPr>
      </w:pPr>
      <w:bookmarkStart w:id="68" w:name="OLE_LINK22"/>
      <w:r>
        <w:rPr>
          <w:rFonts w:ascii="黑体" w:hAnsi="黑体" w:eastAsia="黑体"/>
          <w:color w:val="000000" w:themeColor="text1"/>
          <w14:textFill>
            <w14:solidFill>
              <w14:schemeClr w14:val="tx1"/>
            </w14:solidFill>
          </w14:textFill>
        </w:rPr>
        <w:t>5.2.5.1　身份认证与指令签名（SM2）</w:t>
      </w:r>
    </w:p>
    <w:bookmarkEnd w:id="68"/>
    <w:p w14:paraId="54164340">
      <w:pPr>
        <w:pStyle w:val="29"/>
        <w:rPr>
          <w:color w:val="000000" w:themeColor="text1"/>
          <w14:textFill>
            <w14:solidFill>
              <w14:schemeClr w14:val="tx1"/>
            </w14:solidFill>
          </w14:textFill>
        </w:rPr>
      </w:pPr>
      <w:r>
        <w:rPr>
          <w:rFonts w:hAnsi="宋体"/>
          <w:color w:val="000000" w:themeColor="text1"/>
          <w14:textFill>
            <w14:solidFill>
              <w14:schemeClr w14:val="tx1"/>
            </w14:solidFill>
          </w14:textFill>
        </w:rPr>
        <w:t>SM2适</w:t>
      </w:r>
      <w:r>
        <w:rPr>
          <w:color w:val="000000" w:themeColor="text1"/>
          <w14:textFill>
            <w14:solidFill>
              <w14:schemeClr w14:val="tx1"/>
            </w14:solidFill>
          </w14:textFill>
        </w:rPr>
        <w:t>用场景</w:t>
      </w:r>
      <w:r>
        <w:rPr>
          <w:rFonts w:hint="eastAsia"/>
          <w:color w:val="000000" w:themeColor="text1"/>
          <w14:textFill>
            <w14:solidFill>
              <w14:schemeClr w14:val="tx1"/>
            </w14:solidFill>
          </w14:textFill>
        </w:rPr>
        <w:t>包含</w:t>
      </w:r>
      <w:r>
        <w:rPr>
          <w:color w:val="000000" w:themeColor="text1"/>
          <w14:textFill>
            <w14:solidFill>
              <w14:schemeClr w14:val="tx1"/>
            </w14:solidFill>
          </w14:textFill>
        </w:rPr>
        <w:t>设备接入认证、关键控制指令交互、密钥协商。应使用SM2非对称加密算法对微电网调度指令进行数字签名与验签，确保指令来源可信且不可抵赖；支持基于数字证书的设备身份双向认证。</w:t>
      </w:r>
    </w:p>
    <w:p w14:paraId="59795CF0">
      <w:pPr>
        <w:pStyle w:val="29"/>
        <w:ind w:firstLine="0" w:firstLineChars="0"/>
        <w:rPr>
          <w:rFonts w:ascii="黑体" w:hAnsi="黑体" w:eastAsia="黑体"/>
          <w:color w:val="000000" w:themeColor="text1"/>
          <w14:textFill>
            <w14:solidFill>
              <w14:schemeClr w14:val="tx1"/>
            </w14:solidFill>
          </w14:textFill>
        </w:rPr>
      </w:pPr>
      <w:bookmarkStart w:id="69" w:name="OLE_LINK23"/>
      <w:r>
        <w:rPr>
          <w:rFonts w:ascii="黑体" w:hAnsi="黑体" w:eastAsia="黑体"/>
          <w:color w:val="000000" w:themeColor="text1"/>
          <w14:textFill>
            <w14:solidFill>
              <w14:schemeClr w14:val="tx1"/>
            </w14:solidFill>
          </w14:textFill>
        </w:rPr>
        <w:t>5.2.5.2　数据完整性校验（SM3）</w:t>
      </w:r>
    </w:p>
    <w:bookmarkEnd w:id="69"/>
    <w:p w14:paraId="65C38715">
      <w:pPr>
        <w:pStyle w:val="29"/>
        <w:rPr>
          <w:color w:val="000000" w:themeColor="text1"/>
          <w14:textFill>
            <w14:solidFill>
              <w14:schemeClr w14:val="tx1"/>
            </w14:solidFill>
          </w14:textFill>
        </w:rPr>
      </w:pPr>
      <w:r>
        <w:rPr>
          <w:rFonts w:hAnsi="宋体"/>
          <w:color w:val="000000" w:themeColor="text1"/>
          <w14:textFill>
            <w14:solidFill>
              <w14:schemeClr w14:val="tx1"/>
            </w14:solidFill>
          </w14:textFill>
        </w:rPr>
        <w:t>SM</w:t>
      </w:r>
      <w:r>
        <w:rPr>
          <w:rFonts w:hint="eastAsia" w:hAnsi="宋体"/>
          <w:color w:val="000000" w:themeColor="text1"/>
          <w14:textFill>
            <w14:solidFill>
              <w14:schemeClr w14:val="tx1"/>
            </w14:solidFill>
          </w14:textFill>
        </w:rPr>
        <w:t>3</w:t>
      </w:r>
      <w:r>
        <w:rPr>
          <w:rFonts w:hAnsi="宋体"/>
          <w:color w:val="000000" w:themeColor="text1"/>
          <w14:textFill>
            <w14:solidFill>
              <w14:schemeClr w14:val="tx1"/>
            </w14:solidFill>
          </w14:textFill>
        </w:rPr>
        <w:t>适</w:t>
      </w:r>
      <w:r>
        <w:rPr>
          <w:color w:val="000000" w:themeColor="text1"/>
          <w14:textFill>
            <w14:solidFill>
              <w14:schemeClr w14:val="tx1"/>
            </w14:solidFill>
          </w14:textFill>
        </w:rPr>
        <w:t>用场景</w:t>
      </w:r>
      <w:r>
        <w:rPr>
          <w:rFonts w:hint="eastAsia"/>
          <w:color w:val="000000" w:themeColor="text1"/>
          <w14:textFill>
            <w14:solidFill>
              <w14:schemeClr w14:val="tx1"/>
            </w14:solidFill>
          </w14:textFill>
        </w:rPr>
        <w:t>包含</w:t>
      </w:r>
      <w:r>
        <w:rPr>
          <w:color w:val="000000" w:themeColor="text1"/>
          <w14:textFill>
            <w14:solidFill>
              <w14:schemeClr w14:val="tx1"/>
            </w14:solidFill>
          </w14:textFill>
        </w:rPr>
        <w:t>AI算法模型加载、固件升级、运行日志审计。应使用SM3杂凑算法对下载的AI模型文件及固件包进行完整性计算与比对，防止模型被恶意篡改或植入后门。</w:t>
      </w:r>
    </w:p>
    <w:p w14:paraId="70D73D1B">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5.2.5.3　敏感数据机密性保护（SM4）</w:t>
      </w:r>
    </w:p>
    <w:p w14:paraId="1FF8540C">
      <w:pPr>
        <w:pStyle w:val="29"/>
        <w:rPr>
          <w:color w:val="000000" w:themeColor="text1"/>
          <w14:textFill>
            <w14:solidFill>
              <w14:schemeClr w14:val="tx1"/>
            </w14:solidFill>
          </w14:textFill>
        </w:rPr>
      </w:pPr>
      <w:r>
        <w:rPr>
          <w:rFonts w:hAnsi="宋体"/>
          <w:color w:val="000000" w:themeColor="text1"/>
          <w14:textFill>
            <w14:solidFill>
              <w14:schemeClr w14:val="tx1"/>
            </w14:solidFill>
          </w14:textFill>
        </w:rPr>
        <w:t>SM4适用</w:t>
      </w:r>
      <w:r>
        <w:rPr>
          <w:color w:val="000000" w:themeColor="text1"/>
          <w14:textFill>
            <w14:solidFill>
              <w14:schemeClr w14:val="tx1"/>
            </w14:solidFill>
          </w14:textFill>
        </w:rPr>
        <w:t>场景</w:t>
      </w:r>
      <w:r>
        <w:rPr>
          <w:rFonts w:hint="eastAsia"/>
          <w:color w:val="000000" w:themeColor="text1"/>
          <w14:textFill>
            <w14:solidFill>
              <w14:schemeClr w14:val="tx1"/>
            </w14:solidFill>
          </w14:textFill>
        </w:rPr>
        <w:t>包含</w:t>
      </w:r>
      <w:r>
        <w:rPr>
          <w:color w:val="000000" w:themeColor="text1"/>
          <w14:textFill>
            <w14:solidFill>
              <w14:schemeClr w14:val="tx1"/>
            </w14:solidFill>
          </w14:textFill>
        </w:rPr>
        <w:t>用户隐私数据传输、模型权重参数存储、采集数据落盘。应使用SM4分组密码算法对本地存储的敏感数据（如用户用电负荷曲线）及AI模型权重进行加密存储；在数据跨域传输时，应支持全链路加密通道。</w:t>
      </w:r>
    </w:p>
    <w:p w14:paraId="2ACA07A8">
      <w:pPr>
        <w:pStyle w:val="53"/>
        <w:spacing w:before="156" w:after="156"/>
        <w:jc w:val="left"/>
        <w:outlineLvl w:val="1"/>
        <w:rPr>
          <w:color w:val="000000" w:themeColor="text1"/>
          <w14:textFill>
            <w14:solidFill>
              <w14:schemeClr w14:val="tx1"/>
            </w14:solidFill>
          </w14:textFill>
        </w:rPr>
      </w:pPr>
      <w:bookmarkStart w:id="70" w:name="_Toc220189999"/>
      <w:bookmarkEnd w:id="70"/>
      <w:bookmarkStart w:id="71" w:name="_Toc220190000"/>
      <w:bookmarkStart w:id="72" w:name="_Toc212041719"/>
      <w:r>
        <w:rPr>
          <w:rFonts w:hint="eastAsia"/>
          <w:color w:val="000000" w:themeColor="text1"/>
          <w14:textFill>
            <w14:solidFill>
              <w14:schemeClr w14:val="tx1"/>
            </w14:solidFill>
          </w14:textFill>
        </w:rPr>
        <w:t>运行与维护要求</w:t>
      </w:r>
      <w:bookmarkEnd w:id="71"/>
      <w:bookmarkEnd w:id="72"/>
    </w:p>
    <w:p w14:paraId="23948B81">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AI芯片应支持远程管理和状态监控功能，具备日志记录、运行状态自检和异常上报能力，确保运维过程中的可视化管理和安全审计。应支持在线运行监测、自主故障检测与恢复机制，并具备固件升级和算法版本迭代功能，保证系统长期安全、稳定运行。</w:t>
      </w:r>
    </w:p>
    <w:p w14:paraId="14B894AE">
      <w:pPr>
        <w:pStyle w:val="147"/>
        <w:tabs>
          <w:tab w:val="left" w:pos="0"/>
        </w:tabs>
        <w:snapToGrid w:val="0"/>
        <w:ind w:left="0" w:firstLine="0"/>
        <w:outlineLvl w:val="9"/>
        <w:rPr>
          <w:color w:val="000000" w:themeColor="text1"/>
          <w:szCs w:val="21"/>
          <w14:textFill>
            <w14:solidFill>
              <w14:schemeClr w14:val="tx1"/>
            </w14:solidFill>
          </w14:textFill>
        </w:rPr>
      </w:pPr>
      <w:bookmarkStart w:id="73" w:name="标准附录"/>
      <w:bookmarkEnd w:id="73"/>
    </w:p>
    <w:p w14:paraId="082C8F43">
      <w:pPr>
        <w:pStyle w:val="94"/>
        <w:keepNext w:val="0"/>
        <w:pageBreakBefore w:val="0"/>
        <w:widowControl w:val="0"/>
        <w:snapToGrid w:val="0"/>
        <w:ind w:firstLine="1260"/>
        <w:outlineLvl w:val="9"/>
        <w:rPr>
          <w:color w:val="000000" w:themeColor="text1"/>
          <w:szCs w:val="21"/>
          <w14:textFill>
            <w14:solidFill>
              <w14:schemeClr w14:val="tx1"/>
            </w14:solidFill>
          </w14:textFill>
        </w:rPr>
      </w:pPr>
    </w:p>
    <w:p w14:paraId="3080ABB9">
      <w:pPr>
        <w:pStyle w:val="54"/>
        <w:spacing w:before="312" w:beforeLines="0" w:after="312" w:afterLines="0"/>
        <w:outlineLvl w:val="0"/>
        <w:rPr>
          <w:color w:val="000000" w:themeColor="text1"/>
          <w14:textFill>
            <w14:solidFill>
              <w14:schemeClr w14:val="tx1"/>
            </w14:solidFill>
          </w14:textFill>
        </w:rPr>
      </w:pPr>
      <w:bookmarkStart w:id="74" w:name="_Toc212041720"/>
      <w:bookmarkStart w:id="75" w:name="_Toc217822737"/>
      <w:bookmarkStart w:id="76" w:name="_Toc220190001"/>
      <w:bookmarkStart w:id="77" w:name="_Toc217822950"/>
      <w:bookmarkStart w:id="78" w:name="OLE_LINK28"/>
      <w:bookmarkStart w:id="79" w:name="_Toc63642877"/>
      <w:bookmarkStart w:id="80" w:name="_Toc62027352"/>
      <w:r>
        <w:rPr>
          <w:rFonts w:hint="eastAsia"/>
          <w:color w:val="000000" w:themeColor="text1"/>
          <w14:textFill>
            <w14:solidFill>
              <w14:schemeClr w14:val="tx1"/>
            </w14:solidFill>
          </w14:textFill>
        </w:rPr>
        <w:t>安全技术要求</w:t>
      </w:r>
      <w:bookmarkEnd w:id="74"/>
      <w:bookmarkEnd w:id="75"/>
      <w:bookmarkEnd w:id="76"/>
      <w:bookmarkEnd w:id="77"/>
    </w:p>
    <w:bookmarkEnd w:id="78"/>
    <w:p w14:paraId="53489C64">
      <w:pPr>
        <w:pStyle w:val="53"/>
        <w:spacing w:before="156" w:after="156"/>
        <w:jc w:val="left"/>
        <w:outlineLvl w:val="1"/>
        <w:rPr>
          <w:color w:val="000000" w:themeColor="text1"/>
          <w14:textFill>
            <w14:solidFill>
              <w14:schemeClr w14:val="tx1"/>
            </w14:solidFill>
          </w14:textFill>
        </w:rPr>
      </w:pPr>
      <w:bookmarkStart w:id="81" w:name="_Toc220190002"/>
      <w:bookmarkStart w:id="82" w:name="_Toc212041721"/>
      <w:r>
        <w:rPr>
          <w:rFonts w:hint="eastAsia"/>
          <w:color w:val="000000" w:themeColor="text1"/>
          <w14:textFill>
            <w14:solidFill>
              <w14:schemeClr w14:val="tx1"/>
            </w14:solidFill>
          </w14:textFill>
        </w:rPr>
        <w:t>数据安全要求</w:t>
      </w:r>
      <w:bookmarkEnd w:id="81"/>
      <w:bookmarkEnd w:id="82"/>
    </w:p>
    <w:p w14:paraId="23A48D69">
      <w:pPr>
        <w:pStyle w:val="29"/>
        <w:ind w:firstLine="0" w:firstLineChars="0"/>
        <w:rPr>
          <w:rFonts w:ascii="黑体" w:hAnsi="黑体" w:eastAsia="黑体"/>
          <w:color w:val="000000" w:themeColor="text1"/>
          <w14:textFill>
            <w14:solidFill>
              <w14:schemeClr w14:val="tx1"/>
            </w14:solidFill>
          </w14:textFill>
        </w:rPr>
      </w:pPr>
      <w:bookmarkStart w:id="83" w:name="OLE_LINK36"/>
      <w:r>
        <w:rPr>
          <w:rFonts w:hint="eastAsia" w:ascii="黑体" w:hAnsi="黑体" w:eastAsia="黑体"/>
          <w:color w:val="000000" w:themeColor="text1"/>
          <w14:textFill>
            <w14:solidFill>
              <w14:schemeClr w14:val="tx1"/>
            </w14:solidFill>
          </w14:textFill>
        </w:rPr>
        <w:t>6.1.1数据分类分级</w:t>
      </w:r>
    </w:p>
    <w:p w14:paraId="7AD1A9E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微电网系统应依据GB/T 43697标准，对采集、传输、存储和处理的数据进行分类分级管理，重点保护用户隐私数据、设备运行数据及调度控制数据。</w:t>
      </w:r>
    </w:p>
    <w:p w14:paraId="586F8B3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6.1.2数据加密与完整性保护</w:t>
      </w:r>
    </w:p>
    <w:p w14:paraId="4A3D5CEE">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跨域传输及存储过程中的敏感数据应采用国家密码算法或国际主流加密算法进行加密处理，并通过完整性校验机制应确保数据未被篡改和不丢失。</w:t>
      </w:r>
    </w:p>
    <w:p w14:paraId="2F22F206">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6.1.3 数据最小化与可追溯</w:t>
      </w:r>
    </w:p>
    <w:p w14:paraId="6AABA8AB">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系统设计应遵循数据最小化原则，仅采集和传输必要数据，避免冗余数据的安全风险。同时，应具备数据全生命周期的可追溯能力，确保数据来源明确、流向可查。</w:t>
      </w:r>
    </w:p>
    <w:bookmarkEnd w:id="83"/>
    <w:p w14:paraId="567295D1">
      <w:pPr>
        <w:pStyle w:val="53"/>
        <w:spacing w:before="156" w:after="156"/>
        <w:jc w:val="left"/>
        <w:outlineLvl w:val="1"/>
        <w:rPr>
          <w:color w:val="000000" w:themeColor="text1"/>
          <w14:textFill>
            <w14:solidFill>
              <w14:schemeClr w14:val="tx1"/>
            </w14:solidFill>
          </w14:textFill>
        </w:rPr>
      </w:pPr>
      <w:bookmarkStart w:id="84" w:name="_Toc220190003"/>
      <w:bookmarkStart w:id="85" w:name="_Toc212041722"/>
      <w:r>
        <w:rPr>
          <w:rFonts w:hint="eastAsia"/>
          <w:color w:val="000000" w:themeColor="text1"/>
          <w14:textFill>
            <w14:solidFill>
              <w14:schemeClr w14:val="tx1"/>
            </w14:solidFill>
          </w14:textFill>
        </w:rPr>
        <w:t>通信安全要求</w:t>
      </w:r>
      <w:bookmarkEnd w:id="84"/>
      <w:bookmarkEnd w:id="85"/>
    </w:p>
    <w:p w14:paraId="04EA49C6">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6.2.1 认证与访问控制</w:t>
      </w:r>
    </w:p>
    <w:p w14:paraId="2B1CD20D">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跨域通信过程中，系统应采用双向身份认证机制，确保通信双方真实可信，并对通信链路实施基于角色或策略的访问控制，防止非法接入与越权访问。</w:t>
      </w:r>
    </w:p>
    <w:p w14:paraId="0BB2FB24">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6.2.2 抗攻击与抗干扰设计</w:t>
      </w:r>
    </w:p>
    <w:p w14:paraId="6C595351">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系统应具备防止拒绝服务和网络攻击的能力，通信过程应设计抗干扰机制，保障关键控制指令的实时性和可靠性。</w:t>
      </w:r>
    </w:p>
    <w:p w14:paraId="39DE2FF4">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6.2.3 安全通信协议</w:t>
      </w:r>
    </w:p>
    <w:p w14:paraId="1BE28247">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通信过程中应优先采用具备安全机制的协议，宜采用DL/T 634.5104，确保控制指令和数据传输的机密性、完整性及可用性。</w:t>
      </w:r>
    </w:p>
    <w:p w14:paraId="5BACA114">
      <w:pPr>
        <w:pStyle w:val="53"/>
        <w:spacing w:before="156" w:after="156"/>
        <w:jc w:val="left"/>
        <w:outlineLvl w:val="1"/>
        <w:rPr>
          <w:color w:val="000000" w:themeColor="text1"/>
          <w14:textFill>
            <w14:solidFill>
              <w14:schemeClr w14:val="tx1"/>
            </w14:solidFill>
          </w14:textFill>
        </w:rPr>
      </w:pPr>
      <w:bookmarkStart w:id="86" w:name="_Toc212041724"/>
      <w:r>
        <w:rPr>
          <w:rFonts w:hint="eastAsia"/>
          <w:color w:val="000000" w:themeColor="text1"/>
          <w14:textFill>
            <w14:solidFill>
              <w14:schemeClr w14:val="tx1"/>
            </w14:solidFill>
          </w14:textFill>
        </w:rPr>
        <w:t xml:space="preserve"> </w:t>
      </w:r>
      <w:bookmarkStart w:id="87" w:name="_Toc220190004"/>
      <w:r>
        <w:rPr>
          <w:rFonts w:hint="eastAsia"/>
          <w:color w:val="000000" w:themeColor="text1"/>
          <w14:textFill>
            <w14:solidFill>
              <w14:schemeClr w14:val="tx1"/>
            </w14:solidFill>
          </w14:textFill>
        </w:rPr>
        <w:t>系统与网络安全要求</w:t>
      </w:r>
      <w:bookmarkEnd w:id="86"/>
      <w:bookmarkEnd w:id="87"/>
    </w:p>
    <w:p w14:paraId="08AC5A74">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6.3.1 分层安全防护</w:t>
      </w:r>
    </w:p>
    <w:p w14:paraId="5716D3FA">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微电网系统应建立物理层、通信层、数据层及应用层的分层安全防护体系，各层独立防御、互为支撑，避免单点失效导致整体安全失控。</w:t>
      </w:r>
    </w:p>
    <w:p w14:paraId="21CF14B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6.3.2 零信任架构原则</w:t>
      </w:r>
    </w:p>
    <w:p w14:paraId="205B2DE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系统应引入零信任架构理念，基于动态身份认证、持续行为评估和最小权限访问策略，保障跨域环境下各节点安全可控。</w:t>
      </w:r>
    </w:p>
    <w:p w14:paraId="4B576B5E">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6.3.2.1　基于多属性的动态身份认证</w:t>
      </w:r>
    </w:p>
    <w:p w14:paraId="60130F81">
      <w:pPr>
        <w:pStyle w:val="29"/>
        <w:rPr>
          <w:color w:val="000000" w:themeColor="text1"/>
          <w14:textFill>
            <w14:solidFill>
              <w14:schemeClr w14:val="tx1"/>
            </w14:solidFill>
          </w14:textFill>
        </w:rPr>
      </w:pPr>
      <w:r>
        <w:rPr>
          <w:color w:val="000000" w:themeColor="text1"/>
          <w14:textFill>
            <w14:solidFill>
              <w14:schemeClr w14:val="tx1"/>
            </w14:solidFill>
          </w14:textFill>
        </w:rPr>
        <w:t>在微电网业务全流程中，AI芯片及相关终端应执行“单次请求，单次验证”策略：</w:t>
      </w:r>
    </w:p>
    <w:p w14:paraId="6FFDF951">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多因子验证</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身份鉴别不应仅依赖静态口令，应结合设备指纹、数字证书及环境上下文进行多维验证。</w:t>
      </w:r>
    </w:p>
    <w:p w14:paraId="633ABB4E">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服务调用鉴权</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AI芯片在发起每一次模型推理请求或上传数据时，均应附带动态身份凭证。服务端网关应对其进行实时验签，确保“谁在使用算力”和“数据发给谁”的真实性。</w:t>
      </w:r>
    </w:p>
    <w:p w14:paraId="6DC38B2F">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6.3.2.2　信任基线的持续行为评估</w:t>
      </w:r>
    </w:p>
    <w:p w14:paraId="63AAEDBD">
      <w:pPr>
        <w:pStyle w:val="29"/>
        <w:rPr>
          <w:color w:val="000000" w:themeColor="text1"/>
          <w14:textFill>
            <w14:solidFill>
              <w14:schemeClr w14:val="tx1"/>
            </w14:solidFill>
          </w14:textFill>
        </w:rPr>
      </w:pPr>
      <w:r>
        <w:rPr>
          <w:color w:val="000000" w:themeColor="text1"/>
          <w14:textFill>
            <w14:solidFill>
              <w14:schemeClr w14:val="tx1"/>
            </w14:solidFill>
          </w14:textFill>
        </w:rPr>
        <w:t>系统应建立AI芯片运行状态的信任评估模型，对设备行为进行实时监测：</w:t>
      </w:r>
    </w:p>
    <w:p w14:paraId="5E8A25FA">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基线建立</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应利用AI技术学习芯片在正常业务下的行为基线，包括</w:t>
      </w:r>
      <w:r>
        <w:rPr>
          <w:rFonts w:hint="eastAsia"/>
          <w:color w:val="000000" w:themeColor="text1"/>
          <w14:textFill>
            <w14:solidFill>
              <w14:schemeClr w14:val="tx1"/>
            </w14:solidFill>
          </w14:textFill>
        </w:rPr>
        <w:t>处理器</w:t>
      </w:r>
      <w:r>
        <w:rPr>
          <w:color w:val="000000" w:themeColor="text1"/>
          <w14:textFill>
            <w14:solidFill>
              <w14:schemeClr w14:val="tx1"/>
            </w14:solidFill>
          </w14:textFill>
        </w:rPr>
        <w:t>利用率、I/O吞吐量、API调用序列及内存访问模式。</w:t>
      </w:r>
    </w:p>
    <w:p w14:paraId="47B63AD3">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异常检测与阻断</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当监测到芯片出现非预期行为</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在非调度时间段发起高频连接、异常的算力突增或尝试访问越权内存区域时，应判定其信任值下降，并立即触发动态阻断或降级运行策略，防止受损节点因被攻陷而通过横向移动威胁整个微电网。</w:t>
      </w:r>
    </w:p>
    <w:p w14:paraId="73B8CB9F">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6.3.2.3　细粒度的最小权限访问策略</w:t>
      </w:r>
    </w:p>
    <w:p w14:paraId="30DA5700">
      <w:pPr>
        <w:pStyle w:val="29"/>
        <w:rPr>
          <w:color w:val="000000" w:themeColor="text1"/>
          <w14:textFill>
            <w14:solidFill>
              <w14:schemeClr w14:val="tx1"/>
            </w14:solidFill>
          </w14:textFill>
        </w:rPr>
      </w:pPr>
      <w:r>
        <w:rPr>
          <w:color w:val="000000" w:themeColor="text1"/>
          <w14:textFill>
            <w14:solidFill>
              <w14:schemeClr w14:val="tx1"/>
            </w14:solidFill>
          </w14:textFill>
        </w:rPr>
        <w:t>应摒弃基于传统边界的宽泛授权模式，实施基于属性的访问控制：</w:t>
      </w:r>
    </w:p>
    <w:p w14:paraId="498F9DA1">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按需授权</w:t>
      </w:r>
      <w:r>
        <w:rPr>
          <w:rFonts w:hint="eastAsia"/>
          <w:color w:val="000000" w:themeColor="text1"/>
          <w14:textFill>
            <w14:solidFill>
              <w14:schemeClr w14:val="tx1"/>
            </w14:solidFill>
          </w14:textFill>
        </w:rPr>
        <w:t>。应</w:t>
      </w:r>
      <w:r>
        <w:rPr>
          <w:color w:val="000000" w:themeColor="text1"/>
          <w14:textFill>
            <w14:solidFill>
              <w14:schemeClr w14:val="tx1"/>
            </w14:solidFill>
          </w14:textFill>
        </w:rPr>
        <w:t>仅授予AI芯片完成当前计算任务所需的最小数据集和最小功能集权限。</w:t>
      </w:r>
    </w:p>
    <w:p w14:paraId="0E32692B">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动态策略下发</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访问权限应随业务场景动态调整。在“并网运行”与“孤岛运行”不同模式下，控制中心应下发不同的安全策略，确保权限生命周期与业务生命周期严格绑定。</w:t>
      </w:r>
    </w:p>
    <w:p w14:paraId="64FC4324">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6.3.3 安全监测与审计</w:t>
      </w:r>
    </w:p>
    <w:p w14:paraId="3CA8A893">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系统应具备实时安全监测和日志审计功能，能够持续检测网络入侵、异常行为及安全事件，并支持安全事件的溯源分析和应急响应。</w:t>
      </w:r>
    </w:p>
    <w:p w14:paraId="2D57E9D8">
      <w:pPr>
        <w:pStyle w:val="53"/>
        <w:spacing w:before="156" w:after="156"/>
        <w:jc w:val="left"/>
        <w:outlineLvl w:val="1"/>
        <w:rPr>
          <w:color w:val="000000" w:themeColor="text1"/>
          <w14:textFill>
            <w14:solidFill>
              <w14:schemeClr w14:val="tx1"/>
            </w14:solidFill>
          </w14:textFill>
        </w:rPr>
      </w:pPr>
      <w:bookmarkStart w:id="88" w:name="_Toc212041725"/>
      <w:bookmarkStart w:id="89" w:name="_Toc220190005"/>
      <w:r>
        <w:rPr>
          <w:rFonts w:hint="eastAsia"/>
          <w:color w:val="000000" w:themeColor="text1"/>
          <w14:textFill>
            <w14:solidFill>
              <w14:schemeClr w14:val="tx1"/>
            </w14:solidFill>
          </w14:textFill>
        </w:rPr>
        <w:t>第三方接入及跨域协同安全要求</w:t>
      </w:r>
      <w:bookmarkEnd w:id="88"/>
      <w:bookmarkEnd w:id="89"/>
    </w:p>
    <w:p w14:paraId="20B2C02A">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6.4.1第三方接入管理</w:t>
      </w:r>
    </w:p>
    <w:p w14:paraId="1BFA3BC3">
      <w:pPr>
        <w:pStyle w:val="29"/>
        <w:rPr>
          <w:color w:val="000000" w:themeColor="text1"/>
          <w14:textFill>
            <w14:solidFill>
              <w14:schemeClr w14:val="tx1"/>
            </w14:solidFill>
          </w14:textFill>
        </w:rPr>
      </w:pPr>
      <w:r>
        <w:rPr>
          <w:color w:val="000000" w:themeColor="text1"/>
          <w14:textFill>
            <w14:solidFill>
              <w14:schemeClr w14:val="tx1"/>
            </w14:solidFill>
          </w14:textFill>
        </w:rPr>
        <w:t>对接入智能微电网系统的第三方设备及外部业务系统，应实施严格的准入控制与边界防护</w:t>
      </w:r>
      <w:r>
        <w:rPr>
          <w:rFonts w:hint="eastAsia"/>
          <w:color w:val="000000" w:themeColor="text1"/>
          <w14:textFill>
            <w14:solidFill>
              <w14:schemeClr w14:val="tx1"/>
            </w14:solidFill>
          </w14:textFill>
        </w:rPr>
        <w:t>。</w:t>
      </w:r>
    </w:p>
    <w:p w14:paraId="17F25F3A">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4</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　</w:t>
      </w:r>
      <w:r>
        <w:rPr>
          <w:rFonts w:ascii="黑体" w:hAnsi="黑体" w:eastAsia="黑体"/>
          <w:color w:val="000000" w:themeColor="text1"/>
          <w14:textFill>
            <w14:solidFill>
              <w14:schemeClr w14:val="tx1"/>
            </w14:solidFill>
          </w14:textFill>
        </w:rPr>
        <w:t>接入安全评估</w:t>
      </w:r>
    </w:p>
    <w:p w14:paraId="5E8CE87A">
      <w:pPr>
        <w:pStyle w:val="29"/>
        <w:rPr>
          <w:color w:val="000000" w:themeColor="text1"/>
          <w14:textFill>
            <w14:solidFill>
              <w14:schemeClr w14:val="tx1"/>
            </w14:solidFill>
          </w14:textFill>
        </w:rPr>
      </w:pPr>
      <w:r>
        <w:rPr>
          <w:color w:val="000000" w:themeColor="text1"/>
          <w14:textFill>
            <w14:solidFill>
              <w14:schemeClr w14:val="tx1"/>
            </w14:solidFill>
          </w14:textFill>
        </w:rPr>
        <w:t>在建立连接前，应依据 GB/T 22239对接入对象进行安全合规性检测</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包括病毒木马扫描、高危端口检测及漏洞验证</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仅允许通过检测并获得数字证书授权的设备接入，严禁未修复高危漏洞的设备直连控制网络。</w:t>
      </w:r>
    </w:p>
    <w:p w14:paraId="147BD00A">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4</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2</w:t>
      </w:r>
      <w:r>
        <w:rPr>
          <w:rFonts w:hint="eastAsia" w:ascii="黑体" w:hAnsi="黑体" w:eastAsia="黑体"/>
          <w:color w:val="000000" w:themeColor="text1"/>
          <w14:textFill>
            <w14:solidFill>
              <w14:schemeClr w14:val="tx1"/>
            </w14:solidFill>
          </w14:textFill>
        </w:rPr>
        <w:t>　</w:t>
      </w:r>
      <w:r>
        <w:rPr>
          <w:rFonts w:ascii="黑体" w:hAnsi="黑体" w:eastAsia="黑体"/>
          <w:color w:val="000000" w:themeColor="text1"/>
          <w14:textFill>
            <w14:solidFill>
              <w14:schemeClr w14:val="tx1"/>
            </w14:solidFill>
          </w14:textFill>
        </w:rPr>
        <w:t>边界隔离与防护</w:t>
      </w:r>
    </w:p>
    <w:p w14:paraId="4B986940">
      <w:pPr>
        <w:pStyle w:val="29"/>
        <w:rPr>
          <w:color w:val="000000" w:themeColor="text1"/>
          <w14:textFill>
            <w14:solidFill>
              <w14:schemeClr w14:val="tx1"/>
            </w14:solidFill>
          </w14:textFill>
        </w:rPr>
      </w:pPr>
      <w:r>
        <w:rPr>
          <w:color w:val="000000" w:themeColor="text1"/>
          <w14:textFill>
            <w14:solidFill>
              <w14:schemeClr w14:val="tx1"/>
            </w14:solidFill>
          </w14:textFill>
        </w:rPr>
        <w:t>应遵循 GB/T 36572的安全分区与隔离原则</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跨越公网接入的数据流应采用纵向加密认证网关或加密隧道传输</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应基于IP/MAC地址及业务协议建立严格的访问控制白名单，默认拒绝未授权通信。</w:t>
      </w:r>
    </w:p>
    <w:p w14:paraId="3465CCE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4</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3</w:t>
      </w:r>
      <w:r>
        <w:rPr>
          <w:rFonts w:hint="eastAsia" w:ascii="黑体" w:hAnsi="黑体" w:eastAsia="黑体"/>
          <w:color w:val="000000" w:themeColor="text1"/>
          <w14:textFill>
            <w14:solidFill>
              <w14:schemeClr w14:val="tx1"/>
            </w14:solidFill>
          </w14:textFill>
        </w:rPr>
        <w:t>　</w:t>
      </w:r>
      <w:r>
        <w:rPr>
          <w:rFonts w:ascii="黑体" w:hAnsi="黑体" w:eastAsia="黑体"/>
          <w:color w:val="000000" w:themeColor="text1"/>
          <w14:textFill>
            <w14:solidFill>
              <w14:schemeClr w14:val="tx1"/>
            </w14:solidFill>
          </w14:textFill>
        </w:rPr>
        <w:t>协议合规性过滤</w:t>
      </w:r>
    </w:p>
    <w:p w14:paraId="53F22537">
      <w:pPr>
        <w:pStyle w:val="29"/>
        <w:rPr>
          <w:color w:val="000000" w:themeColor="text1"/>
          <w14:textFill>
            <w14:solidFill>
              <w14:schemeClr w14:val="tx1"/>
            </w14:solidFill>
          </w14:textFill>
        </w:rPr>
      </w:pPr>
      <w:r>
        <w:rPr>
          <w:color w:val="000000" w:themeColor="text1"/>
          <w14:textFill>
            <w14:solidFill>
              <w14:schemeClr w14:val="tx1"/>
            </w14:solidFill>
          </w14:textFill>
        </w:rPr>
        <w:t>针对传输的工业控制协议），应在接入端依据 GB/T 40813 实施深度报文检测，阻断畸形报文、非法功能码及超长载荷，防止协议栈攻击。</w:t>
      </w:r>
    </w:p>
    <w:p w14:paraId="2799BB6F">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6.4.2跨域协同安全策略</w:t>
      </w:r>
    </w:p>
    <w:p w14:paraId="4FB8674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在物理域、信息域与控制域融合过程中，应制定跨域协同安全策略，明确各域的安全边界与交互规则，防范跨域攻击及安全风险传递。</w:t>
      </w:r>
    </w:p>
    <w:p w14:paraId="705E82A7">
      <w:pPr>
        <w:pStyle w:val="53"/>
        <w:spacing w:before="156" w:after="156"/>
        <w:jc w:val="left"/>
        <w:outlineLvl w:val="1"/>
        <w:rPr>
          <w:color w:val="000000" w:themeColor="text1"/>
          <w14:textFill>
            <w14:solidFill>
              <w14:schemeClr w14:val="tx1"/>
            </w14:solidFill>
          </w14:textFill>
        </w:rPr>
      </w:pPr>
      <w:bookmarkStart w:id="90" w:name="_Toc212041723"/>
      <w:bookmarkStart w:id="91" w:name="_Toc220190006"/>
      <w:r>
        <w:rPr>
          <w:rFonts w:hint="eastAsia"/>
          <w:color w:val="000000" w:themeColor="text1"/>
          <w14:textFill>
            <w14:solidFill>
              <w14:schemeClr w14:val="tx1"/>
            </w14:solidFill>
          </w14:textFill>
        </w:rPr>
        <w:t>AI芯片及边缘计算安全要求</w:t>
      </w:r>
      <w:bookmarkEnd w:id="90"/>
      <w:bookmarkEnd w:id="91"/>
    </w:p>
    <w:p w14:paraId="74C73088">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6.5.1 芯片级安全设计</w:t>
      </w:r>
    </w:p>
    <w:p w14:paraId="189DD8F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AI芯片应具备硬件级防护机制，包含物理防护、固件加密存储、调试接口保护等，防范物理攻击和恶意篡改风险。</w:t>
      </w:r>
    </w:p>
    <w:p w14:paraId="7A98D2BE">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6.5.2 算法与模型安全</w:t>
      </w:r>
    </w:p>
    <w:p w14:paraId="53D9B583">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AI模型应支持安全防护设计，具备鲁棒性检测和对抗样本防御能力，防止模型被攻击、劫持或篡改，保障算法输出可信可靠。</w:t>
      </w:r>
    </w:p>
    <w:p w14:paraId="62155168">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6.5.3 隐私保护</w:t>
      </w:r>
    </w:p>
    <w:p w14:paraId="66E0F56B">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在跨域融合场景下，处理跨域用户隐私及敏感数据时，AI芯片应支持联邦学习、差分隐私等技术，减少原始数据跨域流动带来的隐私泄露风险，提升系统整体数据安全等级。</w:t>
      </w:r>
    </w:p>
    <w:p w14:paraId="5F3406A0">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6.5.3.1 支持分布式协同训练</w:t>
      </w:r>
    </w:p>
    <w:p w14:paraId="69EF1285">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应具备一种无需将原始数据汇集到中心节点，即可联合多个数据源进行模型训练的技术方案。</w:t>
      </w:r>
    </w:p>
    <w:p w14:paraId="13A675D3">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6.5.3.2 支持隐私保护计算</w:t>
      </w:r>
    </w:p>
    <w:p w14:paraId="5ED5E050">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在数据发布或聚合计算结果时，应采用技术手段使其不具备个体可识别性，从而降低数据泄露和滥用风险。</w:t>
      </w:r>
    </w:p>
    <w:p w14:paraId="594F2933">
      <w:pPr>
        <w:pStyle w:val="53"/>
        <w:spacing w:before="156" w:after="156"/>
        <w:jc w:val="left"/>
        <w:outlineLvl w:val="1"/>
        <w:rPr>
          <w:color w:val="000000" w:themeColor="text1"/>
          <w14:textFill>
            <w14:solidFill>
              <w14:schemeClr w14:val="tx1"/>
            </w14:solidFill>
          </w14:textFill>
        </w:rPr>
      </w:pPr>
      <w:bookmarkStart w:id="92" w:name="_Toc220190007"/>
      <w:r>
        <w:rPr>
          <w:color w:val="000000" w:themeColor="text1"/>
          <w14:textFill>
            <w14:solidFill>
              <w14:schemeClr w14:val="tx1"/>
            </w14:solidFill>
          </w14:textFill>
        </w:rPr>
        <w:t>供应链安全要求</w:t>
      </w:r>
      <w:bookmarkEnd w:id="92"/>
    </w:p>
    <w:p w14:paraId="0AD2899D">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6</w:t>
      </w:r>
      <w:r>
        <w:rPr>
          <w:rFonts w:hint="eastAsia" w:ascii="黑体" w:hAnsi="黑体" w:eastAsia="黑体"/>
          <w:color w:val="000000" w:themeColor="text1"/>
          <w14:textFill>
            <w14:solidFill>
              <w14:schemeClr w14:val="tx1"/>
            </w14:solidFill>
          </w14:textFill>
        </w:rPr>
        <w:t>.1 供应商资质与产品准入</w:t>
      </w:r>
    </w:p>
    <w:p w14:paraId="2A3C4C62">
      <w:pPr>
        <w:pStyle w:val="29"/>
        <w:rPr>
          <w:color w:val="000000" w:themeColor="text1"/>
          <w14:textFill>
            <w14:solidFill>
              <w14:schemeClr w14:val="tx1"/>
            </w14:solidFill>
          </w14:textFill>
        </w:rPr>
      </w:pPr>
      <w:r>
        <w:rPr>
          <w:color w:val="000000" w:themeColor="text1"/>
          <w14:textFill>
            <w14:solidFill>
              <w14:schemeClr w14:val="tx1"/>
            </w14:solidFill>
          </w14:textFill>
        </w:rPr>
        <w:t>AI芯片及配套模组的供应商应具备完善的供应链安全管理体系</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对核心芯片及关键组件供应商进行安全背景审查，确保其具备长期稳定的供货能力及技术支持能力。对于涉及微电网核心控制业务的AI芯片，宜优先选用满足国家自主可控要求、具备自主知识产权的产品，降低断供风险。</w:t>
      </w:r>
    </w:p>
    <w:p w14:paraId="3DB1F82E">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6</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2</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硬件完整性与溯源</w:t>
      </w:r>
    </w:p>
    <w:p w14:paraId="37576EF2">
      <w:pPr>
        <w:pStyle w:val="29"/>
        <w:rPr>
          <w:color w:val="000000" w:themeColor="text1"/>
          <w14:textFill>
            <w14:solidFill>
              <w14:schemeClr w14:val="tx1"/>
            </w14:solidFill>
          </w14:textFill>
        </w:rPr>
      </w:pPr>
      <w:r>
        <w:rPr>
          <w:color w:val="000000" w:themeColor="text1"/>
          <w14:textFill>
            <w14:solidFill>
              <w14:schemeClr w14:val="tx1"/>
            </w14:solidFill>
          </w14:textFill>
        </w:rPr>
        <w:t>应确保AI芯片在生产、封装、运输及交付过程中的物理安全，防止恶意篡改或替换。芯片模组应具备唯一的物理序列号或硬件指纹，支持通过密码学手段验证硬件真伪。在型式试验阶段，宜对关键AI芯片进行侧信道分析或物理开盖检测，排查是否存在硬件木马、后门电路或非授权的无线收发模块。</w:t>
      </w:r>
    </w:p>
    <w:p w14:paraId="410B34AB">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6</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3</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软件与固件成分安全</w:t>
      </w:r>
    </w:p>
    <w:p w14:paraId="5630BB8C">
      <w:pPr>
        <w:pStyle w:val="29"/>
        <w:rPr>
          <w:color w:val="000000" w:themeColor="text1"/>
          <w14:textFill>
            <w14:solidFill>
              <w14:schemeClr w14:val="tx1"/>
            </w14:solidFill>
          </w14:textFill>
        </w:rPr>
      </w:pPr>
      <w:r>
        <w:rPr>
          <w:color w:val="000000" w:themeColor="text1"/>
          <w14:textFill>
            <w14:solidFill>
              <w14:schemeClr w14:val="tx1"/>
            </w14:solidFill>
          </w14:textFill>
        </w:rPr>
        <w:t>供应商应提供AI芯片配套基础软件包括Bootloader、驱动程序、固件及操作系统的软件物料清单，并符合以下要求：</w:t>
      </w:r>
    </w:p>
    <w:p w14:paraId="26A042AF">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成分透明化</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SBOM应清晰列出所有引用的第三方组件、开源库及其版本号，确保无隐藏的恶意代码或未知组件。</w:t>
      </w:r>
    </w:p>
    <w:p w14:paraId="2677FB26">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漏洞排查</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应依据CVE数据库对软件成分进行持续的漏洞扫描与风险评估，对于检出的高危漏洞应提供修复补丁或缓解措施。</w:t>
      </w:r>
    </w:p>
    <w:p w14:paraId="12D5F807">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6</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4</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算法模型供应链安全</w:t>
      </w:r>
    </w:p>
    <w:p w14:paraId="3CB13883">
      <w:pPr>
        <w:pStyle w:val="29"/>
        <w:rPr>
          <w:color w:val="000000" w:themeColor="text1"/>
          <w14:textFill>
            <w14:solidFill>
              <w14:schemeClr w14:val="tx1"/>
            </w14:solidFill>
          </w14:textFill>
        </w:rPr>
      </w:pPr>
      <w:r>
        <w:rPr>
          <w:color w:val="000000" w:themeColor="text1"/>
          <w14:textFill>
            <w14:solidFill>
              <w14:schemeClr w14:val="tx1"/>
            </w14:solidFill>
          </w14:textFill>
        </w:rPr>
        <w:t>针对预训练模型及第三方算法库，应实施严格的溯源与完整性保护：</w:t>
      </w:r>
    </w:p>
    <w:p w14:paraId="0F919EA7">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模型溯源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应记录AI模型的训练数据来源、开发框架版本及训练机构信息，确保模型来源可信。</w:t>
      </w:r>
    </w:p>
    <w:p w14:paraId="1C59DEC2">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防投毒检测</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对于外购或开源的预训练模型，在部署前应进行后门检测与对抗样本攻击测试，防止模型内部植入触发式逻辑漏洞。</w:t>
      </w:r>
    </w:p>
    <w:bookmarkEnd w:id="79"/>
    <w:bookmarkEnd w:id="80"/>
    <w:p w14:paraId="2CD77A3D">
      <w:pPr>
        <w:pStyle w:val="54"/>
        <w:spacing w:before="312" w:after="312"/>
        <w:outlineLvl w:val="0"/>
      </w:pPr>
      <w:bookmarkStart w:id="93" w:name="_Toc220190008"/>
      <w:r>
        <w:t>互操作性与检测认证要求</w:t>
      </w:r>
      <w:bookmarkEnd w:id="93"/>
    </w:p>
    <w:p w14:paraId="617936F9">
      <w:pPr>
        <w:pStyle w:val="53"/>
        <w:spacing w:before="156" w:after="156"/>
        <w:jc w:val="left"/>
        <w:outlineLvl w:val="1"/>
        <w:rPr>
          <w:color w:val="000000" w:themeColor="text1"/>
          <w14:textFill>
            <w14:solidFill>
              <w14:schemeClr w14:val="tx1"/>
            </w14:solidFill>
          </w14:textFill>
        </w:rPr>
      </w:pPr>
      <w:bookmarkStart w:id="94" w:name="_Toc212041727"/>
      <w:bookmarkStart w:id="95" w:name="_Toc220190009"/>
      <w:r>
        <w:rPr>
          <w:rFonts w:hint="eastAsia"/>
          <w:color w:val="000000" w:themeColor="text1"/>
          <w14:textFill>
            <w14:solidFill>
              <w14:schemeClr w14:val="tx1"/>
            </w14:solidFill>
          </w14:textFill>
        </w:rPr>
        <w:t>兼容性要求</w:t>
      </w:r>
      <w:bookmarkEnd w:id="94"/>
      <w:bookmarkEnd w:id="95"/>
    </w:p>
    <w:p w14:paraId="023ECCDF">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应兼容OpenVPX、PCIe等工业标准，软件API应遵循OPC UA规范，应确保与微电网管理平台无缝对接。</w:t>
      </w:r>
    </w:p>
    <w:p w14:paraId="3E463565">
      <w:pPr>
        <w:pStyle w:val="53"/>
        <w:spacing w:before="156" w:after="156"/>
        <w:jc w:val="left"/>
        <w:outlineLvl w:val="1"/>
        <w:rPr>
          <w:color w:val="000000" w:themeColor="text1"/>
          <w14:textFill>
            <w14:solidFill>
              <w14:schemeClr w14:val="tx1"/>
            </w14:solidFill>
          </w14:textFill>
        </w:rPr>
      </w:pPr>
      <w:bookmarkStart w:id="96" w:name="_Toc212041728"/>
      <w:bookmarkStart w:id="97" w:name="_Toc220190010"/>
      <w:r>
        <w:rPr>
          <w:rFonts w:hint="eastAsia"/>
          <w:color w:val="000000" w:themeColor="text1"/>
          <w14:textFill>
            <w14:solidFill>
              <w14:schemeClr w14:val="tx1"/>
            </w14:solidFill>
          </w14:textFill>
        </w:rPr>
        <w:t>测试认证</w:t>
      </w:r>
      <w:bookmarkEnd w:id="96"/>
      <w:bookmarkEnd w:id="97"/>
    </w:p>
    <w:p w14:paraId="267B27E1">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7.2.1 基础功能符合性</w:t>
      </w:r>
      <w:r>
        <w:rPr>
          <w:rFonts w:hint="eastAsia" w:ascii="黑体" w:hAnsi="黑体" w:eastAsia="黑体"/>
          <w:color w:val="000000" w:themeColor="text1"/>
          <w14:textFill>
            <w14:solidFill>
              <w14:schemeClr w14:val="tx1"/>
            </w14:solidFill>
          </w14:textFill>
        </w:rPr>
        <w:t>认证</w:t>
      </w:r>
    </w:p>
    <w:p w14:paraId="39CFB843">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基础功能符合性认证包括：</w:t>
      </w:r>
    </w:p>
    <w:p w14:paraId="15EC6CA6">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——认证内容应开展</w:t>
      </w:r>
      <w:r>
        <w:rPr>
          <w:color w:val="000000" w:themeColor="text1"/>
          <w14:textFill>
            <w14:solidFill>
              <w14:schemeClr w14:val="tx1"/>
            </w14:solidFill>
          </w14:textFill>
        </w:rPr>
        <w:t>AI芯片核心功能验证，包括数据处理、算法推理、平台适配等功能测试，确保与微电网业务需求匹配；测试应结合微电网典型工况，验证芯片对负荷预测、储能调度等核心算法的支撑能力，结果符合行业功能验收规范。</w:t>
      </w:r>
    </w:p>
    <w:p w14:paraId="36F3FFA9">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——检测方法包含</w:t>
      </w:r>
      <w:r>
        <w:rPr>
          <w:color w:val="000000" w:themeColor="text1"/>
          <w14:textFill>
            <w14:solidFill>
              <w14:schemeClr w14:val="tx1"/>
            </w14:solidFill>
          </w14:textFill>
        </w:rPr>
        <w:t>数据处理与算法功能测试应按照本文件8.2.1的规定执行。微电网典型业务场景的适应性验证，应符合 GB/T 42731 中关于监控系统的测试要求 。</w:t>
      </w:r>
    </w:p>
    <w:p w14:paraId="2E10A1EC">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7.2.2性能</w:t>
      </w:r>
      <w:r>
        <w:rPr>
          <w:rFonts w:hint="eastAsia" w:ascii="黑体" w:hAnsi="黑体" w:eastAsia="黑体"/>
          <w:color w:val="000000" w:themeColor="text1"/>
          <w14:textFill>
            <w14:solidFill>
              <w14:schemeClr w14:val="tx1"/>
            </w14:solidFill>
          </w14:textFill>
        </w:rPr>
        <w:t>与能效</w:t>
      </w:r>
      <w:r>
        <w:rPr>
          <w:rFonts w:ascii="黑体" w:hAnsi="黑体" w:eastAsia="黑体"/>
          <w:color w:val="000000" w:themeColor="text1"/>
          <w14:textFill>
            <w14:solidFill>
              <w14:schemeClr w14:val="tx1"/>
            </w14:solidFill>
          </w14:textFill>
        </w:rPr>
        <w:t>验证</w:t>
      </w:r>
      <w:r>
        <w:rPr>
          <w:rFonts w:hint="eastAsia" w:ascii="黑体" w:hAnsi="黑体" w:eastAsia="黑体"/>
          <w:color w:val="000000" w:themeColor="text1"/>
          <w14:textFill>
            <w14:solidFill>
              <w14:schemeClr w14:val="tx1"/>
            </w14:solidFill>
          </w14:textFill>
        </w:rPr>
        <w:t>认证</w:t>
      </w:r>
    </w:p>
    <w:p w14:paraId="28E1A536">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性能与能效验证认证包括：</w:t>
      </w:r>
    </w:p>
    <w:p w14:paraId="4F20A18A">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——认证内容。</w:t>
      </w:r>
      <w:r>
        <w:rPr>
          <w:color w:val="000000" w:themeColor="text1"/>
          <w14:textFill>
            <w14:solidFill>
              <w14:schemeClr w14:val="tx1"/>
            </w14:solidFill>
          </w14:textFill>
        </w:rPr>
        <w:t>应评估AI芯片在不同计算负载下的推理时延、吞吐率、并发处理能力及能效比，确保其满足本文件 5.1.1 及 5.1.3 规定的分级性能指标</w:t>
      </w:r>
      <w:r>
        <w:rPr>
          <w:rFonts w:hint="eastAsia"/>
          <w:color w:val="000000" w:themeColor="text1"/>
          <w14:textFill>
            <w14:solidFill>
              <w14:schemeClr w14:val="tx1"/>
            </w14:solidFill>
          </w14:textFill>
        </w:rPr>
        <w:t>。</w:t>
      </w:r>
    </w:p>
    <w:p w14:paraId="6FC7EE9A">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——检测方法。含</w:t>
      </w:r>
      <w:r>
        <w:rPr>
          <w:color w:val="000000" w:themeColor="text1"/>
          <w14:textFill>
            <w14:solidFill>
              <w14:schemeClr w14:val="tx1"/>
            </w14:solidFill>
          </w14:textFill>
        </w:rPr>
        <w:t>推理时延与吞吐率测试应按照本文件8.2.2及YD/T 3944规定的方法执行。能效比与功耗测试应在典型业务满载工况下进行，测量方法应符合GB/T 46662 的相关规定 。</w:t>
      </w:r>
    </w:p>
    <w:p w14:paraId="1F72328D">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7.2.3 安全与</w:t>
      </w:r>
      <w:r>
        <w:rPr>
          <w:rFonts w:hint="eastAsia" w:ascii="黑体" w:hAnsi="黑体" w:eastAsia="黑体"/>
          <w:color w:val="000000" w:themeColor="text1"/>
          <w14:textFill>
            <w14:solidFill>
              <w14:schemeClr w14:val="tx1"/>
            </w14:solidFill>
          </w14:textFill>
        </w:rPr>
        <w:t>抗扰度认证</w:t>
      </w:r>
    </w:p>
    <w:p w14:paraId="7EBD3431">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安全与抗扰度认证包括：</w:t>
      </w:r>
    </w:p>
    <w:p w14:paraId="7B0A2116">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——认证内容。</w:t>
      </w:r>
      <w:r>
        <w:rPr>
          <w:color w:val="000000" w:themeColor="text1"/>
          <w14:textFill>
            <w14:solidFill>
              <w14:schemeClr w14:val="tx1"/>
            </w14:solidFill>
          </w14:textFill>
        </w:rPr>
        <w:t>应验证AI芯片及系统的跨域安全防护能力，包括抗网络攻击能力、数据加密有效性、协议过滤机制及环境电磁兼容性</w:t>
      </w:r>
      <w:r>
        <w:rPr>
          <w:rFonts w:hint="eastAsia"/>
          <w:color w:val="000000" w:themeColor="text1"/>
          <w14:textFill>
            <w14:solidFill>
              <w14:schemeClr w14:val="tx1"/>
            </w14:solidFill>
          </w14:textFill>
        </w:rPr>
        <w:t>。</w:t>
      </w:r>
    </w:p>
    <w:p w14:paraId="5377C9F7">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——检测方法。</w:t>
      </w:r>
      <w:r>
        <w:rPr>
          <w:color w:val="000000" w:themeColor="text1"/>
          <w14:textFill>
            <w14:solidFill>
              <w14:schemeClr w14:val="tx1"/>
            </w14:solidFill>
          </w14:textFill>
        </w:rPr>
        <w:t>跨域安全功能测试应按照本文件 8.3 的规定执行。漏洞扫描与渗透测试应依据 GB/T 28448进行。电磁兼容性测试应依据 GB/T 17626 系列标准执行，严酷等级应不低于工业级要求 。</w:t>
      </w:r>
    </w:p>
    <w:p w14:paraId="4EA44F57">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7.2.4 全生命周期可靠性认证</w:t>
      </w:r>
    </w:p>
    <w:p w14:paraId="0FAD8079">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全生命周期可靠性认证包括：</w:t>
      </w:r>
    </w:p>
    <w:p w14:paraId="10848A4F">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——认证内容。应委托</w:t>
      </w:r>
      <w:r>
        <w:rPr>
          <w:rFonts w:hint="eastAsia"/>
        </w:rPr>
        <w:t>具备CNAS电力行业检测资质的</w:t>
      </w:r>
      <w:r>
        <w:rPr>
          <w:rFonts w:hint="eastAsia"/>
          <w:color w:val="000000" w:themeColor="text1"/>
          <w14:textFill>
            <w14:solidFill>
              <w14:schemeClr w14:val="tx1"/>
            </w14:solidFill>
          </w14:textFill>
        </w:rPr>
        <w:t>第三方实验室，开展全生命周期可靠性评估，包括环境适应性、长期运行稳定性等测试；结合微电网户外部署、多设备协同等特性，验证芯片在不同工况下的可靠性，认证结果符合电力设备可靠性相关标准要求。</w:t>
      </w:r>
    </w:p>
    <w:p w14:paraId="2A5151DA">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——检测方法。</w:t>
      </w:r>
      <w:r>
        <w:rPr>
          <w:color w:val="000000" w:themeColor="text1"/>
          <w14:textFill>
            <w14:solidFill>
              <w14:schemeClr w14:val="tx1"/>
            </w14:solidFill>
          </w14:textFill>
        </w:rPr>
        <w:t>高低温及湿热环境试验应按照GB/T 2423.1、GB/T 2423.2、GB/T 2423.4 的规定执行。</w:t>
      </w:r>
    </w:p>
    <w:p w14:paraId="47BABA09">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7.2.5 文档管理与复测要求</w:t>
      </w:r>
    </w:p>
    <w:p w14:paraId="617FD418">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测试认证全过程应建立文档管理体系，形成测试方案、数据记录、评估报告等完整资料，确保全过程可追溯。</w:t>
      </w:r>
    </w:p>
    <w:p w14:paraId="7FF87AFA">
      <w:pPr>
        <w:pStyle w:val="54"/>
        <w:spacing w:before="312" w:after="312"/>
        <w:outlineLvl w:val="0"/>
        <w:rPr>
          <w:color w:val="000000" w:themeColor="text1"/>
          <w14:textFill>
            <w14:solidFill>
              <w14:schemeClr w14:val="tx1"/>
            </w14:solidFill>
          </w14:textFill>
        </w:rPr>
      </w:pPr>
      <w:bookmarkStart w:id="98" w:name="_Toc217822739"/>
      <w:bookmarkStart w:id="99" w:name="_Toc217822952"/>
      <w:bookmarkStart w:id="100" w:name="_Toc212041730"/>
      <w:bookmarkStart w:id="101" w:name="_Toc220190011"/>
      <w:r>
        <w:rPr>
          <w:rFonts w:hint="eastAsia"/>
          <w:color w:val="000000" w:themeColor="text1"/>
          <w14:textFill>
            <w14:solidFill>
              <w14:schemeClr w14:val="tx1"/>
            </w14:solidFill>
          </w14:textFill>
        </w:rPr>
        <w:t>测试与验证</w:t>
      </w:r>
      <w:bookmarkEnd w:id="98"/>
      <w:bookmarkEnd w:id="99"/>
      <w:bookmarkEnd w:id="100"/>
      <w:bookmarkEnd w:id="101"/>
    </w:p>
    <w:p w14:paraId="7A92B5FD">
      <w:pPr>
        <w:pStyle w:val="53"/>
        <w:spacing w:before="156" w:after="156"/>
        <w:jc w:val="left"/>
        <w:outlineLvl w:val="1"/>
        <w:rPr>
          <w:rFonts w:ascii="Times New Roman"/>
          <w:color w:val="000000" w:themeColor="text1"/>
          <w14:textFill>
            <w14:solidFill>
              <w14:schemeClr w14:val="tx1"/>
            </w14:solidFill>
          </w14:textFill>
        </w:rPr>
      </w:pPr>
      <w:bookmarkStart w:id="102" w:name="_Toc212041731"/>
      <w:bookmarkStart w:id="103" w:name="_Toc220190012"/>
      <w:r>
        <w:rPr>
          <w:rFonts w:hint="eastAsia"/>
          <w:color w:val="000000" w:themeColor="text1"/>
          <w14:textFill>
            <w14:solidFill>
              <w14:schemeClr w14:val="tx1"/>
            </w14:solidFill>
          </w14:textFill>
        </w:rPr>
        <w:t>测试总体原则</w:t>
      </w:r>
      <w:bookmarkEnd w:id="102"/>
      <w:bookmarkEnd w:id="103"/>
    </w:p>
    <w:p w14:paraId="695C9DC6">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8.1.1 测试与验证</w:t>
      </w:r>
    </w:p>
    <w:p w14:paraId="211DA04E">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测试</w:t>
      </w:r>
      <w:r>
        <w:rPr>
          <w:color w:val="000000" w:themeColor="text1"/>
          <w14:textFill>
            <w14:solidFill>
              <w14:schemeClr w14:val="tx1"/>
            </w14:solidFill>
          </w14:textFill>
        </w:rPr>
        <w:t>应覆盖系统设计、功能实现、性能指标与安全防护全流程，验证结果应满足本标准规定的规范性技术要求。</w:t>
      </w:r>
    </w:p>
    <w:p w14:paraId="089B8EFB">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 xml:space="preserve">8.1.2 </w:t>
      </w:r>
      <w:r>
        <w:rPr>
          <w:rFonts w:hint="eastAsia" w:ascii="黑体" w:hAnsi="黑体" w:eastAsia="黑体"/>
          <w:color w:val="000000" w:themeColor="text1"/>
          <w14:textFill>
            <w14:solidFill>
              <w14:schemeClr w14:val="tx1"/>
            </w14:solidFill>
          </w14:textFill>
        </w:rPr>
        <w:t>测试应用场景</w:t>
      </w:r>
    </w:p>
    <w:p w14:paraId="52C8E0F7">
      <w:pPr>
        <w:pStyle w:val="29"/>
        <w:rPr>
          <w:color w:val="000000" w:themeColor="text1"/>
          <w14:textFill>
            <w14:solidFill>
              <w14:schemeClr w14:val="tx1"/>
            </w14:solidFill>
          </w14:textFill>
        </w:rPr>
      </w:pPr>
      <w:r>
        <w:rPr>
          <w:color w:val="000000" w:themeColor="text1"/>
          <w14:textFill>
            <w14:solidFill>
              <w14:schemeClr w14:val="tx1"/>
            </w14:solidFill>
          </w14:textFill>
        </w:rPr>
        <w:t>测试应包含典型应用场景与异常工况，覆盖并网、孤岛、并离网切换、扰动恢复等运行模式。</w:t>
      </w:r>
    </w:p>
    <w:p w14:paraId="7F6B3CE4">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8.1.3 测试验证</w:t>
      </w:r>
    </w:p>
    <w:p w14:paraId="500BFCE0">
      <w:pPr>
        <w:pStyle w:val="29"/>
        <w:rPr>
          <w:color w:val="000000" w:themeColor="text1"/>
          <w14:textFill>
            <w14:solidFill>
              <w14:schemeClr w14:val="tx1"/>
            </w14:solidFill>
          </w14:textFill>
        </w:rPr>
      </w:pPr>
      <w:r>
        <w:rPr>
          <w:rFonts w:hAnsi="宋体"/>
          <w:color w:val="000000" w:themeColor="text1"/>
          <w14:textFill>
            <w14:solidFill>
              <w14:schemeClr w14:val="tx1"/>
            </w14:solidFill>
          </w14:textFill>
        </w:rPr>
        <w:t>测试应支持重复验证</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对关键指标宜给</w:t>
      </w:r>
      <w:r>
        <w:rPr>
          <w:color w:val="000000" w:themeColor="text1"/>
          <w14:textFill>
            <w14:solidFill>
              <w14:schemeClr w14:val="tx1"/>
            </w14:solidFill>
          </w14:textFill>
        </w:rPr>
        <w:t>出统计口径以证明一致性与稳定性。</w:t>
      </w:r>
    </w:p>
    <w:p w14:paraId="76F0F590">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8.1.4 测试对象与边界应</w:t>
      </w:r>
    </w:p>
    <w:p w14:paraId="15098D80">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测试对象与边界应包含</w:t>
      </w:r>
      <w:r>
        <w:rPr>
          <w:color w:val="000000" w:themeColor="text1"/>
          <w14:textFill>
            <w14:solidFill>
              <w14:schemeClr w14:val="tx1"/>
            </w14:solidFill>
          </w14:textFill>
        </w:rPr>
        <w:t>AI芯片、AI芯片模组或搭载AI芯片的边缘计算单元；应声明测试是否包含预处理、协议栈与I/O链路。</w:t>
      </w:r>
    </w:p>
    <w:p w14:paraId="2A862877">
      <w:pPr>
        <w:pStyle w:val="29"/>
        <w:ind w:firstLine="0" w:firstLineChars="0"/>
        <w:rPr>
          <w:rFonts w:ascii="黑体" w:hAnsi="黑体" w:eastAsia="黑体"/>
          <w:color w:val="000000" w:themeColor="text1"/>
          <w14:textFill>
            <w14:solidFill>
              <w14:schemeClr w14:val="tx1"/>
            </w14:solidFill>
          </w14:textFill>
        </w:rPr>
      </w:pPr>
      <w:bookmarkStart w:id="104" w:name="OLE_LINK25"/>
      <w:r>
        <w:rPr>
          <w:rFonts w:ascii="黑体" w:hAnsi="黑体" w:eastAsia="黑体"/>
          <w:color w:val="000000" w:themeColor="text1"/>
          <w14:textFill>
            <w14:solidFill>
              <w14:schemeClr w14:val="tx1"/>
            </w14:solidFill>
          </w14:textFill>
        </w:rPr>
        <w:t>8.1.5 测试配置</w:t>
      </w:r>
    </w:p>
    <w:bookmarkEnd w:id="104"/>
    <w:p w14:paraId="77CB2336">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测试配置</w:t>
      </w:r>
      <w:r>
        <w:rPr>
          <w:rFonts w:hAnsi="宋体"/>
          <w:color w:val="000000" w:themeColor="text1"/>
          <w14:textFill>
            <w14:solidFill>
              <w14:schemeClr w14:val="tx1"/>
            </w14:solidFill>
          </w14:textFill>
        </w:rPr>
        <w:t>应可追溯</w:t>
      </w:r>
      <w:r>
        <w:rPr>
          <w:rFonts w:hint="eastAsia" w:hAnsi="宋体"/>
          <w:color w:val="000000" w:themeColor="text1"/>
          <w14:textFill>
            <w14:solidFill>
              <w14:schemeClr w14:val="tx1"/>
            </w14:solidFill>
          </w14:textFill>
        </w:rPr>
        <w:t>，应</w:t>
      </w:r>
      <w:r>
        <w:rPr>
          <w:rFonts w:hAnsi="宋体"/>
          <w:color w:val="000000" w:themeColor="text1"/>
          <w14:textFill>
            <w14:solidFill>
              <w14:schemeClr w14:val="tx1"/>
            </w14:solidFill>
          </w14:textFill>
        </w:rPr>
        <w:t>包含硬件配置、固件版本、驱动版本、推理框架版本、模型版本、编译选项与运行参数。</w:t>
      </w:r>
    </w:p>
    <w:p w14:paraId="552F5922">
      <w:pPr>
        <w:pStyle w:val="29"/>
        <w:ind w:firstLine="0"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 xml:space="preserve">8.1.6 </w:t>
      </w:r>
      <w:r>
        <w:rPr>
          <w:rFonts w:hint="eastAsia" w:ascii="黑体" w:hAnsi="黑体" w:eastAsia="黑体"/>
          <w:color w:val="000000" w:themeColor="text1"/>
          <w14:textFill>
            <w14:solidFill>
              <w14:schemeClr w14:val="tx1"/>
            </w14:solidFill>
          </w14:textFill>
        </w:rPr>
        <w:t>测试基准与参考负载</w:t>
      </w:r>
    </w:p>
    <w:p w14:paraId="3019AF09">
      <w:pPr>
        <w:pStyle w:val="29"/>
        <w:rPr>
          <w:rFonts w:hAnsi="宋体"/>
          <w:color w:val="000000" w:themeColor="text1"/>
          <w14:textFill>
            <w14:solidFill>
              <w14:schemeClr w14:val="tx1"/>
            </w14:solidFill>
          </w14:textFill>
        </w:rPr>
      </w:pPr>
      <w:r>
        <w:rPr>
          <w:rFonts w:hAnsi="宋体"/>
          <w:color w:val="000000" w:themeColor="text1"/>
          <w14:textFill>
            <w14:solidFill>
              <w14:schemeClr w14:val="tx1"/>
            </w14:solidFill>
          </w14:textFill>
        </w:rPr>
        <w:t>为确保测试结果的可比性与复现性，应依据芯片的应用场景等级（见5.1.1），建立统一的测试基准</w:t>
      </w:r>
      <w:r>
        <w:rPr>
          <w:rFonts w:hint="eastAsia" w:hAnsi="宋体"/>
          <w:color w:val="000000" w:themeColor="text1"/>
          <w14:textFill>
            <w14:solidFill>
              <w14:schemeClr w14:val="tx1"/>
            </w14:solidFill>
          </w14:textFill>
        </w:rPr>
        <w:t>，详见</w:t>
      </w:r>
      <w:r>
        <w:rPr>
          <w:rFonts w:hAnsi="宋体"/>
          <w:color w:val="000000" w:themeColor="text1"/>
          <w14:textFill>
            <w14:solidFill>
              <w14:schemeClr w14:val="tx1"/>
            </w14:solidFill>
          </w14:textFill>
        </w:rPr>
        <w:t>附录</w:t>
      </w:r>
      <w:r>
        <w:rPr>
          <w:color w:val="000000" w:themeColor="text1"/>
          <w14:textFill>
            <w14:solidFill>
              <w14:schemeClr w14:val="tx1"/>
            </w14:solidFill>
          </w14:textFill>
        </w:rPr>
        <w:t>详见附录 A 表 A.2</w:t>
      </w:r>
      <w:r>
        <w:rPr>
          <w:rFonts w:hAnsi="宋体"/>
          <w:color w:val="000000" w:themeColor="text1"/>
          <w14:textFill>
            <w14:solidFill>
              <w14:schemeClr w14:val="tx1"/>
            </w14:solidFill>
          </w14:textFill>
        </w:rPr>
        <w:t>。</w:t>
      </w:r>
    </w:p>
    <w:p w14:paraId="148E1837">
      <w:pPr>
        <w:pStyle w:val="29"/>
        <w:ind w:firstLine="0" w:firstLineChars="0"/>
        <w:rPr>
          <w:rFonts w:hAnsi="宋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8</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6</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1 基准模型集</w:t>
      </w:r>
    </w:p>
    <w:p w14:paraId="16BB5050">
      <w:pPr>
        <w:pStyle w:val="29"/>
        <w:rPr>
          <w:rFonts w:hAnsi="宋体"/>
          <w:color w:val="000000" w:themeColor="text1"/>
          <w14:textFill>
            <w14:solidFill>
              <w14:schemeClr w14:val="tx1"/>
            </w14:solidFill>
          </w14:textFill>
        </w:rPr>
      </w:pPr>
      <w:r>
        <w:rPr>
          <w:rFonts w:hAnsi="宋体"/>
          <w:color w:val="000000" w:themeColor="text1"/>
          <w14:textFill>
            <w14:solidFill>
              <w14:schemeClr w14:val="tx1"/>
            </w14:solidFill>
          </w14:textFill>
        </w:rPr>
        <w:t>测试应选取涵盖微电网核心业务的典型算法模型，包括但不限于：</w:t>
      </w:r>
    </w:p>
    <w:p w14:paraId="335529B3">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时序预测类</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选取长短期记忆网络或 Transformer 模型，用于验证负荷预测及新能源出力预测性能。</w:t>
      </w:r>
    </w:p>
    <w:p w14:paraId="3D2BC4B1">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推荐配置</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输入序列长度</w:t>
      </w:r>
      <w:r>
        <w:rPr>
          <w:rFonts w:hint="eastAsia" w:hAnsi="宋体"/>
          <w:color w:val="000000" w:themeColor="text1"/>
          <w14:textFill>
            <w14:solidFill>
              <w14:schemeClr w14:val="tx1"/>
            </w14:solidFill>
          </w14:textFill>
        </w:rPr>
        <w:t>T不小于9</w:t>
      </w:r>
      <w:r>
        <w:rPr>
          <w:rFonts w:hAnsi="宋体"/>
          <w:color w:val="000000" w:themeColor="text1"/>
          <w14:textFill>
            <w14:solidFill>
              <w14:schemeClr w14:val="tx1"/>
            </w14:solidFill>
          </w14:textFill>
        </w:rPr>
        <w:t>6，隐藏层维度</w:t>
      </w:r>
      <w:r>
        <w:rPr>
          <w:rFonts w:hint="eastAsia" w:hAnsi="宋体"/>
          <w:color w:val="000000" w:themeColor="text1"/>
          <w14:textFill>
            <w14:solidFill>
              <w14:schemeClr w14:val="tx1"/>
            </w14:solidFill>
          </w14:textFill>
        </w:rPr>
        <w:t>不小于</w:t>
      </w:r>
      <w:r>
        <w:rPr>
          <w:rFonts w:hAnsi="宋体"/>
          <w:color w:val="000000" w:themeColor="text1"/>
          <w14:textFill>
            <w14:solidFill>
              <w14:schemeClr w14:val="tx1"/>
            </w14:solidFill>
          </w14:textFill>
        </w:rPr>
        <w:t>128。</w:t>
      </w:r>
    </w:p>
    <w:p w14:paraId="704CC6CE">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特征识别类</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选取 1D-CNN或 ResNet 模型，用于验证故障波形识别及图像巡检性能。</w:t>
      </w:r>
    </w:p>
    <w:p w14:paraId="54B9742B">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决策控制类</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选取深度强化学习策略网络，用于验证源网荷储协同控制性能。</w:t>
      </w:r>
    </w:p>
    <w:p w14:paraId="4E6FB563">
      <w:pPr>
        <w:pStyle w:val="29"/>
        <w:ind w:firstLine="0" w:firstLineChars="0"/>
        <w:rPr>
          <w:rFonts w:hAnsi="宋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8.1.6.</w:t>
      </w:r>
      <w:r>
        <w:rPr>
          <w:rFonts w:ascii="黑体" w:hAnsi="黑体" w:eastAsia="黑体"/>
          <w:color w:val="000000" w:themeColor="text1"/>
          <w14:textFill>
            <w14:solidFill>
              <w14:schemeClr w14:val="tx1"/>
            </w14:solidFill>
          </w14:textFill>
        </w:rPr>
        <w:t>2</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数据精度基准</w:t>
      </w:r>
    </w:p>
    <w:p w14:paraId="46851DF2">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数据精度基准包括：</w:t>
      </w:r>
    </w:p>
    <w:p w14:paraId="157C0457">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控制级芯片</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 xml:space="preserve"> 推荐采用 INT8 量化精度进行测试，重点考核量化后的精度损失及推理速度。</w:t>
      </w:r>
    </w:p>
    <w:p w14:paraId="0BABFE4D">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调度与分析级芯片</w:t>
      </w: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 xml:space="preserve"> 推荐采用FP16或BF16半精度浮点进行测试，以保障计算结果的数值稳定性。</w:t>
      </w:r>
    </w:p>
    <w:p w14:paraId="357F9ECB">
      <w:pPr>
        <w:pStyle w:val="29"/>
        <w:ind w:firstLine="0" w:firstLineChars="0"/>
        <w:rPr>
          <w:rFonts w:hAnsi="宋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8.1.6.</w:t>
      </w:r>
      <w:r>
        <w:rPr>
          <w:rFonts w:ascii="黑体" w:hAnsi="黑体" w:eastAsia="黑体"/>
          <w:color w:val="000000" w:themeColor="text1"/>
          <w14:textFill>
            <w14:solidFill>
              <w14:schemeClr w14:val="tx1"/>
            </w14:solidFill>
          </w14:textFill>
        </w:rPr>
        <w:t>3</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负载条件基准</w:t>
      </w:r>
    </w:p>
    <w:p w14:paraId="164E2985">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负载条件基准包括：</w:t>
      </w:r>
    </w:p>
    <w:p w14:paraId="5FCC915D">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时延测试</w:t>
      </w:r>
      <w:r>
        <w:rPr>
          <w:rFonts w:hint="eastAsia" w:hAnsi="宋体"/>
          <w:color w:val="000000" w:themeColor="text1"/>
          <w14:textFill>
            <w14:solidFill>
              <w14:schemeClr w14:val="tx1"/>
            </w14:solidFill>
          </w14:textFill>
        </w:rPr>
        <w:t>。应</w:t>
      </w:r>
      <w:r>
        <w:rPr>
          <w:rFonts w:hAnsi="宋体"/>
          <w:color w:val="000000" w:themeColor="text1"/>
          <w14:textFill>
            <w14:solidFill>
              <w14:schemeClr w14:val="tx1"/>
            </w14:solidFill>
          </w14:textFill>
        </w:rPr>
        <w:t xml:space="preserve">设置Batch Size </w:t>
      </w:r>
      <w:r>
        <w:rPr>
          <w:rFonts w:hint="eastAsia" w:hAnsi="宋体"/>
          <w:color w:val="000000" w:themeColor="text1"/>
          <w14:textFill>
            <w14:solidFill>
              <w14:schemeClr w14:val="tx1"/>
            </w14:solidFill>
          </w14:textFill>
        </w:rPr>
        <w:t>等于</w:t>
      </w:r>
      <w:r>
        <w:rPr>
          <w:rFonts w:hAnsi="宋体"/>
          <w:color w:val="000000" w:themeColor="text1"/>
          <w14:textFill>
            <w14:solidFill>
              <w14:schemeClr w14:val="tx1"/>
            </w14:solidFill>
          </w14:textFill>
        </w:rPr>
        <w:t>1，模拟微电网实时控制中的单帧流式处理场景。</w:t>
      </w:r>
    </w:p>
    <w:p w14:paraId="06521F07">
      <w:pPr>
        <w:pStyle w:val="29"/>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吞吐测试</w:t>
      </w:r>
      <w:r>
        <w:rPr>
          <w:rFonts w:hint="eastAsia" w:hAnsi="宋体"/>
          <w:color w:val="000000" w:themeColor="text1"/>
          <w14:textFill>
            <w14:solidFill>
              <w14:schemeClr w14:val="tx1"/>
            </w14:solidFill>
          </w14:textFill>
        </w:rPr>
        <w:t>。应</w:t>
      </w:r>
      <w:r>
        <w:rPr>
          <w:rFonts w:hAnsi="宋体"/>
          <w:color w:val="000000" w:themeColor="text1"/>
          <w14:textFill>
            <w14:solidFill>
              <w14:schemeClr w14:val="tx1"/>
            </w14:solidFill>
          </w14:textFill>
        </w:rPr>
        <w:t>设置Batch Size</w:t>
      </w:r>
      <w:r>
        <w:rPr>
          <w:rFonts w:hint="eastAsia" w:hAnsi="宋体"/>
          <w:color w:val="000000" w:themeColor="text1"/>
          <w14:textFill>
            <w14:solidFill>
              <w14:schemeClr w14:val="tx1"/>
            </w14:solidFill>
          </w14:textFill>
        </w:rPr>
        <w:t>大于1</w:t>
      </w:r>
      <w:r>
        <w:rPr>
          <w:rFonts w:hAnsi="宋体"/>
          <w:color w:val="000000" w:themeColor="text1"/>
          <w14:textFill>
            <w14:solidFill>
              <w14:schemeClr w14:val="tx1"/>
            </w14:solidFill>
          </w14:textFill>
        </w:rPr>
        <w:t xml:space="preserve">，模拟离线数据分析或历史数据回溯场景，直至芯片利用率达到饱和。 </w:t>
      </w:r>
    </w:p>
    <w:p w14:paraId="09A617CD">
      <w:pPr>
        <w:pStyle w:val="29"/>
        <w:ind w:firstLine="0" w:firstLineChars="0"/>
        <w:rPr>
          <w:rFonts w:hAnsi="宋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8.1.6.</w:t>
      </w:r>
      <w:r>
        <w:rPr>
          <w:rFonts w:ascii="黑体" w:hAnsi="黑体" w:eastAsia="黑体"/>
          <w:color w:val="000000" w:themeColor="text1"/>
          <w14:textFill>
            <w14:solidFill>
              <w14:schemeClr w14:val="tx1"/>
            </w14:solidFill>
          </w14:textFill>
        </w:rPr>
        <w:t>4</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引用标准</w:t>
      </w:r>
    </w:p>
    <w:p w14:paraId="60A45100">
      <w:pPr>
        <w:pStyle w:val="29"/>
        <w:rPr>
          <w:rFonts w:hAnsi="宋体"/>
          <w:color w:val="000000" w:themeColor="text1"/>
          <w14:textFill>
            <w14:solidFill>
              <w14:schemeClr w14:val="tx1"/>
            </w14:solidFill>
          </w14:textFill>
        </w:rPr>
      </w:pPr>
      <w:r>
        <w:rPr>
          <w:rFonts w:hAnsi="宋体"/>
          <w:color w:val="000000" w:themeColor="text1"/>
          <w14:textFill>
            <w14:solidFill>
              <w14:schemeClr w14:val="tx1"/>
            </w14:solidFill>
          </w14:textFill>
        </w:rPr>
        <w:t>基准测试的具体实施步骤与评价指标计算方法，应参照YD/T 3944及 MLPerf Inference Edge 相关规范执行。</w:t>
      </w:r>
    </w:p>
    <w:p w14:paraId="4712C17B">
      <w:pPr>
        <w:pStyle w:val="53"/>
        <w:spacing w:before="156" w:after="156"/>
        <w:jc w:val="left"/>
        <w:outlineLvl w:val="1"/>
        <w:rPr>
          <w:color w:val="000000" w:themeColor="text1"/>
          <w14:textFill>
            <w14:solidFill>
              <w14:schemeClr w14:val="tx1"/>
            </w14:solidFill>
          </w14:textFill>
        </w:rPr>
      </w:pPr>
      <w:bookmarkStart w:id="105" w:name="_Toc220190013"/>
      <w:bookmarkStart w:id="106" w:name="_Toc212041732"/>
      <w:r>
        <w:rPr>
          <w:rFonts w:hint="eastAsia"/>
          <w:color w:val="000000" w:themeColor="text1"/>
          <w14:textFill>
            <w14:solidFill>
              <w14:schemeClr w14:val="tx1"/>
            </w14:solidFill>
          </w14:textFill>
        </w:rPr>
        <w:t>AI芯片功能测试</w:t>
      </w:r>
      <w:bookmarkEnd w:id="105"/>
      <w:bookmarkEnd w:id="106"/>
    </w:p>
    <w:p w14:paraId="3595770F">
      <w:pPr>
        <w:pStyle w:val="29"/>
        <w:ind w:firstLine="0" w:firstLineChars="0"/>
        <w:rPr>
          <w:rFonts w:ascii="黑体" w:hAnsi="黑体" w:eastAsia="黑体"/>
          <w:color w:val="000000" w:themeColor="text1"/>
          <w:szCs w:val="21"/>
          <w14:textFill>
            <w14:solidFill>
              <w14:schemeClr w14:val="tx1"/>
            </w14:solidFill>
          </w14:textFill>
        </w:rPr>
      </w:pPr>
      <w:bookmarkStart w:id="107" w:name="OLE_LINK34"/>
      <w:r>
        <w:rPr>
          <w:rFonts w:ascii="黑体" w:hAnsi="黑体" w:eastAsia="黑体"/>
          <w:color w:val="000000" w:themeColor="text1"/>
          <w:szCs w:val="21"/>
          <w14:textFill>
            <w14:solidFill>
              <w14:schemeClr w14:val="tx1"/>
            </w14:solidFill>
          </w14:textFill>
        </w:rPr>
        <w:t>8.2.1　</w:t>
      </w:r>
      <w:bookmarkEnd w:id="107"/>
      <w:r>
        <w:rPr>
          <w:rFonts w:hint="eastAsia" w:ascii="黑体" w:hAnsi="黑体" w:eastAsia="黑体"/>
          <w:color w:val="000000" w:themeColor="text1"/>
          <w:szCs w:val="21"/>
          <w14:textFill>
            <w14:solidFill>
              <w14:schemeClr w14:val="tx1"/>
            </w14:solidFill>
          </w14:textFill>
        </w:rPr>
        <w:t>数据处理能力</w:t>
      </w:r>
      <w:r>
        <w:rPr>
          <w:rFonts w:ascii="黑体" w:hAnsi="黑体" w:eastAsia="黑体"/>
          <w:color w:val="000000" w:themeColor="text1"/>
          <w:szCs w:val="21"/>
          <w14:textFill>
            <w14:solidFill>
              <w14:schemeClr w14:val="tx1"/>
            </w14:solidFill>
          </w14:textFill>
        </w:rPr>
        <w:t>测试</w:t>
      </w:r>
    </w:p>
    <w:p w14:paraId="62734A70">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数据处理能力测试包含：</w:t>
      </w:r>
    </w:p>
    <w:p w14:paraId="5D6BFB80">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w:t>
      </w:r>
      <w:r>
        <w:rPr>
          <w:rFonts w:ascii="Times New Roman" w:eastAsiaTheme="minorEastAsia"/>
          <w:color w:val="000000" w:themeColor="text1"/>
          <w:szCs w:val="21"/>
          <w14:textFill>
            <w14:solidFill>
              <w14:schemeClr w14:val="tx1"/>
            </w14:solidFill>
          </w14:textFill>
        </w:rPr>
        <w:t>应验证现场数据采集、缓存/存储、清洗、降噪、特征提取能力，并验证异常数据处理策略有效。</w:t>
      </w:r>
    </w:p>
    <w:p w14:paraId="276C391A">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使用信号发生器或测试软件注入含噪数据、缺失数据及漂移数据。</w:t>
      </w:r>
    </w:p>
    <w:p w14:paraId="6549630D">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芯片应能正确标记或修复缺失值，不输出 NaN 或 Inf 错误码；特征提取后的数据维度与模型输入要求一致，且能触发后续推理流程。</w:t>
      </w:r>
    </w:p>
    <w:p w14:paraId="129C36AB">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8.2.2　业务算法</w:t>
      </w:r>
      <w:r>
        <w:rPr>
          <w:rFonts w:hint="eastAsia" w:ascii="黑体" w:hAnsi="黑体" w:eastAsia="黑体"/>
          <w:color w:val="000000" w:themeColor="text1"/>
          <w:szCs w:val="21"/>
          <w14:textFill>
            <w14:solidFill>
              <w14:schemeClr w14:val="tx1"/>
            </w14:solidFill>
          </w14:textFill>
        </w:rPr>
        <w:t>有效性测试</w:t>
      </w:r>
    </w:p>
    <w:p w14:paraId="1512184E">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业务算法有效性测试包含：</w:t>
      </w:r>
    </w:p>
    <w:p w14:paraId="0DE9F772">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w:t>
      </w:r>
      <w:r>
        <w:rPr>
          <w:rFonts w:ascii="Times New Roman" w:eastAsiaTheme="minorEastAsia"/>
          <w:color w:val="000000" w:themeColor="text1"/>
          <w:szCs w:val="21"/>
          <w14:textFill>
            <w14:solidFill>
              <w14:schemeClr w14:val="tx1"/>
            </w14:solidFill>
          </w14:textFill>
        </w:rPr>
        <w:t>应验证负荷预测、可再生能源出力预测、储能调度优化、运行状态评估等算法可运行，并输出可用于EMS/控制闭环的结果。</w:t>
      </w:r>
    </w:p>
    <w:p w14:paraId="7492F2C5">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加载8.1.6规定的基准模型，输入标准测试集，对比芯片推理结果与标准仿真结果。</w:t>
      </w:r>
    </w:p>
    <w:p w14:paraId="74EB55AB">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负荷预测算法的平均绝对百分比误差应不大于3%；故障识别算法的准确率应不低于 90%；控制策略输出应符合功率平衡约束。</w:t>
      </w:r>
    </w:p>
    <w:p w14:paraId="63C6822A">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8.2.3 状态识别与诊断功能</w:t>
      </w:r>
      <w:r>
        <w:rPr>
          <w:rFonts w:hint="eastAsia" w:ascii="黑体" w:hAnsi="黑体" w:eastAsia="黑体"/>
          <w:color w:val="000000" w:themeColor="text1"/>
          <w:szCs w:val="21"/>
          <w14:textFill>
            <w14:solidFill>
              <w14:schemeClr w14:val="tx1"/>
            </w14:solidFill>
          </w14:textFill>
        </w:rPr>
        <w:t>测试</w:t>
      </w:r>
    </w:p>
    <w:p w14:paraId="1A335CA9">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状态识别与诊断功能测试包含：</w:t>
      </w:r>
    </w:p>
    <w:p w14:paraId="517C7679">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w:t>
      </w:r>
      <w:r>
        <w:rPr>
          <w:rFonts w:ascii="Times New Roman" w:eastAsiaTheme="minorEastAsia"/>
          <w:color w:val="000000" w:themeColor="text1"/>
          <w:szCs w:val="21"/>
          <w14:textFill>
            <w14:solidFill>
              <w14:schemeClr w14:val="tx1"/>
            </w14:solidFill>
          </w14:textFill>
        </w:rPr>
        <w:t>应验证运行状态识别、故障诊断、异常检测功能，输出应包含对象定位（母线/馈线/设备）与告警等级。</w:t>
      </w:r>
    </w:p>
    <w:p w14:paraId="730BCB39">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数据集构建</w:t>
      </w:r>
      <w:r>
        <w:rPr>
          <w:rFonts w:hint="eastAsia" w:ascii="Times New Roman" w:eastAsiaTheme="minorEastAsia"/>
          <w:color w:val="000000" w:themeColor="text1"/>
          <w:szCs w:val="21"/>
          <w14:textFill>
            <w14:solidFill>
              <w14:schemeClr w14:val="tx1"/>
            </w14:solidFill>
          </w14:textFill>
        </w:rPr>
        <w:t>应</w:t>
      </w:r>
      <w:r>
        <w:rPr>
          <w:rFonts w:ascii="Times New Roman" w:eastAsiaTheme="minorEastAsia"/>
          <w:color w:val="000000" w:themeColor="text1"/>
          <w:szCs w:val="21"/>
          <w14:textFill>
            <w14:solidFill>
              <w14:schemeClr w14:val="tx1"/>
            </w14:solidFill>
          </w14:textFill>
        </w:rPr>
        <w:t>包含不少于 1000组 典型工况的测试样本集。样本应涵盖正常运行、负荷突变（扰动）、非计划孤岛、金属性短路、高阻接地故障及弧光故障等场景。其中，故障样本应覆盖不同故障点（母线/馈线）、不同故障初相角</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注入测试</w:t>
      </w:r>
      <w:r>
        <w:rPr>
          <w:rFonts w:hint="eastAsia" w:ascii="Times New Roman" w:eastAsiaTheme="minorEastAsia"/>
          <w:color w:val="000000" w:themeColor="text1"/>
          <w:szCs w:val="21"/>
          <w14:textFill>
            <w14:solidFill>
              <w14:schemeClr w14:val="tx1"/>
            </w14:solidFill>
          </w14:textFill>
        </w:rPr>
        <w:t>应</w:t>
      </w:r>
      <w:r>
        <w:rPr>
          <w:rFonts w:ascii="Times New Roman" w:eastAsiaTheme="minorEastAsia"/>
          <w:color w:val="000000" w:themeColor="text1"/>
          <w:szCs w:val="21"/>
          <w14:textFill>
            <w14:solidFill>
              <w14:schemeClr w14:val="tx1"/>
            </w14:solidFill>
          </w14:textFill>
        </w:rPr>
        <w:t>利用实时数字仿真系统或高精度信号发生器，将上述波形数据（推荐采样率≥10kHz）通过高速接口注入AI芯片</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结果比对</w:t>
      </w:r>
      <w:r>
        <w:rPr>
          <w:rFonts w:hint="eastAsia" w:ascii="Times New Roman" w:eastAsiaTheme="minorEastAsia"/>
          <w:color w:val="000000" w:themeColor="text1"/>
          <w:szCs w:val="21"/>
          <w14:textFill>
            <w14:solidFill>
              <w14:schemeClr w14:val="tx1"/>
            </w14:solidFill>
          </w14:textFill>
        </w:rPr>
        <w:t>应</w:t>
      </w:r>
      <w:r>
        <w:rPr>
          <w:rFonts w:ascii="Times New Roman" w:eastAsiaTheme="minorEastAsia"/>
          <w:color w:val="000000" w:themeColor="text1"/>
          <w:szCs w:val="21"/>
          <w14:textFill>
            <w14:solidFill>
              <w14:schemeClr w14:val="tx1"/>
            </w14:solidFill>
          </w14:textFill>
        </w:rPr>
        <w:t>记录芯片输出的状态类别、故障类型、故障区段定位及置信度分数，并与测试样本的真实标签进行逐一比对。</w:t>
      </w:r>
    </w:p>
    <w:p w14:paraId="0D0B60CC">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分类准确率</w:t>
      </w:r>
      <w:r>
        <w:rPr>
          <w:rFonts w:hint="eastAsia" w:ascii="Times New Roman" w:eastAsiaTheme="minorEastAsia"/>
          <w:color w:val="000000" w:themeColor="text1"/>
          <w:szCs w:val="21"/>
          <w14:textFill>
            <w14:solidFill>
              <w14:schemeClr w14:val="tx1"/>
            </w14:solidFill>
          </w14:textFill>
        </w:rPr>
        <w:t>对应的</w:t>
      </w:r>
      <w:r>
        <w:rPr>
          <w:rFonts w:ascii="Times New Roman" w:eastAsiaTheme="minorEastAsia"/>
          <w:color w:val="000000" w:themeColor="text1"/>
          <w:szCs w:val="21"/>
          <w14:textFill>
            <w14:solidFill>
              <w14:schemeClr w14:val="tx1"/>
            </w14:solidFill>
          </w14:textFill>
        </w:rPr>
        <w:t>单一故障类型（如单相接地）的识别准确率应不低于90%；对并网/孤岛状态的识别准确率应达到100%</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误报率控制在负荷突变、变压器励磁涌流等正常扰动工况下，AI芯片不应误报为“故障”，误报率应低于0.1%</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输出</w:t>
      </w:r>
      <w:r>
        <w:rPr>
          <w:rFonts w:hint="eastAsia" w:ascii="Times New Roman" w:eastAsiaTheme="minorEastAsia"/>
          <w:color w:val="000000" w:themeColor="text1"/>
          <w:szCs w:val="21"/>
          <w14:textFill>
            <w14:solidFill>
              <w14:schemeClr w14:val="tx1"/>
            </w14:solidFill>
          </w14:textFill>
        </w:rPr>
        <w:t>应具备</w:t>
      </w:r>
      <w:r>
        <w:rPr>
          <w:rFonts w:ascii="Times New Roman" w:eastAsiaTheme="minorEastAsia"/>
          <w:color w:val="000000" w:themeColor="text1"/>
          <w:szCs w:val="21"/>
          <w14:textFill>
            <w14:solidFill>
              <w14:schemeClr w14:val="tx1"/>
            </w14:solidFill>
          </w14:textFill>
        </w:rPr>
        <w:t>完整性</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诊断结果必须包含具体的故障相别及故障区域，且输出的置信度在正确识别时应大于0.8。</w:t>
      </w:r>
    </w:p>
    <w:p w14:paraId="2ED9EB68">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8.2.4 在线更新</w:t>
      </w:r>
      <w:r>
        <w:rPr>
          <w:rFonts w:hint="eastAsia" w:ascii="黑体" w:hAnsi="黑体" w:eastAsia="黑体"/>
          <w:color w:val="000000" w:themeColor="text1"/>
          <w:szCs w:val="21"/>
          <w14:textFill>
            <w14:solidFill>
              <w14:schemeClr w14:val="tx1"/>
            </w14:solidFill>
          </w14:textFill>
        </w:rPr>
        <w:t>与版本管理</w:t>
      </w:r>
      <w:r>
        <w:rPr>
          <w:rFonts w:ascii="黑体" w:hAnsi="黑体" w:eastAsia="黑体"/>
          <w:color w:val="000000" w:themeColor="text1"/>
          <w:szCs w:val="21"/>
          <w14:textFill>
            <w14:solidFill>
              <w14:schemeClr w14:val="tx1"/>
            </w14:solidFill>
          </w14:textFill>
        </w:rPr>
        <w:t>功能</w:t>
      </w:r>
    </w:p>
    <w:p w14:paraId="7928BA63">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w:t>
      </w:r>
      <w:r>
        <w:rPr>
          <w:rFonts w:ascii="Times New Roman" w:eastAsiaTheme="minorEastAsia"/>
          <w:color w:val="000000" w:themeColor="text1"/>
          <w:szCs w:val="21"/>
          <w14:textFill>
            <w14:solidFill>
              <w14:schemeClr w14:val="tx1"/>
            </w14:solidFill>
          </w14:textFill>
        </w:rPr>
        <w:t>验证模型更新、版本管理、回滚机制；在线更新不得破坏既定安全边界与关键业务连续性。</w:t>
      </w:r>
    </w:p>
    <w:p w14:paraId="1EAA21B7">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在业务运行过程中下发新版本模型</w:t>
      </w:r>
      <w:r>
        <w:rPr>
          <w:rFonts w:hint="eastAsia" w:ascii="Times New Roman" w:eastAsiaTheme="minorEastAsia"/>
          <w:color w:val="000000" w:themeColor="text1"/>
          <w:szCs w:val="21"/>
          <w14:textFill>
            <w14:solidFill>
              <w14:schemeClr w14:val="tx1"/>
            </w14:solidFill>
          </w14:textFill>
        </w:rPr>
        <w:t>应</w:t>
      </w:r>
      <w:r>
        <w:rPr>
          <w:rFonts w:ascii="Times New Roman" w:eastAsiaTheme="minorEastAsia"/>
          <w:color w:val="000000" w:themeColor="text1"/>
          <w:szCs w:val="21"/>
          <w14:textFill>
            <w14:solidFill>
              <w14:schemeClr w14:val="tx1"/>
            </w14:solidFill>
          </w14:textFill>
        </w:rPr>
        <w:t>模拟更新成功及更新失败（如校验码错误）两种场景。</w:t>
      </w:r>
    </w:p>
    <w:p w14:paraId="015591C0">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更新成功场景下，业务中断时间应小于100ms（或无感切换）；更新失败场景下，系统应自动回滚至上一稳定版本，且不发生死机。</w:t>
      </w:r>
    </w:p>
    <w:p w14:paraId="2A835E5A">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8.2.5 协议解析与</w:t>
      </w:r>
      <w:r>
        <w:rPr>
          <w:rFonts w:hint="eastAsia" w:ascii="黑体" w:hAnsi="黑体" w:eastAsia="黑体"/>
          <w:color w:val="000000" w:themeColor="text1"/>
          <w:szCs w:val="21"/>
          <w14:textFill>
            <w14:solidFill>
              <w14:schemeClr w14:val="tx1"/>
            </w14:solidFill>
          </w14:textFill>
        </w:rPr>
        <w:t>互操作测试</w:t>
      </w:r>
    </w:p>
    <w:p w14:paraId="0CC77C3D">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w:t>
      </w:r>
      <w:r>
        <w:rPr>
          <w:rFonts w:ascii="Times New Roman" w:eastAsiaTheme="minorEastAsia"/>
          <w:color w:val="000000" w:themeColor="text1"/>
          <w:szCs w:val="21"/>
          <w14:textFill>
            <w14:solidFill>
              <w14:schemeClr w14:val="tx1"/>
            </w14:solidFill>
          </w14:textFill>
        </w:rPr>
        <w:t>应验证对本标准规定规约/协议的解析、封装与响应能力，响应结果应满足接口一致性与互操作要求</w:t>
      </w:r>
    </w:p>
    <w:p w14:paraId="1FAFAC1C">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——测试方法。应</w:t>
      </w:r>
      <w:r>
        <w:rPr>
          <w:rFonts w:ascii="Times New Roman" w:eastAsiaTheme="minorEastAsia"/>
          <w:color w:val="000000" w:themeColor="text1"/>
          <w:szCs w:val="21"/>
          <w14:textFill>
            <w14:solidFill>
              <w14:schemeClr w14:val="tx1"/>
            </w14:solidFill>
          </w14:textFill>
        </w:rPr>
        <w:t>使用规约一致性测试工具发送标准帧、异常帧（长度错误、校验错误）及风暴帧。</w:t>
      </w:r>
    </w:p>
    <w:p w14:paraId="1DEB3791">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标准帧解析成功率</w:t>
      </w:r>
      <w:r>
        <w:rPr>
          <w:rFonts w:hint="eastAsia" w:ascii="Times New Roman" w:eastAsiaTheme="minorEastAsia"/>
          <w:color w:val="000000" w:themeColor="text1"/>
          <w:szCs w:val="21"/>
          <w14:textFill>
            <w14:solidFill>
              <w14:schemeClr w14:val="tx1"/>
            </w14:solidFill>
          </w14:textFill>
        </w:rPr>
        <w:t>应达到</w:t>
      </w:r>
      <w:r>
        <w:rPr>
          <w:rFonts w:ascii="Times New Roman" w:eastAsiaTheme="minorEastAsia"/>
          <w:color w:val="000000" w:themeColor="text1"/>
          <w:szCs w:val="21"/>
          <w14:textFill>
            <w14:solidFill>
              <w14:schemeClr w14:val="tx1"/>
            </w14:solidFill>
          </w14:textFill>
        </w:rPr>
        <w:t>100%；异常帧应被丢弃并记录日志，不导致协议栈崩溃或内存泄漏。</w:t>
      </w:r>
    </w:p>
    <w:p w14:paraId="6D249C29">
      <w:pPr>
        <w:pStyle w:val="53"/>
        <w:spacing w:before="156" w:after="156"/>
        <w:jc w:val="left"/>
        <w:outlineLvl w:val="1"/>
        <w:rPr>
          <w:color w:val="000000" w:themeColor="text1"/>
          <w14:textFill>
            <w14:solidFill>
              <w14:schemeClr w14:val="tx1"/>
            </w14:solidFill>
          </w14:textFill>
        </w:rPr>
      </w:pPr>
      <w:bookmarkStart w:id="108" w:name="_Toc220190015"/>
      <w:bookmarkEnd w:id="108"/>
      <w:bookmarkStart w:id="109" w:name="_Toc220190014"/>
      <w:bookmarkEnd w:id="109"/>
      <w:bookmarkStart w:id="110" w:name="_Toc220190016"/>
      <w:r>
        <w:rPr>
          <w:rFonts w:hint="eastAsia"/>
          <w:color w:val="000000" w:themeColor="text1"/>
          <w14:textFill>
            <w14:solidFill>
              <w14:schemeClr w14:val="tx1"/>
            </w14:solidFill>
          </w14:textFill>
        </w:rPr>
        <w:t>AI芯片性能测试</w:t>
      </w:r>
      <w:bookmarkEnd w:id="110"/>
    </w:p>
    <w:p w14:paraId="6568BC11">
      <w:pPr>
        <w:pStyle w:val="29"/>
        <w:ind w:firstLine="0" w:firstLineChars="0"/>
        <w:rPr>
          <w:rFonts w:ascii="Times New Roman" w:eastAsiaTheme="minorEastAsia"/>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8.2.1 推理时延与确定性测试</w:t>
      </w:r>
      <w:r>
        <w:rPr>
          <w:rFonts w:hint="eastAsia" w:ascii="黑体" w:hAnsi="黑体" w:eastAsia="黑体"/>
          <w:color w:val="000000" w:themeColor="text1"/>
          <w:szCs w:val="21"/>
          <w14:textFill>
            <w14:solidFill>
              <w14:schemeClr w14:val="tx1"/>
            </w14:solidFill>
          </w14:textFill>
        </w:rPr>
        <w:t xml:space="preserve"> </w:t>
      </w:r>
    </w:p>
    <w:p w14:paraId="66A70430">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推理时延与确定性测试包含：</w:t>
      </w:r>
    </w:p>
    <w:p w14:paraId="7E03D048">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w:t>
      </w:r>
      <w:r>
        <w:rPr>
          <w:rFonts w:ascii="Times New Roman" w:eastAsiaTheme="minorEastAsia"/>
          <w:color w:val="000000" w:themeColor="text1"/>
          <w:szCs w:val="21"/>
          <w14:textFill>
            <w14:solidFill>
              <w14:schemeClr w14:val="tx1"/>
            </w14:solidFill>
          </w14:textFill>
        </w:rPr>
        <w:t>应依据被测对象声明的应用场景等级，对单次模型推理时延进行测试；测试结果应满足5.1.1中对应要求。</w:t>
      </w:r>
    </w:p>
    <w:p w14:paraId="70B736B1">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设置Batch Size</w:t>
      </w:r>
      <w:r>
        <w:rPr>
          <w:rFonts w:hint="eastAsia" w:ascii="Times New Roman" w:eastAsiaTheme="minorEastAsia"/>
          <w:color w:val="000000" w:themeColor="text1"/>
          <w:szCs w:val="21"/>
          <w14:textFill>
            <w14:solidFill>
              <w14:schemeClr w14:val="tx1"/>
            </w14:solidFill>
          </w14:textFill>
        </w:rPr>
        <w:t>等于</w:t>
      </w:r>
      <w:r>
        <w:rPr>
          <w:rFonts w:ascii="Times New Roman" w:eastAsiaTheme="minorEastAsia"/>
          <w:color w:val="000000" w:themeColor="text1"/>
          <w:szCs w:val="21"/>
          <w14:textFill>
            <w14:solidFill>
              <w14:schemeClr w14:val="tx1"/>
            </w14:solidFill>
          </w14:textFill>
        </w:rPr>
        <w:t>1，持续发送推理请求不少于1</w:t>
      </w:r>
      <w:r>
        <w:rPr>
          <w:rFonts w:hint="eastAsia" w:ascii="Times New Roman" w:eastAsiaTheme="minorEastAsia"/>
          <w:color w:val="000000" w:themeColor="text1"/>
          <w:szCs w:val="21"/>
          <w14:textFill>
            <w14:solidFill>
              <w14:schemeClr w14:val="tx1"/>
            </w14:solidFill>
          </w14:textFill>
        </w:rPr>
        <w:t>万</w:t>
      </w:r>
      <w:r>
        <w:rPr>
          <w:rFonts w:ascii="Times New Roman" w:eastAsiaTheme="minorEastAsia"/>
          <w:color w:val="000000" w:themeColor="text1"/>
          <w:szCs w:val="21"/>
          <w14:textFill>
            <w14:solidFill>
              <w14:schemeClr w14:val="tx1"/>
            </w14:solidFill>
          </w14:textFill>
        </w:rPr>
        <w:t>次。记录每次推理的端到端耗时（从输入写入内存到结果输出）。</w:t>
      </w:r>
    </w:p>
    <w:p w14:paraId="20978228">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平均时延应满足 5.1.1 对应等级要求；P99时延与平均值的偏差应不超过10%。</w:t>
      </w:r>
    </w:p>
    <w:p w14:paraId="735A60E0">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8.2.2 吞吐与并发力</w:t>
      </w:r>
      <w:r>
        <w:rPr>
          <w:rFonts w:hint="eastAsia" w:ascii="黑体" w:hAnsi="黑体" w:eastAsia="黑体"/>
          <w:color w:val="000000" w:themeColor="text1"/>
          <w:szCs w:val="21"/>
          <w14:textFill>
            <w14:solidFill>
              <w14:schemeClr w14:val="tx1"/>
            </w14:solidFill>
          </w14:textFill>
        </w:rPr>
        <w:t>测试</w:t>
      </w:r>
    </w:p>
    <w:p w14:paraId="3590547C">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吞吐与并发力测试包含：</w:t>
      </w:r>
    </w:p>
    <w:p w14:paraId="58AAB508">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——测试目的。应测试多路数据流并发处理能力。</w:t>
      </w:r>
    </w:p>
    <w:p w14:paraId="39FE5DE5">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测试方法</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开启多路视频流或采样数据流，</w:t>
      </w:r>
      <w:r>
        <w:rPr>
          <w:rFonts w:hint="eastAsia" w:ascii="Times New Roman" w:eastAsiaTheme="minorEastAsia"/>
          <w:color w:val="000000" w:themeColor="text1"/>
          <w:szCs w:val="21"/>
          <w14:textFill>
            <w14:solidFill>
              <w14:schemeClr w14:val="tx1"/>
            </w14:solidFill>
          </w14:textFill>
        </w:rPr>
        <w:t>应</w:t>
      </w:r>
      <w:r>
        <w:rPr>
          <w:rFonts w:ascii="Times New Roman" w:eastAsiaTheme="minorEastAsia"/>
          <w:color w:val="000000" w:themeColor="text1"/>
          <w:szCs w:val="21"/>
          <w14:textFill>
            <w14:solidFill>
              <w14:schemeClr w14:val="tx1"/>
            </w14:solidFill>
          </w14:textFill>
        </w:rPr>
        <w:t>进行不少于4小时的满载运行</w:t>
      </w:r>
      <w:r>
        <w:rPr>
          <w:rFonts w:hint="eastAsia" w:ascii="Times New Roman" w:eastAsiaTheme="minorEastAsia"/>
          <w:color w:val="000000" w:themeColor="text1"/>
          <w:szCs w:val="21"/>
          <w14:textFill>
            <w14:solidFill>
              <w14:schemeClr w14:val="tx1"/>
            </w14:solidFill>
          </w14:textFill>
        </w:rPr>
        <w:t>。</w:t>
      </w:r>
    </w:p>
    <w:p w14:paraId="6D4361FD">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——评判标准。在设备标称的满载并发路数下，丢包率应</w:t>
      </w:r>
      <w:r>
        <w:rPr>
          <w:rFonts w:ascii="Times New Roman" w:eastAsiaTheme="minorEastAsia"/>
          <w:color w:val="000000" w:themeColor="text1"/>
          <w:szCs w:val="21"/>
          <w14:textFill>
            <w14:solidFill>
              <w14:schemeClr w14:val="tx1"/>
            </w14:solidFill>
          </w14:textFill>
        </w:rPr>
        <w:t>不超过0.1%，且实际处理帧率不低于标称值的95%；并发推理时，推理时延抖动幅度应控制在平均时延的10%以内，确保业务响应的确定性。</w:t>
      </w:r>
    </w:p>
    <w:p w14:paraId="4D132769">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 xml:space="preserve">8.2.3 </w:t>
      </w:r>
      <w:r>
        <w:rPr>
          <w:rFonts w:hint="eastAsia" w:ascii="黑体" w:hAnsi="黑体" w:eastAsia="黑体"/>
          <w:color w:val="000000" w:themeColor="text1"/>
          <w:szCs w:val="21"/>
          <w14:textFill>
            <w14:solidFill>
              <w14:schemeClr w14:val="tx1"/>
            </w14:solidFill>
          </w14:textFill>
        </w:rPr>
        <w:t>动态能效与功</w:t>
      </w:r>
      <w:r>
        <w:rPr>
          <w:rFonts w:ascii="黑体" w:hAnsi="黑体" w:eastAsia="黑体"/>
          <w:color w:val="000000" w:themeColor="text1"/>
          <w:szCs w:val="21"/>
          <w14:textFill>
            <w14:solidFill>
              <w14:schemeClr w14:val="tx1"/>
            </w14:solidFill>
          </w14:textFill>
        </w:rPr>
        <w:t>耗</w:t>
      </w:r>
      <w:r>
        <w:rPr>
          <w:rFonts w:hint="eastAsia" w:ascii="黑体" w:hAnsi="黑体" w:eastAsia="黑体"/>
          <w:color w:val="000000" w:themeColor="text1"/>
          <w:szCs w:val="21"/>
          <w14:textFill>
            <w14:solidFill>
              <w14:schemeClr w14:val="tx1"/>
            </w14:solidFill>
          </w14:textFill>
        </w:rPr>
        <w:t>测试</w:t>
      </w:r>
    </w:p>
    <w:p w14:paraId="1F932B2D">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动态能效与功耗测试包含：</w:t>
      </w:r>
    </w:p>
    <w:p w14:paraId="72DBD4C3">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w:t>
      </w:r>
      <w:r>
        <w:rPr>
          <w:rFonts w:ascii="Times New Roman" w:eastAsiaTheme="minorEastAsia"/>
          <w:color w:val="000000" w:themeColor="text1"/>
          <w:szCs w:val="21"/>
          <w14:textFill>
            <w14:solidFill>
              <w14:schemeClr w14:val="tx1"/>
            </w14:solidFill>
          </w14:textFill>
        </w:rPr>
        <w:t>应测试典型业务负载下功耗与峰值功耗，验证低功耗管理模式切换有效，功耗应满足设计限值与散热条件。</w:t>
      </w:r>
    </w:p>
    <w:p w14:paraId="167753B1">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使用高精度功率计测量空闲、典型负载、满载三种状态下的功耗。模拟业务闲置，观测芯片是否进入低功耗休眠模式。</w:t>
      </w:r>
    </w:p>
    <w:p w14:paraId="7754F643">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算力能效比应不低于对应等级要求；休眠唤醒时间应满足业务实时性要求。</w:t>
      </w:r>
    </w:p>
    <w:p w14:paraId="09A955DF">
      <w:pPr>
        <w:pStyle w:val="29"/>
        <w:ind w:firstLine="0" w:firstLineChars="0"/>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8.2.</w:t>
      </w:r>
      <w:r>
        <w:rPr>
          <w:rFonts w:hint="eastAsia" w:ascii="黑体" w:hAnsi="黑体" w:eastAsia="黑体"/>
          <w:color w:val="000000" w:themeColor="text1"/>
          <w:szCs w:val="21"/>
          <w14:textFill>
            <w14:solidFill>
              <w14:schemeClr w14:val="tx1"/>
            </w14:solidFill>
          </w14:textFill>
        </w:rPr>
        <w:t>4</w:t>
      </w:r>
      <w:r>
        <w:rPr>
          <w:rFonts w:ascii="黑体" w:hAnsi="黑体" w:eastAsia="黑体"/>
          <w:color w:val="000000" w:themeColor="text1"/>
          <w:szCs w:val="21"/>
          <w14:textFill>
            <w14:solidFill>
              <w14:schemeClr w14:val="tx1"/>
            </w14:solidFill>
          </w14:textFill>
        </w:rPr>
        <w:t xml:space="preserve"> 环境适应性与热稳定性测试</w:t>
      </w:r>
    </w:p>
    <w:p w14:paraId="741EFF0E">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环境适应性与热稳定性测试包含：</w:t>
      </w:r>
    </w:p>
    <w:p w14:paraId="3EC42B92">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w:t>
      </w:r>
      <w:r>
        <w:rPr>
          <w:rFonts w:ascii="Times New Roman" w:eastAsiaTheme="minorEastAsia"/>
          <w:color w:val="000000" w:themeColor="text1"/>
          <w:szCs w:val="21"/>
          <w14:textFill>
            <w14:solidFill>
              <w14:schemeClr w14:val="tx1"/>
            </w14:solidFill>
          </w14:textFill>
        </w:rPr>
        <w:t>验证极端温度下的性能稳定性。</w:t>
      </w:r>
    </w:p>
    <w:p w14:paraId="40500D80">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——测试方法。应依据</w:t>
      </w:r>
      <w:r>
        <w:rPr>
          <w:rFonts w:ascii="Times New Roman" w:eastAsiaTheme="minorEastAsia"/>
          <w:color w:val="000000" w:themeColor="text1"/>
          <w:szCs w:val="21"/>
          <w14:textFill>
            <w14:solidFill>
              <w14:schemeClr w14:val="tx1"/>
            </w14:solidFill>
          </w14:textFill>
        </w:rPr>
        <w:t xml:space="preserve"> GB/T 2423.1、GB/T 2423.2 及 GB/T 2423.4 标准开展环境适应性试验，在-40°C低温及+85°C高温环境下分别持续运行不低于72小时</w:t>
      </w:r>
      <w:r>
        <w:rPr>
          <w:rFonts w:hint="eastAsia" w:ascii="Times New Roman" w:eastAsiaTheme="minorEastAsia"/>
          <w:color w:val="000000" w:themeColor="text1"/>
          <w:szCs w:val="21"/>
          <w14:textFill>
            <w14:solidFill>
              <w14:schemeClr w14:val="tx1"/>
            </w14:solidFill>
          </w14:textFill>
        </w:rPr>
        <w:t>。</w:t>
      </w:r>
    </w:p>
    <w:p w14:paraId="36D022C6">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试验期间应保持业务不中断，且高温满载下的性能指标下降幅度不超过常温基准的5%。</w:t>
      </w:r>
    </w:p>
    <w:p w14:paraId="701C76F5">
      <w:pPr>
        <w:pStyle w:val="53"/>
        <w:spacing w:before="156" w:after="156"/>
        <w:jc w:val="left"/>
        <w:outlineLvl w:val="1"/>
        <w:rPr>
          <w:rFonts w:ascii="Times New Roman"/>
          <w:color w:val="000000" w:themeColor="text1"/>
          <w14:textFill>
            <w14:solidFill>
              <w14:schemeClr w14:val="tx1"/>
            </w14:solidFill>
          </w14:textFill>
        </w:rPr>
      </w:pPr>
      <w:bookmarkStart w:id="111" w:name="_Toc220190017"/>
      <w:bookmarkStart w:id="112" w:name="_Toc212041733"/>
      <w:bookmarkStart w:id="113" w:name="OLE_LINK35"/>
      <w:r>
        <w:rPr>
          <w:rFonts w:hint="eastAsia"/>
          <w:color w:val="000000" w:themeColor="text1"/>
          <w14:textFill>
            <w14:solidFill>
              <w14:schemeClr w14:val="tx1"/>
            </w14:solidFill>
          </w14:textFill>
        </w:rPr>
        <w:t>安全功能测试</w:t>
      </w:r>
      <w:bookmarkEnd w:id="111"/>
      <w:bookmarkEnd w:id="112"/>
    </w:p>
    <w:bookmarkEnd w:id="113"/>
    <w:p w14:paraId="0F0C80C1">
      <w:pPr>
        <w:pStyle w:val="29"/>
        <w:ind w:firstLine="0" w:firstLineChars="0"/>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8.4.1　数据安全</w:t>
      </w:r>
      <w:r>
        <w:rPr>
          <w:rFonts w:hint="eastAsia" w:ascii="Times New Roman" w:eastAsiaTheme="minorEastAsia"/>
          <w:b/>
          <w:bCs/>
          <w:color w:val="000000" w:themeColor="text1"/>
          <w:szCs w:val="21"/>
          <w14:textFill>
            <w14:solidFill>
              <w14:schemeClr w14:val="tx1"/>
            </w14:solidFill>
          </w14:textFill>
        </w:rPr>
        <w:t>与隐私保护</w:t>
      </w:r>
      <w:r>
        <w:rPr>
          <w:rFonts w:ascii="Times New Roman" w:eastAsiaTheme="minorEastAsia"/>
          <w:b/>
          <w:bCs/>
          <w:color w:val="000000" w:themeColor="text1"/>
          <w:szCs w:val="21"/>
          <w14:textFill>
            <w14:solidFill>
              <w14:schemeClr w14:val="tx1"/>
            </w14:solidFill>
          </w14:textFill>
        </w:rPr>
        <w:t>测试</w:t>
      </w:r>
    </w:p>
    <w:p w14:paraId="727DB665">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数据安全与隐私保护测试包含：</w:t>
      </w:r>
    </w:p>
    <w:p w14:paraId="3EA6B998">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w:t>
      </w:r>
      <w:r>
        <w:rPr>
          <w:rFonts w:ascii="Times New Roman" w:eastAsiaTheme="minorEastAsia"/>
          <w:color w:val="000000" w:themeColor="text1"/>
          <w:szCs w:val="21"/>
          <w14:textFill>
            <w14:solidFill>
              <w14:schemeClr w14:val="tx1"/>
            </w14:solidFill>
          </w14:textFill>
        </w:rPr>
        <w:t>验证芯片对数据的加密存储、传输保护及隐私计算能力。</w:t>
      </w:r>
    </w:p>
    <w:p w14:paraId="1D01397C">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检查本地存储的敏感数据是否为密文；使用抓包工具截取通信报文，检查是否为全密文传输。修改模型文件或固件包中的任意1个字节，尝试加载或升级。</w:t>
      </w:r>
    </w:p>
    <w:p w14:paraId="51C5DD42">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加密算法应符合 5.2.5 要求，未授权无法解密；篡改后的文件应被拒绝加载并触发 SM3 校验失败告警；若支持联邦学习，应验证原始数据未离开本地信任域。</w:t>
      </w:r>
    </w:p>
    <w:p w14:paraId="1D2AC534">
      <w:pPr>
        <w:pStyle w:val="29"/>
        <w:ind w:firstLine="0" w:firstLineChars="0"/>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8.4.2　通信安全</w:t>
      </w:r>
      <w:r>
        <w:rPr>
          <w:rFonts w:hint="eastAsia" w:ascii="Times New Roman" w:eastAsiaTheme="minorEastAsia"/>
          <w:b/>
          <w:bCs/>
          <w:color w:val="000000" w:themeColor="text1"/>
          <w:szCs w:val="21"/>
          <w14:textFill>
            <w14:solidFill>
              <w14:schemeClr w14:val="tx1"/>
            </w14:solidFill>
          </w14:textFill>
        </w:rPr>
        <w:t>与协议过滤</w:t>
      </w:r>
      <w:r>
        <w:rPr>
          <w:rFonts w:ascii="Times New Roman" w:eastAsiaTheme="minorEastAsia"/>
          <w:b/>
          <w:bCs/>
          <w:color w:val="000000" w:themeColor="text1"/>
          <w:szCs w:val="21"/>
          <w14:textFill>
            <w14:solidFill>
              <w14:schemeClr w14:val="tx1"/>
            </w14:solidFill>
          </w14:textFill>
        </w:rPr>
        <w:t>测试</w:t>
      </w:r>
    </w:p>
    <w:p w14:paraId="458F2CDB">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通信安全与协议过滤测试包含：</w:t>
      </w:r>
    </w:p>
    <w:p w14:paraId="1B89A446">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w:t>
      </w:r>
      <w:r>
        <w:rPr>
          <w:rFonts w:ascii="Times New Roman" w:eastAsiaTheme="minorEastAsia"/>
          <w:color w:val="000000" w:themeColor="text1"/>
          <w:szCs w:val="21"/>
          <w14:textFill>
            <w14:solidFill>
              <w14:schemeClr w14:val="tx1"/>
            </w14:solidFill>
          </w14:textFill>
        </w:rPr>
        <w:t>验证身份认证机制及对工业协议攻击的防御能力。</w:t>
      </w:r>
    </w:p>
    <w:p w14:paraId="22FB17C9">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模拟无数字证书或证书过期的终端发起连接请求；模拟重放历史合法报文。向芯片接口发送不少于10万次的Modbus/IEC104 畸形报文。</w:t>
      </w:r>
    </w:p>
    <w:p w14:paraId="679F2646">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非法证书或重放攻击应被阻断，建立连接失败；畸形报文应被协议栈丢弃，芯片不得出现死机、重启或内存溢出。</w:t>
      </w:r>
    </w:p>
    <w:p w14:paraId="0A6FD000">
      <w:pPr>
        <w:pStyle w:val="29"/>
        <w:ind w:firstLine="0" w:firstLineChars="0"/>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8.4.3　</w:t>
      </w:r>
      <w:r>
        <w:rPr>
          <w:rFonts w:hint="eastAsia" w:ascii="Times New Roman" w:eastAsiaTheme="minorEastAsia"/>
          <w:b/>
          <w:bCs/>
          <w:color w:val="000000" w:themeColor="text1"/>
          <w:szCs w:val="21"/>
          <w14:textFill>
            <w14:solidFill>
              <w14:schemeClr w14:val="tx1"/>
            </w14:solidFill>
          </w14:textFill>
        </w:rPr>
        <w:t>边界防护与跨域协同</w:t>
      </w:r>
      <w:r>
        <w:rPr>
          <w:rFonts w:ascii="Times New Roman" w:eastAsiaTheme="minorEastAsia"/>
          <w:b/>
          <w:bCs/>
          <w:color w:val="000000" w:themeColor="text1"/>
          <w:szCs w:val="21"/>
          <w14:textFill>
            <w14:solidFill>
              <w14:schemeClr w14:val="tx1"/>
            </w14:solidFill>
          </w14:textFill>
        </w:rPr>
        <w:t>测试</w:t>
      </w:r>
    </w:p>
    <w:p w14:paraId="38645F2E">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边界防护与跨域协同测试包含：</w:t>
      </w:r>
    </w:p>
    <w:p w14:paraId="48BB5EEC">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w:t>
      </w:r>
      <w:r>
        <w:rPr>
          <w:rFonts w:ascii="Times New Roman" w:eastAsiaTheme="minorEastAsia"/>
          <w:color w:val="000000" w:themeColor="text1"/>
          <w:szCs w:val="21"/>
          <w14:textFill>
            <w14:solidFill>
              <w14:schemeClr w14:val="tx1"/>
            </w14:solidFill>
          </w14:textFill>
        </w:rPr>
        <w:t>验证物理域、信息域与控制域之间的隔离与联动策略。</w:t>
      </w:r>
    </w:p>
    <w:p w14:paraId="044652A2">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从低安全区（如信息域接口）尝试直接访问高安全区。在信息域模拟DDoS网络风暴，观察控制域的业务运行情况。</w:t>
      </w:r>
    </w:p>
    <w:p w14:paraId="7E8B36CF">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跨域非授权访问应被硬件级隔离机制拦截；在网络风暴攻击下，核心控制业务（如孤岛保护）的推理时延抖动不超过20%，且未发生误动。</w:t>
      </w:r>
    </w:p>
    <w:p w14:paraId="4C31BC2A">
      <w:pPr>
        <w:widowControl/>
        <w:jc w:val="left"/>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8.4.4　模型与算法内生安全</w:t>
      </w:r>
    </w:p>
    <w:p w14:paraId="09400752">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模型与算法内生安全包含：</w:t>
      </w:r>
    </w:p>
    <w:p w14:paraId="3E8B48C4">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——测试目的。应</w:t>
      </w:r>
      <w:r>
        <w:rPr>
          <w:rFonts w:ascii="Times New Roman" w:eastAsiaTheme="minorEastAsia"/>
          <w:color w:val="000000" w:themeColor="text1"/>
          <w:szCs w:val="21"/>
          <w14:textFill>
            <w14:solidFill>
              <w14:schemeClr w14:val="tx1"/>
            </w14:solidFill>
          </w14:textFill>
        </w:rPr>
        <w:t>验证AI模型对抗干扰与恶意攻击的鲁棒性。</w:t>
      </w:r>
    </w:p>
    <w:p w14:paraId="00B855AB">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——测试方法。</w:t>
      </w:r>
      <w:r>
        <w:rPr>
          <w:rFonts w:ascii="Times New Roman" w:eastAsiaTheme="minorEastAsia"/>
          <w:color w:val="000000" w:themeColor="text1"/>
          <w:szCs w:val="21"/>
          <w14:textFill>
            <w14:solidFill>
              <w14:schemeClr w14:val="tx1"/>
            </w14:solidFill>
          </w14:textFill>
        </w:rPr>
        <w:t>使用主流对抗攻击算法生成对抗样本，输入芯片进行推理</w:t>
      </w:r>
      <w:r>
        <w:rPr>
          <w:rFonts w:hint="eastAsia" w:ascii="Times New Roman" w:eastAsiaTheme="minorEastAsia"/>
          <w:color w:val="000000" w:themeColor="text1"/>
          <w:szCs w:val="21"/>
          <w14:textFill>
            <w14:solidFill>
              <w14:schemeClr w14:val="tx1"/>
            </w14:solidFill>
          </w14:textFill>
        </w:rPr>
        <w:t>。</w:t>
      </w:r>
      <w:r>
        <w:rPr>
          <w:rFonts w:ascii="Times New Roman" w:eastAsiaTheme="minorEastAsia"/>
          <w:color w:val="000000" w:themeColor="text1"/>
          <w:szCs w:val="21"/>
          <w14:textFill>
            <w14:solidFill>
              <w14:schemeClr w14:val="tx1"/>
            </w14:solidFill>
          </w14:textFill>
        </w:rPr>
        <w:t>扫描模型结构，检查是否存在未声明的触发路径。</w:t>
      </w:r>
    </w:p>
    <w:p w14:paraId="7C21C208">
      <w:pPr>
        <w:pStyle w:val="29"/>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——评判标准。</w:t>
      </w:r>
      <w:r>
        <w:rPr>
          <w:rFonts w:ascii="Times New Roman" w:eastAsiaTheme="minorEastAsia"/>
          <w:color w:val="000000" w:themeColor="text1"/>
          <w:szCs w:val="21"/>
          <w14:textFill>
            <w14:solidFill>
              <w14:schemeClr w14:val="tx1"/>
            </w14:solidFill>
          </w14:textFill>
        </w:rPr>
        <w:t>在对抗样本攻击下，模型分类准确率下降幅度应不超过10%（或达到特定防御等级）；未检出已知的模型后门特征。</w:t>
      </w:r>
    </w:p>
    <w:p w14:paraId="3DC2A6D9">
      <w:pPr>
        <w:pStyle w:val="29"/>
        <w:ind w:firstLine="0" w:firstLineChars="0"/>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8.4.5　控制安全与</w:t>
      </w:r>
      <w:r>
        <w:rPr>
          <w:rFonts w:hint="eastAsia" w:ascii="Times New Roman" w:eastAsiaTheme="minorEastAsia"/>
          <w:b/>
          <w:bCs/>
          <w:color w:val="000000" w:themeColor="text1"/>
          <w:szCs w:val="21"/>
          <w14:textFill>
            <w14:solidFill>
              <w14:schemeClr w14:val="tx1"/>
            </w14:solidFill>
          </w14:textFill>
        </w:rPr>
        <w:t>降级联动</w:t>
      </w:r>
      <w:r>
        <w:rPr>
          <w:rFonts w:ascii="Times New Roman" w:eastAsiaTheme="minorEastAsia"/>
          <w:b/>
          <w:bCs/>
          <w:color w:val="000000" w:themeColor="text1"/>
          <w:szCs w:val="21"/>
          <w14:textFill>
            <w14:solidFill>
              <w14:schemeClr w14:val="tx1"/>
            </w14:solidFill>
          </w14:textFill>
        </w:rPr>
        <w:t>测试</w:t>
      </w:r>
    </w:p>
    <w:p w14:paraId="0F8BBE6E">
      <w:pPr>
        <w:widowControl/>
        <w:ind w:firstLine="420"/>
        <w:jc w:val="left"/>
        <w:rPr>
          <w:rFonts w:ascii="Times New Roman"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控制安全与降级联动测试包含：</w:t>
      </w:r>
    </w:p>
    <w:p w14:paraId="6348DB74">
      <w:pPr>
        <w:widowControl/>
        <w:ind w:firstLine="420"/>
        <w:jc w:val="left"/>
        <w:rPr>
          <w:rFonts w:ascii="Times New Roman" w:hAnsi="Times New Roman" w:eastAsiaTheme="minorEastAsia"/>
          <w:color w:val="000000" w:themeColor="text1"/>
          <w:kern w:val="0"/>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——测</w:t>
      </w:r>
      <w:r>
        <w:rPr>
          <w:rFonts w:hint="eastAsia" w:ascii="Times New Roman" w:hAnsi="Times New Roman" w:eastAsiaTheme="minorEastAsia"/>
          <w:color w:val="000000" w:themeColor="text1"/>
          <w:kern w:val="0"/>
          <w:szCs w:val="21"/>
          <w14:textFill>
            <w14:solidFill>
              <w14:schemeClr w14:val="tx1"/>
            </w14:solidFill>
          </w14:textFill>
        </w:rPr>
        <w:t>试目的。</w:t>
      </w:r>
      <w:r>
        <w:rPr>
          <w:rFonts w:hint="eastAsia" w:ascii="Times New Roman" w:eastAsiaTheme="minorEastAsia"/>
          <w:color w:val="000000" w:themeColor="text1"/>
          <w:szCs w:val="21"/>
          <w14:textFill>
            <w14:solidFill>
              <w14:schemeClr w14:val="tx1"/>
            </w14:solidFill>
          </w14:textFill>
        </w:rPr>
        <w:t>应</w:t>
      </w:r>
      <w:r>
        <w:rPr>
          <w:rFonts w:ascii="Times New Roman" w:hAnsi="Times New Roman" w:eastAsiaTheme="minorEastAsia"/>
          <w:color w:val="000000" w:themeColor="text1"/>
          <w:kern w:val="0"/>
          <w:szCs w:val="21"/>
          <w14:textFill>
            <w14:solidFill>
              <w14:schemeClr w14:val="tx1"/>
            </w14:solidFill>
          </w14:textFill>
        </w:rPr>
        <w:t>验证在安全事件发生时，系统能否安全地“软着陆”。</w:t>
      </w:r>
    </w:p>
    <w:p w14:paraId="3DD6CB66">
      <w:pPr>
        <w:widowControl/>
        <w:ind w:firstLine="420" w:firstLineChars="200"/>
        <w:jc w:val="left"/>
        <w:rPr>
          <w:rFonts w:eastAsiaTheme="minorEastAsia"/>
          <w:color w:val="000000" w:themeColor="text1"/>
          <w:szCs w:val="21"/>
          <w14:textFill>
            <w14:solidFill>
              <w14:schemeClr w14:val="tx1"/>
            </w14:solidFill>
          </w14:textFill>
        </w:rPr>
      </w:pPr>
      <w:r>
        <w:rPr>
          <w:rFonts w:hint="eastAsia" w:ascii="Times New Roman" w:eastAsiaTheme="minorEastAsia"/>
          <w:color w:val="000000" w:themeColor="text1"/>
          <w:szCs w:val="21"/>
          <w14:textFill>
            <w14:solidFill>
              <w14:schemeClr w14:val="tx1"/>
            </w14:solidFill>
          </w14:textFill>
        </w:rPr>
        <w:t>——</w:t>
      </w:r>
      <w:r>
        <w:rPr>
          <w:rFonts w:hint="eastAsia" w:ascii="Times New Roman" w:hAnsi="Times New Roman" w:eastAsiaTheme="minorEastAsia"/>
          <w:color w:val="000000" w:themeColor="text1"/>
          <w:kern w:val="0"/>
          <w:szCs w:val="21"/>
          <w14:textFill>
            <w14:solidFill>
              <w14:schemeClr w14:val="tx1"/>
            </w14:solidFill>
          </w14:textFill>
        </w:rPr>
        <w:t>测试方法。应包含</w:t>
      </w:r>
      <w:r>
        <w:rPr>
          <w:rFonts w:ascii="Times New Roman" w:hAnsi="Times New Roman" w:eastAsiaTheme="minorEastAsia"/>
          <w:color w:val="000000" w:themeColor="text1"/>
          <w:kern w:val="0"/>
          <w:szCs w:val="21"/>
          <w14:textFill>
            <w14:solidFill>
              <w14:schemeClr w14:val="tx1"/>
            </w14:solidFill>
          </w14:textFill>
        </w:rPr>
        <w:t>模拟控制指令被篡改</w:t>
      </w:r>
      <w:r>
        <w:rPr>
          <w:rFonts w:hint="eastAsia" w:ascii="Times New Roman" w:hAnsi="Times New Roman" w:eastAsiaTheme="minorEastAsia"/>
          <w:color w:val="000000" w:themeColor="text1"/>
          <w:kern w:val="0"/>
          <w:szCs w:val="21"/>
          <w14:textFill>
            <w14:solidFill>
              <w14:schemeClr w14:val="tx1"/>
            </w14:solidFill>
          </w14:textFill>
        </w:rPr>
        <w:t>和</w:t>
      </w:r>
      <w:r>
        <w:rPr>
          <w:rFonts w:ascii="Times New Roman" w:hAnsi="Times New Roman" w:eastAsiaTheme="minorEastAsia"/>
          <w:color w:val="000000" w:themeColor="text1"/>
          <w:kern w:val="0"/>
          <w:szCs w:val="21"/>
          <w14:textFill>
            <w14:solidFill>
              <w14:schemeClr w14:val="tx1"/>
            </w14:solidFill>
          </w14:textFill>
        </w:rPr>
        <w:t>指令与量测数据严重不符。模拟通信中断超过设定时限。</w:t>
      </w:r>
    </w:p>
    <w:p w14:paraId="7FB15A70">
      <w:pPr>
        <w:pStyle w:val="2"/>
        <w:ind w:firstLine="400" w:firstLineChars="200"/>
        <w:rPr>
          <w:rFonts w:eastAsiaTheme="minorEastAsia"/>
          <w:color w:val="000000" w:themeColor="text1"/>
          <w:szCs w:val="21"/>
          <w14:textFill>
            <w14:solidFill>
              <w14:schemeClr w14:val="tx1"/>
            </w14:solidFill>
          </w14:textFill>
        </w:rPr>
      </w:pPr>
      <w:r>
        <w:rPr>
          <w:rFonts w:hint="eastAsia" w:eastAsiaTheme="minorEastAsia"/>
          <w:color w:val="000000" w:themeColor="text1"/>
          <w:szCs w:val="21"/>
          <w14:textFill>
            <w14:solidFill>
              <w14:schemeClr w14:val="tx1"/>
            </w14:solidFill>
          </w14:textFill>
        </w:rPr>
        <w:t>——</w:t>
      </w:r>
      <w:r>
        <w:rPr>
          <w:rFonts w:hint="eastAsia" w:eastAsiaTheme="minorEastAsia"/>
          <w:color w:val="000000" w:themeColor="text1"/>
          <w:sz w:val="21"/>
          <w:szCs w:val="21"/>
          <w14:textFill>
            <w14:solidFill>
              <w14:schemeClr w14:val="tx1"/>
            </w14:solidFill>
          </w14:textFill>
        </w:rPr>
        <w:t>评判标准。</w:t>
      </w:r>
      <w:r>
        <w:rPr>
          <w:rFonts w:eastAsiaTheme="minorEastAsia"/>
          <w:color w:val="000000" w:themeColor="text1"/>
          <w:sz w:val="21"/>
          <w:szCs w:val="21"/>
          <w14:textFill>
            <w14:solidFill>
              <w14:schemeClr w14:val="tx1"/>
            </w14:solidFill>
          </w14:textFill>
        </w:rPr>
        <w:t>被篡改或逻辑互斥的指令应被拒绝执行，并上报安全日志；通信中断后，芯片应自动切换至本地自治模式，不应输出剧烈波动的控制指令。</w:t>
      </w:r>
    </w:p>
    <w:p w14:paraId="373C7751">
      <w:pPr>
        <w:pStyle w:val="53"/>
        <w:spacing w:before="156" w:after="156"/>
        <w:jc w:val="left"/>
        <w:outlineLvl w:val="1"/>
        <w:rPr>
          <w:rFonts w:ascii="Times New Roman"/>
          <w:color w:val="000000" w:themeColor="text1"/>
          <w14:textFill>
            <w14:solidFill>
              <w14:schemeClr w14:val="tx1"/>
            </w14:solidFill>
          </w14:textFill>
        </w:rPr>
      </w:pPr>
      <w:bookmarkStart w:id="114" w:name="_Toc212041734"/>
      <w:bookmarkStart w:id="115" w:name="_Toc220190018"/>
      <w:r>
        <w:rPr>
          <w:rFonts w:hint="eastAsia"/>
          <w:color w:val="000000" w:themeColor="text1"/>
          <w14:textFill>
            <w14:solidFill>
              <w14:schemeClr w14:val="tx1"/>
            </w14:solidFill>
          </w14:textFill>
        </w:rPr>
        <w:t>系统级联调与验证</w:t>
      </w:r>
      <w:bookmarkEnd w:id="114"/>
      <w:bookmarkEnd w:id="115"/>
    </w:p>
    <w:p w14:paraId="25BA3079">
      <w:pPr>
        <w:pStyle w:val="29"/>
        <w:ind w:firstLine="0" w:firstLineChars="0"/>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8.4.1　典型应用场景测试</w:t>
      </w:r>
    </w:p>
    <w:p w14:paraId="72E267D2">
      <w:pPr>
        <w:pStyle w:val="29"/>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8.4.1.1 源网荷储协同控制场景，应验证预测</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优化</w:t>
      </w:r>
      <w:r>
        <w:rPr>
          <w:rFonts w:hint="eastAsia" w:ascii="Times New Roman"/>
          <w:color w:val="000000" w:themeColor="text1"/>
          <w:szCs w:val="21"/>
          <w14:textFill>
            <w14:solidFill>
              <w14:schemeClr w14:val="tx1"/>
            </w14:solidFill>
          </w14:textFill>
        </w:rPr>
        <w:t>、</w:t>
      </w:r>
      <w:r>
        <w:rPr>
          <w:rFonts w:ascii="Times New Roman"/>
          <w:color w:val="000000" w:themeColor="text1"/>
          <w:szCs w:val="21"/>
          <w14:textFill>
            <w14:solidFill>
              <w14:schemeClr w14:val="tx1"/>
            </w14:solidFill>
          </w14:textFill>
        </w:rPr>
        <w:t>控制闭环一致性，包含储能调度、可控负荷调节与并网功率约束。</w:t>
      </w:r>
    </w:p>
    <w:p w14:paraId="72B5E9A2">
      <w:pPr>
        <w:pStyle w:val="29"/>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8.4.1.2 大规模并发场景。应验证多源数据采集、协议并发、AI推理并发下的吞吐、时延、告警完整性与日志可追溯性。</w:t>
      </w:r>
    </w:p>
    <w:p w14:paraId="47D0DFEA">
      <w:pPr>
        <w:pStyle w:val="29"/>
        <w:ind w:firstLine="0" w:firstLineChars="0"/>
        <w:rPr>
          <w:rFonts w:ascii="Times New Roman"/>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8.4.1.3 突发故障与极端工况场景</w:t>
      </w:r>
      <w:r>
        <w:rPr>
          <w:rFonts w:hint="eastAsia" w:ascii="Times New Roman"/>
          <w:color w:val="000000" w:themeColor="text1"/>
          <w:szCs w:val="21"/>
          <w14:textFill>
            <w14:solidFill>
              <w14:schemeClr w14:val="tx1"/>
            </w14:solidFill>
          </w14:textFill>
        </w:rPr>
        <w:t>，如非</w:t>
      </w:r>
      <w:r>
        <w:rPr>
          <w:rFonts w:ascii="Times New Roman"/>
          <w:color w:val="000000" w:themeColor="text1"/>
          <w:szCs w:val="21"/>
          <w14:textFill>
            <w14:solidFill>
              <w14:schemeClr w14:val="tx1"/>
            </w14:solidFill>
          </w14:textFill>
        </w:rPr>
        <w:t>计划孤岛切换、源荷双重极值、N-1故障等物理极限场景，以及量测数据大面积缺失、通信风暴干扰等信息极端场景。应验证故障识别、告警时效、处置建议与降级控制策略有效性。</w:t>
      </w:r>
    </w:p>
    <w:p w14:paraId="332AFBC9">
      <w:pPr>
        <w:pStyle w:val="29"/>
        <w:ind w:firstLine="0" w:firstLineChars="0"/>
        <w:rPr>
          <w:rFonts w:ascii="Times New Roman" w:eastAsiaTheme="minorEastAsia"/>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8.4.1.4 第三方设备接入与跨域协同场景。验证SCADA/EMS与第三方设备接入互操作能力，并验证安全策略在接入后的持续有效性。</w:t>
      </w:r>
    </w:p>
    <w:p w14:paraId="130A1774">
      <w:pPr>
        <w:pStyle w:val="29"/>
        <w:ind w:firstLine="0" w:firstLineChars="0"/>
        <w:rPr>
          <w:rFonts w:ascii="Times New Roman" w:eastAsiaTheme="minorEastAsia"/>
          <w:b/>
          <w:bCs/>
          <w:color w:val="000000" w:themeColor="text1"/>
          <w:szCs w:val="21"/>
          <w14:textFill>
            <w14:solidFill>
              <w14:schemeClr w14:val="tx1"/>
            </w14:solidFill>
          </w14:textFill>
        </w:rPr>
      </w:pPr>
      <w:r>
        <w:rPr>
          <w:rFonts w:ascii="Times New Roman" w:eastAsiaTheme="minorEastAsia"/>
          <w:b/>
          <w:bCs/>
          <w:color w:val="000000" w:themeColor="text1"/>
          <w:szCs w:val="21"/>
          <w14:textFill>
            <w14:solidFill>
              <w14:schemeClr w14:val="tx1"/>
            </w14:solidFill>
          </w14:textFill>
        </w:rPr>
        <w:t>8.4.2　系统可靠性与稳定性测试</w:t>
      </w:r>
    </w:p>
    <w:p w14:paraId="053270EC">
      <w:pPr>
        <w:pStyle w:val="29"/>
        <w:ind w:firstLine="0" w:firstLineChars="0"/>
        <w:rPr>
          <w:rFonts w:ascii="Times New Roman" w:eastAsiaTheme="minorEastAsia"/>
          <w:color w:val="000000" w:themeColor="text1"/>
          <w:szCs w:val="21"/>
          <w14:textFill>
            <w14:solidFill>
              <w14:schemeClr w14:val="tx1"/>
            </w14:solidFill>
          </w14:textFill>
        </w:rPr>
      </w:pPr>
      <w:r>
        <w:rPr>
          <w:rFonts w:ascii="Times New Roman" w:eastAsiaTheme="minorEastAsia"/>
          <w:color w:val="000000" w:themeColor="text1"/>
          <w:szCs w:val="21"/>
          <w14:textFill>
            <w14:solidFill>
              <w14:schemeClr w14:val="tx1"/>
            </w14:solidFill>
          </w14:textFill>
        </w:rPr>
        <w:t>8.4.2.1 应开展连续运行稳定性测试，验证关键服务无异常中断，关键性能指标满足要求。</w:t>
      </w:r>
    </w:p>
    <w:p w14:paraId="7B22AE8D">
      <w:pPr>
        <w:pStyle w:val="29"/>
        <w:ind w:firstLine="0" w:firstLineChars="0"/>
        <w:rPr>
          <w:rFonts w:ascii="Times New Roman" w:eastAsiaTheme="minorEastAsia"/>
          <w:color w:val="000000" w:themeColor="text1"/>
          <w:szCs w:val="21"/>
          <w14:textFill>
            <w14:solidFill>
              <w14:schemeClr w14:val="tx1"/>
            </w14:solidFill>
          </w14:textFill>
        </w:rPr>
      </w:pPr>
      <w:r>
        <w:rPr>
          <w:rFonts w:ascii="Times New Roman" w:eastAsiaTheme="minorEastAsia"/>
          <w:color w:val="000000" w:themeColor="text1"/>
          <w:szCs w:val="21"/>
          <w14:textFill>
            <w14:solidFill>
              <w14:schemeClr w14:val="tx1"/>
            </w14:solidFill>
          </w14:textFill>
        </w:rPr>
        <w:t>8.4.2.2 应开展冗余与故障切换测试，验证关键节点失效情况下业务可持续、告警可达、数据可追溯。</w:t>
      </w:r>
    </w:p>
    <w:p w14:paraId="7C8F467D">
      <w:pPr>
        <w:pStyle w:val="29"/>
        <w:ind w:firstLine="0" w:firstLineChars="0"/>
        <w:rPr>
          <w:rFonts w:ascii="Times New Roman" w:eastAsiaTheme="minorEastAsia"/>
          <w:color w:val="000000" w:themeColor="text1"/>
          <w:szCs w:val="21"/>
          <w14:textFill>
            <w14:solidFill>
              <w14:schemeClr w14:val="tx1"/>
            </w14:solidFill>
          </w14:textFill>
        </w:rPr>
      </w:pPr>
      <w:r>
        <w:rPr>
          <w:rFonts w:ascii="Times New Roman" w:eastAsiaTheme="minorEastAsia"/>
          <w:color w:val="000000" w:themeColor="text1"/>
          <w:szCs w:val="21"/>
          <w14:textFill>
            <w14:solidFill>
              <w14:schemeClr w14:val="tx1"/>
            </w14:solidFill>
          </w14:textFill>
        </w:rPr>
        <w:t>8.4.2.3 应验证应急响应与恢复能力，包含异常检测触发、自动降级、恢复后状态一致性校核与审计留痕。</w:t>
      </w:r>
    </w:p>
    <w:p w14:paraId="1F901F93">
      <w:pPr>
        <w:pStyle w:val="53"/>
        <w:spacing w:before="156" w:after="156"/>
        <w:jc w:val="left"/>
        <w:outlineLvl w:val="1"/>
        <w:rPr>
          <w:rFonts w:ascii="Times New Roman"/>
          <w:color w:val="000000" w:themeColor="text1"/>
          <w14:textFill>
            <w14:solidFill>
              <w14:schemeClr w14:val="tx1"/>
            </w14:solidFill>
          </w14:textFill>
        </w:rPr>
      </w:pPr>
      <w:bookmarkStart w:id="116" w:name="_Toc212041735"/>
      <w:bookmarkStart w:id="117" w:name="_Toc220190019"/>
      <w:r>
        <w:rPr>
          <w:rFonts w:hint="eastAsia"/>
          <w:color w:val="000000" w:themeColor="text1"/>
          <w14:textFill>
            <w14:solidFill>
              <w14:schemeClr w14:val="tx1"/>
            </w14:solidFill>
          </w14:textFill>
        </w:rPr>
        <w:t>测试报告及评审要求</w:t>
      </w:r>
      <w:bookmarkEnd w:id="116"/>
      <w:bookmarkEnd w:id="117"/>
    </w:p>
    <w:p w14:paraId="77180F1C">
      <w:pPr>
        <w:pStyle w:val="150"/>
        <w:numPr>
          <w:ilvl w:val="0"/>
          <w:numId w:val="0"/>
        </w:numPr>
        <w:outlineLvl w:val="9"/>
      </w:pPr>
      <w:r>
        <w:rPr>
          <w:rFonts w:hint="eastAsia"/>
        </w:rPr>
        <w:t xml:space="preserve">8.5.1 </w:t>
      </w:r>
      <w:r>
        <w:t>测试报告应至少包含测试对象与边界、测试环境与工具、版本与配置清单、测试用例与步骤、过程记录、原始数据摘要、结果统计与偏差分析。</w:t>
      </w:r>
    </w:p>
    <w:p w14:paraId="710894AA">
      <w:pPr>
        <w:pStyle w:val="150"/>
        <w:numPr>
          <w:ilvl w:val="0"/>
          <w:numId w:val="0"/>
        </w:numPr>
        <w:outlineLvl w:val="9"/>
      </w:pPr>
      <w:r>
        <w:rPr>
          <w:rFonts w:hint="eastAsia"/>
        </w:rPr>
        <w:t xml:space="preserve">8.5.2 </w:t>
      </w:r>
      <w:r>
        <w:t>测试报告应准确记录测试过程中发现的不符合项及其整改后的复测结果。复测应验证缺陷修复的有效性，最终的测试结论应基于复测结果判定AI芯片及系统是否满足本文件的技术要求。</w:t>
      </w:r>
    </w:p>
    <w:p w14:paraId="713C2262">
      <w:pPr>
        <w:pStyle w:val="29"/>
        <w:ind w:firstLine="0" w:firstLineChars="0"/>
        <w:rPr>
          <w:rFonts w:ascii="Times New Roman" w:eastAsiaTheme="minorEastAsia"/>
          <w:color w:val="000000" w:themeColor="text1"/>
          <w:szCs w:val="21"/>
          <w14:textFill>
            <w14:solidFill>
              <w14:schemeClr w14:val="tx1"/>
            </w14:solidFill>
          </w14:textFill>
        </w:rPr>
      </w:pPr>
      <w:r>
        <w:t>8.5.3 安全相关测试报告应附关键证据</w:t>
      </w:r>
      <w:r>
        <w:rPr>
          <w:rFonts w:hint="eastAsia"/>
        </w:rPr>
        <w:t>，</w:t>
      </w:r>
      <w:r>
        <w:t>告警样例、审计日志样例、策略配置摘要、处置链路记录与追溯信息。</w:t>
      </w:r>
    </w:p>
    <w:p w14:paraId="2B0007B5">
      <w:pPr>
        <w:pStyle w:val="54"/>
        <w:spacing w:before="312" w:after="312"/>
        <w:outlineLvl w:val="0"/>
        <w:rPr>
          <w:color w:val="000000" w:themeColor="text1"/>
          <w14:textFill>
            <w14:solidFill>
              <w14:schemeClr w14:val="tx1"/>
            </w14:solidFill>
          </w14:textFill>
        </w:rPr>
      </w:pPr>
      <w:bookmarkStart w:id="118" w:name="_Toc217822740"/>
      <w:bookmarkStart w:id="119" w:name="_Toc217822953"/>
      <w:bookmarkStart w:id="120" w:name="_Toc212041736"/>
      <w:bookmarkStart w:id="121" w:name="_Toc220190020"/>
      <w:r>
        <w:rPr>
          <w:rFonts w:hint="eastAsia"/>
          <w:color w:val="000000" w:themeColor="text1"/>
          <w14:textFill>
            <w14:solidFill>
              <w14:schemeClr w14:val="tx1"/>
            </w14:solidFill>
          </w14:textFill>
        </w:rPr>
        <w:t>运维要求</w:t>
      </w:r>
      <w:bookmarkEnd w:id="118"/>
      <w:bookmarkEnd w:id="119"/>
      <w:bookmarkEnd w:id="120"/>
      <w:bookmarkEnd w:id="121"/>
    </w:p>
    <w:p w14:paraId="3B347934">
      <w:pPr>
        <w:pStyle w:val="53"/>
        <w:spacing w:before="156" w:after="156"/>
        <w:jc w:val="left"/>
        <w:outlineLvl w:val="1"/>
        <w:rPr>
          <w:rFonts w:ascii="Times New Roman"/>
          <w:color w:val="000000" w:themeColor="text1"/>
          <w14:textFill>
            <w14:solidFill>
              <w14:schemeClr w14:val="tx1"/>
            </w14:solidFill>
          </w14:textFill>
        </w:rPr>
      </w:pPr>
      <w:bookmarkStart w:id="122" w:name="_Toc220190021"/>
      <w:bookmarkStart w:id="123" w:name="_Toc212041737"/>
      <w:bookmarkStart w:id="124" w:name="OLE_LINK26"/>
      <w:r>
        <w:rPr>
          <w:rFonts w:hint="eastAsia"/>
          <w:color w:val="000000" w:themeColor="text1"/>
          <w14:textFill>
            <w14:solidFill>
              <w14:schemeClr w14:val="tx1"/>
            </w14:solidFill>
          </w14:textFill>
        </w:rPr>
        <w:t>运维技术支撑要求</w:t>
      </w:r>
      <w:bookmarkEnd w:id="122"/>
      <w:bookmarkEnd w:id="123"/>
    </w:p>
    <w:bookmarkEnd w:id="124"/>
    <w:p w14:paraId="671AA08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9.1.1 全生命周期技术支撑能力</w:t>
      </w:r>
    </w:p>
    <w:p w14:paraId="4F95638F">
      <w:pPr>
        <w:pStyle w:val="29"/>
        <w:rPr>
          <w:color w:val="000000" w:themeColor="text1"/>
          <w14:textFill>
            <w14:solidFill>
              <w14:schemeClr w14:val="tx1"/>
            </w14:solidFill>
          </w14:textFill>
        </w:rPr>
      </w:pPr>
      <w:r>
        <w:rPr>
          <w:color w:val="000000" w:themeColor="text1"/>
          <w14:textFill>
            <w14:solidFill>
              <w14:schemeClr w14:val="tx1"/>
            </w14:solidFill>
          </w14:textFill>
        </w:rPr>
        <w:t>智能微电网系统应具备对AI芯片及算法模型全生命周期的技术支撑能力</w:t>
      </w:r>
      <w:r>
        <w:rPr>
          <w:rFonts w:hint="eastAsia"/>
          <w:color w:val="000000" w:themeColor="text1"/>
          <w14:textFill>
            <w14:solidFill>
              <w14:schemeClr w14:val="tx1"/>
            </w14:solidFill>
          </w14:textFill>
        </w:rPr>
        <w:t>。包含如下：</w:t>
      </w:r>
    </w:p>
    <w:p w14:paraId="77A4762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系统应支持对芯片固件、驱动程序及算法模型的版本号进行自动识别与记录，具备版本兼容性校验与回滚功能。</w:t>
      </w:r>
    </w:p>
    <w:p w14:paraId="07A74FA0">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系统应自动记录设备的上线时间、配置变更历史及运行状态，为设备退役或故障分析提供可追溯的数字化档案。</w:t>
      </w:r>
    </w:p>
    <w:p w14:paraId="038E00D7">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系统应提供数据覆写或密钥销毁接口，确保设备在退役或报废阶段，其存储的敏感数据与算法模型无法被恢复。</w:t>
      </w:r>
    </w:p>
    <w:p w14:paraId="79C2F3BF">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9.1.2 分级分域理</w:t>
      </w:r>
    </w:p>
    <w:p w14:paraId="470DD6B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应根据系统架构和安全等级，实施分级、分域的运维管理策略，明确各级责任主体，细化物理设备、通信网络、AI算法及数据安全的管理流程和操作规范。</w:t>
      </w:r>
    </w:p>
    <w:p w14:paraId="78F29C04">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9.1.3 权限管理</w:t>
      </w:r>
    </w:p>
    <w:p w14:paraId="0E58437C">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系统应实行基于角色的权限管理，确保运维操作可控、可审计。</w:t>
      </w:r>
      <w:r>
        <w:rPr>
          <w:color w:val="000000" w:themeColor="text1"/>
          <w14:textFill>
            <w14:solidFill>
              <w14:schemeClr w14:val="tx1"/>
            </w14:solidFill>
          </w14:textFill>
        </w:rPr>
        <w:t>。</w:t>
      </w:r>
    </w:p>
    <w:p w14:paraId="6B21B39A">
      <w:pPr>
        <w:pStyle w:val="53"/>
        <w:spacing w:before="156" w:after="156"/>
        <w:jc w:val="left"/>
        <w:outlineLvl w:val="1"/>
        <w:rPr>
          <w:rFonts w:ascii="Times New Roman"/>
          <w:color w:val="000000" w:themeColor="text1"/>
          <w14:textFill>
            <w14:solidFill>
              <w14:schemeClr w14:val="tx1"/>
            </w14:solidFill>
          </w14:textFill>
        </w:rPr>
      </w:pPr>
      <w:bookmarkStart w:id="125" w:name="_Toc220190022"/>
      <w:bookmarkStart w:id="126" w:name="_Toc212041738"/>
      <w:r>
        <w:rPr>
          <w:rFonts w:hint="eastAsia"/>
          <w:color w:val="000000" w:themeColor="text1"/>
          <w14:textFill>
            <w14:solidFill>
              <w14:schemeClr w14:val="tx1"/>
            </w14:solidFill>
          </w14:textFill>
        </w:rPr>
        <w:t>AI芯片与算法模型运维</w:t>
      </w:r>
      <w:bookmarkEnd w:id="125"/>
      <w:bookmarkEnd w:id="126"/>
    </w:p>
    <w:p w14:paraId="06F406B2">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9.2.1 运行监测与日志管理</w:t>
      </w:r>
    </w:p>
    <w:p w14:paraId="5AB195EE">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系统应实时监测AI芯片运行状态，采集运行日志，记录模型加载、推理过程及计算异常等关键信息，支持远程运维及安全审计。</w:t>
      </w:r>
    </w:p>
    <w:p w14:paraId="69D1BF4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9.2.2 模型优化与迭代管理</w:t>
      </w:r>
    </w:p>
    <w:p w14:paraId="2EA4BFC5">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AI算法模型应支持在线优化和版本迭代，系统应建立模型版本管理机制，确保模型更新过程的可控性与可回溯性，避免模型失效或被恶意篡改。</w:t>
      </w:r>
    </w:p>
    <w:p w14:paraId="015DB765">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9.2.3 故障检测与自恢复机制</w:t>
      </w:r>
    </w:p>
    <w:p w14:paraId="03515478">
      <w:pPr>
        <w:pStyle w:val="29"/>
        <w:rPr>
          <w:color w:val="000000" w:themeColor="text1"/>
          <w14:textFill>
            <w14:solidFill>
              <w14:schemeClr w14:val="tx1"/>
            </w14:solidFill>
          </w14:textFill>
        </w:rPr>
      </w:pPr>
      <w:r>
        <w:rPr>
          <w:color w:val="000000" w:themeColor="text1"/>
          <w14:textFill>
            <w14:solidFill>
              <w14:schemeClr w14:val="tx1"/>
            </w14:solidFill>
          </w14:textFill>
        </w:rPr>
        <w:t>AI芯片应具备多维度的自检测能力，在发现计算异常、温度超限、通信中断等故障后，应依据故障严重程度执行分级响应策略。系统应明确定义不同等级故障对应的最大容许恢复时限，并通过启动应用级自愈、系统级重启或冗余热备切换等机制，确保故障处置与恢复时间满足该应用场景下的业务连续性指标要求。</w:t>
      </w:r>
    </w:p>
    <w:p w14:paraId="62222A9A">
      <w:pPr>
        <w:pStyle w:val="53"/>
        <w:spacing w:before="156" w:after="156"/>
        <w:jc w:val="left"/>
        <w:outlineLvl w:val="1"/>
        <w:rPr>
          <w:rFonts w:ascii="Times New Roman"/>
          <w:color w:val="000000" w:themeColor="text1"/>
          <w14:textFill>
            <w14:solidFill>
              <w14:schemeClr w14:val="tx1"/>
            </w14:solidFill>
          </w14:textFill>
        </w:rPr>
      </w:pPr>
      <w:bookmarkStart w:id="127" w:name="_Toc220190023"/>
      <w:bookmarkStart w:id="128" w:name="_Toc212041739"/>
      <w:r>
        <w:rPr>
          <w:rFonts w:hint="eastAsia"/>
          <w:color w:val="000000" w:themeColor="text1"/>
          <w14:textFill>
            <w14:solidFill>
              <w14:schemeClr w14:val="tx1"/>
            </w14:solidFill>
          </w14:textFill>
        </w:rPr>
        <w:t>数据与安全运维管理</w:t>
      </w:r>
      <w:bookmarkEnd w:id="127"/>
      <w:bookmarkEnd w:id="128"/>
    </w:p>
    <w:p w14:paraId="53C94553">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9.3.1 数据全链路安全管理</w:t>
      </w:r>
    </w:p>
    <w:p w14:paraId="6B75578B">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运维过程中应确保数据采集、传输、存储及处理的全链路安全，防止数据泄露、篡改和丢失。敏感数据应加密存储和传输，并定期备份。</w:t>
      </w:r>
    </w:p>
    <w:p w14:paraId="0FAC59E6">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9.3.2 安全事件监测与响应</w:t>
      </w:r>
    </w:p>
    <w:p w14:paraId="62017D55">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系统应建立安全事件监测与响应机制，具备异常检测、入侵预警及日志溯源能力，发生安全事件后应及时处置并形成完整报告。</w:t>
      </w:r>
    </w:p>
    <w:p w14:paraId="6E32093B">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9.3.3 漏洞修补与补丁管理</w:t>
      </w:r>
    </w:p>
    <w:p w14:paraId="10991718">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应定期开展安全漏洞扫描和风险评估，及时修复芯片固件、算法模型和系统软件的已知漏洞，确保安全补丁的完整性和有效性。</w:t>
      </w:r>
    </w:p>
    <w:p w14:paraId="5C17B488">
      <w:pPr>
        <w:pStyle w:val="53"/>
        <w:spacing w:before="156" w:after="156"/>
        <w:jc w:val="left"/>
        <w:outlineLvl w:val="1"/>
        <w:rPr>
          <w:rFonts w:ascii="Times New Roman"/>
          <w:color w:val="000000" w:themeColor="text1"/>
          <w14:textFill>
            <w14:solidFill>
              <w14:schemeClr w14:val="tx1"/>
            </w14:solidFill>
          </w14:textFill>
        </w:rPr>
      </w:pPr>
      <w:bookmarkStart w:id="129" w:name="_Toc212041740"/>
      <w:bookmarkStart w:id="130" w:name="_Toc220190024"/>
      <w:r>
        <w:rPr>
          <w:rFonts w:hint="eastAsia"/>
          <w:color w:val="000000" w:themeColor="text1"/>
          <w14:textFill>
            <w14:solidFill>
              <w14:schemeClr w14:val="tx1"/>
            </w14:solidFill>
          </w14:textFill>
        </w:rPr>
        <w:t>第三方接入及外部系统管理</w:t>
      </w:r>
      <w:bookmarkEnd w:id="129"/>
      <w:bookmarkEnd w:id="130"/>
    </w:p>
    <w:p w14:paraId="1475A3D2">
      <w:pPr>
        <w:pStyle w:val="29"/>
        <w:ind w:firstLine="0" w:firstLineChars="0"/>
        <w:rPr>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9.4.1 第三方接入安全管理</w:t>
      </w:r>
    </w:p>
    <w:p w14:paraId="001A5DAD">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接入微电网系统的第三方设备、平台或服务，应严格遵循</w:t>
      </w:r>
      <w:r>
        <w:rPr>
          <w:color w:val="000000" w:themeColor="text1"/>
          <w14:textFill>
            <w14:solidFill>
              <w14:schemeClr w14:val="tx1"/>
            </w14:solidFill>
          </w14:textFill>
        </w:rPr>
        <w:t>GB/T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36572关于边界安全防护的技术要求。在接入前，应通过数字证书认证、访问控制白名单及安全分区隔离等技术手段建立可信连接，并依据该标准完成安全合规性检测，严防非授权访问及恶意代码植入。</w:t>
      </w:r>
    </w:p>
    <w:p w14:paraId="0E8853A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9.4.2 外部环境变化管理</w:t>
      </w:r>
    </w:p>
    <w:p w14:paraId="1EFEAC34">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面对政策变化、外部环境调整或新型威胁，应及时评估系统运行影响，动态调整运维策略和安全措施，确保系统持续符合标准和法规要求。</w:t>
      </w:r>
    </w:p>
    <w:p w14:paraId="2B210A02">
      <w:pPr>
        <w:pStyle w:val="53"/>
        <w:spacing w:before="156" w:after="156"/>
        <w:jc w:val="left"/>
        <w:outlineLvl w:val="1"/>
        <w:rPr>
          <w:rFonts w:ascii="Times New Roman"/>
          <w:color w:val="000000" w:themeColor="text1"/>
          <w14:textFill>
            <w14:solidFill>
              <w14:schemeClr w14:val="tx1"/>
            </w14:solidFill>
          </w14:textFill>
        </w:rPr>
      </w:pPr>
      <w:bookmarkStart w:id="131" w:name="_Toc212041741"/>
      <w:bookmarkStart w:id="132" w:name="_Toc220190025"/>
      <w:r>
        <w:rPr>
          <w:rFonts w:hint="eastAsia"/>
          <w:color w:val="000000" w:themeColor="text1"/>
          <w14:textFill>
            <w14:solidFill>
              <w14:schemeClr w14:val="tx1"/>
            </w14:solidFill>
          </w14:textFill>
        </w:rPr>
        <w:t>维档案与持续改进</w:t>
      </w:r>
      <w:bookmarkEnd w:id="131"/>
      <w:bookmarkEnd w:id="132"/>
    </w:p>
    <w:p w14:paraId="2D89C6D8">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9.5.1 运维档案管理</w:t>
      </w:r>
    </w:p>
    <w:p w14:paraId="199E1753">
      <w:pPr>
        <w:pStyle w:val="29"/>
        <w:rPr>
          <w:color w:val="000000" w:themeColor="text1"/>
          <w14:textFill>
            <w14:solidFill>
              <w14:schemeClr w14:val="tx1"/>
            </w14:solidFill>
          </w14:textFill>
        </w:rPr>
      </w:pPr>
      <w:r>
        <w:rPr>
          <w:rFonts w:hint="eastAsia"/>
          <w:color w:val="000000" w:themeColor="text1"/>
          <w14:textFill>
            <w14:solidFill>
              <w14:schemeClr w14:val="tx1"/>
            </w14:solidFill>
          </w14:textFill>
        </w:rPr>
        <w:t>应建立完整的运维档案，包括设备台账、运维记录、安全日志、模型版本、测试报告及故障处理记录，确保信息完整、可追溯。</w:t>
      </w:r>
    </w:p>
    <w:p w14:paraId="60F1903C">
      <w:pPr>
        <w:pStyle w:val="29"/>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9.5.2 定期评估与改进机制</w:t>
      </w:r>
    </w:p>
    <w:p w14:paraId="2E3739C5">
      <w:pPr>
        <w:pStyle w:val="29"/>
      </w:pPr>
      <w:r>
        <w:rPr>
          <w:rFonts w:hint="eastAsia"/>
          <w:color w:val="000000" w:themeColor="text1"/>
          <w14:textFill>
            <w14:solidFill>
              <w14:schemeClr w14:val="tx1"/>
            </w14:solidFill>
          </w14:textFill>
        </w:rPr>
        <w:t>运维单位应定期开展技术评审和安全评估，结合系统运行数据和安全事件分析，持续优化运维策略和安全防护能力，提升系统运行效率和安全水平。</w:t>
      </w:r>
      <w:r>
        <w:br w:type="page"/>
      </w:r>
    </w:p>
    <w:p w14:paraId="17B00A98">
      <w:pPr>
        <w:pStyle w:val="65"/>
        <w:tabs>
          <w:tab w:val="clear" w:pos="360"/>
        </w:tabs>
        <w:ind w:left="0"/>
        <w:rPr>
          <w:rFonts w:ascii="Times New Roman"/>
          <w:color w:val="000000" w:themeColor="text1"/>
          <w14:textFill>
            <w14:solidFill>
              <w14:schemeClr w14:val="tx1"/>
            </w14:solidFill>
          </w14:textFill>
        </w:rPr>
      </w:pPr>
      <w:bookmarkStart w:id="133" w:name="_Toc23102"/>
      <w:bookmarkStart w:id="134" w:name="_Toc63642891"/>
      <w:bookmarkStart w:id="135" w:name="_Toc62027356"/>
      <w:bookmarkStart w:id="136" w:name="_Toc55228497"/>
      <w:bookmarkStart w:id="137" w:name="OLE_LINK37"/>
      <w:r>
        <w:rPr>
          <w:rFonts w:ascii="Times New Roman"/>
          <w:color w:val="000000" w:themeColor="text1"/>
          <w14:textFill>
            <w14:solidFill>
              <w14:schemeClr w14:val="tx1"/>
            </w14:solidFill>
          </w14:textFill>
        </w:rPr>
        <w:br w:type="textWrapping"/>
      </w:r>
      <w:bookmarkEnd w:id="133"/>
      <w:bookmarkEnd w:id="134"/>
      <w:bookmarkEnd w:id="135"/>
      <w:bookmarkEnd w:id="136"/>
      <w:bookmarkStart w:id="138" w:name="_Toc217822741"/>
      <w:bookmarkStart w:id="139" w:name="_Toc220190026"/>
      <w:bookmarkStart w:id="140" w:name="_Toc212041742"/>
      <w:bookmarkStart w:id="141" w:name="_Toc217822954"/>
      <w:r>
        <w:rPr>
          <w:rFonts w:hint="eastAsia"/>
          <w:color w:val="000000" w:themeColor="text1"/>
          <w:kern w:val="21"/>
          <w14:textFill>
            <w14:solidFill>
              <w14:schemeClr w14:val="tx1"/>
            </w14:solidFill>
          </w14:textFill>
        </w:rPr>
        <w:t>（规范性）</w:t>
      </w:r>
      <w:bookmarkEnd w:id="138"/>
      <w:bookmarkEnd w:id="139"/>
      <w:bookmarkEnd w:id="140"/>
      <w:bookmarkEnd w:id="141"/>
    </w:p>
    <w:p w14:paraId="57931C65">
      <w:pPr>
        <w:pStyle w:val="29"/>
        <w:ind w:firstLine="0" w:firstLineChars="0"/>
        <w:jc w:val="center"/>
        <w:rPr>
          <w:rFonts w:ascii="黑体" w:eastAsia="黑体"/>
          <w:color w:val="000000" w:themeColor="text1"/>
          <w:kern w:val="21"/>
          <w14:textFill>
            <w14:solidFill>
              <w14:schemeClr w14:val="tx1"/>
            </w14:solidFill>
          </w14:textFill>
        </w:rPr>
      </w:pPr>
      <w:r>
        <w:rPr>
          <w:rFonts w:hint="eastAsia" w:ascii="黑体" w:eastAsia="黑体"/>
          <w:color w:val="000000" w:themeColor="text1"/>
          <w:kern w:val="21"/>
          <w14:textFill>
            <w14:solidFill>
              <w14:schemeClr w14:val="tx1"/>
            </w14:solidFill>
          </w14:textFill>
        </w:rPr>
        <w:t xml:space="preserve">表A.1  </w:t>
      </w:r>
      <w:r>
        <w:rPr>
          <w:rFonts w:ascii="黑体" w:eastAsia="黑体"/>
          <w:color w:val="000000" w:themeColor="text1"/>
          <w:kern w:val="21"/>
          <w14:textFill>
            <w14:solidFill>
              <w14:schemeClr w14:val="tx1"/>
            </w14:solidFill>
          </w14:textFill>
        </w:rPr>
        <w:t>AI</w:t>
      </w:r>
      <w:r>
        <w:rPr>
          <w:rFonts w:hint="eastAsia" w:ascii="黑体" w:eastAsia="黑体"/>
          <w:color w:val="000000" w:themeColor="text1"/>
          <w:kern w:val="21"/>
          <w14:textFill>
            <w14:solidFill>
              <w14:schemeClr w14:val="tx1"/>
            </w14:solidFill>
          </w14:textFill>
        </w:rPr>
        <w:t>芯片性能参数表</w:t>
      </w:r>
    </w:p>
    <w:bookmarkEnd w:id="137"/>
    <w:p w14:paraId="6788E54D">
      <w:pPr>
        <w:pStyle w:val="147"/>
        <w:tabs>
          <w:tab w:val="left" w:pos="0"/>
        </w:tabs>
        <w:snapToGrid w:val="0"/>
        <w:spacing w:before="78" w:after="78"/>
        <w:ind w:left="0" w:firstLine="0"/>
        <w:outlineLvl w:val="9"/>
        <w:rPr>
          <w:color w:val="000000" w:themeColor="text1"/>
          <w:lang w:val="fr-FR"/>
          <w14:textFill>
            <w14:solidFill>
              <w14:schemeClr w14:val="tx1"/>
            </w14:solidFill>
          </w14:textFill>
        </w:rPr>
      </w:pPr>
    </w:p>
    <w:p w14:paraId="09D1AED1">
      <w:pPr>
        <w:pStyle w:val="94"/>
        <w:keepNext w:val="0"/>
        <w:pageBreakBefore w:val="0"/>
        <w:widowControl w:val="0"/>
        <w:snapToGrid w:val="0"/>
        <w:ind w:firstLine="420"/>
        <w:outlineLvl w:val="9"/>
        <w:rPr>
          <w:color w:val="000000" w:themeColor="text1"/>
          <w:lang w:val="fr-FR"/>
          <w14:textFill>
            <w14:solidFill>
              <w14:schemeClr w14:val="tx1"/>
            </w14:solidFill>
          </w14:textFill>
        </w:rPr>
      </w:pPr>
    </w:p>
    <w:tbl>
      <w:tblPr>
        <w:tblStyle w:val="4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93"/>
        <w:gridCol w:w="1587"/>
        <w:gridCol w:w="2358"/>
        <w:gridCol w:w="2358"/>
        <w:gridCol w:w="2358"/>
      </w:tblGrid>
      <w:tr w14:paraId="25C9C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noWrap/>
          </w:tcPr>
          <w:p w14:paraId="7CBF9240">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类</w:t>
            </w:r>
            <w:r>
              <w:rPr>
                <w:rFonts w:cs="Arial" w:asciiTheme="minorEastAsia" w:hAnsiTheme="minorEastAsia" w:eastAsiaTheme="minorEastAsia"/>
                <w:b/>
                <w:bCs/>
                <w:color w:val="1F1F1F"/>
                <w:kern w:val="0"/>
                <w:sz w:val="22"/>
                <w:szCs w:val="22"/>
              </w:rPr>
              <w:t xml:space="preserve"> </w:t>
            </w:r>
            <w:r>
              <w:rPr>
                <w:rFonts w:hint="eastAsia" w:cs="Arial" w:asciiTheme="minorEastAsia" w:hAnsiTheme="minorEastAsia" w:eastAsiaTheme="minorEastAsia"/>
                <w:b/>
                <w:bCs/>
                <w:color w:val="1F1F1F"/>
                <w:kern w:val="0"/>
                <w:sz w:val="22"/>
                <w:szCs w:val="22"/>
              </w:rPr>
              <w:t>别</w:t>
            </w:r>
          </w:p>
        </w:tc>
        <w:tc>
          <w:tcPr>
            <w:tcW w:w="833" w:type="pct"/>
            <w:noWrap/>
          </w:tcPr>
          <w:p w14:paraId="5C5A96E3">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技术指标项</w:t>
            </w:r>
          </w:p>
        </w:tc>
        <w:tc>
          <w:tcPr>
            <w:tcW w:w="1393" w:type="pct"/>
            <w:noWrap/>
          </w:tcPr>
          <w:p w14:paraId="1A5B6333">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安全实时控制级</w:t>
            </w:r>
          </w:p>
        </w:tc>
        <w:tc>
          <w:tcPr>
            <w:tcW w:w="1127" w:type="pct"/>
            <w:noWrap/>
          </w:tcPr>
          <w:p w14:paraId="3EF9621C">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经济在线调度级</w:t>
            </w:r>
          </w:p>
        </w:tc>
        <w:tc>
          <w:tcPr>
            <w:tcW w:w="1127" w:type="pct"/>
            <w:noWrap/>
          </w:tcPr>
          <w:p w14:paraId="0035AA10">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运维离线分析级</w:t>
            </w:r>
          </w:p>
        </w:tc>
      </w:tr>
      <w:tr w14:paraId="25482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499B7254">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计算性能</w:t>
            </w:r>
          </w:p>
        </w:tc>
        <w:tc>
          <w:tcPr>
            <w:tcW w:w="833" w:type="pct"/>
            <w:noWrap/>
          </w:tcPr>
          <w:p w14:paraId="6B7DCAFE">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单次推理时延</w:t>
            </w:r>
          </w:p>
        </w:tc>
        <w:tc>
          <w:tcPr>
            <w:tcW w:w="1393" w:type="pct"/>
            <w:noWrap/>
          </w:tcPr>
          <w:p w14:paraId="53E1613E">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10 ms</w:t>
            </w:r>
          </w:p>
        </w:tc>
        <w:tc>
          <w:tcPr>
            <w:tcW w:w="1127" w:type="pct"/>
            <w:noWrap/>
          </w:tcPr>
          <w:p w14:paraId="085C61D1">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30 ms</w:t>
            </w:r>
          </w:p>
        </w:tc>
        <w:tc>
          <w:tcPr>
            <w:tcW w:w="1127" w:type="pct"/>
            <w:noWrap/>
          </w:tcPr>
          <w:p w14:paraId="5B213DAE">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300 ms</w:t>
            </w:r>
          </w:p>
        </w:tc>
      </w:tr>
      <w:tr w14:paraId="50CFB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5B7CABA2">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58D142D6">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算力能效比</w:t>
            </w:r>
          </w:p>
        </w:tc>
        <w:tc>
          <w:tcPr>
            <w:tcW w:w="1393" w:type="pct"/>
            <w:noWrap/>
          </w:tcPr>
          <w:p w14:paraId="6EFDF58A">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0.5 TOPS/W</w:t>
            </w:r>
          </w:p>
        </w:tc>
        <w:tc>
          <w:tcPr>
            <w:tcW w:w="1127" w:type="pct"/>
            <w:noWrap/>
          </w:tcPr>
          <w:p w14:paraId="1FC19B42">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0.8 TOPS/W</w:t>
            </w:r>
          </w:p>
        </w:tc>
        <w:tc>
          <w:tcPr>
            <w:tcW w:w="1127" w:type="pct"/>
            <w:noWrap/>
          </w:tcPr>
          <w:p w14:paraId="616DEAA6">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1.0 TOPS/W</w:t>
            </w:r>
          </w:p>
        </w:tc>
      </w:tr>
      <w:tr w14:paraId="7B7F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4C354BD4">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存储性能</w:t>
            </w:r>
          </w:p>
        </w:tc>
        <w:tc>
          <w:tcPr>
            <w:tcW w:w="833" w:type="pct"/>
            <w:noWrap/>
          </w:tcPr>
          <w:p w14:paraId="33AAE739">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片外存储带宽</w:t>
            </w:r>
          </w:p>
        </w:tc>
        <w:tc>
          <w:tcPr>
            <w:tcW w:w="1393" w:type="pct"/>
            <w:noWrap/>
          </w:tcPr>
          <w:p w14:paraId="3E753C11">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25.6 GB/s</w:t>
            </w:r>
          </w:p>
        </w:tc>
        <w:tc>
          <w:tcPr>
            <w:tcW w:w="1127" w:type="pct"/>
            <w:noWrap/>
          </w:tcPr>
          <w:p w14:paraId="328E2128">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25.6 GB/s</w:t>
            </w:r>
          </w:p>
        </w:tc>
        <w:tc>
          <w:tcPr>
            <w:tcW w:w="1127" w:type="pct"/>
            <w:noWrap/>
          </w:tcPr>
          <w:p w14:paraId="119AD23A">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51.2 GB/s</w:t>
            </w:r>
          </w:p>
        </w:tc>
      </w:tr>
      <w:tr w14:paraId="21A0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6D40D80E">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6BAD7603">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本地存储容量</w:t>
            </w:r>
          </w:p>
        </w:tc>
        <w:tc>
          <w:tcPr>
            <w:tcW w:w="1393" w:type="pct"/>
            <w:noWrap/>
          </w:tcPr>
          <w:p w14:paraId="789544B3">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 GB (eMMC/UFS/SSD)</w:t>
            </w:r>
          </w:p>
        </w:tc>
        <w:tc>
          <w:tcPr>
            <w:tcW w:w="1127" w:type="pct"/>
            <w:noWrap/>
          </w:tcPr>
          <w:p w14:paraId="117991B9">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 GB (eMMC/UFS/SSD)</w:t>
            </w:r>
          </w:p>
        </w:tc>
        <w:tc>
          <w:tcPr>
            <w:tcW w:w="1127" w:type="pct"/>
            <w:noWrap/>
          </w:tcPr>
          <w:p w14:paraId="7FD82212">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 GB (eMMC/UFS/SSD)</w:t>
            </w:r>
          </w:p>
        </w:tc>
      </w:tr>
      <w:tr w14:paraId="3B05E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14D63E2F">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能耗指标</w:t>
            </w:r>
          </w:p>
        </w:tc>
        <w:tc>
          <w:tcPr>
            <w:tcW w:w="833" w:type="pct"/>
            <w:noWrap/>
          </w:tcPr>
          <w:p w14:paraId="7A1C4A77">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典型工作功耗</w:t>
            </w:r>
          </w:p>
        </w:tc>
        <w:tc>
          <w:tcPr>
            <w:tcW w:w="1393" w:type="pct"/>
            <w:noWrap/>
          </w:tcPr>
          <w:p w14:paraId="2A61BCAE">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5 W</w:t>
            </w:r>
          </w:p>
        </w:tc>
        <w:tc>
          <w:tcPr>
            <w:tcW w:w="1127" w:type="pct"/>
            <w:noWrap/>
          </w:tcPr>
          <w:p w14:paraId="02902606">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10 W</w:t>
            </w:r>
          </w:p>
        </w:tc>
        <w:tc>
          <w:tcPr>
            <w:tcW w:w="1127" w:type="pct"/>
            <w:noWrap/>
          </w:tcPr>
          <w:p w14:paraId="6F0F5A3E">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20 W</w:t>
            </w:r>
          </w:p>
        </w:tc>
      </w:tr>
      <w:tr w14:paraId="49DCD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6B90045A">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0F03E5E3">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峰值功耗</w:t>
            </w:r>
            <w:r>
              <w:rPr>
                <w:rFonts w:cs="Arial" w:asciiTheme="minorEastAsia" w:hAnsiTheme="minorEastAsia" w:eastAsiaTheme="minorEastAsia"/>
                <w:b/>
                <w:bCs/>
                <w:color w:val="1F1F1F"/>
                <w:kern w:val="0"/>
                <w:sz w:val="22"/>
                <w:szCs w:val="22"/>
              </w:rPr>
              <w:t xml:space="preserve"> (TDP)</w:t>
            </w:r>
          </w:p>
        </w:tc>
        <w:tc>
          <w:tcPr>
            <w:tcW w:w="1393" w:type="pct"/>
            <w:noWrap/>
          </w:tcPr>
          <w:p w14:paraId="2396EC3D">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 W</w:t>
            </w:r>
          </w:p>
        </w:tc>
        <w:tc>
          <w:tcPr>
            <w:tcW w:w="1127" w:type="pct"/>
            <w:noWrap/>
          </w:tcPr>
          <w:p w14:paraId="6FF1B188">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15 W</w:t>
            </w:r>
          </w:p>
        </w:tc>
        <w:tc>
          <w:tcPr>
            <w:tcW w:w="1127" w:type="pct"/>
            <w:noWrap/>
          </w:tcPr>
          <w:p w14:paraId="2634924A">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30 W</w:t>
            </w:r>
          </w:p>
        </w:tc>
      </w:tr>
      <w:tr w14:paraId="2E16E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3889568F">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环境可靠性</w:t>
            </w:r>
          </w:p>
        </w:tc>
        <w:tc>
          <w:tcPr>
            <w:tcW w:w="833" w:type="pct"/>
            <w:noWrap/>
          </w:tcPr>
          <w:p w14:paraId="07CA81E5">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工作温度范围</w:t>
            </w:r>
          </w:p>
        </w:tc>
        <w:tc>
          <w:tcPr>
            <w:tcW w:w="1393" w:type="pct"/>
            <w:noWrap/>
          </w:tcPr>
          <w:p w14:paraId="7EE5EEC7">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-40</w:t>
            </w:r>
            <w:r>
              <w:rPr>
                <w:rFonts w:hint="eastAsia" w:cs="Cambria Math"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+85</w:t>
            </w:r>
            <w:r>
              <w:rPr>
                <w:rFonts w:hint="eastAsia" w:cs="Cambria Math" w:asciiTheme="minorEastAsia" w:hAnsiTheme="minorEastAsia" w:eastAsiaTheme="minorEastAsia"/>
                <w:color w:val="1F1F1F"/>
                <w:kern w:val="0"/>
                <w:sz w:val="22"/>
                <w:szCs w:val="22"/>
              </w:rPr>
              <w:t>℃</w:t>
            </w:r>
          </w:p>
        </w:tc>
        <w:tc>
          <w:tcPr>
            <w:tcW w:w="1127" w:type="pct"/>
            <w:noWrap/>
          </w:tcPr>
          <w:p w14:paraId="56063829">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-40</w:t>
            </w:r>
            <w:r>
              <w:rPr>
                <w:rFonts w:hint="eastAsia" w:cs="Cambria Math"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+85</w:t>
            </w:r>
            <w:r>
              <w:rPr>
                <w:rFonts w:hint="eastAsia" w:cs="Cambria Math" w:asciiTheme="minorEastAsia" w:hAnsiTheme="minorEastAsia" w:eastAsiaTheme="minorEastAsia"/>
                <w:color w:val="1F1F1F"/>
                <w:kern w:val="0"/>
                <w:sz w:val="22"/>
                <w:szCs w:val="22"/>
              </w:rPr>
              <w:t>℃</w:t>
            </w:r>
          </w:p>
        </w:tc>
        <w:tc>
          <w:tcPr>
            <w:tcW w:w="1127" w:type="pct"/>
            <w:noWrap/>
          </w:tcPr>
          <w:p w14:paraId="47A55E14">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-40</w:t>
            </w:r>
            <w:r>
              <w:rPr>
                <w:rFonts w:hint="eastAsia" w:cs="Cambria Math"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+85</w:t>
            </w:r>
            <w:r>
              <w:rPr>
                <w:rFonts w:hint="eastAsia" w:cs="Cambria Math" w:asciiTheme="minorEastAsia" w:hAnsiTheme="minorEastAsia" w:eastAsiaTheme="minorEastAsia"/>
                <w:color w:val="1F1F1F"/>
                <w:kern w:val="0"/>
                <w:sz w:val="22"/>
                <w:szCs w:val="22"/>
              </w:rPr>
              <w:t>℃</w:t>
            </w:r>
          </w:p>
        </w:tc>
      </w:tr>
      <w:tr w14:paraId="648B0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40E6FBC5">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78558124">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平均无故障时间</w:t>
            </w:r>
          </w:p>
        </w:tc>
        <w:tc>
          <w:tcPr>
            <w:tcW w:w="1393" w:type="pct"/>
            <w:noWrap/>
          </w:tcPr>
          <w:p w14:paraId="03483459">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 xml:space="preserve">MTBF </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100,000 h</w:t>
            </w:r>
          </w:p>
        </w:tc>
        <w:tc>
          <w:tcPr>
            <w:tcW w:w="1127" w:type="pct"/>
            <w:noWrap/>
          </w:tcPr>
          <w:p w14:paraId="040CEDF6">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 xml:space="preserve">MTBF </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100,000 h</w:t>
            </w:r>
          </w:p>
        </w:tc>
        <w:tc>
          <w:tcPr>
            <w:tcW w:w="1127" w:type="pct"/>
            <w:noWrap/>
          </w:tcPr>
          <w:p w14:paraId="7F11AF9C">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 xml:space="preserve">MTBF </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 100,000 h</w:t>
            </w:r>
          </w:p>
        </w:tc>
      </w:tr>
      <w:tr w14:paraId="306D1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43DF557C">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安全要求</w:t>
            </w:r>
          </w:p>
        </w:tc>
        <w:tc>
          <w:tcPr>
            <w:tcW w:w="833" w:type="pct"/>
            <w:noWrap/>
          </w:tcPr>
          <w:p w14:paraId="69DF476B">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加密算法支持</w:t>
            </w:r>
          </w:p>
        </w:tc>
        <w:tc>
          <w:tcPr>
            <w:tcW w:w="3647" w:type="pct"/>
            <w:gridSpan w:val="3"/>
            <w:noWrap/>
          </w:tcPr>
          <w:p w14:paraId="35C3B7C0">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必须支持国密</w:t>
            </w:r>
            <w:r>
              <w:rPr>
                <w:rFonts w:cs="Arial" w:asciiTheme="minorEastAsia" w:hAnsiTheme="minorEastAsia" w:eastAsiaTheme="minorEastAsia"/>
                <w:color w:val="1F1F1F"/>
                <w:kern w:val="0"/>
                <w:sz w:val="22"/>
                <w:szCs w:val="22"/>
              </w:rPr>
              <w:t xml:space="preserve"> SM2/SM3/SM4 </w:t>
            </w:r>
            <w:r>
              <w:rPr>
                <w:rFonts w:hint="eastAsia" w:cs="Arial" w:asciiTheme="minorEastAsia" w:hAnsiTheme="minorEastAsia" w:eastAsiaTheme="minorEastAsia"/>
                <w:color w:val="1F1F1F"/>
                <w:kern w:val="0"/>
                <w:sz w:val="22"/>
                <w:szCs w:val="22"/>
              </w:rPr>
              <w:t>算法及硬件级密钥保护</w:t>
            </w:r>
          </w:p>
        </w:tc>
      </w:tr>
      <w:tr w14:paraId="1D7D7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655CBC1F">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31A9CB54">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硬件安全机制</w:t>
            </w:r>
          </w:p>
        </w:tc>
        <w:tc>
          <w:tcPr>
            <w:tcW w:w="2520" w:type="pct"/>
            <w:gridSpan w:val="2"/>
            <w:noWrap/>
          </w:tcPr>
          <w:p w14:paraId="59EA15BA">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支持安全启动</w:t>
            </w:r>
            <w:r>
              <w:rPr>
                <w:rFonts w:cs="Arial" w:asciiTheme="minorEastAsia" w:hAnsiTheme="minorEastAsia" w:eastAsiaTheme="minorEastAsia"/>
                <w:color w:val="1F1F1F"/>
                <w:kern w:val="0"/>
                <w:sz w:val="22"/>
                <w:szCs w:val="22"/>
              </w:rPr>
              <w:t xml:space="preserve"> (Secure Boot)</w:t>
            </w:r>
            <w:r>
              <w:rPr>
                <w:rFonts w:hint="eastAsia" w:cs="Arial" w:asciiTheme="minorEastAsia" w:hAnsiTheme="minorEastAsia" w:eastAsiaTheme="minorEastAsia"/>
                <w:color w:val="1F1F1F"/>
                <w:kern w:val="0"/>
                <w:sz w:val="22"/>
                <w:szCs w:val="22"/>
              </w:rPr>
              <w:t>、调试接口闭锁</w:t>
            </w:r>
          </w:p>
        </w:tc>
        <w:tc>
          <w:tcPr>
            <w:tcW w:w="1127" w:type="pct"/>
            <w:noWrap/>
          </w:tcPr>
          <w:p w14:paraId="045073F7">
            <w:pPr>
              <w:widowControl/>
              <w:tabs>
                <w:tab w:val="left" w:pos="720"/>
              </w:tabs>
              <w:ind w:left="0" w:firstLine="0"/>
              <w:jc w:val="left"/>
              <w:rPr>
                <w:rFonts w:cs="Arial" w:asciiTheme="minorEastAsia" w:hAnsiTheme="minorEastAsia" w:eastAsiaTheme="minorEastAsia"/>
                <w:color w:val="1F1F1F"/>
                <w:kern w:val="0"/>
                <w:sz w:val="22"/>
                <w:szCs w:val="22"/>
              </w:rPr>
            </w:pPr>
          </w:p>
        </w:tc>
      </w:tr>
      <w:tr w14:paraId="66988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70CD1B07">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接口与协议</w:t>
            </w:r>
          </w:p>
        </w:tc>
        <w:tc>
          <w:tcPr>
            <w:tcW w:w="833" w:type="pct"/>
            <w:noWrap/>
          </w:tcPr>
          <w:p w14:paraId="0792DCCC">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硬件接口标准</w:t>
            </w:r>
          </w:p>
        </w:tc>
        <w:tc>
          <w:tcPr>
            <w:tcW w:w="2520" w:type="pct"/>
            <w:gridSpan w:val="2"/>
            <w:noWrap/>
          </w:tcPr>
          <w:p w14:paraId="282D3E53">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兼容</w:t>
            </w:r>
            <w:r>
              <w:rPr>
                <w:rFonts w:cs="Arial" w:asciiTheme="minorEastAsia" w:hAnsiTheme="minorEastAsia" w:eastAsiaTheme="minorEastAsia"/>
                <w:color w:val="1F1F1F"/>
                <w:kern w:val="0"/>
                <w:sz w:val="22"/>
                <w:szCs w:val="22"/>
              </w:rPr>
              <w:t xml:space="preserve"> PCIe</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OpenVPX </w:t>
            </w:r>
            <w:r>
              <w:rPr>
                <w:rFonts w:hint="eastAsia" w:cs="Arial" w:asciiTheme="minorEastAsia" w:hAnsiTheme="minorEastAsia" w:eastAsiaTheme="minorEastAsia"/>
                <w:color w:val="1F1F1F"/>
                <w:kern w:val="0"/>
                <w:sz w:val="22"/>
                <w:szCs w:val="22"/>
              </w:rPr>
              <w:t>等工业标准接口</w:t>
            </w:r>
          </w:p>
        </w:tc>
        <w:tc>
          <w:tcPr>
            <w:tcW w:w="1127" w:type="pct"/>
            <w:noWrap/>
          </w:tcPr>
          <w:p w14:paraId="6ABCC32D">
            <w:pPr>
              <w:widowControl/>
              <w:tabs>
                <w:tab w:val="left" w:pos="720"/>
              </w:tabs>
              <w:ind w:left="0" w:firstLine="0"/>
              <w:jc w:val="left"/>
              <w:rPr>
                <w:rFonts w:cs="Arial" w:asciiTheme="minorEastAsia" w:hAnsiTheme="minorEastAsia" w:eastAsiaTheme="minorEastAsia"/>
                <w:color w:val="1F1F1F"/>
                <w:kern w:val="0"/>
                <w:sz w:val="22"/>
                <w:szCs w:val="22"/>
              </w:rPr>
            </w:pPr>
          </w:p>
        </w:tc>
      </w:tr>
      <w:tr w14:paraId="573C5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051BA601">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10BC28E4">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通信协议支持</w:t>
            </w:r>
          </w:p>
        </w:tc>
        <w:tc>
          <w:tcPr>
            <w:tcW w:w="3647" w:type="pct"/>
            <w:gridSpan w:val="3"/>
            <w:noWrap/>
          </w:tcPr>
          <w:p w14:paraId="1D7972F8">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支持</w:t>
            </w:r>
            <w:r>
              <w:rPr>
                <w:rFonts w:cs="Arial" w:asciiTheme="minorEastAsia" w:hAnsiTheme="minorEastAsia" w:eastAsiaTheme="minorEastAsia"/>
                <w:color w:val="1F1F1F"/>
                <w:kern w:val="0"/>
                <w:sz w:val="22"/>
                <w:szCs w:val="22"/>
              </w:rPr>
              <w:t xml:space="preserve"> Modbus RTU/TCP</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DL/T 645</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DL/T 634.5104 </w:t>
            </w:r>
            <w:r>
              <w:rPr>
                <w:rFonts w:hint="eastAsia" w:cs="Arial" w:asciiTheme="minorEastAsia" w:hAnsiTheme="minorEastAsia" w:eastAsiaTheme="minorEastAsia"/>
                <w:color w:val="1F1F1F"/>
                <w:kern w:val="0"/>
                <w:sz w:val="22"/>
                <w:szCs w:val="22"/>
              </w:rPr>
              <w:t>解析</w:t>
            </w:r>
          </w:p>
        </w:tc>
      </w:tr>
      <w:tr w14:paraId="70671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restart"/>
            <w:noWrap/>
          </w:tcPr>
          <w:p w14:paraId="415B5DA3">
            <w:pPr>
              <w:widowControl/>
              <w:tabs>
                <w:tab w:val="left" w:pos="720"/>
              </w:tabs>
              <w:ind w:left="0" w:firstLine="0"/>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软件兼容性</w:t>
            </w:r>
          </w:p>
        </w:tc>
        <w:tc>
          <w:tcPr>
            <w:tcW w:w="833" w:type="pct"/>
            <w:noWrap/>
          </w:tcPr>
          <w:p w14:paraId="69241D64">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模型框架支持</w:t>
            </w:r>
          </w:p>
        </w:tc>
        <w:tc>
          <w:tcPr>
            <w:tcW w:w="3647" w:type="pct"/>
            <w:gridSpan w:val="3"/>
            <w:noWrap/>
          </w:tcPr>
          <w:p w14:paraId="298863BD">
            <w:pPr>
              <w:widowControl/>
              <w:tabs>
                <w:tab w:val="left" w:pos="720"/>
              </w:tabs>
              <w:ind w:left="0" w:firstLine="0"/>
              <w:jc w:val="left"/>
              <w:rPr>
                <w:rFonts w:cs="Arial" w:asciiTheme="minorEastAsia" w:hAnsiTheme="minorEastAsia" w:eastAsiaTheme="minorEastAsia"/>
                <w:color w:val="1F1F1F"/>
                <w:kern w:val="0"/>
                <w:sz w:val="22"/>
                <w:szCs w:val="22"/>
              </w:rPr>
            </w:pPr>
            <w:r>
              <w:rPr>
                <w:rFonts w:hint="eastAsia" w:cs="Arial" w:asciiTheme="minorEastAsia" w:hAnsiTheme="minorEastAsia" w:eastAsiaTheme="minorEastAsia"/>
                <w:color w:val="1F1F1F"/>
                <w:kern w:val="0"/>
                <w:sz w:val="22"/>
                <w:szCs w:val="22"/>
              </w:rPr>
              <w:t>支持</w:t>
            </w:r>
            <w:r>
              <w:rPr>
                <w:rFonts w:cs="Arial" w:asciiTheme="minorEastAsia" w:hAnsiTheme="minorEastAsia" w:eastAsiaTheme="minorEastAsia"/>
                <w:color w:val="1F1F1F"/>
                <w:kern w:val="0"/>
                <w:sz w:val="22"/>
                <w:szCs w:val="22"/>
              </w:rPr>
              <w:t xml:space="preserve"> ONNX (Opset</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v13)</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TensorFlow</w:t>
            </w:r>
            <w:r>
              <w:rPr>
                <w:rFonts w:hint="eastAsia" w:cs="Arial" w:asciiTheme="minorEastAsia" w:hAnsiTheme="minorEastAsia" w:eastAsiaTheme="minorEastAsia"/>
                <w:color w:val="1F1F1F"/>
                <w:kern w:val="0"/>
                <w:sz w:val="22"/>
                <w:szCs w:val="22"/>
              </w:rPr>
              <w:t>、</w:t>
            </w:r>
            <w:r>
              <w:rPr>
                <w:rFonts w:cs="Arial" w:asciiTheme="minorEastAsia" w:hAnsiTheme="minorEastAsia" w:eastAsiaTheme="minorEastAsia"/>
                <w:color w:val="1F1F1F"/>
                <w:kern w:val="0"/>
                <w:sz w:val="22"/>
                <w:szCs w:val="22"/>
              </w:rPr>
              <w:t xml:space="preserve">PyTorch </w:t>
            </w:r>
            <w:r>
              <w:rPr>
                <w:rFonts w:hint="eastAsia" w:cs="Arial" w:asciiTheme="minorEastAsia" w:hAnsiTheme="minorEastAsia" w:eastAsiaTheme="minorEastAsia"/>
                <w:color w:val="1F1F1F"/>
                <w:kern w:val="0"/>
                <w:sz w:val="22"/>
                <w:szCs w:val="22"/>
              </w:rPr>
              <w:t>模型导入</w:t>
            </w:r>
          </w:p>
        </w:tc>
      </w:tr>
      <w:tr w14:paraId="175E6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20" w:type="pct"/>
            <w:vMerge w:val="continue"/>
          </w:tcPr>
          <w:p w14:paraId="3F063FF7">
            <w:pPr>
              <w:widowControl/>
              <w:tabs>
                <w:tab w:val="left" w:pos="720"/>
              </w:tabs>
              <w:ind w:left="0" w:firstLine="0"/>
              <w:jc w:val="left"/>
              <w:rPr>
                <w:rFonts w:cs="Arial" w:asciiTheme="minorEastAsia" w:hAnsiTheme="minorEastAsia" w:eastAsiaTheme="minorEastAsia"/>
                <w:b/>
                <w:bCs/>
                <w:color w:val="1F1F1F"/>
                <w:kern w:val="0"/>
                <w:sz w:val="22"/>
                <w:szCs w:val="22"/>
              </w:rPr>
            </w:pPr>
          </w:p>
        </w:tc>
        <w:tc>
          <w:tcPr>
            <w:tcW w:w="833" w:type="pct"/>
            <w:noWrap/>
          </w:tcPr>
          <w:p w14:paraId="6DD0CBF5">
            <w:pPr>
              <w:widowControl/>
              <w:tabs>
                <w:tab w:val="left" w:pos="720"/>
              </w:tabs>
              <w:ind w:left="0" w:firstLine="0"/>
              <w:jc w:val="left"/>
              <w:rPr>
                <w:rFonts w:cs="Arial" w:asciiTheme="minorEastAsia" w:hAnsiTheme="minorEastAsia" w:eastAsiaTheme="minorEastAsia"/>
                <w:b/>
                <w:bCs/>
                <w:color w:val="1F1F1F"/>
                <w:kern w:val="0"/>
                <w:sz w:val="22"/>
                <w:szCs w:val="22"/>
              </w:rPr>
            </w:pPr>
            <w:r>
              <w:rPr>
                <w:rFonts w:hint="eastAsia" w:cs="Arial" w:asciiTheme="minorEastAsia" w:hAnsiTheme="minorEastAsia" w:eastAsiaTheme="minorEastAsia"/>
                <w:b/>
                <w:bCs/>
                <w:color w:val="1F1F1F"/>
                <w:kern w:val="0"/>
                <w:sz w:val="22"/>
                <w:szCs w:val="22"/>
              </w:rPr>
              <w:t>量化精度损失</w:t>
            </w:r>
          </w:p>
        </w:tc>
        <w:tc>
          <w:tcPr>
            <w:tcW w:w="2520" w:type="pct"/>
            <w:gridSpan w:val="2"/>
            <w:noWrap/>
          </w:tcPr>
          <w:p w14:paraId="7E2D5F0D">
            <w:pPr>
              <w:widowControl/>
              <w:tabs>
                <w:tab w:val="left" w:pos="720"/>
              </w:tabs>
              <w:ind w:left="0" w:firstLine="0"/>
              <w:jc w:val="left"/>
              <w:rPr>
                <w:rFonts w:cs="Arial" w:asciiTheme="minorEastAsia" w:hAnsiTheme="minorEastAsia" w:eastAsiaTheme="minorEastAsia"/>
                <w:color w:val="1F1F1F"/>
                <w:kern w:val="0"/>
                <w:sz w:val="22"/>
                <w:szCs w:val="22"/>
              </w:rPr>
            </w:pPr>
            <w:r>
              <w:rPr>
                <w:rFonts w:cs="Arial" w:asciiTheme="minorEastAsia" w:hAnsiTheme="minorEastAsia" w:eastAsiaTheme="minorEastAsia"/>
                <w:color w:val="1F1F1F"/>
                <w:kern w:val="0"/>
                <w:sz w:val="22"/>
                <w:szCs w:val="22"/>
              </w:rPr>
              <w:t xml:space="preserve">INT8/FP16 </w:t>
            </w:r>
            <w:r>
              <w:rPr>
                <w:rFonts w:hint="eastAsia" w:cs="Arial" w:asciiTheme="minorEastAsia" w:hAnsiTheme="minorEastAsia" w:eastAsiaTheme="minorEastAsia"/>
                <w:color w:val="1F1F1F"/>
                <w:kern w:val="0"/>
                <w:sz w:val="22"/>
                <w:szCs w:val="22"/>
              </w:rPr>
              <w:t>量化后精度损失</w:t>
            </w:r>
            <w:r>
              <w:rPr>
                <w:rFonts w:cs="Arial" w:asciiTheme="minorEastAsia" w:hAnsiTheme="minorEastAsia" w:eastAsiaTheme="minorEastAsia"/>
                <w:color w:val="1F1F1F"/>
                <w:kern w:val="0"/>
                <w:sz w:val="22"/>
                <w:szCs w:val="22"/>
              </w:rPr>
              <w:t xml:space="preserve"> &lt; 1%</w:t>
            </w:r>
          </w:p>
        </w:tc>
        <w:tc>
          <w:tcPr>
            <w:tcW w:w="1127" w:type="pct"/>
            <w:noWrap/>
          </w:tcPr>
          <w:p w14:paraId="2DA4690A">
            <w:pPr>
              <w:widowControl/>
              <w:tabs>
                <w:tab w:val="left" w:pos="720"/>
              </w:tabs>
              <w:ind w:left="0" w:firstLine="0"/>
              <w:jc w:val="left"/>
              <w:rPr>
                <w:rFonts w:cs="Arial" w:asciiTheme="minorEastAsia" w:hAnsiTheme="minorEastAsia" w:eastAsiaTheme="minorEastAsia"/>
                <w:color w:val="1F1F1F"/>
                <w:kern w:val="0"/>
                <w:sz w:val="22"/>
                <w:szCs w:val="22"/>
              </w:rPr>
            </w:pPr>
          </w:p>
        </w:tc>
      </w:tr>
    </w:tbl>
    <w:p w14:paraId="4C2C345C">
      <w:pPr>
        <w:widowControl/>
        <w:jc w:val="left"/>
        <w:rPr>
          <w:color w:val="000000" w:themeColor="text1"/>
          <w:lang w:val="fr-FR"/>
          <w14:textFill>
            <w14:solidFill>
              <w14:schemeClr w14:val="tx1"/>
            </w14:solidFill>
          </w14:textFill>
        </w:rPr>
      </w:pPr>
      <w:r>
        <w:rPr>
          <w:color w:val="000000" w:themeColor="text1"/>
          <w:lang w:val="fr-FR"/>
          <w14:textFill>
            <w14:solidFill>
              <w14:schemeClr w14:val="tx1"/>
            </w14:solidFill>
          </w14:textFill>
        </w:rPr>
        <w:br w:type="page"/>
      </w:r>
    </w:p>
    <w:p w14:paraId="441E7DD5">
      <w:pPr>
        <w:pStyle w:val="65"/>
        <w:numPr>
          <w:ilvl w:val="0"/>
          <w:numId w:val="17"/>
        </w:numPr>
        <w:tabs>
          <w:tab w:val="clear" w:pos="360"/>
        </w:tabs>
        <w:ind w:left="0"/>
        <w:rPr>
          <w:rFonts w:ascii="Times New Roman"/>
          <w:color w:val="000000" w:themeColor="text1"/>
          <w14:textFill>
            <w14:solidFill>
              <w14:schemeClr w14:val="tx1"/>
            </w14:solidFill>
          </w14:textFill>
        </w:rPr>
      </w:pPr>
      <w:bookmarkStart w:id="142" w:name="_Toc220190027"/>
      <w:r>
        <w:rPr>
          <w:rFonts w:hint="eastAsia"/>
          <w:color w:val="000000" w:themeColor="text1"/>
          <w:kern w:val="21"/>
          <w14:textFill>
            <w14:solidFill>
              <w14:schemeClr w14:val="tx1"/>
            </w14:solidFill>
          </w14:textFill>
        </w:rPr>
        <w:t>（规范性）</w:t>
      </w:r>
      <w:bookmarkEnd w:id="142"/>
    </w:p>
    <w:p w14:paraId="60CE26A6">
      <w:pPr>
        <w:pStyle w:val="29"/>
        <w:ind w:firstLine="0" w:firstLineChars="0"/>
        <w:jc w:val="center"/>
        <w:rPr>
          <w:rFonts w:ascii="黑体" w:eastAsia="黑体"/>
          <w:color w:val="000000" w:themeColor="text1"/>
          <w:kern w:val="21"/>
          <w14:textFill>
            <w14:solidFill>
              <w14:schemeClr w14:val="tx1"/>
            </w14:solidFill>
          </w14:textFill>
        </w:rPr>
      </w:pPr>
      <w:r>
        <w:rPr>
          <w:rFonts w:hint="eastAsia" w:ascii="黑体" w:eastAsia="黑体"/>
          <w:color w:val="000000" w:themeColor="text1"/>
          <w:kern w:val="21"/>
          <w14:textFill>
            <w14:solidFill>
              <w14:schemeClr w14:val="tx1"/>
            </w14:solidFill>
          </w14:textFill>
        </w:rPr>
        <w:t>表A.</w:t>
      </w:r>
      <w:r>
        <w:rPr>
          <w:rFonts w:ascii="黑体" w:eastAsia="黑体"/>
          <w:color w:val="000000" w:themeColor="text1"/>
          <w:kern w:val="21"/>
          <w14:textFill>
            <w14:solidFill>
              <w14:schemeClr w14:val="tx1"/>
            </w14:solidFill>
          </w14:textFill>
        </w:rPr>
        <w:t>2</w:t>
      </w:r>
      <w:r>
        <w:rPr>
          <w:rFonts w:hint="eastAsia" w:ascii="黑体" w:eastAsia="黑体"/>
          <w:color w:val="000000" w:themeColor="text1"/>
          <w:kern w:val="21"/>
          <w14:textFill>
            <w14:solidFill>
              <w14:schemeClr w14:val="tx1"/>
            </w14:solidFill>
          </w14:textFill>
        </w:rPr>
        <w:t xml:space="preserve">  </w:t>
      </w:r>
      <w:r>
        <w:rPr>
          <w:rFonts w:ascii="黑体" w:eastAsia="黑体"/>
          <w:color w:val="000000" w:themeColor="text1"/>
          <w:kern w:val="21"/>
          <w14:textFill>
            <w14:solidFill>
              <w14:schemeClr w14:val="tx1"/>
            </w14:solidFill>
          </w14:textFill>
        </w:rPr>
        <w:t>微电网AI芯片典型测试基准配置表</w:t>
      </w:r>
    </w:p>
    <w:p w14:paraId="1E01BF8E">
      <w:pPr>
        <w:pStyle w:val="2"/>
      </w:pPr>
    </w:p>
    <w:tbl>
      <w:tblPr>
        <w:tblStyle w:val="4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38"/>
        <w:gridCol w:w="1559"/>
        <w:gridCol w:w="1416"/>
        <w:gridCol w:w="1605"/>
        <w:gridCol w:w="1605"/>
        <w:gridCol w:w="1605"/>
      </w:tblGrid>
      <w:tr w14:paraId="2F724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center"/>
          </w:tcPr>
          <w:p w14:paraId="7D1E11DE">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应用场景</w:t>
            </w:r>
          </w:p>
        </w:tc>
        <w:tc>
          <w:tcPr>
            <w:tcW w:w="1559" w:type="dxa"/>
            <w:vAlign w:val="center"/>
          </w:tcPr>
          <w:p w14:paraId="05A05EC0">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测试任务</w:t>
            </w:r>
          </w:p>
        </w:tc>
        <w:tc>
          <w:tcPr>
            <w:tcW w:w="1416" w:type="dxa"/>
            <w:vAlign w:val="center"/>
          </w:tcPr>
          <w:p w14:paraId="745F9662">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推荐基准模型</w:t>
            </w:r>
          </w:p>
        </w:tc>
        <w:tc>
          <w:tcPr>
            <w:tcW w:w="1605" w:type="dxa"/>
            <w:vAlign w:val="center"/>
          </w:tcPr>
          <w:p w14:paraId="12191501">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输入数据规格</w:t>
            </w:r>
          </w:p>
        </w:tc>
        <w:tc>
          <w:tcPr>
            <w:tcW w:w="1605" w:type="dxa"/>
            <w:vAlign w:val="center"/>
          </w:tcPr>
          <w:p w14:paraId="67479450">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精度要求</w:t>
            </w:r>
          </w:p>
        </w:tc>
        <w:tc>
          <w:tcPr>
            <w:tcW w:w="1605" w:type="dxa"/>
            <w:vAlign w:val="center"/>
          </w:tcPr>
          <w:p w14:paraId="4011AFCF">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批处理大小</w:t>
            </w:r>
            <w:r>
              <w:rPr>
                <w:rFonts w:cs="Arial" w:asciiTheme="minorEastAsia" w:hAnsiTheme="minorEastAsia" w:eastAsiaTheme="minorEastAsia"/>
                <w:b/>
                <w:bCs/>
                <w:color w:val="1F1F1F"/>
                <w:sz w:val="22"/>
                <w:szCs w:val="22"/>
              </w:rPr>
              <w:t xml:space="preserve"> (Batch Size)</w:t>
            </w:r>
          </w:p>
        </w:tc>
      </w:tr>
      <w:tr w14:paraId="1845D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center"/>
          </w:tcPr>
          <w:p w14:paraId="671A1EBD">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安全实时控制级</w:t>
            </w:r>
          </w:p>
        </w:tc>
        <w:tc>
          <w:tcPr>
            <w:tcW w:w="1559" w:type="dxa"/>
            <w:vAlign w:val="center"/>
          </w:tcPr>
          <w:p w14:paraId="701A22AF">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故障波形识别</w:t>
            </w:r>
          </w:p>
        </w:tc>
        <w:tc>
          <w:tcPr>
            <w:tcW w:w="1416" w:type="dxa"/>
            <w:vAlign w:val="center"/>
          </w:tcPr>
          <w:p w14:paraId="35B179B4">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1D-CNN / LeNet</w:t>
            </w:r>
          </w:p>
        </w:tc>
        <w:tc>
          <w:tcPr>
            <w:tcW w:w="1605" w:type="dxa"/>
            <w:vAlign w:val="center"/>
          </w:tcPr>
          <w:p w14:paraId="7496B80B">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 xml:space="preserve">10kHz </w:t>
            </w:r>
            <w:r>
              <w:rPr>
                <w:rFonts w:hint="eastAsia" w:cs="Arial" w:asciiTheme="minorEastAsia" w:hAnsiTheme="minorEastAsia" w:eastAsiaTheme="minorEastAsia"/>
                <w:color w:val="1F1F1F"/>
                <w:sz w:val="22"/>
                <w:szCs w:val="22"/>
              </w:rPr>
              <w:t>采样波形</w:t>
            </w:r>
            <w:r>
              <w:rPr>
                <w:rFonts w:cs="Arial" w:asciiTheme="minorEastAsia" w:hAnsiTheme="minorEastAsia" w:eastAsiaTheme="minorEastAsia"/>
                <w:color w:val="1F1F1F"/>
                <w:sz w:val="22"/>
                <w:szCs w:val="22"/>
              </w:rPr>
              <w:t xml:space="preserve"> (1024</w:t>
            </w:r>
            <w:r>
              <w:rPr>
                <w:rFonts w:hint="eastAsia" w:cs="Arial" w:asciiTheme="minorEastAsia" w:hAnsiTheme="minorEastAsia" w:eastAsiaTheme="minorEastAsia"/>
                <w:color w:val="1F1F1F"/>
                <w:sz w:val="22"/>
                <w:szCs w:val="22"/>
              </w:rPr>
              <w:t>点</w:t>
            </w:r>
            <w:r>
              <w:rPr>
                <w:rFonts w:cs="Arial" w:asciiTheme="minorEastAsia" w:hAnsiTheme="minorEastAsia" w:eastAsiaTheme="minorEastAsia"/>
                <w:color w:val="1F1F1F"/>
                <w:sz w:val="22"/>
                <w:szCs w:val="22"/>
              </w:rPr>
              <w:t>)</w:t>
            </w:r>
          </w:p>
        </w:tc>
        <w:tc>
          <w:tcPr>
            <w:tcW w:w="1605" w:type="dxa"/>
            <w:vAlign w:val="center"/>
          </w:tcPr>
          <w:p w14:paraId="551F6D0A">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INT8</w:t>
            </w:r>
          </w:p>
        </w:tc>
        <w:tc>
          <w:tcPr>
            <w:tcW w:w="1605" w:type="dxa"/>
            <w:vAlign w:val="center"/>
          </w:tcPr>
          <w:p w14:paraId="31A6F9F7">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1 (</w:t>
            </w:r>
            <w:r>
              <w:rPr>
                <w:rFonts w:hint="eastAsia" w:cs="Arial" w:asciiTheme="minorEastAsia" w:hAnsiTheme="minorEastAsia" w:eastAsiaTheme="minorEastAsia"/>
                <w:color w:val="1F1F1F"/>
                <w:sz w:val="22"/>
                <w:szCs w:val="22"/>
              </w:rPr>
              <w:t>强制</w:t>
            </w:r>
            <w:r>
              <w:rPr>
                <w:rFonts w:cs="Arial" w:asciiTheme="minorEastAsia" w:hAnsiTheme="minorEastAsia" w:eastAsiaTheme="minorEastAsia"/>
                <w:color w:val="1F1F1F"/>
                <w:sz w:val="22"/>
                <w:szCs w:val="22"/>
              </w:rPr>
              <w:t>)</w:t>
            </w:r>
          </w:p>
        </w:tc>
      </w:tr>
      <w:tr w14:paraId="213AC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center"/>
          </w:tcPr>
          <w:p w14:paraId="6BB49FF1">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安全实时控制级</w:t>
            </w:r>
          </w:p>
        </w:tc>
        <w:tc>
          <w:tcPr>
            <w:tcW w:w="1559" w:type="dxa"/>
            <w:vAlign w:val="center"/>
          </w:tcPr>
          <w:p w14:paraId="0B68D452">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紧急功率控制</w:t>
            </w:r>
          </w:p>
        </w:tc>
        <w:tc>
          <w:tcPr>
            <w:tcW w:w="1416" w:type="dxa"/>
            <w:vAlign w:val="center"/>
          </w:tcPr>
          <w:p w14:paraId="4FA5F354">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MLP (</w:t>
            </w:r>
            <w:r>
              <w:rPr>
                <w:rFonts w:hint="eastAsia" w:cs="Arial" w:asciiTheme="minorEastAsia" w:hAnsiTheme="minorEastAsia" w:eastAsiaTheme="minorEastAsia"/>
                <w:color w:val="1F1F1F"/>
                <w:sz w:val="22"/>
                <w:szCs w:val="22"/>
              </w:rPr>
              <w:t>多层感知机</w:t>
            </w:r>
            <w:r>
              <w:rPr>
                <w:rFonts w:cs="Arial" w:asciiTheme="minorEastAsia" w:hAnsiTheme="minorEastAsia" w:eastAsiaTheme="minorEastAsia"/>
                <w:color w:val="1F1F1F"/>
                <w:sz w:val="22"/>
                <w:szCs w:val="22"/>
              </w:rPr>
              <w:t>)</w:t>
            </w:r>
          </w:p>
        </w:tc>
        <w:tc>
          <w:tcPr>
            <w:tcW w:w="1605" w:type="dxa"/>
            <w:vAlign w:val="center"/>
          </w:tcPr>
          <w:p w14:paraId="2C74B76E">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状态向量</w:t>
            </w:r>
            <w:r>
              <w:rPr>
                <w:rFonts w:cs="Arial" w:asciiTheme="minorEastAsia" w:hAnsiTheme="minorEastAsia" w:eastAsiaTheme="minorEastAsia"/>
                <w:color w:val="1F1F1F"/>
                <w:sz w:val="22"/>
                <w:szCs w:val="22"/>
              </w:rPr>
              <w:t xml:space="preserve"> (Dim=64)</w:t>
            </w:r>
          </w:p>
        </w:tc>
        <w:tc>
          <w:tcPr>
            <w:tcW w:w="1605" w:type="dxa"/>
            <w:vAlign w:val="center"/>
          </w:tcPr>
          <w:p w14:paraId="14ADCF9B">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INT8 / FP16</w:t>
            </w:r>
          </w:p>
        </w:tc>
        <w:tc>
          <w:tcPr>
            <w:tcW w:w="1605" w:type="dxa"/>
            <w:vAlign w:val="center"/>
          </w:tcPr>
          <w:p w14:paraId="6B021C36">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1 (</w:t>
            </w:r>
            <w:r>
              <w:rPr>
                <w:rFonts w:hint="eastAsia" w:cs="Arial" w:asciiTheme="minorEastAsia" w:hAnsiTheme="minorEastAsia" w:eastAsiaTheme="minorEastAsia"/>
                <w:color w:val="1F1F1F"/>
                <w:sz w:val="22"/>
                <w:szCs w:val="22"/>
              </w:rPr>
              <w:t>强制</w:t>
            </w:r>
            <w:r>
              <w:rPr>
                <w:rFonts w:cs="Arial" w:asciiTheme="minorEastAsia" w:hAnsiTheme="minorEastAsia" w:eastAsiaTheme="minorEastAsia"/>
                <w:color w:val="1F1F1F"/>
                <w:sz w:val="22"/>
                <w:szCs w:val="22"/>
              </w:rPr>
              <w:t>)</w:t>
            </w:r>
          </w:p>
        </w:tc>
      </w:tr>
      <w:tr w14:paraId="17542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center"/>
          </w:tcPr>
          <w:p w14:paraId="08E47470">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经济在线调度级</w:t>
            </w:r>
          </w:p>
        </w:tc>
        <w:tc>
          <w:tcPr>
            <w:tcW w:w="1559" w:type="dxa"/>
            <w:vAlign w:val="center"/>
          </w:tcPr>
          <w:p w14:paraId="3F53AB07">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短期负荷预测</w:t>
            </w:r>
          </w:p>
        </w:tc>
        <w:tc>
          <w:tcPr>
            <w:tcW w:w="1416" w:type="dxa"/>
            <w:vAlign w:val="center"/>
          </w:tcPr>
          <w:p w14:paraId="07D50A2E">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LSTM / GRU</w:t>
            </w:r>
          </w:p>
        </w:tc>
        <w:tc>
          <w:tcPr>
            <w:tcW w:w="1605" w:type="dxa"/>
            <w:vAlign w:val="center"/>
          </w:tcPr>
          <w:p w14:paraId="12F44A00">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历史负荷曲线</w:t>
            </w:r>
            <w:r>
              <w:rPr>
                <w:rFonts w:cs="Arial" w:asciiTheme="minorEastAsia" w:hAnsiTheme="minorEastAsia" w:eastAsiaTheme="minorEastAsia"/>
                <w:color w:val="1F1F1F"/>
                <w:sz w:val="22"/>
                <w:szCs w:val="22"/>
              </w:rPr>
              <w:t xml:space="preserve"> (96</w:t>
            </w:r>
            <w:r>
              <w:rPr>
                <w:rFonts w:hint="eastAsia" w:cs="Arial" w:asciiTheme="minorEastAsia" w:hAnsiTheme="minorEastAsia" w:eastAsiaTheme="minorEastAsia"/>
                <w:color w:val="1F1F1F"/>
                <w:sz w:val="22"/>
                <w:szCs w:val="22"/>
              </w:rPr>
              <w:t>点</w:t>
            </w:r>
            <w:r>
              <w:rPr>
                <w:rFonts w:cs="Arial" w:asciiTheme="minorEastAsia" w:hAnsiTheme="minorEastAsia" w:eastAsiaTheme="minorEastAsia"/>
                <w:color w:val="1F1F1F"/>
                <w:sz w:val="22"/>
                <w:szCs w:val="22"/>
              </w:rPr>
              <w:t>)</w:t>
            </w:r>
          </w:p>
        </w:tc>
        <w:tc>
          <w:tcPr>
            <w:tcW w:w="1605" w:type="dxa"/>
            <w:vAlign w:val="center"/>
          </w:tcPr>
          <w:p w14:paraId="40C799D2">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FP16</w:t>
            </w:r>
          </w:p>
        </w:tc>
        <w:tc>
          <w:tcPr>
            <w:tcW w:w="1605" w:type="dxa"/>
            <w:vAlign w:val="center"/>
          </w:tcPr>
          <w:p w14:paraId="4464F37E">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1 (</w:t>
            </w:r>
            <w:r>
              <w:rPr>
                <w:rFonts w:hint="eastAsia" w:cs="Arial" w:asciiTheme="minorEastAsia" w:hAnsiTheme="minorEastAsia" w:eastAsiaTheme="minorEastAsia"/>
                <w:color w:val="1F1F1F"/>
                <w:sz w:val="22"/>
                <w:szCs w:val="22"/>
              </w:rPr>
              <w:t>实时</w:t>
            </w:r>
            <w:r>
              <w:rPr>
                <w:rFonts w:cs="Arial" w:asciiTheme="minorEastAsia" w:hAnsiTheme="minorEastAsia" w:eastAsiaTheme="minorEastAsia"/>
                <w:color w:val="1F1F1F"/>
                <w:sz w:val="22"/>
                <w:szCs w:val="22"/>
              </w:rPr>
              <w:t>) / 16 (</w:t>
            </w:r>
            <w:r>
              <w:rPr>
                <w:rFonts w:hint="eastAsia" w:cs="Arial" w:asciiTheme="minorEastAsia" w:hAnsiTheme="minorEastAsia" w:eastAsiaTheme="minorEastAsia"/>
                <w:color w:val="1F1F1F"/>
                <w:sz w:val="22"/>
                <w:szCs w:val="22"/>
              </w:rPr>
              <w:t>批量</w:t>
            </w:r>
            <w:r>
              <w:rPr>
                <w:rFonts w:cs="Arial" w:asciiTheme="minorEastAsia" w:hAnsiTheme="minorEastAsia" w:eastAsiaTheme="minorEastAsia"/>
                <w:color w:val="1F1F1F"/>
                <w:sz w:val="22"/>
                <w:szCs w:val="22"/>
              </w:rPr>
              <w:t>)</w:t>
            </w:r>
          </w:p>
        </w:tc>
      </w:tr>
      <w:tr w14:paraId="1AE9C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center"/>
          </w:tcPr>
          <w:p w14:paraId="31B2A2BF">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经济在线调度级</w:t>
            </w:r>
          </w:p>
        </w:tc>
        <w:tc>
          <w:tcPr>
            <w:tcW w:w="1559" w:type="dxa"/>
            <w:vAlign w:val="center"/>
          </w:tcPr>
          <w:p w14:paraId="2D1A38DA">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策略优化</w:t>
            </w:r>
          </w:p>
        </w:tc>
        <w:tc>
          <w:tcPr>
            <w:tcW w:w="1416" w:type="dxa"/>
            <w:vAlign w:val="center"/>
          </w:tcPr>
          <w:p w14:paraId="6203D743">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PPO / DRL</w:t>
            </w:r>
          </w:p>
        </w:tc>
        <w:tc>
          <w:tcPr>
            <w:tcW w:w="1605" w:type="dxa"/>
            <w:vAlign w:val="center"/>
          </w:tcPr>
          <w:p w14:paraId="48661DE6">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环境状态矩阵</w:t>
            </w:r>
          </w:p>
        </w:tc>
        <w:tc>
          <w:tcPr>
            <w:tcW w:w="1605" w:type="dxa"/>
            <w:vAlign w:val="center"/>
          </w:tcPr>
          <w:p w14:paraId="1095E45D">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FP16 / FP32</w:t>
            </w:r>
          </w:p>
        </w:tc>
        <w:tc>
          <w:tcPr>
            <w:tcW w:w="1605" w:type="dxa"/>
            <w:vAlign w:val="center"/>
          </w:tcPr>
          <w:p w14:paraId="61667529">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1 (</w:t>
            </w:r>
            <w:r>
              <w:rPr>
                <w:rFonts w:hint="eastAsia" w:cs="Arial" w:asciiTheme="minorEastAsia" w:hAnsiTheme="minorEastAsia" w:eastAsiaTheme="minorEastAsia"/>
                <w:color w:val="1F1F1F"/>
                <w:sz w:val="22"/>
                <w:szCs w:val="22"/>
              </w:rPr>
              <w:t>强制</w:t>
            </w:r>
            <w:r>
              <w:rPr>
                <w:rFonts w:cs="Arial" w:asciiTheme="minorEastAsia" w:hAnsiTheme="minorEastAsia" w:eastAsiaTheme="minorEastAsia"/>
                <w:color w:val="1F1F1F"/>
                <w:sz w:val="22"/>
                <w:szCs w:val="22"/>
              </w:rPr>
              <w:t>)</w:t>
            </w:r>
          </w:p>
        </w:tc>
      </w:tr>
      <w:tr w14:paraId="5861D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center"/>
          </w:tcPr>
          <w:p w14:paraId="2F9E128B">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b/>
                <w:bCs/>
                <w:color w:val="1F1F1F"/>
                <w:sz w:val="22"/>
                <w:szCs w:val="22"/>
              </w:rPr>
              <w:t>运维离线分析级</w:t>
            </w:r>
          </w:p>
        </w:tc>
        <w:tc>
          <w:tcPr>
            <w:tcW w:w="1559" w:type="dxa"/>
            <w:vAlign w:val="center"/>
          </w:tcPr>
          <w:p w14:paraId="5E3A223B">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设备缺陷检测</w:t>
            </w:r>
          </w:p>
        </w:tc>
        <w:tc>
          <w:tcPr>
            <w:tcW w:w="1416" w:type="dxa"/>
            <w:vAlign w:val="center"/>
          </w:tcPr>
          <w:p w14:paraId="77401310">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YOLOv5 / ResNet-50</w:t>
            </w:r>
          </w:p>
        </w:tc>
        <w:tc>
          <w:tcPr>
            <w:tcW w:w="1605" w:type="dxa"/>
            <w:vAlign w:val="center"/>
          </w:tcPr>
          <w:p w14:paraId="702840A6">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 xml:space="preserve">1080P </w:t>
            </w:r>
            <w:r>
              <w:rPr>
                <w:rFonts w:hint="eastAsia" w:cs="Arial" w:asciiTheme="minorEastAsia" w:hAnsiTheme="minorEastAsia" w:eastAsiaTheme="minorEastAsia"/>
                <w:color w:val="1F1F1F"/>
                <w:sz w:val="22"/>
                <w:szCs w:val="22"/>
              </w:rPr>
              <w:t>图像</w:t>
            </w:r>
          </w:p>
        </w:tc>
        <w:tc>
          <w:tcPr>
            <w:tcW w:w="1605" w:type="dxa"/>
            <w:vAlign w:val="center"/>
          </w:tcPr>
          <w:p w14:paraId="5345199D">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cs="Arial" w:asciiTheme="minorEastAsia" w:hAnsiTheme="minorEastAsia" w:eastAsiaTheme="minorEastAsia"/>
                <w:color w:val="1F1F1F"/>
                <w:sz w:val="22"/>
                <w:szCs w:val="22"/>
              </w:rPr>
              <w:t>INT8</w:t>
            </w:r>
          </w:p>
        </w:tc>
        <w:tc>
          <w:tcPr>
            <w:tcW w:w="1605" w:type="dxa"/>
            <w:vAlign w:val="center"/>
          </w:tcPr>
          <w:p w14:paraId="1CF478E0">
            <w:pPr>
              <w:pStyle w:val="29"/>
              <w:tabs>
                <w:tab w:val="left" w:pos="720"/>
              </w:tabs>
              <w:ind w:left="0" w:firstLine="0" w:firstLineChars="0"/>
              <w:jc w:val="center"/>
              <w:rPr>
                <w:rFonts w:asciiTheme="minorEastAsia" w:hAnsiTheme="minorEastAsia" w:eastAsiaTheme="minorEastAsia"/>
                <w:color w:val="000000" w:themeColor="text1"/>
                <w:kern w:val="21"/>
                <w:sz w:val="22"/>
                <w:szCs w:val="22"/>
                <w14:textFill>
                  <w14:solidFill>
                    <w14:schemeClr w14:val="tx1"/>
                  </w14:solidFill>
                </w14:textFill>
              </w:rPr>
            </w:pPr>
            <w:r>
              <w:rPr>
                <w:rFonts w:hint="eastAsia" w:cs="Arial" w:asciiTheme="minorEastAsia" w:hAnsiTheme="minorEastAsia" w:eastAsiaTheme="minorEastAsia"/>
                <w:color w:val="1F1F1F"/>
                <w:sz w:val="22"/>
                <w:szCs w:val="22"/>
              </w:rPr>
              <w:t>任意</w:t>
            </w:r>
            <w:r>
              <w:rPr>
                <w:rFonts w:cs="Arial" w:asciiTheme="minorEastAsia" w:hAnsiTheme="minorEastAsia" w:eastAsiaTheme="minorEastAsia"/>
                <w:color w:val="1F1F1F"/>
                <w:sz w:val="22"/>
                <w:szCs w:val="22"/>
              </w:rPr>
              <w:t xml:space="preserve"> (</w:t>
            </w:r>
            <w:r>
              <w:rPr>
                <w:rFonts w:hint="eastAsia" w:cs="Arial" w:asciiTheme="minorEastAsia" w:hAnsiTheme="minorEastAsia" w:eastAsiaTheme="minorEastAsia"/>
                <w:color w:val="1F1F1F"/>
                <w:sz w:val="22"/>
                <w:szCs w:val="22"/>
              </w:rPr>
              <w:t>追求最大吞吐</w:t>
            </w:r>
            <w:r>
              <w:rPr>
                <w:rFonts w:cs="Arial" w:asciiTheme="minorEastAsia" w:hAnsiTheme="minorEastAsia" w:eastAsiaTheme="minorEastAsia"/>
                <w:color w:val="1F1F1F"/>
                <w:sz w:val="22"/>
                <w:szCs w:val="22"/>
              </w:rPr>
              <w:t>)</w:t>
            </w:r>
          </w:p>
        </w:tc>
      </w:tr>
    </w:tbl>
    <w:p w14:paraId="56E17C3F">
      <w:pPr>
        <w:tabs>
          <w:tab w:val="left" w:pos="3664"/>
        </w:tabs>
        <w:rPr>
          <w:color w:val="000000" w:themeColor="text1"/>
          <w14:textFill>
            <w14:solidFill>
              <w14:schemeClr w14:val="tx1"/>
            </w14:solidFill>
          </w14:textFill>
        </w:rPr>
      </w:pPr>
    </w:p>
    <w:p w14:paraId="23685A06">
      <w:pPr>
        <w:widowControl/>
        <w:jc w:val="left"/>
        <w:rPr>
          <w:color w:val="000000" w:themeColor="text1"/>
          <w:lang w:val="fr-FR"/>
          <w14:textFill>
            <w14:solidFill>
              <w14:schemeClr w14:val="tx1"/>
            </w14:solidFill>
          </w14:textFill>
        </w:rPr>
      </w:pPr>
      <w:r>
        <w:rPr>
          <w:color w:val="000000" w:themeColor="text1"/>
          <w:lang w:val="fr-FR"/>
          <w14:textFill>
            <w14:solidFill>
              <w14:schemeClr w14:val="tx1"/>
            </w14:solidFill>
          </w14:textFill>
        </w:rPr>
        <w:br w:type="page"/>
      </w:r>
    </w:p>
    <w:p w14:paraId="7552698D">
      <w:pPr>
        <w:pStyle w:val="65"/>
        <w:tabs>
          <w:tab w:val="clear" w:pos="360"/>
        </w:tabs>
        <w:ind w:left="0"/>
        <w:rPr>
          <w:rFonts w:ascii="Times New Roman"/>
          <w:color w:val="000000" w:themeColor="text1"/>
          <w14:textFill>
            <w14:solidFill>
              <w14:schemeClr w14:val="tx1"/>
            </w14:solidFill>
          </w14:textFill>
        </w:rPr>
      </w:pPr>
      <w:bookmarkStart w:id="143" w:name="OLE_LINK38"/>
      <w:r>
        <w:rPr>
          <w:rFonts w:ascii="Times New Roman"/>
          <w:color w:val="000000" w:themeColor="text1"/>
          <w:lang w:val="fr-FR"/>
          <w14:textFill>
            <w14:solidFill>
              <w14:schemeClr w14:val="tx1"/>
            </w14:solidFill>
          </w14:textFill>
        </w:rPr>
        <w:br w:type="textWrapping"/>
      </w:r>
      <w:bookmarkStart w:id="144" w:name="_Toc220190028"/>
      <w:bookmarkStart w:id="145" w:name="_Toc217822742"/>
      <w:bookmarkStart w:id="146" w:name="_Toc212041743"/>
      <w:bookmarkStart w:id="147" w:name="_Toc217822955"/>
      <w:r>
        <w:rPr>
          <w:rFonts w:hint="eastAsia"/>
          <w:color w:val="000000" w:themeColor="text1"/>
          <w:kern w:val="21"/>
          <w14:textFill>
            <w14:solidFill>
              <w14:schemeClr w14:val="tx1"/>
            </w14:solidFill>
          </w14:textFill>
        </w:rPr>
        <w:t>（资料性）</w:t>
      </w:r>
      <w:bookmarkEnd w:id="144"/>
      <w:bookmarkEnd w:id="145"/>
      <w:bookmarkEnd w:id="146"/>
      <w:bookmarkEnd w:id="147"/>
    </w:p>
    <w:p w14:paraId="75A82A19">
      <w:pPr>
        <w:pStyle w:val="29"/>
        <w:ind w:firstLine="0" w:firstLineChars="0"/>
        <w:jc w:val="center"/>
        <w:rPr>
          <w:rFonts w:ascii="黑体" w:eastAsia="黑体"/>
          <w:color w:val="000000" w:themeColor="text1"/>
          <w:kern w:val="21"/>
          <w14:textFill>
            <w14:solidFill>
              <w14:schemeClr w14:val="tx1"/>
            </w14:solidFill>
          </w14:textFill>
        </w:rPr>
      </w:pPr>
      <w:r>
        <w:rPr>
          <w:rFonts w:hint="eastAsia" w:ascii="黑体" w:eastAsia="黑体"/>
          <w:color w:val="000000" w:themeColor="text1"/>
          <w:kern w:val="21"/>
          <w14:textFill>
            <w14:solidFill>
              <w14:schemeClr w14:val="tx1"/>
            </w14:solidFill>
          </w14:textFill>
        </w:rPr>
        <w:t>表B  测试方法指导原则</w:t>
      </w:r>
    </w:p>
    <w:bookmarkEnd w:id="143"/>
    <w:tbl>
      <w:tblPr>
        <w:tblStyle w:val="40"/>
        <w:tblW w:w="9265" w:type="dxa"/>
        <w:tblInd w:w="0" w:type="dxa"/>
        <w:tblLayout w:type="autofit"/>
        <w:tblCellMar>
          <w:top w:w="0" w:type="dxa"/>
          <w:left w:w="108" w:type="dxa"/>
          <w:bottom w:w="0" w:type="dxa"/>
          <w:right w:w="108" w:type="dxa"/>
        </w:tblCellMar>
      </w:tblPr>
      <w:tblGrid>
        <w:gridCol w:w="2112"/>
        <w:gridCol w:w="5089"/>
        <w:gridCol w:w="2064"/>
      </w:tblGrid>
      <w:tr w14:paraId="27DD0413">
        <w:tblPrEx>
          <w:tblCellMar>
            <w:top w:w="0" w:type="dxa"/>
            <w:left w:w="108" w:type="dxa"/>
            <w:bottom w:w="0" w:type="dxa"/>
            <w:right w:w="108" w:type="dxa"/>
          </w:tblCellMar>
        </w:tblPrEx>
        <w:trPr>
          <w:trHeight w:val="576" w:hRule="atLeast"/>
        </w:trPr>
        <w:tc>
          <w:tcPr>
            <w:tcW w:w="2112" w:type="dxa"/>
            <w:tcBorders>
              <w:top w:val="single" w:color="000000" w:sz="4" w:space="0"/>
              <w:left w:val="single" w:color="000000" w:sz="4" w:space="0"/>
              <w:bottom w:val="single" w:color="000000" w:sz="4" w:space="0"/>
              <w:right w:val="single" w:color="000000" w:sz="4" w:space="0"/>
            </w:tcBorders>
            <w:vAlign w:val="center"/>
          </w:tcPr>
          <w:p w14:paraId="1F1536DC">
            <w:pPr>
              <w:widowControl/>
              <w:jc w:val="left"/>
              <w:rPr>
                <w:rFonts w:cs="宋体"/>
                <w:color w:val="000000"/>
                <w:kern w:val="0"/>
                <w:sz w:val="22"/>
                <w:szCs w:val="22"/>
              </w:rPr>
            </w:pPr>
            <w:r>
              <w:rPr>
                <w:rFonts w:cs="宋体"/>
                <w:color w:val="000000"/>
                <w:kern w:val="0"/>
                <w:sz w:val="22"/>
                <w:szCs w:val="22"/>
              </w:rPr>
              <w:t>测试类别</w:t>
            </w:r>
          </w:p>
        </w:tc>
        <w:tc>
          <w:tcPr>
            <w:tcW w:w="5089" w:type="dxa"/>
            <w:tcBorders>
              <w:top w:val="single" w:color="000000" w:sz="4" w:space="0"/>
              <w:left w:val="single" w:color="000000" w:sz="4" w:space="0"/>
              <w:bottom w:val="single" w:color="000000" w:sz="4" w:space="0"/>
              <w:right w:val="single" w:color="000000" w:sz="4" w:space="0"/>
            </w:tcBorders>
            <w:vAlign w:val="center"/>
          </w:tcPr>
          <w:p w14:paraId="0BE652EB">
            <w:pPr>
              <w:widowControl/>
              <w:jc w:val="left"/>
              <w:rPr>
                <w:rFonts w:cs="宋体"/>
                <w:color w:val="000000"/>
                <w:kern w:val="0"/>
                <w:sz w:val="22"/>
                <w:szCs w:val="22"/>
              </w:rPr>
            </w:pPr>
            <w:r>
              <w:rPr>
                <w:rFonts w:cs="宋体"/>
                <w:color w:val="000000"/>
                <w:kern w:val="0"/>
                <w:sz w:val="22"/>
                <w:szCs w:val="22"/>
              </w:rPr>
              <w:t>测试内容摘要</w:t>
            </w:r>
          </w:p>
        </w:tc>
        <w:tc>
          <w:tcPr>
            <w:tcW w:w="2064" w:type="dxa"/>
            <w:tcBorders>
              <w:top w:val="single" w:color="000000" w:sz="4" w:space="0"/>
              <w:left w:val="single" w:color="000000" w:sz="4" w:space="0"/>
              <w:bottom w:val="single" w:color="000000" w:sz="4" w:space="0"/>
              <w:right w:val="single" w:color="000000" w:sz="4" w:space="0"/>
            </w:tcBorders>
            <w:vAlign w:val="center"/>
          </w:tcPr>
          <w:p w14:paraId="1E07AF4E">
            <w:pPr>
              <w:widowControl/>
              <w:jc w:val="left"/>
              <w:rPr>
                <w:rFonts w:cs="宋体"/>
                <w:color w:val="000000"/>
                <w:kern w:val="0"/>
                <w:sz w:val="22"/>
                <w:szCs w:val="22"/>
              </w:rPr>
            </w:pPr>
            <w:r>
              <w:rPr>
                <w:rFonts w:cs="宋体"/>
                <w:color w:val="000000"/>
                <w:kern w:val="0"/>
                <w:sz w:val="22"/>
                <w:szCs w:val="22"/>
              </w:rPr>
              <w:t>建议引用标准及具体条款</w:t>
            </w:r>
          </w:p>
        </w:tc>
      </w:tr>
      <w:tr w14:paraId="6A3C66D2">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64F22457">
            <w:pPr>
              <w:widowControl/>
              <w:jc w:val="left"/>
              <w:rPr>
                <w:rFonts w:cs="宋体"/>
                <w:color w:val="000000"/>
                <w:kern w:val="0"/>
                <w:sz w:val="22"/>
                <w:szCs w:val="22"/>
              </w:rPr>
            </w:pPr>
            <w:r>
              <w:rPr>
                <w:rFonts w:cs="宋体"/>
                <w:color w:val="000000"/>
                <w:kern w:val="0"/>
                <w:sz w:val="22"/>
                <w:szCs w:val="22"/>
              </w:rPr>
              <w:t>测试管理</w:t>
            </w:r>
          </w:p>
        </w:tc>
        <w:tc>
          <w:tcPr>
            <w:tcW w:w="5089" w:type="dxa"/>
            <w:vMerge w:val="restart"/>
            <w:tcBorders>
              <w:top w:val="single" w:color="000000" w:sz="4" w:space="0"/>
              <w:left w:val="single" w:color="000000" w:sz="4" w:space="0"/>
              <w:right w:val="single" w:color="000000" w:sz="4" w:space="0"/>
            </w:tcBorders>
            <w:vAlign w:val="center"/>
          </w:tcPr>
          <w:p w14:paraId="38691CD6">
            <w:pPr>
              <w:widowControl/>
              <w:jc w:val="left"/>
              <w:rPr>
                <w:rFonts w:cs="宋体"/>
                <w:color w:val="000000"/>
                <w:kern w:val="0"/>
                <w:sz w:val="22"/>
                <w:szCs w:val="22"/>
              </w:rPr>
            </w:pPr>
            <w:r>
              <w:rPr>
                <w:rFonts w:cs="宋体"/>
                <w:color w:val="000000"/>
                <w:kern w:val="0"/>
                <w:sz w:val="22"/>
                <w:szCs w:val="22"/>
              </w:rPr>
              <w:t>测试边界定义（芯片/模组）、软硬件版本冻结、配置清单追溯、复测统计口径确定</w:t>
            </w:r>
          </w:p>
        </w:tc>
        <w:tc>
          <w:tcPr>
            <w:tcW w:w="2064" w:type="dxa"/>
            <w:tcBorders>
              <w:top w:val="single" w:color="000000" w:sz="4" w:space="0"/>
              <w:left w:val="single" w:color="000000" w:sz="4" w:space="0"/>
              <w:bottom w:val="single" w:color="000000" w:sz="4" w:space="0"/>
              <w:right w:val="single" w:color="000000" w:sz="4" w:space="0"/>
            </w:tcBorders>
            <w:vAlign w:val="center"/>
          </w:tcPr>
          <w:p w14:paraId="3384018E">
            <w:pPr>
              <w:widowControl/>
              <w:jc w:val="left"/>
              <w:rPr>
                <w:rFonts w:cs="宋体"/>
                <w:color w:val="000000"/>
                <w:kern w:val="0"/>
                <w:sz w:val="22"/>
                <w:szCs w:val="22"/>
              </w:rPr>
            </w:pPr>
            <w:r>
              <w:rPr>
                <w:rFonts w:cs="宋体"/>
                <w:color w:val="000000"/>
                <w:kern w:val="0"/>
                <w:sz w:val="22"/>
                <w:szCs w:val="22"/>
              </w:rPr>
              <w:t>本文件 8.1；</w:t>
            </w:r>
          </w:p>
        </w:tc>
      </w:tr>
      <w:tr w14:paraId="46CC5F74">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2A417602">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2C58FDE6">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6D112BDB">
            <w:pPr>
              <w:widowControl/>
              <w:jc w:val="left"/>
              <w:rPr>
                <w:rFonts w:cs="宋体"/>
                <w:color w:val="000000"/>
                <w:kern w:val="0"/>
                <w:sz w:val="22"/>
                <w:szCs w:val="22"/>
              </w:rPr>
            </w:pPr>
            <w:r>
              <w:rPr>
                <w:rFonts w:cs="宋体"/>
                <w:color w:val="000000"/>
                <w:kern w:val="0"/>
                <w:sz w:val="22"/>
                <w:szCs w:val="22"/>
              </w:rPr>
              <w:t xml:space="preserve">GB/T 41780.1 第 </w:t>
            </w:r>
            <w:r>
              <w:rPr>
                <w:rFonts w:hint="eastAsia" w:cs="宋体"/>
                <w:color w:val="000000"/>
                <w:kern w:val="0"/>
                <w:sz w:val="22"/>
                <w:szCs w:val="22"/>
              </w:rPr>
              <w:t>6.3</w:t>
            </w:r>
            <w:r>
              <w:rPr>
                <w:rFonts w:cs="宋体"/>
                <w:color w:val="000000"/>
                <w:kern w:val="0"/>
                <w:sz w:val="22"/>
                <w:szCs w:val="22"/>
              </w:rPr>
              <w:t xml:space="preserve"> 条 (</w:t>
            </w:r>
            <w:r>
              <w:rPr>
                <w:rFonts w:hint="eastAsia" w:cs="宋体"/>
                <w:color w:val="000000"/>
                <w:kern w:val="0"/>
                <w:sz w:val="22"/>
                <w:szCs w:val="22"/>
              </w:rPr>
              <w:t>边缘管理</w:t>
            </w:r>
            <w:r>
              <w:rPr>
                <w:rFonts w:cs="宋体"/>
                <w:color w:val="000000"/>
                <w:kern w:val="0"/>
                <w:sz w:val="22"/>
                <w:szCs w:val="22"/>
              </w:rPr>
              <w:t>)；</w:t>
            </w:r>
          </w:p>
        </w:tc>
      </w:tr>
      <w:tr w14:paraId="7FEA4486">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677384F4">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55C07DF3">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54ACB00A">
            <w:pPr>
              <w:widowControl/>
              <w:jc w:val="left"/>
              <w:rPr>
                <w:rFonts w:cs="宋体"/>
                <w:color w:val="000000"/>
                <w:kern w:val="0"/>
                <w:sz w:val="22"/>
                <w:szCs w:val="22"/>
              </w:rPr>
            </w:pPr>
            <w:r>
              <w:rPr>
                <w:rFonts w:cs="宋体"/>
                <w:color w:val="000000"/>
                <w:kern w:val="0"/>
                <w:sz w:val="22"/>
                <w:szCs w:val="22"/>
              </w:rPr>
              <w:t xml:space="preserve">GB/T 45087 第 </w:t>
            </w:r>
            <w:r>
              <w:rPr>
                <w:rFonts w:hint="eastAsia" w:cs="宋体"/>
                <w:color w:val="000000"/>
                <w:kern w:val="0"/>
                <w:sz w:val="22"/>
                <w:szCs w:val="22"/>
              </w:rPr>
              <w:t>6.2</w:t>
            </w:r>
            <w:r>
              <w:rPr>
                <w:rFonts w:cs="宋体"/>
                <w:color w:val="000000"/>
                <w:kern w:val="0"/>
                <w:sz w:val="22"/>
                <w:szCs w:val="22"/>
              </w:rPr>
              <w:t>条 (</w:t>
            </w:r>
            <w:r>
              <w:rPr>
                <w:rFonts w:hint="eastAsia" w:cs="宋体"/>
                <w:color w:val="000000"/>
                <w:kern w:val="0"/>
                <w:sz w:val="22"/>
                <w:szCs w:val="22"/>
              </w:rPr>
              <w:t>训练测试要求</w:t>
            </w:r>
            <w:r>
              <w:rPr>
                <w:rFonts w:cs="宋体"/>
                <w:color w:val="000000"/>
                <w:kern w:val="0"/>
                <w:sz w:val="22"/>
                <w:szCs w:val="22"/>
              </w:rPr>
              <w:t>)；</w:t>
            </w:r>
          </w:p>
        </w:tc>
      </w:tr>
      <w:tr w14:paraId="370045A7">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5EB32E25">
            <w:pPr>
              <w:widowControl/>
              <w:jc w:val="left"/>
              <w:rPr>
                <w:rFonts w:cs="宋体"/>
                <w:color w:val="000000"/>
                <w:kern w:val="0"/>
                <w:sz w:val="22"/>
                <w:szCs w:val="22"/>
              </w:rPr>
            </w:pPr>
            <w:r>
              <w:rPr>
                <w:rFonts w:cs="宋体"/>
                <w:color w:val="000000"/>
                <w:kern w:val="0"/>
                <w:sz w:val="22"/>
                <w:szCs w:val="22"/>
              </w:rPr>
              <w:t>典型场景</w:t>
            </w:r>
          </w:p>
        </w:tc>
        <w:tc>
          <w:tcPr>
            <w:tcW w:w="5089" w:type="dxa"/>
            <w:vMerge w:val="restart"/>
            <w:tcBorders>
              <w:top w:val="single" w:color="000000" w:sz="4" w:space="0"/>
              <w:left w:val="single" w:color="000000" w:sz="4" w:space="0"/>
              <w:right w:val="single" w:color="000000" w:sz="4" w:space="0"/>
            </w:tcBorders>
            <w:vAlign w:val="center"/>
          </w:tcPr>
          <w:p w14:paraId="1AFE17B0">
            <w:pPr>
              <w:widowControl/>
              <w:jc w:val="left"/>
              <w:rPr>
                <w:rFonts w:cs="宋体"/>
                <w:color w:val="000000"/>
                <w:kern w:val="0"/>
                <w:sz w:val="22"/>
                <w:szCs w:val="22"/>
              </w:rPr>
            </w:pPr>
            <w:r>
              <w:rPr>
                <w:rFonts w:cs="宋体"/>
                <w:color w:val="000000"/>
                <w:kern w:val="0"/>
                <w:sz w:val="22"/>
                <w:szCs w:val="22"/>
              </w:rPr>
              <w:t>并网/孤岛切换稳定性、源网荷储协同控制、通信异常下的扰动恢复验证</w:t>
            </w:r>
          </w:p>
        </w:tc>
        <w:tc>
          <w:tcPr>
            <w:tcW w:w="2064" w:type="dxa"/>
            <w:tcBorders>
              <w:top w:val="single" w:color="000000" w:sz="4" w:space="0"/>
              <w:left w:val="single" w:color="000000" w:sz="4" w:space="0"/>
              <w:bottom w:val="single" w:color="000000" w:sz="4" w:space="0"/>
              <w:right w:val="single" w:color="000000" w:sz="4" w:space="0"/>
            </w:tcBorders>
            <w:vAlign w:val="center"/>
          </w:tcPr>
          <w:p w14:paraId="20DF710A">
            <w:pPr>
              <w:widowControl/>
              <w:jc w:val="left"/>
              <w:rPr>
                <w:rFonts w:cs="宋体"/>
                <w:color w:val="000000"/>
                <w:kern w:val="0"/>
                <w:sz w:val="22"/>
                <w:szCs w:val="22"/>
              </w:rPr>
            </w:pPr>
            <w:r>
              <w:rPr>
                <w:rFonts w:cs="宋体"/>
                <w:color w:val="000000"/>
                <w:kern w:val="0"/>
                <w:sz w:val="22"/>
                <w:szCs w:val="22"/>
              </w:rPr>
              <w:t>本文件 8.5.1；</w:t>
            </w:r>
          </w:p>
        </w:tc>
      </w:tr>
      <w:tr w14:paraId="3D522B03">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207CFA47">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759A2AC4">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36678B27">
            <w:pPr>
              <w:widowControl/>
              <w:jc w:val="left"/>
              <w:rPr>
                <w:rFonts w:cs="宋体"/>
                <w:color w:val="000000"/>
                <w:kern w:val="0"/>
                <w:sz w:val="22"/>
                <w:szCs w:val="22"/>
              </w:rPr>
            </w:pPr>
            <w:r>
              <w:rPr>
                <w:rFonts w:cs="宋体"/>
                <w:color w:val="000000"/>
                <w:kern w:val="0"/>
                <w:sz w:val="22"/>
                <w:szCs w:val="22"/>
              </w:rPr>
              <w:t>GB/T 42731 第 7.4.3 条 (控制功能测试)；</w:t>
            </w:r>
          </w:p>
        </w:tc>
      </w:tr>
      <w:tr w14:paraId="0122D1D1">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1448F5BF">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4E086A31">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33DEB06B">
            <w:pPr>
              <w:widowControl/>
              <w:jc w:val="left"/>
              <w:rPr>
                <w:rFonts w:cs="宋体"/>
                <w:color w:val="000000"/>
                <w:kern w:val="0"/>
                <w:sz w:val="22"/>
                <w:szCs w:val="22"/>
              </w:rPr>
            </w:pPr>
            <w:r>
              <w:rPr>
                <w:rFonts w:cs="宋体"/>
                <w:color w:val="000000"/>
                <w:kern w:val="0"/>
                <w:sz w:val="22"/>
                <w:szCs w:val="22"/>
              </w:rPr>
              <w:t>GB/T 33592 第 6.2 条 (并网运行适应性)</w:t>
            </w:r>
          </w:p>
        </w:tc>
      </w:tr>
      <w:tr w14:paraId="0478B302">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2FD7E358">
            <w:pPr>
              <w:widowControl/>
              <w:jc w:val="left"/>
              <w:rPr>
                <w:rFonts w:cs="宋体"/>
                <w:color w:val="000000"/>
                <w:kern w:val="0"/>
                <w:sz w:val="22"/>
                <w:szCs w:val="22"/>
              </w:rPr>
            </w:pPr>
            <w:r>
              <w:rPr>
                <w:rFonts w:cs="宋体"/>
                <w:color w:val="000000"/>
                <w:kern w:val="0"/>
                <w:sz w:val="22"/>
                <w:szCs w:val="22"/>
              </w:rPr>
              <w:t>数据处理</w:t>
            </w:r>
          </w:p>
        </w:tc>
        <w:tc>
          <w:tcPr>
            <w:tcW w:w="5089" w:type="dxa"/>
            <w:vMerge w:val="restart"/>
            <w:tcBorders>
              <w:top w:val="single" w:color="000000" w:sz="4" w:space="0"/>
              <w:left w:val="single" w:color="000000" w:sz="4" w:space="0"/>
              <w:right w:val="single" w:color="000000" w:sz="4" w:space="0"/>
            </w:tcBorders>
            <w:vAlign w:val="center"/>
          </w:tcPr>
          <w:p w14:paraId="08396517">
            <w:pPr>
              <w:widowControl/>
              <w:jc w:val="left"/>
              <w:rPr>
                <w:rFonts w:cs="宋体"/>
                <w:color w:val="000000"/>
                <w:kern w:val="0"/>
                <w:sz w:val="22"/>
                <w:szCs w:val="22"/>
              </w:rPr>
            </w:pPr>
            <w:r>
              <w:rPr>
                <w:rFonts w:cs="宋体"/>
                <w:color w:val="000000"/>
                <w:kern w:val="0"/>
                <w:sz w:val="22"/>
                <w:szCs w:val="22"/>
              </w:rPr>
              <w:t>采集清洗（去噪）、缺失值/漂移数据修复、多维特征提取有效性</w:t>
            </w:r>
          </w:p>
        </w:tc>
        <w:tc>
          <w:tcPr>
            <w:tcW w:w="2064" w:type="dxa"/>
            <w:tcBorders>
              <w:top w:val="single" w:color="000000" w:sz="4" w:space="0"/>
              <w:left w:val="single" w:color="000000" w:sz="4" w:space="0"/>
              <w:bottom w:val="single" w:color="000000" w:sz="4" w:space="0"/>
              <w:right w:val="single" w:color="000000" w:sz="4" w:space="0"/>
            </w:tcBorders>
            <w:vAlign w:val="center"/>
          </w:tcPr>
          <w:p w14:paraId="1CE7D23A">
            <w:pPr>
              <w:widowControl/>
              <w:jc w:val="left"/>
              <w:rPr>
                <w:rFonts w:cs="宋体"/>
                <w:color w:val="000000"/>
                <w:kern w:val="0"/>
                <w:sz w:val="22"/>
                <w:szCs w:val="22"/>
              </w:rPr>
            </w:pPr>
            <w:r>
              <w:rPr>
                <w:rFonts w:cs="宋体"/>
                <w:color w:val="000000"/>
                <w:kern w:val="0"/>
                <w:sz w:val="22"/>
                <w:szCs w:val="22"/>
              </w:rPr>
              <w:t>本文件 8.2.1；</w:t>
            </w:r>
          </w:p>
        </w:tc>
      </w:tr>
      <w:tr w14:paraId="16F73174">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25780AD7">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0944914B">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2686A867">
            <w:pPr>
              <w:widowControl/>
              <w:jc w:val="left"/>
              <w:rPr>
                <w:rFonts w:cs="宋体"/>
                <w:color w:val="000000"/>
                <w:kern w:val="0"/>
                <w:sz w:val="22"/>
                <w:szCs w:val="22"/>
              </w:rPr>
            </w:pPr>
            <w:r>
              <w:rPr>
                <w:rFonts w:cs="宋体"/>
                <w:color w:val="000000"/>
                <w:kern w:val="0"/>
                <w:sz w:val="22"/>
                <w:szCs w:val="22"/>
              </w:rPr>
              <w:t xml:space="preserve">GB/T 41780.1 第 </w:t>
            </w:r>
            <w:r>
              <w:rPr>
                <w:rFonts w:hint="eastAsia" w:cs="宋体"/>
                <w:color w:val="000000"/>
                <w:kern w:val="0"/>
                <w:sz w:val="22"/>
                <w:szCs w:val="22"/>
              </w:rPr>
              <w:t>6.2.1.2</w:t>
            </w:r>
            <w:r>
              <w:rPr>
                <w:rFonts w:cs="宋体"/>
                <w:color w:val="000000"/>
                <w:kern w:val="0"/>
                <w:sz w:val="22"/>
                <w:szCs w:val="22"/>
              </w:rPr>
              <w:t>条 (</w:t>
            </w:r>
            <w:r>
              <w:rPr>
                <w:rFonts w:hint="eastAsia" w:cs="宋体"/>
                <w:color w:val="000000"/>
                <w:kern w:val="0"/>
                <w:sz w:val="22"/>
                <w:szCs w:val="22"/>
              </w:rPr>
              <w:t>数据预处理</w:t>
            </w:r>
            <w:r>
              <w:rPr>
                <w:rFonts w:cs="宋体"/>
                <w:color w:val="000000"/>
                <w:kern w:val="0"/>
                <w:sz w:val="22"/>
                <w:szCs w:val="22"/>
              </w:rPr>
              <w:t>)；</w:t>
            </w:r>
          </w:p>
        </w:tc>
      </w:tr>
      <w:tr w14:paraId="5D7A1371">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2430E98D">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037C7D1D">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59D863D0">
            <w:pPr>
              <w:widowControl/>
              <w:jc w:val="left"/>
              <w:rPr>
                <w:rFonts w:cs="宋体"/>
                <w:color w:val="000000"/>
                <w:kern w:val="0"/>
                <w:sz w:val="22"/>
                <w:szCs w:val="22"/>
              </w:rPr>
            </w:pPr>
            <w:r>
              <w:rPr>
                <w:rFonts w:cs="宋体"/>
                <w:color w:val="000000"/>
                <w:kern w:val="0"/>
                <w:sz w:val="22"/>
                <w:szCs w:val="22"/>
              </w:rPr>
              <w:t>GB/T 41479 第 5.2 条 (数据</w:t>
            </w:r>
            <w:r>
              <w:rPr>
                <w:rFonts w:hint="eastAsia" w:cs="宋体"/>
                <w:color w:val="000000"/>
                <w:kern w:val="0"/>
                <w:sz w:val="22"/>
                <w:szCs w:val="22"/>
              </w:rPr>
              <w:t>收集</w:t>
            </w:r>
            <w:r>
              <w:rPr>
                <w:rFonts w:cs="宋体"/>
                <w:color w:val="000000"/>
                <w:kern w:val="0"/>
                <w:sz w:val="22"/>
                <w:szCs w:val="22"/>
              </w:rPr>
              <w:t>安全)</w:t>
            </w:r>
          </w:p>
        </w:tc>
      </w:tr>
      <w:tr w14:paraId="25B1A9DB">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2F48B55C">
            <w:pPr>
              <w:widowControl/>
              <w:jc w:val="left"/>
              <w:rPr>
                <w:rFonts w:cs="宋体"/>
                <w:color w:val="000000"/>
                <w:kern w:val="0"/>
                <w:sz w:val="22"/>
                <w:szCs w:val="22"/>
              </w:rPr>
            </w:pPr>
            <w:r>
              <w:rPr>
                <w:rFonts w:cs="宋体"/>
                <w:color w:val="000000"/>
                <w:kern w:val="0"/>
                <w:sz w:val="22"/>
                <w:szCs w:val="22"/>
              </w:rPr>
              <w:t>AI算法功能</w:t>
            </w:r>
          </w:p>
        </w:tc>
        <w:tc>
          <w:tcPr>
            <w:tcW w:w="5089" w:type="dxa"/>
            <w:vMerge w:val="restart"/>
            <w:tcBorders>
              <w:top w:val="single" w:color="000000" w:sz="4" w:space="0"/>
              <w:left w:val="single" w:color="000000" w:sz="4" w:space="0"/>
              <w:right w:val="single" w:color="000000" w:sz="4" w:space="0"/>
            </w:tcBorders>
            <w:vAlign w:val="center"/>
          </w:tcPr>
          <w:p w14:paraId="13626610">
            <w:pPr>
              <w:widowControl/>
              <w:jc w:val="left"/>
              <w:rPr>
                <w:rFonts w:cs="宋体"/>
                <w:color w:val="000000"/>
                <w:kern w:val="0"/>
                <w:sz w:val="22"/>
                <w:szCs w:val="22"/>
              </w:rPr>
            </w:pPr>
            <w:r>
              <w:rPr>
                <w:rFonts w:cs="宋体"/>
                <w:color w:val="000000"/>
                <w:kern w:val="0"/>
                <w:sz w:val="22"/>
                <w:szCs w:val="22"/>
              </w:rPr>
              <w:t>负荷预测误差(MAPE)、故障识别准确率、调度策略闭环逻辑验证</w:t>
            </w:r>
          </w:p>
        </w:tc>
        <w:tc>
          <w:tcPr>
            <w:tcW w:w="2064" w:type="dxa"/>
            <w:tcBorders>
              <w:top w:val="single" w:color="000000" w:sz="4" w:space="0"/>
              <w:left w:val="single" w:color="000000" w:sz="4" w:space="0"/>
              <w:bottom w:val="single" w:color="000000" w:sz="4" w:space="0"/>
              <w:right w:val="single" w:color="000000" w:sz="4" w:space="0"/>
            </w:tcBorders>
            <w:vAlign w:val="center"/>
          </w:tcPr>
          <w:p w14:paraId="40F22CE8">
            <w:pPr>
              <w:widowControl/>
              <w:jc w:val="left"/>
              <w:rPr>
                <w:rFonts w:cs="宋体"/>
                <w:color w:val="000000"/>
                <w:kern w:val="0"/>
                <w:sz w:val="22"/>
                <w:szCs w:val="22"/>
              </w:rPr>
            </w:pPr>
            <w:r>
              <w:rPr>
                <w:rFonts w:cs="宋体"/>
                <w:color w:val="000000"/>
                <w:kern w:val="0"/>
                <w:sz w:val="22"/>
                <w:szCs w:val="22"/>
              </w:rPr>
              <w:t>本文件 8.2.2 及 8.2.3；</w:t>
            </w:r>
          </w:p>
        </w:tc>
      </w:tr>
      <w:tr w14:paraId="7F6AE69B">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33EB4A0F">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6484FCB3">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5CDF591F">
            <w:pPr>
              <w:widowControl/>
              <w:jc w:val="left"/>
              <w:rPr>
                <w:rFonts w:cs="宋体"/>
                <w:color w:val="000000"/>
                <w:kern w:val="0"/>
                <w:sz w:val="22"/>
                <w:szCs w:val="22"/>
              </w:rPr>
            </w:pPr>
            <w:r>
              <w:rPr>
                <w:rFonts w:cs="宋体"/>
                <w:color w:val="000000"/>
                <w:kern w:val="0"/>
                <w:sz w:val="22"/>
                <w:szCs w:val="22"/>
              </w:rPr>
              <w:t>YD/T 3944 第 6.1 条 (准确度测试)</w:t>
            </w:r>
          </w:p>
        </w:tc>
      </w:tr>
      <w:tr w14:paraId="759823F4">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431DBB2C">
            <w:pPr>
              <w:widowControl/>
              <w:jc w:val="left"/>
              <w:rPr>
                <w:rFonts w:cs="宋体"/>
                <w:color w:val="000000"/>
                <w:kern w:val="0"/>
                <w:sz w:val="22"/>
                <w:szCs w:val="22"/>
              </w:rPr>
            </w:pPr>
            <w:r>
              <w:rPr>
                <w:rFonts w:cs="宋体"/>
                <w:color w:val="000000"/>
                <w:kern w:val="0"/>
                <w:sz w:val="22"/>
                <w:szCs w:val="22"/>
              </w:rPr>
              <w:t>推理性能</w:t>
            </w:r>
          </w:p>
        </w:tc>
        <w:tc>
          <w:tcPr>
            <w:tcW w:w="5089" w:type="dxa"/>
            <w:vMerge w:val="restart"/>
            <w:tcBorders>
              <w:top w:val="single" w:color="000000" w:sz="4" w:space="0"/>
              <w:left w:val="single" w:color="000000" w:sz="4" w:space="0"/>
              <w:right w:val="single" w:color="000000" w:sz="4" w:space="0"/>
            </w:tcBorders>
            <w:vAlign w:val="center"/>
          </w:tcPr>
          <w:p w14:paraId="66A2725B">
            <w:pPr>
              <w:widowControl/>
              <w:jc w:val="left"/>
              <w:rPr>
                <w:rFonts w:cs="宋体"/>
                <w:color w:val="000000"/>
                <w:kern w:val="0"/>
                <w:sz w:val="22"/>
                <w:szCs w:val="22"/>
              </w:rPr>
            </w:pPr>
            <w:r>
              <w:rPr>
                <w:rFonts w:cs="宋体"/>
                <w:color w:val="000000"/>
                <w:kern w:val="0"/>
                <w:sz w:val="22"/>
                <w:szCs w:val="22"/>
              </w:rPr>
              <w:t>单次推理时延(Latency)、P99时延抖动、实时性等级符合性</w:t>
            </w:r>
          </w:p>
        </w:tc>
        <w:tc>
          <w:tcPr>
            <w:tcW w:w="2064" w:type="dxa"/>
            <w:tcBorders>
              <w:top w:val="single" w:color="000000" w:sz="4" w:space="0"/>
              <w:left w:val="single" w:color="000000" w:sz="4" w:space="0"/>
              <w:bottom w:val="single" w:color="000000" w:sz="4" w:space="0"/>
              <w:right w:val="single" w:color="000000" w:sz="4" w:space="0"/>
            </w:tcBorders>
            <w:vAlign w:val="center"/>
          </w:tcPr>
          <w:p w14:paraId="0109F211">
            <w:pPr>
              <w:widowControl/>
              <w:jc w:val="left"/>
              <w:rPr>
                <w:rFonts w:cs="宋体"/>
                <w:color w:val="000000"/>
                <w:kern w:val="0"/>
                <w:sz w:val="22"/>
                <w:szCs w:val="22"/>
              </w:rPr>
            </w:pPr>
            <w:r>
              <w:rPr>
                <w:rFonts w:cs="宋体"/>
                <w:color w:val="000000"/>
                <w:kern w:val="0"/>
                <w:sz w:val="22"/>
                <w:szCs w:val="22"/>
              </w:rPr>
              <w:t>本文件 8.3.1；</w:t>
            </w:r>
          </w:p>
        </w:tc>
      </w:tr>
      <w:tr w14:paraId="694C4427">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68A8472B">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1ABF27D9">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32686089">
            <w:pPr>
              <w:widowControl/>
              <w:jc w:val="left"/>
              <w:rPr>
                <w:rFonts w:cs="宋体"/>
                <w:color w:val="000000"/>
                <w:kern w:val="0"/>
                <w:sz w:val="22"/>
                <w:szCs w:val="22"/>
              </w:rPr>
            </w:pPr>
            <w:r>
              <w:rPr>
                <w:rFonts w:cs="宋体"/>
                <w:color w:val="000000"/>
                <w:kern w:val="0"/>
                <w:sz w:val="22"/>
                <w:szCs w:val="22"/>
              </w:rPr>
              <w:t>YD/T 3944 第 6.2.1 条 (时延测试方法)；</w:t>
            </w:r>
          </w:p>
        </w:tc>
      </w:tr>
      <w:tr w14:paraId="48D83DC1">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2DDF8AF3">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73E24CA3">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4BA30A8A">
            <w:pPr>
              <w:widowControl/>
              <w:jc w:val="left"/>
              <w:rPr>
                <w:rFonts w:cs="宋体"/>
                <w:color w:val="000000"/>
                <w:kern w:val="0"/>
                <w:sz w:val="22"/>
                <w:szCs w:val="22"/>
              </w:rPr>
            </w:pPr>
            <w:r>
              <w:rPr>
                <w:rFonts w:cs="宋体"/>
                <w:color w:val="000000"/>
                <w:kern w:val="0"/>
                <w:sz w:val="22"/>
                <w:szCs w:val="22"/>
              </w:rPr>
              <w:t xml:space="preserve">GB/T 46346 第 </w:t>
            </w:r>
            <w:r>
              <w:rPr>
                <w:rFonts w:hint="eastAsia" w:cs="宋体"/>
                <w:color w:val="000000"/>
                <w:kern w:val="0"/>
                <w:sz w:val="22"/>
                <w:szCs w:val="22"/>
              </w:rPr>
              <w:t>6.3.</w:t>
            </w:r>
            <w:r>
              <w:rPr>
                <w:rFonts w:cs="宋体"/>
                <w:color w:val="000000"/>
                <w:kern w:val="0"/>
                <w:sz w:val="22"/>
                <w:szCs w:val="22"/>
              </w:rPr>
              <w:t xml:space="preserve"> 条 (</w:t>
            </w:r>
            <w:r>
              <w:rPr>
                <w:rFonts w:hint="eastAsia" w:cs="宋体"/>
                <w:color w:val="000000"/>
                <w:kern w:val="0"/>
                <w:sz w:val="22"/>
                <w:szCs w:val="22"/>
              </w:rPr>
              <w:t>训练性能</w:t>
            </w:r>
            <w:r>
              <w:rPr>
                <w:rFonts w:cs="宋体"/>
                <w:color w:val="000000"/>
                <w:kern w:val="0"/>
                <w:sz w:val="22"/>
                <w:szCs w:val="22"/>
              </w:rPr>
              <w:t>)</w:t>
            </w:r>
          </w:p>
        </w:tc>
      </w:tr>
      <w:tr w14:paraId="7B2FDB65">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2AC5E4FD">
            <w:pPr>
              <w:widowControl/>
              <w:jc w:val="left"/>
              <w:rPr>
                <w:rFonts w:cs="宋体"/>
                <w:color w:val="000000"/>
                <w:kern w:val="0"/>
                <w:sz w:val="22"/>
                <w:szCs w:val="22"/>
              </w:rPr>
            </w:pPr>
            <w:r>
              <w:rPr>
                <w:rFonts w:cs="宋体"/>
                <w:color w:val="000000"/>
                <w:kern w:val="0"/>
                <w:sz w:val="22"/>
                <w:szCs w:val="22"/>
              </w:rPr>
              <w:t>吞吐与并发</w:t>
            </w:r>
          </w:p>
        </w:tc>
        <w:tc>
          <w:tcPr>
            <w:tcW w:w="5089" w:type="dxa"/>
            <w:vMerge w:val="restart"/>
            <w:tcBorders>
              <w:top w:val="single" w:color="000000" w:sz="4" w:space="0"/>
              <w:left w:val="single" w:color="000000" w:sz="4" w:space="0"/>
              <w:right w:val="single" w:color="000000" w:sz="4" w:space="0"/>
            </w:tcBorders>
            <w:vAlign w:val="center"/>
          </w:tcPr>
          <w:p w14:paraId="04EE8984">
            <w:pPr>
              <w:widowControl/>
              <w:jc w:val="left"/>
              <w:rPr>
                <w:rFonts w:cs="宋体"/>
                <w:color w:val="000000"/>
                <w:kern w:val="0"/>
                <w:sz w:val="22"/>
                <w:szCs w:val="22"/>
              </w:rPr>
            </w:pPr>
            <w:r>
              <w:rPr>
                <w:rFonts w:cs="宋体"/>
                <w:color w:val="000000"/>
                <w:kern w:val="0"/>
                <w:sz w:val="22"/>
                <w:szCs w:val="22"/>
              </w:rPr>
              <w:t>多路并发吞吐率(Throughput)、满载丢包率、队列堆积与资源占用</w:t>
            </w:r>
          </w:p>
        </w:tc>
        <w:tc>
          <w:tcPr>
            <w:tcW w:w="2064" w:type="dxa"/>
            <w:tcBorders>
              <w:top w:val="single" w:color="000000" w:sz="4" w:space="0"/>
              <w:left w:val="single" w:color="000000" w:sz="4" w:space="0"/>
              <w:bottom w:val="single" w:color="000000" w:sz="4" w:space="0"/>
              <w:right w:val="single" w:color="000000" w:sz="4" w:space="0"/>
            </w:tcBorders>
            <w:vAlign w:val="center"/>
          </w:tcPr>
          <w:p w14:paraId="4E1E4AFE">
            <w:pPr>
              <w:widowControl/>
              <w:jc w:val="left"/>
              <w:rPr>
                <w:rFonts w:cs="宋体"/>
                <w:color w:val="000000"/>
                <w:kern w:val="0"/>
                <w:sz w:val="22"/>
                <w:szCs w:val="22"/>
              </w:rPr>
            </w:pPr>
            <w:r>
              <w:rPr>
                <w:rFonts w:cs="宋体"/>
                <w:color w:val="000000"/>
                <w:kern w:val="0"/>
                <w:sz w:val="22"/>
                <w:szCs w:val="22"/>
              </w:rPr>
              <w:t>本文件 8.3.2；</w:t>
            </w:r>
          </w:p>
        </w:tc>
      </w:tr>
      <w:tr w14:paraId="5C54F04D">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7600ABD2">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12CC9A7E">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4E4F8959">
            <w:pPr>
              <w:widowControl/>
              <w:jc w:val="left"/>
              <w:rPr>
                <w:rFonts w:cs="宋体"/>
                <w:color w:val="000000"/>
                <w:kern w:val="0"/>
                <w:sz w:val="22"/>
                <w:szCs w:val="22"/>
              </w:rPr>
            </w:pPr>
            <w:r>
              <w:rPr>
                <w:rFonts w:cs="宋体"/>
                <w:color w:val="000000"/>
                <w:kern w:val="0"/>
                <w:sz w:val="22"/>
                <w:szCs w:val="22"/>
              </w:rPr>
              <w:t>GB/T 46346  第 6.</w:t>
            </w:r>
            <w:r>
              <w:rPr>
                <w:rFonts w:hint="eastAsia" w:cs="宋体"/>
                <w:color w:val="000000"/>
                <w:kern w:val="0"/>
                <w:sz w:val="22"/>
                <w:szCs w:val="22"/>
              </w:rPr>
              <w:t>3.1.1</w:t>
            </w:r>
            <w:r>
              <w:rPr>
                <w:rFonts w:cs="宋体"/>
                <w:color w:val="000000"/>
                <w:kern w:val="0"/>
                <w:sz w:val="22"/>
                <w:szCs w:val="22"/>
              </w:rPr>
              <w:t xml:space="preserve"> 条 (</w:t>
            </w:r>
            <w:r>
              <w:rPr>
                <w:rFonts w:hint="eastAsia" w:cs="宋体"/>
                <w:color w:val="000000"/>
                <w:kern w:val="0"/>
                <w:sz w:val="22"/>
                <w:szCs w:val="22"/>
              </w:rPr>
              <w:t>实际吞吐率</w:t>
            </w:r>
            <w:r>
              <w:rPr>
                <w:rFonts w:cs="宋体"/>
                <w:color w:val="000000"/>
                <w:kern w:val="0"/>
                <w:sz w:val="22"/>
                <w:szCs w:val="22"/>
              </w:rPr>
              <w:t>)；</w:t>
            </w:r>
          </w:p>
        </w:tc>
      </w:tr>
      <w:tr w14:paraId="5CFE7CA2">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41939310">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557DA587">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50440847">
            <w:pPr>
              <w:widowControl/>
              <w:jc w:val="left"/>
              <w:rPr>
                <w:rFonts w:cs="宋体"/>
                <w:color w:val="000000"/>
                <w:kern w:val="0"/>
                <w:sz w:val="22"/>
                <w:szCs w:val="22"/>
              </w:rPr>
            </w:pPr>
            <w:r>
              <w:rPr>
                <w:rFonts w:cs="宋体"/>
                <w:color w:val="000000"/>
                <w:kern w:val="0"/>
                <w:sz w:val="22"/>
                <w:szCs w:val="22"/>
              </w:rPr>
              <w:t>GB/T 45087 第 6.6 条 (通信性能测试)</w:t>
            </w:r>
          </w:p>
        </w:tc>
      </w:tr>
      <w:tr w14:paraId="0F0BBC3E">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2A0041D2">
            <w:pPr>
              <w:widowControl/>
              <w:jc w:val="left"/>
              <w:rPr>
                <w:rFonts w:cs="宋体"/>
                <w:color w:val="000000"/>
                <w:kern w:val="0"/>
                <w:sz w:val="22"/>
                <w:szCs w:val="22"/>
              </w:rPr>
            </w:pPr>
            <w:r>
              <w:rPr>
                <w:rFonts w:cs="宋体"/>
                <w:color w:val="000000"/>
                <w:kern w:val="0"/>
                <w:sz w:val="22"/>
                <w:szCs w:val="22"/>
              </w:rPr>
              <w:t>能效与功耗</w:t>
            </w:r>
          </w:p>
        </w:tc>
        <w:tc>
          <w:tcPr>
            <w:tcW w:w="5089" w:type="dxa"/>
            <w:vMerge w:val="restart"/>
            <w:tcBorders>
              <w:top w:val="single" w:color="000000" w:sz="4" w:space="0"/>
              <w:left w:val="single" w:color="000000" w:sz="4" w:space="0"/>
              <w:right w:val="single" w:color="000000" w:sz="4" w:space="0"/>
            </w:tcBorders>
            <w:vAlign w:val="center"/>
          </w:tcPr>
          <w:p w14:paraId="66E9EF80">
            <w:pPr>
              <w:widowControl/>
              <w:jc w:val="left"/>
              <w:rPr>
                <w:rFonts w:cs="宋体"/>
                <w:color w:val="000000"/>
                <w:kern w:val="0"/>
                <w:sz w:val="22"/>
                <w:szCs w:val="22"/>
              </w:rPr>
            </w:pPr>
            <w:r>
              <w:rPr>
                <w:rFonts w:cs="宋体"/>
                <w:color w:val="000000"/>
                <w:kern w:val="0"/>
                <w:sz w:val="22"/>
                <w:szCs w:val="22"/>
              </w:rPr>
              <w:t>典型/峰值功耗(TDP)、算力能效比(TOPS/W)、动态能效优化(DVFS)有效性</w:t>
            </w:r>
          </w:p>
        </w:tc>
        <w:tc>
          <w:tcPr>
            <w:tcW w:w="2064" w:type="dxa"/>
            <w:tcBorders>
              <w:top w:val="single" w:color="000000" w:sz="4" w:space="0"/>
              <w:left w:val="single" w:color="000000" w:sz="4" w:space="0"/>
              <w:bottom w:val="single" w:color="000000" w:sz="4" w:space="0"/>
              <w:right w:val="single" w:color="000000" w:sz="4" w:space="0"/>
            </w:tcBorders>
            <w:vAlign w:val="center"/>
          </w:tcPr>
          <w:p w14:paraId="3795F604">
            <w:pPr>
              <w:widowControl/>
              <w:jc w:val="left"/>
              <w:rPr>
                <w:rFonts w:cs="宋体"/>
                <w:color w:val="000000"/>
                <w:kern w:val="0"/>
                <w:sz w:val="22"/>
                <w:szCs w:val="22"/>
              </w:rPr>
            </w:pPr>
            <w:r>
              <w:rPr>
                <w:rFonts w:cs="宋体"/>
                <w:color w:val="000000"/>
                <w:kern w:val="0"/>
                <w:sz w:val="22"/>
                <w:szCs w:val="22"/>
              </w:rPr>
              <w:t>本文件 8.3.3；</w:t>
            </w:r>
          </w:p>
        </w:tc>
      </w:tr>
      <w:tr w14:paraId="3A82F351">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50414042">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724B047B">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42F7E116">
            <w:pPr>
              <w:widowControl/>
              <w:jc w:val="left"/>
              <w:rPr>
                <w:rFonts w:cs="宋体"/>
                <w:color w:val="000000"/>
                <w:kern w:val="0"/>
                <w:sz w:val="22"/>
                <w:szCs w:val="22"/>
              </w:rPr>
            </w:pPr>
            <w:r>
              <w:rPr>
                <w:rFonts w:cs="宋体"/>
                <w:color w:val="000000"/>
                <w:kern w:val="0"/>
                <w:sz w:val="22"/>
                <w:szCs w:val="22"/>
              </w:rPr>
              <w:t>YD/T 3944 第 6.3 条 (能效测试方法)；</w:t>
            </w:r>
          </w:p>
        </w:tc>
      </w:tr>
      <w:tr w14:paraId="7DCC46C5">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4CBD3A99">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127DE710">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0315FE5F">
            <w:pPr>
              <w:widowControl/>
              <w:jc w:val="left"/>
              <w:rPr>
                <w:rFonts w:cs="宋体"/>
                <w:color w:val="000000"/>
                <w:kern w:val="0"/>
                <w:sz w:val="22"/>
                <w:szCs w:val="22"/>
              </w:rPr>
            </w:pPr>
            <w:r>
              <w:rPr>
                <w:rFonts w:cs="宋体"/>
                <w:color w:val="000000"/>
                <w:kern w:val="0"/>
                <w:sz w:val="22"/>
                <w:szCs w:val="22"/>
              </w:rPr>
              <w:t xml:space="preserve">GB/T 46662 第 </w:t>
            </w:r>
            <w:r>
              <w:rPr>
                <w:rFonts w:hint="eastAsia" w:cs="宋体"/>
                <w:color w:val="000000"/>
                <w:kern w:val="0"/>
                <w:sz w:val="22"/>
                <w:szCs w:val="22"/>
              </w:rPr>
              <w:t>6.6</w:t>
            </w:r>
            <w:r>
              <w:rPr>
                <w:rFonts w:cs="宋体"/>
                <w:color w:val="000000"/>
                <w:kern w:val="0"/>
                <w:sz w:val="22"/>
                <w:szCs w:val="22"/>
              </w:rPr>
              <w:t xml:space="preserve"> 条 (测量</w:t>
            </w:r>
            <w:r>
              <w:rPr>
                <w:rFonts w:hint="eastAsia" w:cs="宋体"/>
                <w:color w:val="000000"/>
                <w:kern w:val="0"/>
                <w:sz w:val="22"/>
                <w:szCs w:val="22"/>
              </w:rPr>
              <w:t>方法</w:t>
            </w:r>
            <w:r>
              <w:rPr>
                <w:rFonts w:cs="宋体"/>
                <w:color w:val="000000"/>
                <w:kern w:val="0"/>
                <w:sz w:val="22"/>
                <w:szCs w:val="22"/>
              </w:rPr>
              <w:t>)</w:t>
            </w:r>
          </w:p>
        </w:tc>
      </w:tr>
      <w:tr w14:paraId="6D59063A">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20C3DF9E">
            <w:pPr>
              <w:widowControl/>
              <w:jc w:val="left"/>
              <w:rPr>
                <w:rFonts w:cs="宋体"/>
                <w:color w:val="000000"/>
                <w:kern w:val="0"/>
                <w:sz w:val="22"/>
                <w:szCs w:val="22"/>
              </w:rPr>
            </w:pPr>
            <w:r>
              <w:rPr>
                <w:rFonts w:cs="宋体"/>
                <w:color w:val="000000"/>
                <w:kern w:val="0"/>
                <w:sz w:val="22"/>
                <w:szCs w:val="22"/>
              </w:rPr>
              <w:t>协议互操作</w:t>
            </w:r>
          </w:p>
        </w:tc>
        <w:tc>
          <w:tcPr>
            <w:tcW w:w="5089" w:type="dxa"/>
            <w:vMerge w:val="restart"/>
            <w:tcBorders>
              <w:top w:val="single" w:color="000000" w:sz="4" w:space="0"/>
              <w:left w:val="single" w:color="000000" w:sz="4" w:space="0"/>
              <w:right w:val="single" w:color="000000" w:sz="4" w:space="0"/>
            </w:tcBorders>
            <w:vAlign w:val="center"/>
          </w:tcPr>
          <w:p w14:paraId="1566781C">
            <w:pPr>
              <w:widowControl/>
              <w:jc w:val="left"/>
              <w:rPr>
                <w:rFonts w:cs="宋体"/>
                <w:color w:val="000000"/>
                <w:kern w:val="0"/>
                <w:sz w:val="22"/>
                <w:szCs w:val="22"/>
              </w:rPr>
            </w:pPr>
            <w:r>
              <w:rPr>
                <w:rFonts w:cs="宋体"/>
                <w:color w:val="000000"/>
                <w:kern w:val="0"/>
                <w:sz w:val="22"/>
                <w:szCs w:val="22"/>
              </w:rPr>
              <w:t>DL/T 634.5104及Modbus报文解析正确性、超时重传、链路维护</w:t>
            </w:r>
          </w:p>
        </w:tc>
        <w:tc>
          <w:tcPr>
            <w:tcW w:w="2064" w:type="dxa"/>
            <w:tcBorders>
              <w:top w:val="single" w:color="000000" w:sz="4" w:space="0"/>
              <w:left w:val="single" w:color="000000" w:sz="4" w:space="0"/>
              <w:bottom w:val="single" w:color="000000" w:sz="4" w:space="0"/>
              <w:right w:val="single" w:color="000000" w:sz="4" w:space="0"/>
            </w:tcBorders>
            <w:vAlign w:val="center"/>
          </w:tcPr>
          <w:p w14:paraId="171A7722">
            <w:pPr>
              <w:widowControl/>
              <w:jc w:val="left"/>
              <w:rPr>
                <w:rFonts w:cs="宋体"/>
                <w:color w:val="000000"/>
                <w:kern w:val="0"/>
                <w:sz w:val="22"/>
                <w:szCs w:val="22"/>
              </w:rPr>
            </w:pPr>
            <w:r>
              <w:rPr>
                <w:rFonts w:cs="宋体"/>
                <w:color w:val="000000"/>
                <w:kern w:val="0"/>
                <w:sz w:val="22"/>
                <w:szCs w:val="22"/>
              </w:rPr>
              <w:t>本文件 8.2.5 ；</w:t>
            </w:r>
          </w:p>
        </w:tc>
      </w:tr>
      <w:tr w14:paraId="03C8469C">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0B50C5BA">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34BE1E5A">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7C9F3BDB">
            <w:pPr>
              <w:widowControl/>
              <w:jc w:val="left"/>
              <w:rPr>
                <w:rFonts w:cs="宋体"/>
                <w:color w:val="000000"/>
                <w:kern w:val="0"/>
                <w:sz w:val="22"/>
                <w:szCs w:val="22"/>
              </w:rPr>
            </w:pPr>
            <w:r>
              <w:rPr>
                <w:rFonts w:cs="宋体"/>
                <w:color w:val="000000"/>
                <w:kern w:val="0"/>
                <w:sz w:val="22"/>
                <w:szCs w:val="22"/>
              </w:rPr>
              <w:t>DL/T 634.5104 第 9 章 (互操作性测试)；</w:t>
            </w:r>
          </w:p>
        </w:tc>
      </w:tr>
      <w:tr w14:paraId="130D91E2">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35498080">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5FD38052">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4FEEB11D">
            <w:pPr>
              <w:widowControl/>
              <w:jc w:val="left"/>
              <w:rPr>
                <w:rFonts w:cs="宋体"/>
                <w:color w:val="000000"/>
                <w:kern w:val="0"/>
                <w:sz w:val="22"/>
                <w:szCs w:val="22"/>
              </w:rPr>
            </w:pPr>
            <w:r>
              <w:rPr>
                <w:rFonts w:cs="宋体"/>
                <w:color w:val="000000"/>
                <w:kern w:val="0"/>
                <w:sz w:val="22"/>
                <w:szCs w:val="22"/>
              </w:rPr>
              <w:t>GB/T 19582 第 6 章 (一致性测试)</w:t>
            </w:r>
          </w:p>
        </w:tc>
      </w:tr>
      <w:tr w14:paraId="1DC8B838">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0AA2579B">
            <w:pPr>
              <w:widowControl/>
              <w:jc w:val="left"/>
              <w:rPr>
                <w:rFonts w:cs="宋体"/>
                <w:color w:val="000000"/>
                <w:kern w:val="0"/>
                <w:sz w:val="22"/>
                <w:szCs w:val="22"/>
              </w:rPr>
            </w:pPr>
            <w:r>
              <w:rPr>
                <w:rFonts w:cs="宋体"/>
                <w:color w:val="000000"/>
                <w:kern w:val="0"/>
                <w:sz w:val="22"/>
                <w:szCs w:val="22"/>
              </w:rPr>
              <w:t>协议健壮性</w:t>
            </w:r>
          </w:p>
        </w:tc>
        <w:tc>
          <w:tcPr>
            <w:tcW w:w="5089" w:type="dxa"/>
            <w:vMerge w:val="restart"/>
            <w:tcBorders>
              <w:top w:val="single" w:color="000000" w:sz="4" w:space="0"/>
              <w:left w:val="single" w:color="000000" w:sz="4" w:space="0"/>
              <w:right w:val="single" w:color="000000" w:sz="4" w:space="0"/>
            </w:tcBorders>
            <w:vAlign w:val="center"/>
          </w:tcPr>
          <w:p w14:paraId="11079A3F">
            <w:pPr>
              <w:widowControl/>
              <w:jc w:val="left"/>
              <w:rPr>
                <w:rFonts w:cs="宋体"/>
                <w:color w:val="000000"/>
                <w:kern w:val="0"/>
                <w:sz w:val="22"/>
                <w:szCs w:val="22"/>
              </w:rPr>
            </w:pPr>
            <w:r>
              <w:rPr>
                <w:rFonts w:cs="宋体"/>
                <w:color w:val="000000"/>
                <w:kern w:val="0"/>
                <w:sz w:val="22"/>
                <w:szCs w:val="22"/>
              </w:rPr>
              <w:t>模糊测试(Fuzzing)、边界值/非法报文注入、通信风暴压力测试</w:t>
            </w:r>
          </w:p>
        </w:tc>
        <w:tc>
          <w:tcPr>
            <w:tcW w:w="2064" w:type="dxa"/>
            <w:tcBorders>
              <w:top w:val="single" w:color="000000" w:sz="4" w:space="0"/>
              <w:left w:val="single" w:color="000000" w:sz="4" w:space="0"/>
              <w:bottom w:val="single" w:color="000000" w:sz="4" w:space="0"/>
              <w:right w:val="single" w:color="000000" w:sz="4" w:space="0"/>
            </w:tcBorders>
            <w:vAlign w:val="center"/>
          </w:tcPr>
          <w:p w14:paraId="6BB51A8E">
            <w:pPr>
              <w:widowControl/>
              <w:jc w:val="left"/>
              <w:rPr>
                <w:rFonts w:cs="宋体"/>
                <w:color w:val="000000"/>
                <w:kern w:val="0"/>
                <w:sz w:val="22"/>
                <w:szCs w:val="22"/>
              </w:rPr>
            </w:pPr>
            <w:r>
              <w:rPr>
                <w:rFonts w:cs="宋体"/>
                <w:color w:val="000000"/>
                <w:kern w:val="0"/>
                <w:sz w:val="22"/>
                <w:szCs w:val="22"/>
              </w:rPr>
              <w:t>本文件 8.4.2；</w:t>
            </w:r>
          </w:p>
        </w:tc>
      </w:tr>
      <w:tr w14:paraId="3D9B3858">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384FEEEC">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6D8D9E83">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6D06EC11">
            <w:pPr>
              <w:widowControl/>
              <w:jc w:val="left"/>
              <w:rPr>
                <w:rFonts w:cs="宋体"/>
                <w:color w:val="000000"/>
                <w:kern w:val="0"/>
                <w:sz w:val="22"/>
                <w:szCs w:val="22"/>
              </w:rPr>
            </w:pPr>
            <w:r>
              <w:rPr>
                <w:rFonts w:cs="宋体"/>
                <w:color w:val="000000"/>
                <w:kern w:val="0"/>
                <w:sz w:val="22"/>
                <w:szCs w:val="22"/>
              </w:rPr>
              <w:t>GB/T 40813 第 7.2.2 条 (通信健壮性测试)；</w:t>
            </w:r>
          </w:p>
        </w:tc>
      </w:tr>
      <w:tr w14:paraId="33B1B421">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06CD5EAA">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0FB5594E">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3B2FCBFE">
            <w:pPr>
              <w:widowControl/>
              <w:jc w:val="left"/>
              <w:rPr>
                <w:rFonts w:cs="宋体"/>
                <w:color w:val="000000"/>
                <w:kern w:val="0"/>
                <w:sz w:val="22"/>
                <w:szCs w:val="22"/>
              </w:rPr>
            </w:pPr>
            <w:r>
              <w:rPr>
                <w:rFonts w:cs="宋体"/>
                <w:color w:val="000000"/>
                <w:kern w:val="0"/>
                <w:sz w:val="22"/>
                <w:szCs w:val="22"/>
              </w:rPr>
              <w:t>GB/T 28448 第 8.1.3.3 条 (入侵防范测评)</w:t>
            </w:r>
          </w:p>
        </w:tc>
      </w:tr>
      <w:tr w14:paraId="07E5B59F">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43581C32">
            <w:pPr>
              <w:widowControl/>
              <w:jc w:val="left"/>
              <w:rPr>
                <w:rFonts w:cs="宋体"/>
                <w:color w:val="000000"/>
                <w:kern w:val="0"/>
                <w:sz w:val="22"/>
                <w:szCs w:val="22"/>
              </w:rPr>
            </w:pPr>
            <w:r>
              <w:rPr>
                <w:rFonts w:cs="宋体"/>
                <w:color w:val="000000"/>
                <w:kern w:val="0"/>
                <w:sz w:val="22"/>
                <w:szCs w:val="22"/>
              </w:rPr>
              <w:t>数据安全</w:t>
            </w:r>
          </w:p>
        </w:tc>
        <w:tc>
          <w:tcPr>
            <w:tcW w:w="5089" w:type="dxa"/>
            <w:vMerge w:val="restart"/>
            <w:tcBorders>
              <w:top w:val="single" w:color="000000" w:sz="4" w:space="0"/>
              <w:left w:val="single" w:color="000000" w:sz="4" w:space="0"/>
              <w:right w:val="single" w:color="000000" w:sz="4" w:space="0"/>
            </w:tcBorders>
            <w:vAlign w:val="center"/>
          </w:tcPr>
          <w:p w14:paraId="263E8B93">
            <w:pPr>
              <w:widowControl/>
              <w:jc w:val="left"/>
              <w:rPr>
                <w:rFonts w:cs="宋体"/>
                <w:color w:val="000000"/>
                <w:kern w:val="0"/>
                <w:sz w:val="22"/>
                <w:szCs w:val="22"/>
              </w:rPr>
            </w:pPr>
            <w:r>
              <w:rPr>
                <w:rFonts w:cs="宋体"/>
                <w:color w:val="000000"/>
                <w:kern w:val="0"/>
                <w:sz w:val="22"/>
                <w:szCs w:val="22"/>
              </w:rPr>
              <w:t>国密算法(SM4)加密存储、SM3完整性校验、隐私计算/联邦学习验证</w:t>
            </w:r>
          </w:p>
        </w:tc>
        <w:tc>
          <w:tcPr>
            <w:tcW w:w="2064" w:type="dxa"/>
            <w:tcBorders>
              <w:top w:val="single" w:color="000000" w:sz="4" w:space="0"/>
              <w:left w:val="single" w:color="000000" w:sz="4" w:space="0"/>
              <w:bottom w:val="single" w:color="000000" w:sz="4" w:space="0"/>
              <w:right w:val="single" w:color="000000" w:sz="4" w:space="0"/>
            </w:tcBorders>
            <w:vAlign w:val="center"/>
          </w:tcPr>
          <w:p w14:paraId="487D3EF9">
            <w:pPr>
              <w:widowControl/>
              <w:jc w:val="left"/>
              <w:rPr>
                <w:rFonts w:cs="宋体"/>
                <w:color w:val="000000"/>
                <w:kern w:val="0"/>
                <w:sz w:val="22"/>
                <w:szCs w:val="22"/>
              </w:rPr>
            </w:pPr>
            <w:r>
              <w:rPr>
                <w:rFonts w:cs="宋体"/>
                <w:color w:val="000000"/>
                <w:kern w:val="0"/>
                <w:sz w:val="22"/>
                <w:szCs w:val="22"/>
              </w:rPr>
              <w:t>本文件 8.4.1；</w:t>
            </w:r>
          </w:p>
        </w:tc>
      </w:tr>
      <w:tr w14:paraId="22E38BF2">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12753C1A">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368F72C9">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38334B7B">
            <w:pPr>
              <w:widowControl/>
              <w:jc w:val="left"/>
              <w:rPr>
                <w:rFonts w:cs="宋体"/>
                <w:color w:val="000000"/>
                <w:kern w:val="0"/>
                <w:sz w:val="22"/>
                <w:szCs w:val="22"/>
              </w:rPr>
            </w:pPr>
            <w:r>
              <w:rPr>
                <w:rFonts w:cs="宋体"/>
                <w:color w:val="000000"/>
                <w:kern w:val="0"/>
                <w:sz w:val="22"/>
                <w:szCs w:val="22"/>
              </w:rPr>
              <w:t>GB/T 41479 第 6.2 条 (数据存储安全)；</w:t>
            </w:r>
          </w:p>
        </w:tc>
      </w:tr>
      <w:tr w14:paraId="726E7FDD">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0E7C89BA">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5ABC4AA2">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04880D2F">
            <w:pPr>
              <w:widowControl/>
              <w:jc w:val="left"/>
              <w:rPr>
                <w:rFonts w:cs="宋体"/>
                <w:color w:val="000000"/>
                <w:kern w:val="0"/>
                <w:sz w:val="22"/>
                <w:szCs w:val="22"/>
              </w:rPr>
            </w:pPr>
            <w:r>
              <w:rPr>
                <w:rFonts w:cs="宋体"/>
                <w:color w:val="000000"/>
                <w:kern w:val="0"/>
                <w:sz w:val="22"/>
                <w:szCs w:val="22"/>
              </w:rPr>
              <w:t>GB/T 37044 第 6.3 条 (数据保护要求)</w:t>
            </w:r>
          </w:p>
        </w:tc>
      </w:tr>
      <w:tr w14:paraId="3CC16FA9">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142C3F8B">
            <w:pPr>
              <w:widowControl/>
              <w:jc w:val="left"/>
              <w:rPr>
                <w:rFonts w:cs="宋体"/>
                <w:color w:val="000000"/>
                <w:kern w:val="0"/>
                <w:sz w:val="22"/>
                <w:szCs w:val="22"/>
              </w:rPr>
            </w:pPr>
            <w:r>
              <w:rPr>
                <w:rFonts w:cs="宋体"/>
                <w:color w:val="000000"/>
                <w:kern w:val="0"/>
                <w:sz w:val="22"/>
                <w:szCs w:val="22"/>
              </w:rPr>
              <w:t>访问控制</w:t>
            </w:r>
          </w:p>
        </w:tc>
        <w:tc>
          <w:tcPr>
            <w:tcW w:w="5089" w:type="dxa"/>
            <w:vMerge w:val="restart"/>
            <w:tcBorders>
              <w:top w:val="single" w:color="000000" w:sz="4" w:space="0"/>
              <w:left w:val="single" w:color="000000" w:sz="4" w:space="0"/>
              <w:right w:val="single" w:color="000000" w:sz="4" w:space="0"/>
            </w:tcBorders>
            <w:vAlign w:val="center"/>
          </w:tcPr>
          <w:p w14:paraId="008E6D86">
            <w:pPr>
              <w:widowControl/>
              <w:jc w:val="left"/>
              <w:rPr>
                <w:rFonts w:cs="宋体"/>
                <w:color w:val="000000"/>
                <w:kern w:val="0"/>
                <w:sz w:val="22"/>
                <w:szCs w:val="22"/>
              </w:rPr>
            </w:pPr>
            <w:r>
              <w:rPr>
                <w:rFonts w:cs="宋体"/>
                <w:color w:val="000000"/>
                <w:kern w:val="0"/>
                <w:sz w:val="22"/>
                <w:szCs w:val="22"/>
              </w:rPr>
              <w:t>身份认证(SM2)、零信任动态鉴权、最小权限(ABAC)策略执行</w:t>
            </w:r>
          </w:p>
        </w:tc>
        <w:tc>
          <w:tcPr>
            <w:tcW w:w="2064" w:type="dxa"/>
            <w:tcBorders>
              <w:top w:val="single" w:color="000000" w:sz="4" w:space="0"/>
              <w:left w:val="single" w:color="000000" w:sz="4" w:space="0"/>
              <w:bottom w:val="single" w:color="000000" w:sz="4" w:space="0"/>
              <w:right w:val="single" w:color="000000" w:sz="4" w:space="0"/>
            </w:tcBorders>
            <w:vAlign w:val="center"/>
          </w:tcPr>
          <w:p w14:paraId="730C5FBB">
            <w:pPr>
              <w:widowControl/>
              <w:jc w:val="left"/>
              <w:rPr>
                <w:rFonts w:cs="宋体"/>
                <w:color w:val="000000"/>
                <w:kern w:val="0"/>
                <w:sz w:val="22"/>
                <w:szCs w:val="22"/>
              </w:rPr>
            </w:pPr>
            <w:r>
              <w:rPr>
                <w:rFonts w:cs="宋体"/>
                <w:color w:val="000000"/>
                <w:kern w:val="0"/>
                <w:sz w:val="22"/>
                <w:szCs w:val="22"/>
              </w:rPr>
              <w:t>本文件 8.4.3；</w:t>
            </w:r>
          </w:p>
        </w:tc>
      </w:tr>
      <w:tr w14:paraId="47F8DF51">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63E58CF8">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785DF97B">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4838D965">
            <w:pPr>
              <w:widowControl/>
              <w:jc w:val="left"/>
              <w:rPr>
                <w:rFonts w:cs="宋体"/>
                <w:color w:val="000000"/>
                <w:kern w:val="0"/>
                <w:sz w:val="22"/>
                <w:szCs w:val="22"/>
              </w:rPr>
            </w:pPr>
            <w:r>
              <w:rPr>
                <w:rFonts w:cs="宋体"/>
                <w:color w:val="000000"/>
                <w:kern w:val="0"/>
                <w:sz w:val="22"/>
                <w:szCs w:val="22"/>
              </w:rPr>
              <w:t>GB/T 43696 第</w:t>
            </w:r>
            <w:r>
              <w:rPr>
                <w:rFonts w:hint="eastAsia" w:cs="宋体"/>
                <w:color w:val="000000"/>
                <w:kern w:val="0"/>
                <w:sz w:val="22"/>
                <w:szCs w:val="22"/>
              </w:rPr>
              <w:t>6章（核心组件）、第</w:t>
            </w:r>
            <w:r>
              <w:rPr>
                <w:rFonts w:cs="宋体"/>
                <w:color w:val="000000"/>
                <w:kern w:val="0"/>
                <w:sz w:val="22"/>
                <w:szCs w:val="22"/>
              </w:rPr>
              <w:t xml:space="preserve"> 7 章 (</w:t>
            </w:r>
            <w:r>
              <w:rPr>
                <w:rFonts w:hint="eastAsia" w:cs="宋体"/>
                <w:color w:val="000000"/>
                <w:kern w:val="0"/>
                <w:sz w:val="22"/>
                <w:szCs w:val="22"/>
              </w:rPr>
              <w:t>支撑组件</w:t>
            </w:r>
            <w:r>
              <w:rPr>
                <w:rFonts w:cs="宋体"/>
                <w:color w:val="000000"/>
                <w:kern w:val="0"/>
                <w:sz w:val="22"/>
                <w:szCs w:val="22"/>
              </w:rPr>
              <w:t>)；</w:t>
            </w:r>
          </w:p>
        </w:tc>
      </w:tr>
      <w:tr w14:paraId="775FE29F">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319C0849">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49F69489">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13AD3892">
            <w:pPr>
              <w:widowControl/>
              <w:jc w:val="left"/>
              <w:rPr>
                <w:rFonts w:cs="宋体"/>
                <w:color w:val="000000"/>
                <w:kern w:val="0"/>
                <w:sz w:val="22"/>
                <w:szCs w:val="22"/>
              </w:rPr>
            </w:pPr>
            <w:r>
              <w:rPr>
                <w:rFonts w:cs="宋体"/>
                <w:color w:val="000000"/>
                <w:kern w:val="0"/>
                <w:sz w:val="22"/>
                <w:szCs w:val="22"/>
              </w:rPr>
              <w:t xml:space="preserve">GB/T 28448 第 </w:t>
            </w:r>
            <w:r>
              <w:rPr>
                <w:rFonts w:hint="eastAsia" w:cs="宋体"/>
                <w:color w:val="000000"/>
                <w:kern w:val="0"/>
                <w:sz w:val="22"/>
                <w:szCs w:val="22"/>
              </w:rPr>
              <w:t>6.3，7.3，8.3，9.3</w:t>
            </w:r>
            <w:r>
              <w:rPr>
                <w:rFonts w:cs="宋体"/>
                <w:color w:val="000000"/>
                <w:kern w:val="0"/>
                <w:sz w:val="22"/>
                <w:szCs w:val="22"/>
              </w:rPr>
              <w:t xml:space="preserve"> 条 (</w:t>
            </w:r>
            <w:r>
              <w:rPr>
                <w:rFonts w:hint="eastAsia" w:cs="宋体"/>
                <w:color w:val="000000"/>
                <w:kern w:val="0"/>
                <w:sz w:val="22"/>
                <w:szCs w:val="22"/>
              </w:rPr>
              <w:t>移动互联网安全测评扩展要求</w:t>
            </w:r>
            <w:r>
              <w:rPr>
                <w:rFonts w:cs="宋体"/>
                <w:color w:val="000000"/>
                <w:kern w:val="0"/>
                <w:sz w:val="22"/>
                <w:szCs w:val="22"/>
              </w:rPr>
              <w:t>)</w:t>
            </w:r>
          </w:p>
        </w:tc>
      </w:tr>
      <w:tr w14:paraId="51EB4989">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3485E6B2">
            <w:pPr>
              <w:widowControl/>
              <w:jc w:val="left"/>
              <w:rPr>
                <w:rFonts w:cs="宋体"/>
                <w:color w:val="000000"/>
                <w:kern w:val="0"/>
                <w:sz w:val="22"/>
                <w:szCs w:val="22"/>
              </w:rPr>
            </w:pPr>
            <w:r>
              <w:rPr>
                <w:rFonts w:cs="宋体"/>
                <w:color w:val="000000"/>
                <w:kern w:val="0"/>
                <w:sz w:val="22"/>
                <w:szCs w:val="22"/>
              </w:rPr>
              <w:t>控制安全</w:t>
            </w:r>
          </w:p>
        </w:tc>
        <w:tc>
          <w:tcPr>
            <w:tcW w:w="5089" w:type="dxa"/>
            <w:vMerge w:val="restart"/>
            <w:tcBorders>
              <w:top w:val="single" w:color="000000" w:sz="4" w:space="0"/>
              <w:left w:val="single" w:color="000000" w:sz="4" w:space="0"/>
              <w:right w:val="single" w:color="000000" w:sz="4" w:space="0"/>
            </w:tcBorders>
            <w:vAlign w:val="center"/>
          </w:tcPr>
          <w:p w14:paraId="0FF01B1A">
            <w:pPr>
              <w:widowControl/>
              <w:jc w:val="left"/>
              <w:rPr>
                <w:rFonts w:cs="宋体"/>
                <w:color w:val="000000"/>
                <w:kern w:val="0"/>
                <w:sz w:val="22"/>
                <w:szCs w:val="22"/>
              </w:rPr>
            </w:pPr>
            <w:r>
              <w:rPr>
                <w:rFonts w:cs="宋体"/>
                <w:color w:val="000000"/>
                <w:kern w:val="0"/>
                <w:sz w:val="22"/>
                <w:szCs w:val="22"/>
              </w:rPr>
              <w:t>关键指令防篡改、互斥逻辑校验、故障导向安全(Fail-safe)机制</w:t>
            </w:r>
          </w:p>
        </w:tc>
        <w:tc>
          <w:tcPr>
            <w:tcW w:w="2064" w:type="dxa"/>
            <w:tcBorders>
              <w:top w:val="single" w:color="000000" w:sz="4" w:space="0"/>
              <w:left w:val="single" w:color="000000" w:sz="4" w:space="0"/>
              <w:bottom w:val="single" w:color="000000" w:sz="4" w:space="0"/>
              <w:right w:val="single" w:color="000000" w:sz="4" w:space="0"/>
            </w:tcBorders>
            <w:vAlign w:val="center"/>
          </w:tcPr>
          <w:p w14:paraId="094C5F28">
            <w:pPr>
              <w:widowControl/>
              <w:jc w:val="left"/>
              <w:rPr>
                <w:rFonts w:cs="宋体"/>
                <w:color w:val="000000"/>
                <w:kern w:val="0"/>
                <w:sz w:val="22"/>
                <w:szCs w:val="22"/>
              </w:rPr>
            </w:pPr>
            <w:r>
              <w:rPr>
                <w:rFonts w:cs="宋体"/>
                <w:color w:val="000000"/>
                <w:kern w:val="0"/>
                <w:sz w:val="22"/>
                <w:szCs w:val="22"/>
              </w:rPr>
              <w:t>本文件 8.4.5 (原8.4.4)；</w:t>
            </w:r>
          </w:p>
        </w:tc>
      </w:tr>
      <w:tr w14:paraId="0D14E697">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4A70FBF6">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6B7EFB7C">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0182AC34">
            <w:pPr>
              <w:widowControl/>
              <w:jc w:val="left"/>
              <w:rPr>
                <w:rFonts w:cs="宋体"/>
                <w:color w:val="000000"/>
                <w:kern w:val="0"/>
                <w:sz w:val="22"/>
                <w:szCs w:val="22"/>
              </w:rPr>
            </w:pPr>
            <w:r>
              <w:rPr>
                <w:rFonts w:cs="宋体"/>
                <w:color w:val="000000"/>
                <w:kern w:val="0"/>
                <w:sz w:val="22"/>
                <w:szCs w:val="22"/>
              </w:rPr>
              <w:t xml:space="preserve">GB/T 36572 第 </w:t>
            </w:r>
            <w:r>
              <w:rPr>
                <w:rFonts w:hint="eastAsia" w:cs="宋体"/>
                <w:color w:val="000000"/>
                <w:kern w:val="0"/>
                <w:sz w:val="22"/>
                <w:szCs w:val="22"/>
              </w:rPr>
              <w:t>6</w:t>
            </w:r>
            <w:r>
              <w:rPr>
                <w:rFonts w:cs="宋体"/>
                <w:color w:val="000000"/>
                <w:kern w:val="0"/>
                <w:sz w:val="22"/>
                <w:szCs w:val="22"/>
              </w:rPr>
              <w:t>.2 条 (</w:t>
            </w:r>
            <w:r>
              <w:rPr>
                <w:rFonts w:hint="eastAsia" w:cs="宋体"/>
                <w:color w:val="000000"/>
                <w:kern w:val="0"/>
                <w:sz w:val="22"/>
                <w:szCs w:val="22"/>
              </w:rPr>
              <w:t>体系结构安全</w:t>
            </w:r>
            <w:r>
              <w:rPr>
                <w:rFonts w:cs="宋体"/>
                <w:color w:val="000000"/>
                <w:kern w:val="0"/>
                <w:sz w:val="22"/>
                <w:szCs w:val="22"/>
              </w:rPr>
              <w:t>)；</w:t>
            </w:r>
          </w:p>
        </w:tc>
      </w:tr>
      <w:tr w14:paraId="534F3C0C">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75DEDBF6">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01A95F0D">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59B0162A">
            <w:pPr>
              <w:widowControl/>
              <w:jc w:val="left"/>
              <w:rPr>
                <w:rFonts w:cs="宋体"/>
                <w:color w:val="000000"/>
                <w:kern w:val="0"/>
                <w:sz w:val="22"/>
                <w:szCs w:val="22"/>
              </w:rPr>
            </w:pPr>
            <w:r>
              <w:rPr>
                <w:rFonts w:cs="宋体"/>
                <w:color w:val="000000"/>
                <w:kern w:val="0"/>
                <w:sz w:val="22"/>
                <w:szCs w:val="22"/>
              </w:rPr>
              <w:t>GB/T 33592 第 6条</w:t>
            </w:r>
            <w:r>
              <w:rPr>
                <w:rFonts w:hint="eastAsia" w:cs="宋体"/>
                <w:color w:val="000000"/>
                <w:kern w:val="0"/>
                <w:sz w:val="22"/>
                <w:szCs w:val="22"/>
              </w:rPr>
              <w:t>章</w:t>
            </w:r>
            <w:r>
              <w:rPr>
                <w:rFonts w:cs="宋体"/>
                <w:color w:val="000000"/>
                <w:kern w:val="0"/>
                <w:sz w:val="22"/>
                <w:szCs w:val="22"/>
              </w:rPr>
              <w:t>(</w:t>
            </w:r>
            <w:r>
              <w:rPr>
                <w:rFonts w:hint="eastAsia" w:cs="宋体"/>
                <w:color w:val="000000"/>
                <w:kern w:val="0"/>
                <w:sz w:val="22"/>
                <w:szCs w:val="22"/>
              </w:rPr>
              <w:t>电网异常响应</w:t>
            </w:r>
            <w:r>
              <w:rPr>
                <w:rFonts w:cs="宋体"/>
                <w:color w:val="000000"/>
                <w:kern w:val="0"/>
                <w:sz w:val="22"/>
                <w:szCs w:val="22"/>
              </w:rPr>
              <w:t>)</w:t>
            </w:r>
          </w:p>
        </w:tc>
      </w:tr>
      <w:tr w14:paraId="5A831A01">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21BF8828">
            <w:pPr>
              <w:widowControl/>
              <w:jc w:val="left"/>
              <w:rPr>
                <w:rFonts w:cs="宋体"/>
                <w:color w:val="000000"/>
                <w:kern w:val="0"/>
                <w:sz w:val="22"/>
                <w:szCs w:val="22"/>
              </w:rPr>
            </w:pPr>
            <w:r>
              <w:rPr>
                <w:rFonts w:cs="宋体"/>
                <w:color w:val="000000"/>
                <w:kern w:val="0"/>
                <w:sz w:val="22"/>
                <w:szCs w:val="22"/>
              </w:rPr>
              <w:t>芯片内生安全</w:t>
            </w:r>
          </w:p>
        </w:tc>
        <w:tc>
          <w:tcPr>
            <w:tcW w:w="5089" w:type="dxa"/>
            <w:vMerge w:val="restart"/>
            <w:tcBorders>
              <w:top w:val="single" w:color="000000" w:sz="4" w:space="0"/>
              <w:left w:val="single" w:color="000000" w:sz="4" w:space="0"/>
              <w:right w:val="single" w:color="000000" w:sz="4" w:space="0"/>
            </w:tcBorders>
            <w:vAlign w:val="center"/>
          </w:tcPr>
          <w:p w14:paraId="4BD71A4E">
            <w:pPr>
              <w:widowControl/>
              <w:jc w:val="left"/>
              <w:rPr>
                <w:rFonts w:cs="宋体"/>
                <w:color w:val="000000"/>
                <w:kern w:val="0"/>
                <w:sz w:val="22"/>
                <w:szCs w:val="22"/>
              </w:rPr>
            </w:pPr>
            <w:r>
              <w:rPr>
                <w:rFonts w:cs="宋体"/>
                <w:color w:val="000000"/>
                <w:kern w:val="0"/>
                <w:sz w:val="22"/>
                <w:szCs w:val="22"/>
              </w:rPr>
              <w:t>硬件指纹唯一性、抗侧信道/物理攻击、模型对抗样本防御</w:t>
            </w:r>
          </w:p>
        </w:tc>
        <w:tc>
          <w:tcPr>
            <w:tcW w:w="2064" w:type="dxa"/>
            <w:tcBorders>
              <w:top w:val="single" w:color="000000" w:sz="4" w:space="0"/>
              <w:left w:val="single" w:color="000000" w:sz="4" w:space="0"/>
              <w:bottom w:val="single" w:color="000000" w:sz="4" w:space="0"/>
              <w:right w:val="single" w:color="000000" w:sz="4" w:space="0"/>
            </w:tcBorders>
            <w:vAlign w:val="center"/>
          </w:tcPr>
          <w:p w14:paraId="16190FE2">
            <w:pPr>
              <w:widowControl/>
              <w:jc w:val="left"/>
              <w:rPr>
                <w:rFonts w:cs="宋体"/>
                <w:color w:val="000000"/>
                <w:kern w:val="0"/>
                <w:sz w:val="22"/>
                <w:szCs w:val="22"/>
              </w:rPr>
            </w:pPr>
            <w:r>
              <w:rPr>
                <w:rFonts w:cs="宋体"/>
                <w:color w:val="000000"/>
                <w:kern w:val="0"/>
                <w:sz w:val="22"/>
                <w:szCs w:val="22"/>
              </w:rPr>
              <w:t>本文件 8.4.4 及 8.4.6；</w:t>
            </w:r>
          </w:p>
        </w:tc>
      </w:tr>
      <w:tr w14:paraId="69F08296">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61210B27">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4BB5B713">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153D40ED">
            <w:pPr>
              <w:widowControl/>
              <w:jc w:val="left"/>
              <w:rPr>
                <w:rFonts w:cs="宋体"/>
                <w:color w:val="000000"/>
                <w:kern w:val="0"/>
                <w:sz w:val="22"/>
                <w:szCs w:val="22"/>
              </w:rPr>
            </w:pPr>
            <w:r>
              <w:rPr>
                <w:rFonts w:cs="宋体"/>
                <w:color w:val="000000"/>
                <w:kern w:val="0"/>
                <w:sz w:val="22"/>
                <w:szCs w:val="22"/>
              </w:rPr>
              <w:t xml:space="preserve">GB/T 46284第 </w:t>
            </w:r>
            <w:r>
              <w:rPr>
                <w:rFonts w:hint="eastAsia" w:cs="宋体"/>
                <w:color w:val="000000"/>
                <w:kern w:val="0"/>
                <w:sz w:val="22"/>
                <w:szCs w:val="22"/>
              </w:rPr>
              <w:t>9</w:t>
            </w:r>
            <w:r>
              <w:rPr>
                <w:rFonts w:cs="宋体"/>
                <w:color w:val="000000"/>
                <w:kern w:val="0"/>
                <w:sz w:val="22"/>
                <w:szCs w:val="22"/>
              </w:rPr>
              <w:t xml:space="preserve"> 章 (联邦学习测试)</w:t>
            </w:r>
          </w:p>
        </w:tc>
      </w:tr>
      <w:tr w14:paraId="2FFDBE07">
        <w:tblPrEx>
          <w:tblCellMar>
            <w:top w:w="0" w:type="dxa"/>
            <w:left w:w="108" w:type="dxa"/>
            <w:bottom w:w="0" w:type="dxa"/>
            <w:right w:w="108" w:type="dxa"/>
          </w:tblCellMar>
        </w:tblPrEx>
        <w:trPr>
          <w:trHeight w:val="576" w:hRule="atLeast"/>
        </w:trPr>
        <w:tc>
          <w:tcPr>
            <w:tcW w:w="2112" w:type="dxa"/>
            <w:vMerge w:val="restart"/>
            <w:tcBorders>
              <w:top w:val="single" w:color="000000" w:sz="4" w:space="0"/>
              <w:left w:val="single" w:color="000000" w:sz="4" w:space="0"/>
              <w:right w:val="single" w:color="000000" w:sz="4" w:space="0"/>
            </w:tcBorders>
            <w:vAlign w:val="center"/>
          </w:tcPr>
          <w:p w14:paraId="4ACEA110">
            <w:pPr>
              <w:widowControl/>
              <w:jc w:val="left"/>
              <w:rPr>
                <w:rFonts w:cs="宋体"/>
                <w:color w:val="000000"/>
                <w:kern w:val="0"/>
                <w:sz w:val="22"/>
                <w:szCs w:val="22"/>
              </w:rPr>
            </w:pPr>
            <w:r>
              <w:rPr>
                <w:rFonts w:cs="宋体"/>
                <w:color w:val="000000"/>
                <w:kern w:val="0"/>
                <w:sz w:val="22"/>
                <w:szCs w:val="22"/>
              </w:rPr>
              <w:t>环境与可靠性</w:t>
            </w:r>
          </w:p>
        </w:tc>
        <w:tc>
          <w:tcPr>
            <w:tcW w:w="5089" w:type="dxa"/>
            <w:vMerge w:val="restart"/>
            <w:tcBorders>
              <w:top w:val="single" w:color="000000" w:sz="4" w:space="0"/>
              <w:left w:val="single" w:color="000000" w:sz="4" w:space="0"/>
              <w:right w:val="single" w:color="000000" w:sz="4" w:space="0"/>
            </w:tcBorders>
            <w:vAlign w:val="center"/>
          </w:tcPr>
          <w:p w14:paraId="7405C437">
            <w:pPr>
              <w:widowControl/>
              <w:jc w:val="left"/>
              <w:rPr>
                <w:rFonts w:cs="宋体"/>
                <w:color w:val="000000"/>
                <w:kern w:val="0"/>
                <w:sz w:val="22"/>
                <w:szCs w:val="22"/>
              </w:rPr>
            </w:pPr>
            <w:r>
              <w:rPr>
                <w:rFonts w:cs="宋体"/>
                <w:color w:val="000000"/>
                <w:kern w:val="0"/>
                <w:sz w:val="22"/>
                <w:szCs w:val="22"/>
              </w:rPr>
              <w:t>高低温(-40~85℃)运行、长期稳定性(MTBF)、热失控防护</w:t>
            </w:r>
          </w:p>
        </w:tc>
        <w:tc>
          <w:tcPr>
            <w:tcW w:w="2064" w:type="dxa"/>
            <w:tcBorders>
              <w:top w:val="single" w:color="000000" w:sz="4" w:space="0"/>
              <w:left w:val="single" w:color="000000" w:sz="4" w:space="0"/>
              <w:bottom w:val="single" w:color="000000" w:sz="4" w:space="0"/>
              <w:right w:val="single" w:color="000000" w:sz="4" w:space="0"/>
            </w:tcBorders>
            <w:vAlign w:val="center"/>
          </w:tcPr>
          <w:p w14:paraId="1C457748">
            <w:pPr>
              <w:widowControl/>
              <w:jc w:val="left"/>
              <w:rPr>
                <w:rFonts w:cs="宋体"/>
                <w:color w:val="000000"/>
                <w:kern w:val="0"/>
                <w:sz w:val="22"/>
                <w:szCs w:val="22"/>
              </w:rPr>
            </w:pPr>
            <w:r>
              <w:rPr>
                <w:rFonts w:cs="宋体"/>
                <w:color w:val="000000"/>
                <w:kern w:val="0"/>
                <w:sz w:val="22"/>
                <w:szCs w:val="22"/>
              </w:rPr>
              <w:t>本文件 8.3.4 (原8.2.4)；</w:t>
            </w:r>
          </w:p>
        </w:tc>
      </w:tr>
      <w:tr w14:paraId="563DCB86">
        <w:tblPrEx>
          <w:tblCellMar>
            <w:top w:w="0" w:type="dxa"/>
            <w:left w:w="108" w:type="dxa"/>
            <w:bottom w:w="0" w:type="dxa"/>
            <w:right w:w="108" w:type="dxa"/>
          </w:tblCellMar>
        </w:tblPrEx>
        <w:trPr>
          <w:trHeight w:val="576" w:hRule="atLeast"/>
        </w:trPr>
        <w:tc>
          <w:tcPr>
            <w:tcW w:w="2112" w:type="dxa"/>
            <w:vMerge w:val="continue"/>
            <w:tcBorders>
              <w:left w:val="single" w:color="000000" w:sz="4" w:space="0"/>
              <w:right w:val="single" w:color="000000" w:sz="4" w:space="0"/>
            </w:tcBorders>
            <w:vAlign w:val="center"/>
          </w:tcPr>
          <w:p w14:paraId="346FE737">
            <w:pPr>
              <w:widowControl/>
              <w:jc w:val="left"/>
              <w:rPr>
                <w:rFonts w:cs="宋体"/>
                <w:color w:val="000000"/>
                <w:kern w:val="0"/>
                <w:sz w:val="22"/>
                <w:szCs w:val="22"/>
              </w:rPr>
            </w:pPr>
          </w:p>
        </w:tc>
        <w:tc>
          <w:tcPr>
            <w:tcW w:w="5089" w:type="dxa"/>
            <w:vMerge w:val="continue"/>
            <w:tcBorders>
              <w:left w:val="single" w:color="000000" w:sz="4" w:space="0"/>
              <w:right w:val="single" w:color="000000" w:sz="4" w:space="0"/>
            </w:tcBorders>
            <w:vAlign w:val="center"/>
          </w:tcPr>
          <w:p w14:paraId="4405E632">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315CF55D">
            <w:pPr>
              <w:widowControl/>
              <w:jc w:val="left"/>
              <w:rPr>
                <w:rFonts w:cs="宋体"/>
                <w:color w:val="000000"/>
                <w:kern w:val="0"/>
                <w:sz w:val="22"/>
                <w:szCs w:val="22"/>
              </w:rPr>
            </w:pPr>
            <w:r>
              <w:rPr>
                <w:rFonts w:cs="宋体"/>
                <w:color w:val="000000"/>
                <w:kern w:val="0"/>
                <w:sz w:val="22"/>
                <w:szCs w:val="22"/>
              </w:rPr>
              <w:t>GB/T 2423.1 (试验A:低温) / .2 (试验B:高温)；</w:t>
            </w:r>
          </w:p>
        </w:tc>
      </w:tr>
      <w:tr w14:paraId="58D733C0">
        <w:tblPrEx>
          <w:tblCellMar>
            <w:top w:w="0" w:type="dxa"/>
            <w:left w:w="108" w:type="dxa"/>
            <w:bottom w:w="0" w:type="dxa"/>
            <w:right w:w="108" w:type="dxa"/>
          </w:tblCellMar>
        </w:tblPrEx>
        <w:trPr>
          <w:trHeight w:val="576" w:hRule="atLeast"/>
        </w:trPr>
        <w:tc>
          <w:tcPr>
            <w:tcW w:w="2112" w:type="dxa"/>
            <w:vMerge w:val="continue"/>
            <w:tcBorders>
              <w:left w:val="single" w:color="000000" w:sz="4" w:space="0"/>
              <w:bottom w:val="single" w:color="000000" w:sz="4" w:space="0"/>
              <w:right w:val="single" w:color="000000" w:sz="4" w:space="0"/>
            </w:tcBorders>
            <w:vAlign w:val="center"/>
          </w:tcPr>
          <w:p w14:paraId="1BB5AC3F">
            <w:pPr>
              <w:widowControl/>
              <w:jc w:val="left"/>
              <w:rPr>
                <w:rFonts w:cs="宋体"/>
                <w:color w:val="000000"/>
                <w:kern w:val="0"/>
                <w:sz w:val="22"/>
                <w:szCs w:val="22"/>
              </w:rPr>
            </w:pPr>
          </w:p>
        </w:tc>
        <w:tc>
          <w:tcPr>
            <w:tcW w:w="5089" w:type="dxa"/>
            <w:vMerge w:val="continue"/>
            <w:tcBorders>
              <w:left w:val="single" w:color="000000" w:sz="4" w:space="0"/>
              <w:bottom w:val="single" w:color="000000" w:sz="4" w:space="0"/>
              <w:right w:val="single" w:color="000000" w:sz="4" w:space="0"/>
            </w:tcBorders>
            <w:vAlign w:val="center"/>
          </w:tcPr>
          <w:p w14:paraId="239DBB30">
            <w:pPr>
              <w:widowControl/>
              <w:jc w:val="left"/>
              <w:rPr>
                <w:rFonts w:cs="宋体"/>
                <w:color w:val="000000"/>
                <w:kern w:val="0"/>
                <w:sz w:val="22"/>
                <w:szCs w:val="22"/>
              </w:rPr>
            </w:pPr>
          </w:p>
        </w:tc>
        <w:tc>
          <w:tcPr>
            <w:tcW w:w="2064" w:type="dxa"/>
            <w:tcBorders>
              <w:top w:val="single" w:color="000000" w:sz="4" w:space="0"/>
              <w:left w:val="single" w:color="000000" w:sz="4" w:space="0"/>
              <w:bottom w:val="single" w:color="000000" w:sz="4" w:space="0"/>
              <w:right w:val="single" w:color="000000" w:sz="4" w:space="0"/>
            </w:tcBorders>
            <w:vAlign w:val="center"/>
          </w:tcPr>
          <w:p w14:paraId="7522F328">
            <w:pPr>
              <w:widowControl/>
              <w:jc w:val="left"/>
              <w:rPr>
                <w:rFonts w:cs="宋体"/>
                <w:color w:val="000000"/>
                <w:kern w:val="0"/>
                <w:sz w:val="22"/>
                <w:szCs w:val="22"/>
              </w:rPr>
            </w:pPr>
            <w:r>
              <w:rPr>
                <w:rFonts w:cs="宋体"/>
                <w:color w:val="000000"/>
                <w:kern w:val="0"/>
                <w:sz w:val="22"/>
                <w:szCs w:val="22"/>
              </w:rPr>
              <w:t>GB/T 41780.1 第 6.1 条 (</w:t>
            </w:r>
            <w:r>
              <w:rPr>
                <w:rFonts w:hint="eastAsia" w:cs="宋体"/>
                <w:color w:val="000000"/>
                <w:kern w:val="0"/>
                <w:sz w:val="22"/>
                <w:szCs w:val="22"/>
              </w:rPr>
              <w:t>物理资源支撑</w:t>
            </w:r>
            <w:r>
              <w:rPr>
                <w:rFonts w:cs="宋体"/>
                <w:color w:val="000000"/>
                <w:kern w:val="0"/>
                <w:sz w:val="22"/>
                <w:szCs w:val="22"/>
              </w:rPr>
              <w:t>)</w:t>
            </w:r>
          </w:p>
        </w:tc>
      </w:tr>
    </w:tbl>
    <w:p w14:paraId="41C436AA">
      <w:pPr>
        <w:pStyle w:val="2"/>
        <w:rPr>
          <w:rFonts w:eastAsia="黑体"/>
          <w:lang w:val="fr-FR"/>
        </w:rPr>
      </w:pPr>
    </w:p>
    <w:sectPr>
      <w:footerReference r:id="rId10" w:type="default"/>
      <w:footerReference r:id="rId11" w:type="even"/>
      <w:pgSz w:w="11906" w:h="16838"/>
      <w:pgMar w:top="1134" w:right="1134" w:bottom="1134" w:left="1134" w:header="737" w:footer="737"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EU-F1">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F06F2">
    <w:pPr>
      <w:pStyle w:val="23"/>
      <w:ind w:right="0" w:right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07E0">
    <w:pPr>
      <w:pStyle w:val="23"/>
      <w:ind w:right="0" w:rightChars="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51BFC">
    <w:pPr>
      <w:pStyle w:val="23"/>
      <w:ind w:right="0" w:rightChars="0"/>
    </w:pPr>
    <w: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39CAAA1">
                          <w:pPr>
                            <w:pStyle w:val="23"/>
                            <w:ind w:right="0" w:rightChars="0"/>
                          </w:pPr>
                          <w:r>
                            <w:rPr>
                              <w:lang w:val="zh-CN"/>
                            </w:rPr>
                            <w:fldChar w:fldCharType="begin"/>
                          </w:r>
                          <w:r>
                            <w:rPr>
                              <w:lang w:val="zh-CN"/>
                            </w:rPr>
                            <w:instrText xml:space="preserve"> PAGE   \* MERGEFORMAT </w:instrText>
                          </w:r>
                          <w:r>
                            <w:rPr>
                              <w:lang w:val="zh-CN"/>
                            </w:rPr>
                            <w:fldChar w:fldCharType="separate"/>
                          </w:r>
                          <w:r>
                            <w:rPr>
                              <w:lang w:val="zh-CN"/>
                            </w:rPr>
                            <w:t>7</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339CAAA1">
                    <w:pPr>
                      <w:pStyle w:val="23"/>
                      <w:ind w:right="0" w:rightChars="0"/>
                    </w:pPr>
                    <w:r>
                      <w:rPr>
                        <w:lang w:val="zh-CN"/>
                      </w:rPr>
                      <w:fldChar w:fldCharType="begin"/>
                    </w:r>
                    <w:r>
                      <w:rPr>
                        <w:lang w:val="zh-CN"/>
                      </w:rPr>
                      <w:instrText xml:space="preserve"> PAGE   \* MERGEFORMAT </w:instrText>
                    </w:r>
                    <w:r>
                      <w:rPr>
                        <w:lang w:val="zh-CN"/>
                      </w:rPr>
                      <w:fldChar w:fldCharType="separate"/>
                    </w:r>
                    <w:r>
                      <w:rPr>
                        <w:lang w:val="zh-CN"/>
                      </w:rPr>
                      <w:t>7</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28260">
    <w:pPr>
      <w:pStyle w:val="23"/>
      <w:ind w:right="0" w:rightChars="0"/>
      <w:jc w:val="left"/>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3EB326">
                          <w:pPr>
                            <w:pStyle w:val="23"/>
                            <w:ind w:right="0" w:rightChars="0"/>
                            <w:jc w:val="left"/>
                          </w:pPr>
                          <w:r>
                            <w:rPr>
                              <w:lang w:val="zh-CN"/>
                            </w:rPr>
                            <w:fldChar w:fldCharType="begin"/>
                          </w:r>
                          <w:r>
                            <w:rPr>
                              <w:lang w:val="zh-CN"/>
                            </w:rPr>
                            <w:instrText xml:space="preserve"> PAGE   \* MERGEFORMAT </w:instrText>
                          </w:r>
                          <w:r>
                            <w:rPr>
                              <w:lang w:val="zh-CN"/>
                            </w:rPr>
                            <w:fldChar w:fldCharType="separate"/>
                          </w:r>
                          <w:r>
                            <w:rPr>
                              <w:lang w:val="zh-CN"/>
                            </w:rPr>
                            <w:t>II</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7A3EB326">
                    <w:pPr>
                      <w:pStyle w:val="23"/>
                      <w:ind w:right="0" w:rightChars="0"/>
                      <w:jc w:val="left"/>
                    </w:pPr>
                    <w:r>
                      <w:rPr>
                        <w:lang w:val="zh-CN"/>
                      </w:rPr>
                      <w:fldChar w:fldCharType="begin"/>
                    </w:r>
                    <w:r>
                      <w:rPr>
                        <w:lang w:val="zh-CN"/>
                      </w:rPr>
                      <w:instrText xml:space="preserve"> PAGE   \* MERGEFORMAT </w:instrText>
                    </w:r>
                    <w:r>
                      <w:rPr>
                        <w:lang w:val="zh-CN"/>
                      </w:rPr>
                      <w:fldChar w:fldCharType="separate"/>
                    </w:r>
                    <w:r>
                      <w:rPr>
                        <w:lang w:val="zh-CN"/>
                      </w:rPr>
                      <w:t>II</w:t>
                    </w:r>
                    <w:r>
                      <w:rPr>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A96C0">
    <w:pPr>
      <w:pStyle w:val="23"/>
      <w:ind w:right="0" w:rightChars="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A630AF1">
                          <w:pPr>
                            <w:pStyle w:val="23"/>
                            <w:ind w:right="0" w:rightChars="0"/>
                          </w:pPr>
                          <w:r>
                            <w:rPr>
                              <w:lang w:val="zh-CN"/>
                            </w:rPr>
                            <w:fldChar w:fldCharType="begin"/>
                          </w:r>
                          <w:r>
                            <w:rPr>
                              <w:lang w:val="zh-CN"/>
                            </w:rPr>
                            <w:instrText xml:space="preserve"> PAGE   \* MERGEFORMAT </w:instrText>
                          </w:r>
                          <w:r>
                            <w:rPr>
                              <w:lang w:val="zh-CN"/>
                            </w:rPr>
                            <w:fldChar w:fldCharType="separate"/>
                          </w:r>
                          <w:r>
                            <w:rPr>
                              <w:lang w:val="zh-CN"/>
                            </w:rPr>
                            <w:t>23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0A630AF1">
                    <w:pPr>
                      <w:pStyle w:val="23"/>
                      <w:ind w:right="0" w:rightChars="0"/>
                    </w:pPr>
                    <w:r>
                      <w:rPr>
                        <w:lang w:val="zh-CN"/>
                      </w:rPr>
                      <w:fldChar w:fldCharType="begin"/>
                    </w:r>
                    <w:r>
                      <w:rPr>
                        <w:lang w:val="zh-CN"/>
                      </w:rPr>
                      <w:instrText xml:space="preserve"> PAGE   \* MERGEFORMAT </w:instrText>
                    </w:r>
                    <w:r>
                      <w:rPr>
                        <w:lang w:val="zh-CN"/>
                      </w:rPr>
                      <w:fldChar w:fldCharType="separate"/>
                    </w:r>
                    <w:r>
                      <w:rPr>
                        <w:lang w:val="zh-CN"/>
                      </w:rPr>
                      <w:t>23</w:t>
                    </w:r>
                    <w:r>
                      <w:rPr>
                        <w:lang w:val="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F5EEC">
    <w:pPr>
      <w:pStyle w:val="23"/>
      <w:ind w:right="0" w:rightChars="0"/>
      <w:jc w:val="left"/>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6A7FE9">
                          <w:pPr>
                            <w:pStyle w:val="23"/>
                            <w:ind w:right="0" w:rightChars="0"/>
                            <w:jc w:val="left"/>
                          </w:pPr>
                          <w:r>
                            <w:rPr>
                              <w:lang w:val="zh-CN"/>
                            </w:rPr>
                            <w:fldChar w:fldCharType="begin"/>
                          </w:r>
                          <w:r>
                            <w:rPr>
                              <w:lang w:val="zh-CN"/>
                            </w:rPr>
                            <w:instrText xml:space="preserve"> PAGE   \* MERGEFORMAT </w:instrText>
                          </w:r>
                          <w:r>
                            <w:rPr>
                              <w:lang w:val="zh-CN"/>
                            </w:rPr>
                            <w:fldChar w:fldCharType="separate"/>
                          </w:r>
                          <w:r>
                            <w:rPr>
                              <w:lang w:val="zh-CN"/>
                            </w:rPr>
                            <w:t>22</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776A7FE9">
                    <w:pPr>
                      <w:pStyle w:val="23"/>
                      <w:ind w:right="0" w:rightChars="0"/>
                      <w:jc w:val="left"/>
                    </w:pPr>
                    <w:r>
                      <w:rPr>
                        <w:lang w:val="zh-CN"/>
                      </w:rPr>
                      <w:fldChar w:fldCharType="begin"/>
                    </w:r>
                    <w:r>
                      <w:rPr>
                        <w:lang w:val="zh-CN"/>
                      </w:rPr>
                      <w:instrText xml:space="preserve"> PAGE   \* MERGEFORMAT </w:instrText>
                    </w:r>
                    <w:r>
                      <w:rPr>
                        <w:lang w:val="zh-CN"/>
                      </w:rPr>
                      <w:fldChar w:fldCharType="separate"/>
                    </w:r>
                    <w:r>
                      <w:rPr>
                        <w:lang w:val="zh-CN"/>
                      </w:rPr>
                      <w:t>22</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5FDFB">
    <w:pPr>
      <w:pStyle w:val="202"/>
    </w:pPr>
    <w:r>
      <w:ptab w:relativeTo="margin" w:alignment="right" w:leader="none"/>
    </w:r>
    <w:r>
      <w:rPr>
        <w:rFonts w:hint="eastAsia"/>
      </w:rPr>
      <w:t>T/CEPCA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E02B4">
    <w:pPr>
      <w:pStyle w:val="202"/>
    </w:pPr>
    <w:r>
      <w:rPr>
        <w:rFonts w:hint="eastAsia"/>
      </w:rPr>
      <w:t>T/CEPCA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938D9">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
    <w:nsid w:val="0D983844"/>
    <w:multiLevelType w:val="multilevel"/>
    <w:tmpl w:val="0D983844"/>
    <w:lvl w:ilvl="0" w:tentative="0">
      <w:start w:val="1"/>
      <w:numFmt w:val="decimal"/>
      <w:pStyle w:val="11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1CEA6BF1"/>
    <w:multiLevelType w:val="multilevel"/>
    <w:tmpl w:val="1CEA6BF1"/>
    <w:lvl w:ilvl="0" w:tentative="0">
      <w:start w:val="1"/>
      <w:numFmt w:val="decimal"/>
      <w:pStyle w:val="7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22827D5B"/>
    <w:multiLevelType w:val="multilevel"/>
    <w:tmpl w:val="22827D5B"/>
    <w:lvl w:ilvl="0" w:tentative="0">
      <w:start w:val="1"/>
      <w:numFmt w:val="none"/>
      <w:pStyle w:val="183"/>
      <w:suff w:val="nothing"/>
      <w:lvlText w:val="%1注："/>
      <w:lvlJc w:val="left"/>
      <w:pPr>
        <w:ind w:left="789"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11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134"/>
      <w:suff w:val="nothing"/>
      <w:lvlText w:val="%1——"/>
      <w:lvlJc w:val="left"/>
      <w:pPr>
        <w:ind w:left="833" w:hanging="408"/>
      </w:pPr>
      <w:rPr>
        <w:rFonts w:hint="eastAsia"/>
      </w:rPr>
    </w:lvl>
    <w:lvl w:ilvl="1" w:tentative="0">
      <w:start w:val="1"/>
      <w:numFmt w:val="bullet"/>
      <w:pStyle w:val="111"/>
      <w:lvlText w:val=""/>
      <w:lvlJc w:val="left"/>
      <w:pPr>
        <w:tabs>
          <w:tab w:val="left" w:pos="760"/>
        </w:tabs>
        <w:ind w:left="1264" w:hanging="413"/>
      </w:pPr>
      <w:rPr>
        <w:rFonts w:hint="default" w:ascii="Symbol" w:hAnsi="Symbol"/>
        <w:color w:val="auto"/>
      </w:rPr>
    </w:lvl>
    <w:lvl w:ilvl="2" w:tentative="0">
      <w:start w:val="1"/>
      <w:numFmt w:val="bullet"/>
      <w:pStyle w:val="12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8583882"/>
    <w:multiLevelType w:val="multilevel"/>
    <w:tmpl w:val="38583882"/>
    <w:lvl w:ilvl="0" w:tentative="0">
      <w:start w:val="1"/>
      <w:numFmt w:val="lowerLetter"/>
      <w:pStyle w:val="15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1"/>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5F7D6C53"/>
    <w:multiLevelType w:val="multilevel"/>
    <w:tmpl w:val="5F7D6C53"/>
    <w:lvl w:ilvl="0" w:tentative="0">
      <w:start w:val="1"/>
      <w:numFmt w:val="decimal"/>
      <w:pStyle w:val="54"/>
      <w:suff w:val="nothing"/>
      <w:lvlText w:val="%1  "/>
      <w:lvlJc w:val="left"/>
      <w:pPr>
        <w:ind w:left="0" w:firstLine="0"/>
      </w:pPr>
      <w:rPr>
        <w:rFonts w:hint="default" w:ascii="黑体" w:hAnsi="Times New Roman" w:eastAsia="黑体"/>
        <w:b/>
        <w:bCs/>
        <w:i w:val="0"/>
        <w:sz w:val="21"/>
        <w:szCs w:val="21"/>
      </w:rPr>
    </w:lvl>
    <w:lvl w:ilvl="1" w:tentative="0">
      <w:start w:val="1"/>
      <w:numFmt w:val="decimal"/>
      <w:pStyle w:val="53"/>
      <w:suff w:val="nothing"/>
      <w:lvlText w:val="%1.%2　"/>
      <w:lvlJc w:val="left"/>
      <w:pPr>
        <w:ind w:left="284" w:firstLine="0"/>
      </w:pPr>
      <w:rPr>
        <w:rFonts w:hint="default" w:ascii="黑体" w:hAnsi="Times New Roman" w:eastAsia="黑体" w:cs="Times New Roman"/>
        <w:b/>
        <w:bCs/>
        <w:i w:val="0"/>
        <w:iCs w:val="0"/>
        <w:caps w:val="0"/>
        <w:strike w:val="0"/>
        <w:dstrike w:val="0"/>
        <w:color w:val="000000"/>
        <w:spacing w:val="0"/>
        <w:kern w:val="0"/>
        <w:position w:val="0"/>
        <w:sz w:val="21"/>
        <w:szCs w:val="21"/>
        <w:u w:val="none"/>
      </w:rPr>
    </w:lvl>
    <w:lvl w:ilvl="2" w:tentative="0">
      <w:start w:val="1"/>
      <w:numFmt w:val="decimal"/>
      <w:pStyle w:val="150"/>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tentative="0">
      <w:start w:val="1"/>
      <w:numFmt w:val="upperLetter"/>
      <w:pStyle w:val="147"/>
      <w:lvlText w:val="%1"/>
      <w:lvlJc w:val="left"/>
      <w:pPr>
        <w:tabs>
          <w:tab w:val="left" w:pos="0"/>
        </w:tabs>
        <w:ind w:left="0" w:hanging="425"/>
      </w:pPr>
      <w:rPr>
        <w:rFonts w:hint="eastAsia"/>
      </w:rPr>
    </w:lvl>
    <w:lvl w:ilvl="1" w:tentative="0">
      <w:start w:val="1"/>
      <w:numFmt w:val="decimal"/>
      <w:pStyle w:val="16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46260FA"/>
    <w:multiLevelType w:val="multilevel"/>
    <w:tmpl w:val="646260FA"/>
    <w:lvl w:ilvl="0" w:tentative="0">
      <w:start w:val="1"/>
      <w:numFmt w:val="decimal"/>
      <w:pStyle w:val="165"/>
      <w:suff w:val="nothing"/>
      <w:lvlText w:val="表%1　"/>
      <w:lvlJc w:val="left"/>
      <w:pPr>
        <w:ind w:left="0"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57D3FBC"/>
    <w:multiLevelType w:val="multilevel"/>
    <w:tmpl w:val="657D3FBC"/>
    <w:lvl w:ilvl="0" w:tentative="0">
      <w:start w:val="1"/>
      <w:numFmt w:val="upperLetter"/>
      <w:pStyle w:val="65"/>
      <w:suff w:val="nothing"/>
      <w:lvlText w:val="附　录　%1"/>
      <w:lvlJc w:val="left"/>
      <w:pPr>
        <w:ind w:left="5386" w:firstLine="0"/>
      </w:pPr>
      <w:rPr>
        <w:rFonts w:hint="eastAsia" w:ascii="黑体" w:hAnsi="Times New Roman" w:eastAsia="黑体"/>
        <w:b w:val="0"/>
        <w:i w:val="0"/>
        <w:spacing w:val="0"/>
        <w:w w:val="100"/>
        <w:sz w:val="21"/>
      </w:rPr>
    </w:lvl>
    <w:lvl w:ilvl="1" w:tentative="0">
      <w:start w:val="1"/>
      <w:numFmt w:val="decimal"/>
      <w:pStyle w:val="12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41"/>
      <w:suff w:val="nothing"/>
      <w:lvlText w:val="%1.%2.%3　"/>
      <w:lvlJc w:val="left"/>
      <w:pPr>
        <w:ind w:left="0" w:firstLine="0"/>
      </w:pPr>
      <w:rPr>
        <w:rFonts w:hint="eastAsia" w:ascii="黑体" w:hAnsi="Times New Roman" w:eastAsia="黑体"/>
        <w:b w:val="0"/>
        <w:i w:val="0"/>
        <w:sz w:val="21"/>
      </w:rPr>
    </w:lvl>
    <w:lvl w:ilvl="3" w:tentative="0">
      <w:start w:val="1"/>
      <w:numFmt w:val="decimal"/>
      <w:pStyle w:val="70"/>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68"/>
      <w:suff w:val="nothing"/>
      <w:lvlText w:val="%1.%2.%3.%4.%5.%6　"/>
      <w:lvlJc w:val="left"/>
      <w:pPr>
        <w:ind w:left="0" w:firstLine="0"/>
      </w:pPr>
      <w:rPr>
        <w:rFonts w:hint="eastAsia" w:ascii="黑体" w:hAnsi="Times New Roman" w:eastAsia="黑体"/>
        <w:b w:val="0"/>
        <w:i w:val="0"/>
        <w:sz w:val="21"/>
      </w:rPr>
    </w:lvl>
    <w:lvl w:ilvl="6" w:tentative="0">
      <w:start w:val="1"/>
      <w:numFmt w:val="decimal"/>
      <w:pStyle w:val="1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809657E"/>
    <w:multiLevelType w:val="multilevel"/>
    <w:tmpl w:val="6809657E"/>
    <w:lvl w:ilvl="0" w:tentative="0">
      <w:start w:val="1"/>
      <w:numFmt w:val="decimal"/>
      <w:pStyle w:val="17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1"/>
      <w:suff w:val="nothing"/>
      <w:lvlText w:val="%1%2　"/>
      <w:lvlJc w:val="left"/>
      <w:pPr>
        <w:ind w:left="284" w:firstLine="0"/>
      </w:pPr>
      <w:rPr>
        <w:rFonts w:hint="eastAsia" w:ascii="黑体" w:eastAsia="黑体"/>
        <w:b w:val="0"/>
        <w:i w:val="0"/>
        <w:sz w:val="21"/>
      </w:rPr>
    </w:lvl>
    <w:lvl w:ilvl="2" w:tentative="0">
      <w:start w:val="1"/>
      <w:numFmt w:val="decimal"/>
      <w:pStyle w:val="200"/>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D6C07CD"/>
    <w:multiLevelType w:val="multilevel"/>
    <w:tmpl w:val="6D6C07CD"/>
    <w:lvl w:ilvl="0" w:tentative="0">
      <w:start w:val="1"/>
      <w:numFmt w:val="lowerLetter"/>
      <w:pStyle w:val="109"/>
      <w:lvlText w:val="%1)"/>
      <w:lvlJc w:val="left"/>
      <w:pPr>
        <w:tabs>
          <w:tab w:val="left" w:pos="839"/>
        </w:tabs>
        <w:ind w:left="839" w:hanging="419"/>
      </w:pPr>
      <w:rPr>
        <w:rFonts w:hint="eastAsia" w:ascii="宋体" w:eastAsia="宋体"/>
        <w:b w:val="0"/>
        <w:i w:val="0"/>
        <w:sz w:val="21"/>
      </w:rPr>
    </w:lvl>
    <w:lvl w:ilvl="1" w:tentative="0">
      <w:start w:val="1"/>
      <w:numFmt w:val="decimal"/>
      <w:pStyle w:val="13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5">
    <w:nsid w:val="6DBF04F4"/>
    <w:multiLevelType w:val="multilevel"/>
    <w:tmpl w:val="6DBF04F4"/>
    <w:lvl w:ilvl="0" w:tentative="0">
      <w:start w:val="1"/>
      <w:numFmt w:val="none"/>
      <w:pStyle w:val="18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7"/>
  </w:num>
  <w:num w:numId="2">
    <w:abstractNumId w:val="8"/>
  </w:num>
  <w:num w:numId="3">
    <w:abstractNumId w:val="11"/>
  </w:num>
  <w:num w:numId="4">
    <w:abstractNumId w:val="2"/>
  </w:num>
  <w:num w:numId="5">
    <w:abstractNumId w:val="4"/>
  </w:num>
  <w:num w:numId="6">
    <w:abstractNumId w:val="14"/>
  </w:num>
  <w:num w:numId="7">
    <w:abstractNumId w:val="5"/>
  </w:num>
  <w:num w:numId="8">
    <w:abstractNumId w:val="1"/>
  </w:num>
  <w:num w:numId="9">
    <w:abstractNumId w:val="9"/>
  </w:num>
  <w:num w:numId="10">
    <w:abstractNumId w:val="6"/>
  </w:num>
  <w:num w:numId="11">
    <w:abstractNumId w:val="10"/>
  </w:num>
  <w:num w:numId="12">
    <w:abstractNumId w:val="12"/>
  </w:num>
  <w:num w:numId="13">
    <w:abstractNumId w:val="15"/>
  </w:num>
  <w:num w:numId="14">
    <w:abstractNumId w:val="3"/>
  </w:num>
  <w:num w:numId="15">
    <w:abstractNumId w:val="0"/>
  </w:num>
  <w:num w:numId="16">
    <w:abstractNumId w:val="1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Y1MzQyMjczNjExNbJU0lEKTi0uzszPAykwrAUAFhHDPiwAAAA="/>
    <w:docVar w:name="commondata" w:val="eyJoZGlkIjoiMjgyYWEyNzdmZjM2N2ZiYzdiYmFhODgwZTQ0ZjExY2MifQ=="/>
    <w:docVar w:name="KSO_WPS_MARK_KEY" w:val="df5c3e00-0f3d-4970-b106-f7d975399077"/>
  </w:docVars>
  <w:rsids>
    <w:rsidRoot w:val="00172A27"/>
    <w:rsid w:val="00000244"/>
    <w:rsid w:val="0000185F"/>
    <w:rsid w:val="00003005"/>
    <w:rsid w:val="0000376F"/>
    <w:rsid w:val="000039DB"/>
    <w:rsid w:val="0000586F"/>
    <w:rsid w:val="000068E6"/>
    <w:rsid w:val="00006F70"/>
    <w:rsid w:val="00006FD0"/>
    <w:rsid w:val="0001012A"/>
    <w:rsid w:val="000107C1"/>
    <w:rsid w:val="00010BC2"/>
    <w:rsid w:val="00010EC7"/>
    <w:rsid w:val="00013095"/>
    <w:rsid w:val="00013D86"/>
    <w:rsid w:val="00013E02"/>
    <w:rsid w:val="00015312"/>
    <w:rsid w:val="000159E8"/>
    <w:rsid w:val="00020637"/>
    <w:rsid w:val="00020C5F"/>
    <w:rsid w:val="0002143C"/>
    <w:rsid w:val="0002153A"/>
    <w:rsid w:val="00021C57"/>
    <w:rsid w:val="00025A65"/>
    <w:rsid w:val="00026C31"/>
    <w:rsid w:val="00027280"/>
    <w:rsid w:val="00027AA1"/>
    <w:rsid w:val="000320A7"/>
    <w:rsid w:val="000329CF"/>
    <w:rsid w:val="00033C67"/>
    <w:rsid w:val="00035925"/>
    <w:rsid w:val="00041E95"/>
    <w:rsid w:val="00043A3E"/>
    <w:rsid w:val="0004453A"/>
    <w:rsid w:val="000506BB"/>
    <w:rsid w:val="00053E34"/>
    <w:rsid w:val="0005721D"/>
    <w:rsid w:val="00057986"/>
    <w:rsid w:val="0006095A"/>
    <w:rsid w:val="0006428F"/>
    <w:rsid w:val="000650E6"/>
    <w:rsid w:val="000651CD"/>
    <w:rsid w:val="00067813"/>
    <w:rsid w:val="00067CDF"/>
    <w:rsid w:val="00070F76"/>
    <w:rsid w:val="000719E8"/>
    <w:rsid w:val="00072A3F"/>
    <w:rsid w:val="00074FBE"/>
    <w:rsid w:val="000776CC"/>
    <w:rsid w:val="0008219C"/>
    <w:rsid w:val="00083A09"/>
    <w:rsid w:val="000843B7"/>
    <w:rsid w:val="00085AE3"/>
    <w:rsid w:val="00086815"/>
    <w:rsid w:val="0009005E"/>
    <w:rsid w:val="00090383"/>
    <w:rsid w:val="00092857"/>
    <w:rsid w:val="00092BB8"/>
    <w:rsid w:val="00092D9B"/>
    <w:rsid w:val="00092EBE"/>
    <w:rsid w:val="0009375D"/>
    <w:rsid w:val="000A1104"/>
    <w:rsid w:val="000A20A9"/>
    <w:rsid w:val="000A284C"/>
    <w:rsid w:val="000A28F2"/>
    <w:rsid w:val="000A2DDE"/>
    <w:rsid w:val="000A48B1"/>
    <w:rsid w:val="000A60DD"/>
    <w:rsid w:val="000B0B8C"/>
    <w:rsid w:val="000B1A87"/>
    <w:rsid w:val="000B2418"/>
    <w:rsid w:val="000B3143"/>
    <w:rsid w:val="000B35E0"/>
    <w:rsid w:val="000B6648"/>
    <w:rsid w:val="000B74BF"/>
    <w:rsid w:val="000B7D8E"/>
    <w:rsid w:val="000C2AEA"/>
    <w:rsid w:val="000C4275"/>
    <w:rsid w:val="000C508B"/>
    <w:rsid w:val="000C5DBD"/>
    <w:rsid w:val="000C6389"/>
    <w:rsid w:val="000C6B05"/>
    <w:rsid w:val="000C6DD6"/>
    <w:rsid w:val="000C73B5"/>
    <w:rsid w:val="000C73D4"/>
    <w:rsid w:val="000C7E43"/>
    <w:rsid w:val="000D2CF3"/>
    <w:rsid w:val="000D30F7"/>
    <w:rsid w:val="000D3D4C"/>
    <w:rsid w:val="000D3FF2"/>
    <w:rsid w:val="000D425C"/>
    <w:rsid w:val="000D4F51"/>
    <w:rsid w:val="000D53E5"/>
    <w:rsid w:val="000D718B"/>
    <w:rsid w:val="000D731C"/>
    <w:rsid w:val="000D7392"/>
    <w:rsid w:val="000D79E6"/>
    <w:rsid w:val="000E0C46"/>
    <w:rsid w:val="000E1220"/>
    <w:rsid w:val="000E296D"/>
    <w:rsid w:val="000E4679"/>
    <w:rsid w:val="000E59BA"/>
    <w:rsid w:val="000E74E8"/>
    <w:rsid w:val="000F030C"/>
    <w:rsid w:val="000F129C"/>
    <w:rsid w:val="000F18D4"/>
    <w:rsid w:val="000F1D13"/>
    <w:rsid w:val="000F3E8F"/>
    <w:rsid w:val="000F48AD"/>
    <w:rsid w:val="000F4B89"/>
    <w:rsid w:val="000F507B"/>
    <w:rsid w:val="000F6932"/>
    <w:rsid w:val="000F7685"/>
    <w:rsid w:val="000F7D7F"/>
    <w:rsid w:val="0010157E"/>
    <w:rsid w:val="00103212"/>
    <w:rsid w:val="0010359C"/>
    <w:rsid w:val="00103894"/>
    <w:rsid w:val="00103E6E"/>
    <w:rsid w:val="00104C58"/>
    <w:rsid w:val="001056DE"/>
    <w:rsid w:val="001073C4"/>
    <w:rsid w:val="0011114C"/>
    <w:rsid w:val="001124C0"/>
    <w:rsid w:val="00115AF2"/>
    <w:rsid w:val="0011606D"/>
    <w:rsid w:val="001177B8"/>
    <w:rsid w:val="001217F8"/>
    <w:rsid w:val="0012384B"/>
    <w:rsid w:val="0012552A"/>
    <w:rsid w:val="00131466"/>
    <w:rsid w:val="0013175F"/>
    <w:rsid w:val="001345CA"/>
    <w:rsid w:val="0013690D"/>
    <w:rsid w:val="00140FD7"/>
    <w:rsid w:val="0014235A"/>
    <w:rsid w:val="001430C1"/>
    <w:rsid w:val="00143556"/>
    <w:rsid w:val="001435DF"/>
    <w:rsid w:val="00143C6A"/>
    <w:rsid w:val="00144DA8"/>
    <w:rsid w:val="00146880"/>
    <w:rsid w:val="001512B4"/>
    <w:rsid w:val="00157472"/>
    <w:rsid w:val="0016014C"/>
    <w:rsid w:val="001620A5"/>
    <w:rsid w:val="00162E80"/>
    <w:rsid w:val="00163E8C"/>
    <w:rsid w:val="00164E53"/>
    <w:rsid w:val="0016699D"/>
    <w:rsid w:val="00167EFD"/>
    <w:rsid w:val="00170E06"/>
    <w:rsid w:val="00172A27"/>
    <w:rsid w:val="00172F19"/>
    <w:rsid w:val="00173D63"/>
    <w:rsid w:val="00174061"/>
    <w:rsid w:val="00174C46"/>
    <w:rsid w:val="00175159"/>
    <w:rsid w:val="00176208"/>
    <w:rsid w:val="00177961"/>
    <w:rsid w:val="0018211B"/>
    <w:rsid w:val="0018256F"/>
    <w:rsid w:val="0018392A"/>
    <w:rsid w:val="00183CC0"/>
    <w:rsid w:val="001840D3"/>
    <w:rsid w:val="00185914"/>
    <w:rsid w:val="00186BB5"/>
    <w:rsid w:val="00187206"/>
    <w:rsid w:val="001900F8"/>
    <w:rsid w:val="00191258"/>
    <w:rsid w:val="00191AD3"/>
    <w:rsid w:val="00191CC7"/>
    <w:rsid w:val="00191D09"/>
    <w:rsid w:val="00192680"/>
    <w:rsid w:val="00193037"/>
    <w:rsid w:val="00193495"/>
    <w:rsid w:val="00193A2C"/>
    <w:rsid w:val="00193CB1"/>
    <w:rsid w:val="0019465B"/>
    <w:rsid w:val="00194BB1"/>
    <w:rsid w:val="001A015A"/>
    <w:rsid w:val="001A0ACE"/>
    <w:rsid w:val="001A1464"/>
    <w:rsid w:val="001A20DA"/>
    <w:rsid w:val="001A217F"/>
    <w:rsid w:val="001A288E"/>
    <w:rsid w:val="001A7AA1"/>
    <w:rsid w:val="001B28E0"/>
    <w:rsid w:val="001B2CBA"/>
    <w:rsid w:val="001B5FBD"/>
    <w:rsid w:val="001B684C"/>
    <w:rsid w:val="001B6DC2"/>
    <w:rsid w:val="001C149C"/>
    <w:rsid w:val="001C1DCF"/>
    <w:rsid w:val="001C1E8C"/>
    <w:rsid w:val="001C21AC"/>
    <w:rsid w:val="001C275E"/>
    <w:rsid w:val="001C47BA"/>
    <w:rsid w:val="001C59EA"/>
    <w:rsid w:val="001D09DB"/>
    <w:rsid w:val="001D32EC"/>
    <w:rsid w:val="001D406C"/>
    <w:rsid w:val="001D41EE"/>
    <w:rsid w:val="001D45ED"/>
    <w:rsid w:val="001D60CF"/>
    <w:rsid w:val="001D61A5"/>
    <w:rsid w:val="001D6E93"/>
    <w:rsid w:val="001E0380"/>
    <w:rsid w:val="001E13B1"/>
    <w:rsid w:val="001E1F72"/>
    <w:rsid w:val="001E24CE"/>
    <w:rsid w:val="001E58CF"/>
    <w:rsid w:val="001F0411"/>
    <w:rsid w:val="001F1B1E"/>
    <w:rsid w:val="001F2748"/>
    <w:rsid w:val="001F2FE6"/>
    <w:rsid w:val="001F3A19"/>
    <w:rsid w:val="00200F55"/>
    <w:rsid w:val="00201933"/>
    <w:rsid w:val="002044AB"/>
    <w:rsid w:val="002059AA"/>
    <w:rsid w:val="00207493"/>
    <w:rsid w:val="00207826"/>
    <w:rsid w:val="00211E0D"/>
    <w:rsid w:val="00214708"/>
    <w:rsid w:val="00220A0C"/>
    <w:rsid w:val="00221432"/>
    <w:rsid w:val="00221579"/>
    <w:rsid w:val="0022276F"/>
    <w:rsid w:val="0022376D"/>
    <w:rsid w:val="002307E8"/>
    <w:rsid w:val="00234467"/>
    <w:rsid w:val="00236BCE"/>
    <w:rsid w:val="00237D8D"/>
    <w:rsid w:val="0024187A"/>
    <w:rsid w:val="00241DA2"/>
    <w:rsid w:val="002432F7"/>
    <w:rsid w:val="00243E69"/>
    <w:rsid w:val="002445FD"/>
    <w:rsid w:val="00245228"/>
    <w:rsid w:val="00245520"/>
    <w:rsid w:val="00247FEE"/>
    <w:rsid w:val="0025064C"/>
    <w:rsid w:val="00250E7D"/>
    <w:rsid w:val="00250F7F"/>
    <w:rsid w:val="002528D8"/>
    <w:rsid w:val="0025613A"/>
    <w:rsid w:val="002565D5"/>
    <w:rsid w:val="00256C38"/>
    <w:rsid w:val="00256E50"/>
    <w:rsid w:val="002602ED"/>
    <w:rsid w:val="00260A04"/>
    <w:rsid w:val="00260BA7"/>
    <w:rsid w:val="00260C70"/>
    <w:rsid w:val="002622C0"/>
    <w:rsid w:val="00264179"/>
    <w:rsid w:val="00264BBD"/>
    <w:rsid w:val="00265536"/>
    <w:rsid w:val="002660F3"/>
    <w:rsid w:val="00267319"/>
    <w:rsid w:val="00273E3C"/>
    <w:rsid w:val="002742CB"/>
    <w:rsid w:val="00274FDC"/>
    <w:rsid w:val="002778AE"/>
    <w:rsid w:val="0028049F"/>
    <w:rsid w:val="00281DD3"/>
    <w:rsid w:val="0028269A"/>
    <w:rsid w:val="00283590"/>
    <w:rsid w:val="00286071"/>
    <w:rsid w:val="0028634A"/>
    <w:rsid w:val="0028647C"/>
    <w:rsid w:val="00286973"/>
    <w:rsid w:val="002870BF"/>
    <w:rsid w:val="0028715D"/>
    <w:rsid w:val="002919A4"/>
    <w:rsid w:val="00294E70"/>
    <w:rsid w:val="002954AB"/>
    <w:rsid w:val="002972A2"/>
    <w:rsid w:val="002A0BDB"/>
    <w:rsid w:val="002A1272"/>
    <w:rsid w:val="002A17DD"/>
    <w:rsid w:val="002A1924"/>
    <w:rsid w:val="002A23BE"/>
    <w:rsid w:val="002A7420"/>
    <w:rsid w:val="002B02C1"/>
    <w:rsid w:val="002B0ECC"/>
    <w:rsid w:val="002B0F12"/>
    <w:rsid w:val="002B1308"/>
    <w:rsid w:val="002B3AC2"/>
    <w:rsid w:val="002B4554"/>
    <w:rsid w:val="002B6602"/>
    <w:rsid w:val="002B74D4"/>
    <w:rsid w:val="002B7749"/>
    <w:rsid w:val="002C153D"/>
    <w:rsid w:val="002C36FB"/>
    <w:rsid w:val="002C3AB6"/>
    <w:rsid w:val="002C4A37"/>
    <w:rsid w:val="002C520D"/>
    <w:rsid w:val="002C538C"/>
    <w:rsid w:val="002C72D8"/>
    <w:rsid w:val="002D11FA"/>
    <w:rsid w:val="002D2C33"/>
    <w:rsid w:val="002D3D08"/>
    <w:rsid w:val="002D54FD"/>
    <w:rsid w:val="002D625D"/>
    <w:rsid w:val="002D6B14"/>
    <w:rsid w:val="002D6B27"/>
    <w:rsid w:val="002D7AFA"/>
    <w:rsid w:val="002E0DDF"/>
    <w:rsid w:val="002E1195"/>
    <w:rsid w:val="002E2906"/>
    <w:rsid w:val="002E363B"/>
    <w:rsid w:val="002E4002"/>
    <w:rsid w:val="002E5099"/>
    <w:rsid w:val="002E5635"/>
    <w:rsid w:val="002E64C3"/>
    <w:rsid w:val="002E6A2C"/>
    <w:rsid w:val="002E7228"/>
    <w:rsid w:val="002E7D07"/>
    <w:rsid w:val="002F0DFB"/>
    <w:rsid w:val="002F17C8"/>
    <w:rsid w:val="002F1D8C"/>
    <w:rsid w:val="002F21DA"/>
    <w:rsid w:val="002F2E10"/>
    <w:rsid w:val="00301F39"/>
    <w:rsid w:val="00306364"/>
    <w:rsid w:val="00307E9C"/>
    <w:rsid w:val="003144EE"/>
    <w:rsid w:val="00317B6E"/>
    <w:rsid w:val="00317C56"/>
    <w:rsid w:val="00324F18"/>
    <w:rsid w:val="00325909"/>
    <w:rsid w:val="00325926"/>
    <w:rsid w:val="00327A8A"/>
    <w:rsid w:val="00331E3B"/>
    <w:rsid w:val="00332EEC"/>
    <w:rsid w:val="00333954"/>
    <w:rsid w:val="0033484B"/>
    <w:rsid w:val="00336610"/>
    <w:rsid w:val="0033666E"/>
    <w:rsid w:val="00341232"/>
    <w:rsid w:val="0034300E"/>
    <w:rsid w:val="00343F73"/>
    <w:rsid w:val="00345060"/>
    <w:rsid w:val="0034679B"/>
    <w:rsid w:val="003474A4"/>
    <w:rsid w:val="00351EED"/>
    <w:rsid w:val="00352E02"/>
    <w:rsid w:val="0035323B"/>
    <w:rsid w:val="003537FA"/>
    <w:rsid w:val="00354490"/>
    <w:rsid w:val="00355993"/>
    <w:rsid w:val="003609D2"/>
    <w:rsid w:val="00361CB9"/>
    <w:rsid w:val="00362010"/>
    <w:rsid w:val="00363F22"/>
    <w:rsid w:val="00364BDC"/>
    <w:rsid w:val="003660A8"/>
    <w:rsid w:val="0036660E"/>
    <w:rsid w:val="00371D50"/>
    <w:rsid w:val="00375564"/>
    <w:rsid w:val="00380563"/>
    <w:rsid w:val="003807B2"/>
    <w:rsid w:val="00380F1D"/>
    <w:rsid w:val="00383191"/>
    <w:rsid w:val="00384E84"/>
    <w:rsid w:val="00386DED"/>
    <w:rsid w:val="0038707A"/>
    <w:rsid w:val="003912E7"/>
    <w:rsid w:val="00393947"/>
    <w:rsid w:val="00394282"/>
    <w:rsid w:val="00396063"/>
    <w:rsid w:val="00396D14"/>
    <w:rsid w:val="003A2275"/>
    <w:rsid w:val="003A398B"/>
    <w:rsid w:val="003A5560"/>
    <w:rsid w:val="003A5A98"/>
    <w:rsid w:val="003A6A4F"/>
    <w:rsid w:val="003A7088"/>
    <w:rsid w:val="003B00DF"/>
    <w:rsid w:val="003B0952"/>
    <w:rsid w:val="003B1083"/>
    <w:rsid w:val="003B1275"/>
    <w:rsid w:val="003B1778"/>
    <w:rsid w:val="003B1DAD"/>
    <w:rsid w:val="003B455B"/>
    <w:rsid w:val="003B46D9"/>
    <w:rsid w:val="003B5AF4"/>
    <w:rsid w:val="003B612B"/>
    <w:rsid w:val="003B7E33"/>
    <w:rsid w:val="003C08A9"/>
    <w:rsid w:val="003C11CB"/>
    <w:rsid w:val="003C40CC"/>
    <w:rsid w:val="003C5587"/>
    <w:rsid w:val="003C64EF"/>
    <w:rsid w:val="003C75F3"/>
    <w:rsid w:val="003C78A3"/>
    <w:rsid w:val="003D1420"/>
    <w:rsid w:val="003D2DF6"/>
    <w:rsid w:val="003E15D5"/>
    <w:rsid w:val="003E1867"/>
    <w:rsid w:val="003E3B7A"/>
    <w:rsid w:val="003E445D"/>
    <w:rsid w:val="003E4548"/>
    <w:rsid w:val="003E4B45"/>
    <w:rsid w:val="003E5729"/>
    <w:rsid w:val="003F3807"/>
    <w:rsid w:val="003F3938"/>
    <w:rsid w:val="003F4EE0"/>
    <w:rsid w:val="003F5715"/>
    <w:rsid w:val="003F76C8"/>
    <w:rsid w:val="00402153"/>
    <w:rsid w:val="0040278A"/>
    <w:rsid w:val="00402FC1"/>
    <w:rsid w:val="004037E1"/>
    <w:rsid w:val="00405BED"/>
    <w:rsid w:val="004077EF"/>
    <w:rsid w:val="00420965"/>
    <w:rsid w:val="00421656"/>
    <w:rsid w:val="00423137"/>
    <w:rsid w:val="004232BC"/>
    <w:rsid w:val="00425082"/>
    <w:rsid w:val="004250DF"/>
    <w:rsid w:val="0042622D"/>
    <w:rsid w:val="00426303"/>
    <w:rsid w:val="00431DEB"/>
    <w:rsid w:val="00434794"/>
    <w:rsid w:val="00436229"/>
    <w:rsid w:val="0044117F"/>
    <w:rsid w:val="0044180C"/>
    <w:rsid w:val="004451A9"/>
    <w:rsid w:val="00446B29"/>
    <w:rsid w:val="00450B23"/>
    <w:rsid w:val="00451576"/>
    <w:rsid w:val="0045176F"/>
    <w:rsid w:val="004536CA"/>
    <w:rsid w:val="00453D24"/>
    <w:rsid w:val="00453EC0"/>
    <w:rsid w:val="00453F9A"/>
    <w:rsid w:val="00455ABB"/>
    <w:rsid w:val="004607B7"/>
    <w:rsid w:val="0046127D"/>
    <w:rsid w:val="00461745"/>
    <w:rsid w:val="00461B3D"/>
    <w:rsid w:val="004623BF"/>
    <w:rsid w:val="004624D5"/>
    <w:rsid w:val="00465646"/>
    <w:rsid w:val="00465976"/>
    <w:rsid w:val="0046664B"/>
    <w:rsid w:val="0046719B"/>
    <w:rsid w:val="004671B4"/>
    <w:rsid w:val="00467747"/>
    <w:rsid w:val="00471C83"/>
    <w:rsid w:val="00471E91"/>
    <w:rsid w:val="004730D7"/>
    <w:rsid w:val="00474675"/>
    <w:rsid w:val="0047470C"/>
    <w:rsid w:val="00475BA0"/>
    <w:rsid w:val="00477621"/>
    <w:rsid w:val="00477700"/>
    <w:rsid w:val="004802D4"/>
    <w:rsid w:val="004806C6"/>
    <w:rsid w:val="00482DCB"/>
    <w:rsid w:val="00484428"/>
    <w:rsid w:val="004874A0"/>
    <w:rsid w:val="004903FE"/>
    <w:rsid w:val="00491144"/>
    <w:rsid w:val="00491E5B"/>
    <w:rsid w:val="00494457"/>
    <w:rsid w:val="00496FFF"/>
    <w:rsid w:val="0049736D"/>
    <w:rsid w:val="004A0887"/>
    <w:rsid w:val="004A1667"/>
    <w:rsid w:val="004A272D"/>
    <w:rsid w:val="004A35F9"/>
    <w:rsid w:val="004A4215"/>
    <w:rsid w:val="004A4285"/>
    <w:rsid w:val="004A5A51"/>
    <w:rsid w:val="004A6EE6"/>
    <w:rsid w:val="004A7BB7"/>
    <w:rsid w:val="004B24C1"/>
    <w:rsid w:val="004B4683"/>
    <w:rsid w:val="004B5CC5"/>
    <w:rsid w:val="004C14E8"/>
    <w:rsid w:val="004C2410"/>
    <w:rsid w:val="004C292F"/>
    <w:rsid w:val="004C2ACC"/>
    <w:rsid w:val="004C3633"/>
    <w:rsid w:val="004C7168"/>
    <w:rsid w:val="004D179A"/>
    <w:rsid w:val="004D1D3B"/>
    <w:rsid w:val="004D2F83"/>
    <w:rsid w:val="004D35B1"/>
    <w:rsid w:val="004D3FA6"/>
    <w:rsid w:val="004D5EC6"/>
    <w:rsid w:val="004D67FE"/>
    <w:rsid w:val="004E0096"/>
    <w:rsid w:val="004E195F"/>
    <w:rsid w:val="004E2EC8"/>
    <w:rsid w:val="004E36F9"/>
    <w:rsid w:val="004E3778"/>
    <w:rsid w:val="004E3A60"/>
    <w:rsid w:val="004E3DD7"/>
    <w:rsid w:val="004E4029"/>
    <w:rsid w:val="004E79DD"/>
    <w:rsid w:val="004F094E"/>
    <w:rsid w:val="004F20F6"/>
    <w:rsid w:val="004F2C06"/>
    <w:rsid w:val="004F3118"/>
    <w:rsid w:val="004F4531"/>
    <w:rsid w:val="004F47D0"/>
    <w:rsid w:val="004F7941"/>
    <w:rsid w:val="00500B72"/>
    <w:rsid w:val="00500D94"/>
    <w:rsid w:val="00501486"/>
    <w:rsid w:val="00501C1D"/>
    <w:rsid w:val="0050215E"/>
    <w:rsid w:val="00505BCB"/>
    <w:rsid w:val="00505BE3"/>
    <w:rsid w:val="00505CF4"/>
    <w:rsid w:val="00510280"/>
    <w:rsid w:val="005109DA"/>
    <w:rsid w:val="00513843"/>
    <w:rsid w:val="00513D73"/>
    <w:rsid w:val="00514A43"/>
    <w:rsid w:val="00515351"/>
    <w:rsid w:val="0051693C"/>
    <w:rsid w:val="005172D6"/>
    <w:rsid w:val="005174E5"/>
    <w:rsid w:val="00517A8F"/>
    <w:rsid w:val="00520789"/>
    <w:rsid w:val="00522300"/>
    <w:rsid w:val="00522393"/>
    <w:rsid w:val="00522620"/>
    <w:rsid w:val="0052392E"/>
    <w:rsid w:val="00524E89"/>
    <w:rsid w:val="00525656"/>
    <w:rsid w:val="005345FF"/>
    <w:rsid w:val="00534C02"/>
    <w:rsid w:val="00541431"/>
    <w:rsid w:val="0054264B"/>
    <w:rsid w:val="00543786"/>
    <w:rsid w:val="00544A95"/>
    <w:rsid w:val="00546B50"/>
    <w:rsid w:val="005516C2"/>
    <w:rsid w:val="005533D7"/>
    <w:rsid w:val="005549A0"/>
    <w:rsid w:val="00560E8C"/>
    <w:rsid w:val="00561F68"/>
    <w:rsid w:val="005624D9"/>
    <w:rsid w:val="005644A0"/>
    <w:rsid w:val="0056466E"/>
    <w:rsid w:val="00564958"/>
    <w:rsid w:val="00566B17"/>
    <w:rsid w:val="00566BA1"/>
    <w:rsid w:val="0057033F"/>
    <w:rsid w:val="005703DE"/>
    <w:rsid w:val="005704F5"/>
    <w:rsid w:val="0057123C"/>
    <w:rsid w:val="005738D9"/>
    <w:rsid w:val="00575003"/>
    <w:rsid w:val="00575518"/>
    <w:rsid w:val="00576C32"/>
    <w:rsid w:val="00577822"/>
    <w:rsid w:val="00577CA5"/>
    <w:rsid w:val="00581D5E"/>
    <w:rsid w:val="0058464E"/>
    <w:rsid w:val="00584AC4"/>
    <w:rsid w:val="00585497"/>
    <w:rsid w:val="005861E8"/>
    <w:rsid w:val="005867DF"/>
    <w:rsid w:val="00586EC6"/>
    <w:rsid w:val="005912F7"/>
    <w:rsid w:val="00593104"/>
    <w:rsid w:val="00593B48"/>
    <w:rsid w:val="00594591"/>
    <w:rsid w:val="005A01CB"/>
    <w:rsid w:val="005A0BCD"/>
    <w:rsid w:val="005A0D50"/>
    <w:rsid w:val="005A2164"/>
    <w:rsid w:val="005A58FF"/>
    <w:rsid w:val="005A5AE4"/>
    <w:rsid w:val="005A5EAB"/>
    <w:rsid w:val="005A5EAF"/>
    <w:rsid w:val="005A5ED3"/>
    <w:rsid w:val="005A64C0"/>
    <w:rsid w:val="005A724C"/>
    <w:rsid w:val="005B05AA"/>
    <w:rsid w:val="005B12F2"/>
    <w:rsid w:val="005B3C11"/>
    <w:rsid w:val="005B4900"/>
    <w:rsid w:val="005B56F1"/>
    <w:rsid w:val="005C075E"/>
    <w:rsid w:val="005C1C28"/>
    <w:rsid w:val="005C4CEF"/>
    <w:rsid w:val="005C6DB5"/>
    <w:rsid w:val="005D0486"/>
    <w:rsid w:val="005D0873"/>
    <w:rsid w:val="005D4FA3"/>
    <w:rsid w:val="005D53E0"/>
    <w:rsid w:val="005D5CA4"/>
    <w:rsid w:val="005D7505"/>
    <w:rsid w:val="005D759E"/>
    <w:rsid w:val="005E19E7"/>
    <w:rsid w:val="005E4BE8"/>
    <w:rsid w:val="005E5414"/>
    <w:rsid w:val="005E56FA"/>
    <w:rsid w:val="005F0D35"/>
    <w:rsid w:val="005F1401"/>
    <w:rsid w:val="005F1BE2"/>
    <w:rsid w:val="005F3CB3"/>
    <w:rsid w:val="005F3E00"/>
    <w:rsid w:val="005F71C4"/>
    <w:rsid w:val="00600448"/>
    <w:rsid w:val="0060051D"/>
    <w:rsid w:val="006033DF"/>
    <w:rsid w:val="00604735"/>
    <w:rsid w:val="00607DE0"/>
    <w:rsid w:val="00611E0D"/>
    <w:rsid w:val="006127A2"/>
    <w:rsid w:val="006129E9"/>
    <w:rsid w:val="00612FB7"/>
    <w:rsid w:val="00613F56"/>
    <w:rsid w:val="00614020"/>
    <w:rsid w:val="00616E20"/>
    <w:rsid w:val="0061716C"/>
    <w:rsid w:val="006177C9"/>
    <w:rsid w:val="006243A1"/>
    <w:rsid w:val="0062689E"/>
    <w:rsid w:val="00632378"/>
    <w:rsid w:val="00632C32"/>
    <w:rsid w:val="00632E56"/>
    <w:rsid w:val="0063546D"/>
    <w:rsid w:val="00635CBA"/>
    <w:rsid w:val="00636CC4"/>
    <w:rsid w:val="006406BE"/>
    <w:rsid w:val="00640794"/>
    <w:rsid w:val="0064338B"/>
    <w:rsid w:val="00643AE7"/>
    <w:rsid w:val="00645667"/>
    <w:rsid w:val="00646542"/>
    <w:rsid w:val="00647C94"/>
    <w:rsid w:val="006504F4"/>
    <w:rsid w:val="00651CF4"/>
    <w:rsid w:val="00654BC9"/>
    <w:rsid w:val="006552FD"/>
    <w:rsid w:val="00656AE7"/>
    <w:rsid w:val="006607B0"/>
    <w:rsid w:val="00661318"/>
    <w:rsid w:val="00663179"/>
    <w:rsid w:val="00663AF3"/>
    <w:rsid w:val="00664449"/>
    <w:rsid w:val="00664F77"/>
    <w:rsid w:val="006666E8"/>
    <w:rsid w:val="00666B6C"/>
    <w:rsid w:val="0066774A"/>
    <w:rsid w:val="00671133"/>
    <w:rsid w:val="00671AF2"/>
    <w:rsid w:val="00671EE7"/>
    <w:rsid w:val="00671FB9"/>
    <w:rsid w:val="00673060"/>
    <w:rsid w:val="0067454C"/>
    <w:rsid w:val="00674589"/>
    <w:rsid w:val="006811BA"/>
    <w:rsid w:val="00682682"/>
    <w:rsid w:val="00682702"/>
    <w:rsid w:val="006827D2"/>
    <w:rsid w:val="00682CAE"/>
    <w:rsid w:val="00685488"/>
    <w:rsid w:val="00686031"/>
    <w:rsid w:val="006870CE"/>
    <w:rsid w:val="00692368"/>
    <w:rsid w:val="0069237E"/>
    <w:rsid w:val="0069430C"/>
    <w:rsid w:val="00694B0A"/>
    <w:rsid w:val="00695E66"/>
    <w:rsid w:val="00696A40"/>
    <w:rsid w:val="006972C2"/>
    <w:rsid w:val="00697655"/>
    <w:rsid w:val="0069783A"/>
    <w:rsid w:val="006A1A6D"/>
    <w:rsid w:val="006A20F7"/>
    <w:rsid w:val="006A270A"/>
    <w:rsid w:val="006A2EBC"/>
    <w:rsid w:val="006A378A"/>
    <w:rsid w:val="006A4204"/>
    <w:rsid w:val="006A5D83"/>
    <w:rsid w:val="006A5EA0"/>
    <w:rsid w:val="006A6310"/>
    <w:rsid w:val="006A64EE"/>
    <w:rsid w:val="006A659B"/>
    <w:rsid w:val="006A6664"/>
    <w:rsid w:val="006A783B"/>
    <w:rsid w:val="006A7B33"/>
    <w:rsid w:val="006B0046"/>
    <w:rsid w:val="006B2642"/>
    <w:rsid w:val="006B2CCA"/>
    <w:rsid w:val="006B3A0E"/>
    <w:rsid w:val="006B4E13"/>
    <w:rsid w:val="006B579D"/>
    <w:rsid w:val="006B5CFD"/>
    <w:rsid w:val="006B71F7"/>
    <w:rsid w:val="006B75DD"/>
    <w:rsid w:val="006C0F86"/>
    <w:rsid w:val="006C1F1F"/>
    <w:rsid w:val="006C2FB0"/>
    <w:rsid w:val="006C30B9"/>
    <w:rsid w:val="006C4A06"/>
    <w:rsid w:val="006C4A68"/>
    <w:rsid w:val="006C5084"/>
    <w:rsid w:val="006C56DA"/>
    <w:rsid w:val="006C5B95"/>
    <w:rsid w:val="006C67E0"/>
    <w:rsid w:val="006C6901"/>
    <w:rsid w:val="006C7ABA"/>
    <w:rsid w:val="006D054F"/>
    <w:rsid w:val="006D0D60"/>
    <w:rsid w:val="006D1122"/>
    <w:rsid w:val="006D2826"/>
    <w:rsid w:val="006D2D62"/>
    <w:rsid w:val="006D3130"/>
    <w:rsid w:val="006D3C00"/>
    <w:rsid w:val="006D4CDC"/>
    <w:rsid w:val="006D4FF4"/>
    <w:rsid w:val="006D6CF4"/>
    <w:rsid w:val="006D7663"/>
    <w:rsid w:val="006D7BB1"/>
    <w:rsid w:val="006E262D"/>
    <w:rsid w:val="006E26C3"/>
    <w:rsid w:val="006E27B3"/>
    <w:rsid w:val="006E322D"/>
    <w:rsid w:val="006E3675"/>
    <w:rsid w:val="006E4A7F"/>
    <w:rsid w:val="006E5A79"/>
    <w:rsid w:val="006E6800"/>
    <w:rsid w:val="006E7056"/>
    <w:rsid w:val="006F24CC"/>
    <w:rsid w:val="006F2FC7"/>
    <w:rsid w:val="006F3F17"/>
    <w:rsid w:val="006F45FA"/>
    <w:rsid w:val="006F4978"/>
    <w:rsid w:val="006F563D"/>
    <w:rsid w:val="00700CFA"/>
    <w:rsid w:val="00704DF6"/>
    <w:rsid w:val="0070606B"/>
    <w:rsid w:val="0070651C"/>
    <w:rsid w:val="00706D9C"/>
    <w:rsid w:val="007132A3"/>
    <w:rsid w:val="007135A8"/>
    <w:rsid w:val="00715709"/>
    <w:rsid w:val="00715812"/>
    <w:rsid w:val="00716421"/>
    <w:rsid w:val="00720390"/>
    <w:rsid w:val="00720ED0"/>
    <w:rsid w:val="00721933"/>
    <w:rsid w:val="007232FE"/>
    <w:rsid w:val="00723A58"/>
    <w:rsid w:val="00724CD0"/>
    <w:rsid w:val="00724EFB"/>
    <w:rsid w:val="00724FFD"/>
    <w:rsid w:val="007255E9"/>
    <w:rsid w:val="00731576"/>
    <w:rsid w:val="00731BD2"/>
    <w:rsid w:val="00736C8A"/>
    <w:rsid w:val="007413AE"/>
    <w:rsid w:val="007419C3"/>
    <w:rsid w:val="0074257C"/>
    <w:rsid w:val="00742B19"/>
    <w:rsid w:val="00744F22"/>
    <w:rsid w:val="00745F3C"/>
    <w:rsid w:val="007467A7"/>
    <w:rsid w:val="007469DD"/>
    <w:rsid w:val="0074741B"/>
    <w:rsid w:val="0074759E"/>
    <w:rsid w:val="007478EA"/>
    <w:rsid w:val="00750C8D"/>
    <w:rsid w:val="007513D6"/>
    <w:rsid w:val="00751F6C"/>
    <w:rsid w:val="00752001"/>
    <w:rsid w:val="0075415C"/>
    <w:rsid w:val="00763502"/>
    <w:rsid w:val="0076611A"/>
    <w:rsid w:val="007701AD"/>
    <w:rsid w:val="00772B21"/>
    <w:rsid w:val="007762C8"/>
    <w:rsid w:val="00776CB0"/>
    <w:rsid w:val="00780766"/>
    <w:rsid w:val="00781097"/>
    <w:rsid w:val="00781660"/>
    <w:rsid w:val="007823D5"/>
    <w:rsid w:val="00784AFF"/>
    <w:rsid w:val="00787F95"/>
    <w:rsid w:val="007913AB"/>
    <w:rsid w:val="007914F7"/>
    <w:rsid w:val="007929BA"/>
    <w:rsid w:val="00795810"/>
    <w:rsid w:val="00795928"/>
    <w:rsid w:val="007A08C0"/>
    <w:rsid w:val="007A1353"/>
    <w:rsid w:val="007A284E"/>
    <w:rsid w:val="007B1625"/>
    <w:rsid w:val="007B2C7B"/>
    <w:rsid w:val="007B315C"/>
    <w:rsid w:val="007B31F5"/>
    <w:rsid w:val="007B3452"/>
    <w:rsid w:val="007B4BFA"/>
    <w:rsid w:val="007B4D57"/>
    <w:rsid w:val="007B5830"/>
    <w:rsid w:val="007B706E"/>
    <w:rsid w:val="007B7191"/>
    <w:rsid w:val="007B71EB"/>
    <w:rsid w:val="007B7FA0"/>
    <w:rsid w:val="007C0C85"/>
    <w:rsid w:val="007C0DCC"/>
    <w:rsid w:val="007C2D04"/>
    <w:rsid w:val="007C342C"/>
    <w:rsid w:val="007C4287"/>
    <w:rsid w:val="007C57FD"/>
    <w:rsid w:val="007C597A"/>
    <w:rsid w:val="007C6205"/>
    <w:rsid w:val="007C686A"/>
    <w:rsid w:val="007C728E"/>
    <w:rsid w:val="007D0FCB"/>
    <w:rsid w:val="007D1757"/>
    <w:rsid w:val="007D29DE"/>
    <w:rsid w:val="007D2C53"/>
    <w:rsid w:val="007D2F88"/>
    <w:rsid w:val="007D3D60"/>
    <w:rsid w:val="007D3F30"/>
    <w:rsid w:val="007D6199"/>
    <w:rsid w:val="007D73AC"/>
    <w:rsid w:val="007E0224"/>
    <w:rsid w:val="007E0528"/>
    <w:rsid w:val="007E18C1"/>
    <w:rsid w:val="007E1980"/>
    <w:rsid w:val="007E1A39"/>
    <w:rsid w:val="007E24A0"/>
    <w:rsid w:val="007E4B76"/>
    <w:rsid w:val="007E5841"/>
    <w:rsid w:val="007E5EA8"/>
    <w:rsid w:val="007E6A05"/>
    <w:rsid w:val="007F0CF1"/>
    <w:rsid w:val="007F12A5"/>
    <w:rsid w:val="007F2E7A"/>
    <w:rsid w:val="007F33C7"/>
    <w:rsid w:val="007F4585"/>
    <w:rsid w:val="007F4CF1"/>
    <w:rsid w:val="007F56BA"/>
    <w:rsid w:val="007F758D"/>
    <w:rsid w:val="007F7D52"/>
    <w:rsid w:val="0080218B"/>
    <w:rsid w:val="00803C3C"/>
    <w:rsid w:val="00805DAF"/>
    <w:rsid w:val="0080654C"/>
    <w:rsid w:val="008071C6"/>
    <w:rsid w:val="008114AC"/>
    <w:rsid w:val="00813409"/>
    <w:rsid w:val="00814FDB"/>
    <w:rsid w:val="008178F1"/>
    <w:rsid w:val="008179D3"/>
    <w:rsid w:val="00817A00"/>
    <w:rsid w:val="00817EF2"/>
    <w:rsid w:val="00820798"/>
    <w:rsid w:val="008228DD"/>
    <w:rsid w:val="00824C60"/>
    <w:rsid w:val="00827AF0"/>
    <w:rsid w:val="00832147"/>
    <w:rsid w:val="00833216"/>
    <w:rsid w:val="0083470B"/>
    <w:rsid w:val="008359DC"/>
    <w:rsid w:val="00835DB3"/>
    <w:rsid w:val="0083617B"/>
    <w:rsid w:val="008371BD"/>
    <w:rsid w:val="008400FA"/>
    <w:rsid w:val="008412B2"/>
    <w:rsid w:val="00841B39"/>
    <w:rsid w:val="008435D9"/>
    <w:rsid w:val="00843664"/>
    <w:rsid w:val="008451C3"/>
    <w:rsid w:val="00845890"/>
    <w:rsid w:val="00846102"/>
    <w:rsid w:val="00846FCC"/>
    <w:rsid w:val="008504A8"/>
    <w:rsid w:val="0085282E"/>
    <w:rsid w:val="00852FC1"/>
    <w:rsid w:val="00853106"/>
    <w:rsid w:val="00853344"/>
    <w:rsid w:val="00855F4F"/>
    <w:rsid w:val="008569D7"/>
    <w:rsid w:val="008650F3"/>
    <w:rsid w:val="008703FE"/>
    <w:rsid w:val="0087198C"/>
    <w:rsid w:val="00871D57"/>
    <w:rsid w:val="00872C1F"/>
    <w:rsid w:val="00873B42"/>
    <w:rsid w:val="008743A3"/>
    <w:rsid w:val="008753D9"/>
    <w:rsid w:val="00877D89"/>
    <w:rsid w:val="00881BFB"/>
    <w:rsid w:val="00883BF5"/>
    <w:rsid w:val="00884093"/>
    <w:rsid w:val="00885008"/>
    <w:rsid w:val="008856D8"/>
    <w:rsid w:val="00892E82"/>
    <w:rsid w:val="00894E0A"/>
    <w:rsid w:val="0089566F"/>
    <w:rsid w:val="0089594A"/>
    <w:rsid w:val="00896C4B"/>
    <w:rsid w:val="008A486C"/>
    <w:rsid w:val="008A53B3"/>
    <w:rsid w:val="008A68B9"/>
    <w:rsid w:val="008A6FF6"/>
    <w:rsid w:val="008A7178"/>
    <w:rsid w:val="008B6C91"/>
    <w:rsid w:val="008B7032"/>
    <w:rsid w:val="008B7FF5"/>
    <w:rsid w:val="008C0EF7"/>
    <w:rsid w:val="008C1743"/>
    <w:rsid w:val="008C1B58"/>
    <w:rsid w:val="008C25FC"/>
    <w:rsid w:val="008C39AE"/>
    <w:rsid w:val="008C4C51"/>
    <w:rsid w:val="008C590D"/>
    <w:rsid w:val="008C63A5"/>
    <w:rsid w:val="008C7778"/>
    <w:rsid w:val="008D02CC"/>
    <w:rsid w:val="008D17D7"/>
    <w:rsid w:val="008D185B"/>
    <w:rsid w:val="008D584C"/>
    <w:rsid w:val="008D706C"/>
    <w:rsid w:val="008D7334"/>
    <w:rsid w:val="008E02BB"/>
    <w:rsid w:val="008E031B"/>
    <w:rsid w:val="008E087A"/>
    <w:rsid w:val="008E1E5F"/>
    <w:rsid w:val="008E2AF8"/>
    <w:rsid w:val="008E4299"/>
    <w:rsid w:val="008E7029"/>
    <w:rsid w:val="008E7EF6"/>
    <w:rsid w:val="008F11B9"/>
    <w:rsid w:val="008F1573"/>
    <w:rsid w:val="008F1A7A"/>
    <w:rsid w:val="008F1F98"/>
    <w:rsid w:val="008F3424"/>
    <w:rsid w:val="008F5031"/>
    <w:rsid w:val="008F5207"/>
    <w:rsid w:val="008F5740"/>
    <w:rsid w:val="008F6758"/>
    <w:rsid w:val="008F686F"/>
    <w:rsid w:val="008F7640"/>
    <w:rsid w:val="008F7F57"/>
    <w:rsid w:val="0090199F"/>
    <w:rsid w:val="009040DD"/>
    <w:rsid w:val="00904413"/>
    <w:rsid w:val="00904512"/>
    <w:rsid w:val="00905B47"/>
    <w:rsid w:val="009105F2"/>
    <w:rsid w:val="0091331C"/>
    <w:rsid w:val="009137CD"/>
    <w:rsid w:val="0091405E"/>
    <w:rsid w:val="00916DBC"/>
    <w:rsid w:val="009170E8"/>
    <w:rsid w:val="00920042"/>
    <w:rsid w:val="009203AB"/>
    <w:rsid w:val="00922814"/>
    <w:rsid w:val="0092514C"/>
    <w:rsid w:val="00926304"/>
    <w:rsid w:val="009279DE"/>
    <w:rsid w:val="00930116"/>
    <w:rsid w:val="0093226A"/>
    <w:rsid w:val="0093473C"/>
    <w:rsid w:val="00934753"/>
    <w:rsid w:val="0093491A"/>
    <w:rsid w:val="00934E60"/>
    <w:rsid w:val="00936956"/>
    <w:rsid w:val="0094212C"/>
    <w:rsid w:val="009468F0"/>
    <w:rsid w:val="00946C25"/>
    <w:rsid w:val="00946FFF"/>
    <w:rsid w:val="00950A74"/>
    <w:rsid w:val="0095206A"/>
    <w:rsid w:val="00954689"/>
    <w:rsid w:val="009617C9"/>
    <w:rsid w:val="00961C93"/>
    <w:rsid w:val="009624EA"/>
    <w:rsid w:val="00962C69"/>
    <w:rsid w:val="00963DCC"/>
    <w:rsid w:val="00965324"/>
    <w:rsid w:val="0097091E"/>
    <w:rsid w:val="0097148A"/>
    <w:rsid w:val="009718C1"/>
    <w:rsid w:val="0097525A"/>
    <w:rsid w:val="009760D3"/>
    <w:rsid w:val="009765FD"/>
    <w:rsid w:val="00977132"/>
    <w:rsid w:val="00980C0A"/>
    <w:rsid w:val="0098101B"/>
    <w:rsid w:val="00981A4B"/>
    <w:rsid w:val="00982501"/>
    <w:rsid w:val="0098271F"/>
    <w:rsid w:val="00986E08"/>
    <w:rsid w:val="009877D3"/>
    <w:rsid w:val="0099115D"/>
    <w:rsid w:val="00991C91"/>
    <w:rsid w:val="00992A90"/>
    <w:rsid w:val="00993F21"/>
    <w:rsid w:val="00994E8F"/>
    <w:rsid w:val="009951DC"/>
    <w:rsid w:val="009959BB"/>
    <w:rsid w:val="00997158"/>
    <w:rsid w:val="00997B79"/>
    <w:rsid w:val="009A1818"/>
    <w:rsid w:val="009A3A7C"/>
    <w:rsid w:val="009A5116"/>
    <w:rsid w:val="009A6373"/>
    <w:rsid w:val="009B244D"/>
    <w:rsid w:val="009B28C9"/>
    <w:rsid w:val="009B2ADB"/>
    <w:rsid w:val="009B51CE"/>
    <w:rsid w:val="009B603A"/>
    <w:rsid w:val="009C029D"/>
    <w:rsid w:val="009C1C48"/>
    <w:rsid w:val="009C2A76"/>
    <w:rsid w:val="009C2D0E"/>
    <w:rsid w:val="009C3DAC"/>
    <w:rsid w:val="009C42E0"/>
    <w:rsid w:val="009C49B0"/>
    <w:rsid w:val="009C67DA"/>
    <w:rsid w:val="009D0570"/>
    <w:rsid w:val="009D0E6B"/>
    <w:rsid w:val="009D2ABC"/>
    <w:rsid w:val="009D43CB"/>
    <w:rsid w:val="009D49FF"/>
    <w:rsid w:val="009D5362"/>
    <w:rsid w:val="009D5D29"/>
    <w:rsid w:val="009D6980"/>
    <w:rsid w:val="009E08B1"/>
    <w:rsid w:val="009E1415"/>
    <w:rsid w:val="009E6116"/>
    <w:rsid w:val="009F1AE7"/>
    <w:rsid w:val="009F2160"/>
    <w:rsid w:val="009F7E2C"/>
    <w:rsid w:val="009F7F60"/>
    <w:rsid w:val="00A0024A"/>
    <w:rsid w:val="00A02E43"/>
    <w:rsid w:val="00A0324E"/>
    <w:rsid w:val="00A05728"/>
    <w:rsid w:val="00A0640D"/>
    <w:rsid w:val="00A065F9"/>
    <w:rsid w:val="00A06AB5"/>
    <w:rsid w:val="00A07B2E"/>
    <w:rsid w:val="00A07F34"/>
    <w:rsid w:val="00A100BD"/>
    <w:rsid w:val="00A12765"/>
    <w:rsid w:val="00A139A2"/>
    <w:rsid w:val="00A1492B"/>
    <w:rsid w:val="00A158C4"/>
    <w:rsid w:val="00A16721"/>
    <w:rsid w:val="00A16EA4"/>
    <w:rsid w:val="00A211AA"/>
    <w:rsid w:val="00A22154"/>
    <w:rsid w:val="00A23CCF"/>
    <w:rsid w:val="00A24E97"/>
    <w:rsid w:val="00A251F7"/>
    <w:rsid w:val="00A25C38"/>
    <w:rsid w:val="00A31B53"/>
    <w:rsid w:val="00A32CDB"/>
    <w:rsid w:val="00A330F7"/>
    <w:rsid w:val="00A3529E"/>
    <w:rsid w:val="00A36BBE"/>
    <w:rsid w:val="00A36E42"/>
    <w:rsid w:val="00A42E53"/>
    <w:rsid w:val="00A4307A"/>
    <w:rsid w:val="00A45D63"/>
    <w:rsid w:val="00A47992"/>
    <w:rsid w:val="00A47EBB"/>
    <w:rsid w:val="00A51CDD"/>
    <w:rsid w:val="00A53C44"/>
    <w:rsid w:val="00A53C5D"/>
    <w:rsid w:val="00A53CB8"/>
    <w:rsid w:val="00A542D4"/>
    <w:rsid w:val="00A63175"/>
    <w:rsid w:val="00A648C3"/>
    <w:rsid w:val="00A6575F"/>
    <w:rsid w:val="00A6730D"/>
    <w:rsid w:val="00A674E9"/>
    <w:rsid w:val="00A70A1C"/>
    <w:rsid w:val="00A71625"/>
    <w:rsid w:val="00A71B9B"/>
    <w:rsid w:val="00A722B5"/>
    <w:rsid w:val="00A751C7"/>
    <w:rsid w:val="00A76EB5"/>
    <w:rsid w:val="00A771A4"/>
    <w:rsid w:val="00A8050B"/>
    <w:rsid w:val="00A8052A"/>
    <w:rsid w:val="00A80BC3"/>
    <w:rsid w:val="00A82649"/>
    <w:rsid w:val="00A87844"/>
    <w:rsid w:val="00A87AF0"/>
    <w:rsid w:val="00A87C86"/>
    <w:rsid w:val="00A90658"/>
    <w:rsid w:val="00A90DDA"/>
    <w:rsid w:val="00A918BB"/>
    <w:rsid w:val="00A96491"/>
    <w:rsid w:val="00A978C5"/>
    <w:rsid w:val="00AA038C"/>
    <w:rsid w:val="00AA18C7"/>
    <w:rsid w:val="00AA239C"/>
    <w:rsid w:val="00AA3187"/>
    <w:rsid w:val="00AA7A09"/>
    <w:rsid w:val="00AB0221"/>
    <w:rsid w:val="00AB0801"/>
    <w:rsid w:val="00AB1659"/>
    <w:rsid w:val="00AB352E"/>
    <w:rsid w:val="00AB3B50"/>
    <w:rsid w:val="00AB43F2"/>
    <w:rsid w:val="00AB7FA9"/>
    <w:rsid w:val="00AC05B1"/>
    <w:rsid w:val="00AC09B4"/>
    <w:rsid w:val="00AC249C"/>
    <w:rsid w:val="00AC3247"/>
    <w:rsid w:val="00AC3716"/>
    <w:rsid w:val="00AC4420"/>
    <w:rsid w:val="00AC451E"/>
    <w:rsid w:val="00AC559C"/>
    <w:rsid w:val="00AC717D"/>
    <w:rsid w:val="00AC733E"/>
    <w:rsid w:val="00AC78D3"/>
    <w:rsid w:val="00AD1D7D"/>
    <w:rsid w:val="00AD356C"/>
    <w:rsid w:val="00AD414B"/>
    <w:rsid w:val="00AD477D"/>
    <w:rsid w:val="00AD4FF0"/>
    <w:rsid w:val="00AD64C6"/>
    <w:rsid w:val="00AD656F"/>
    <w:rsid w:val="00AD793F"/>
    <w:rsid w:val="00AD7B05"/>
    <w:rsid w:val="00AE1AC5"/>
    <w:rsid w:val="00AE2914"/>
    <w:rsid w:val="00AE2BCB"/>
    <w:rsid w:val="00AE6D15"/>
    <w:rsid w:val="00AE7307"/>
    <w:rsid w:val="00AF23D1"/>
    <w:rsid w:val="00AF3457"/>
    <w:rsid w:val="00AF3EE9"/>
    <w:rsid w:val="00AF7695"/>
    <w:rsid w:val="00B002A3"/>
    <w:rsid w:val="00B00A54"/>
    <w:rsid w:val="00B04182"/>
    <w:rsid w:val="00B05A67"/>
    <w:rsid w:val="00B05D54"/>
    <w:rsid w:val="00B05E4C"/>
    <w:rsid w:val="00B07AE3"/>
    <w:rsid w:val="00B11430"/>
    <w:rsid w:val="00B1170E"/>
    <w:rsid w:val="00B12137"/>
    <w:rsid w:val="00B15242"/>
    <w:rsid w:val="00B15AF3"/>
    <w:rsid w:val="00B2156B"/>
    <w:rsid w:val="00B232A7"/>
    <w:rsid w:val="00B255B6"/>
    <w:rsid w:val="00B25B99"/>
    <w:rsid w:val="00B27C4D"/>
    <w:rsid w:val="00B33696"/>
    <w:rsid w:val="00B353EB"/>
    <w:rsid w:val="00B40E2A"/>
    <w:rsid w:val="00B41046"/>
    <w:rsid w:val="00B41761"/>
    <w:rsid w:val="00B439C4"/>
    <w:rsid w:val="00B44CB5"/>
    <w:rsid w:val="00B4535E"/>
    <w:rsid w:val="00B45CCE"/>
    <w:rsid w:val="00B45D8B"/>
    <w:rsid w:val="00B500C1"/>
    <w:rsid w:val="00B50962"/>
    <w:rsid w:val="00B50DEA"/>
    <w:rsid w:val="00B51207"/>
    <w:rsid w:val="00B52A8C"/>
    <w:rsid w:val="00B53562"/>
    <w:rsid w:val="00B56602"/>
    <w:rsid w:val="00B56EB0"/>
    <w:rsid w:val="00B57185"/>
    <w:rsid w:val="00B5728E"/>
    <w:rsid w:val="00B60A5A"/>
    <w:rsid w:val="00B61BA6"/>
    <w:rsid w:val="00B636A8"/>
    <w:rsid w:val="00B64FEE"/>
    <w:rsid w:val="00B665C6"/>
    <w:rsid w:val="00B66740"/>
    <w:rsid w:val="00B668D7"/>
    <w:rsid w:val="00B7008A"/>
    <w:rsid w:val="00B7395D"/>
    <w:rsid w:val="00B751D0"/>
    <w:rsid w:val="00B76118"/>
    <w:rsid w:val="00B763A4"/>
    <w:rsid w:val="00B764D9"/>
    <w:rsid w:val="00B774F0"/>
    <w:rsid w:val="00B7770D"/>
    <w:rsid w:val="00B805AF"/>
    <w:rsid w:val="00B836EC"/>
    <w:rsid w:val="00B858A5"/>
    <w:rsid w:val="00B869EC"/>
    <w:rsid w:val="00B9192B"/>
    <w:rsid w:val="00B91CDE"/>
    <w:rsid w:val="00B91D32"/>
    <w:rsid w:val="00B9397A"/>
    <w:rsid w:val="00B93B7B"/>
    <w:rsid w:val="00B943E7"/>
    <w:rsid w:val="00B94F6B"/>
    <w:rsid w:val="00B9633D"/>
    <w:rsid w:val="00B9711E"/>
    <w:rsid w:val="00B97134"/>
    <w:rsid w:val="00BA0B75"/>
    <w:rsid w:val="00BA0BA0"/>
    <w:rsid w:val="00BA10D8"/>
    <w:rsid w:val="00BA1FAD"/>
    <w:rsid w:val="00BA2EBE"/>
    <w:rsid w:val="00BA5F04"/>
    <w:rsid w:val="00BA677C"/>
    <w:rsid w:val="00BA7133"/>
    <w:rsid w:val="00BA7B41"/>
    <w:rsid w:val="00BB00C1"/>
    <w:rsid w:val="00BB0F28"/>
    <w:rsid w:val="00BB1F82"/>
    <w:rsid w:val="00BB3758"/>
    <w:rsid w:val="00BB458A"/>
    <w:rsid w:val="00BC0EE3"/>
    <w:rsid w:val="00BC11AA"/>
    <w:rsid w:val="00BC50C4"/>
    <w:rsid w:val="00BC61CD"/>
    <w:rsid w:val="00BD00D3"/>
    <w:rsid w:val="00BD01F5"/>
    <w:rsid w:val="00BD0FE6"/>
    <w:rsid w:val="00BD1278"/>
    <w:rsid w:val="00BD1659"/>
    <w:rsid w:val="00BD371E"/>
    <w:rsid w:val="00BD3AA9"/>
    <w:rsid w:val="00BD4A18"/>
    <w:rsid w:val="00BD4D7F"/>
    <w:rsid w:val="00BD5F92"/>
    <w:rsid w:val="00BD6D55"/>
    <w:rsid w:val="00BD6DB2"/>
    <w:rsid w:val="00BD76E4"/>
    <w:rsid w:val="00BE11CF"/>
    <w:rsid w:val="00BE21AB"/>
    <w:rsid w:val="00BE29AC"/>
    <w:rsid w:val="00BE32CB"/>
    <w:rsid w:val="00BE55CB"/>
    <w:rsid w:val="00BE6415"/>
    <w:rsid w:val="00BE714D"/>
    <w:rsid w:val="00BF0185"/>
    <w:rsid w:val="00BF0D5E"/>
    <w:rsid w:val="00BF1454"/>
    <w:rsid w:val="00BF617A"/>
    <w:rsid w:val="00BF6391"/>
    <w:rsid w:val="00BF6D10"/>
    <w:rsid w:val="00BF6FCE"/>
    <w:rsid w:val="00BF7B1B"/>
    <w:rsid w:val="00C01B58"/>
    <w:rsid w:val="00C0379D"/>
    <w:rsid w:val="00C03931"/>
    <w:rsid w:val="00C05FE3"/>
    <w:rsid w:val="00C101D0"/>
    <w:rsid w:val="00C10AFB"/>
    <w:rsid w:val="00C138BA"/>
    <w:rsid w:val="00C170DE"/>
    <w:rsid w:val="00C2136D"/>
    <w:rsid w:val="00C214EE"/>
    <w:rsid w:val="00C2314B"/>
    <w:rsid w:val="00C24971"/>
    <w:rsid w:val="00C25CF1"/>
    <w:rsid w:val="00C268C7"/>
    <w:rsid w:val="00C26A90"/>
    <w:rsid w:val="00C26BE5"/>
    <w:rsid w:val="00C26E4D"/>
    <w:rsid w:val="00C27909"/>
    <w:rsid w:val="00C27B03"/>
    <w:rsid w:val="00C314E1"/>
    <w:rsid w:val="00C32052"/>
    <w:rsid w:val="00C335E6"/>
    <w:rsid w:val="00C34397"/>
    <w:rsid w:val="00C36617"/>
    <w:rsid w:val="00C3788B"/>
    <w:rsid w:val="00C400BA"/>
    <w:rsid w:val="00C4095D"/>
    <w:rsid w:val="00C41A2A"/>
    <w:rsid w:val="00C42379"/>
    <w:rsid w:val="00C42765"/>
    <w:rsid w:val="00C428EF"/>
    <w:rsid w:val="00C42FFF"/>
    <w:rsid w:val="00C46047"/>
    <w:rsid w:val="00C4706C"/>
    <w:rsid w:val="00C47AD2"/>
    <w:rsid w:val="00C500CF"/>
    <w:rsid w:val="00C5197B"/>
    <w:rsid w:val="00C53904"/>
    <w:rsid w:val="00C53970"/>
    <w:rsid w:val="00C53B0D"/>
    <w:rsid w:val="00C56288"/>
    <w:rsid w:val="00C56846"/>
    <w:rsid w:val="00C601D2"/>
    <w:rsid w:val="00C60256"/>
    <w:rsid w:val="00C618ED"/>
    <w:rsid w:val="00C62F19"/>
    <w:rsid w:val="00C65510"/>
    <w:rsid w:val="00C65BCC"/>
    <w:rsid w:val="00C661F4"/>
    <w:rsid w:val="00C6635C"/>
    <w:rsid w:val="00C66970"/>
    <w:rsid w:val="00C67E41"/>
    <w:rsid w:val="00C7096E"/>
    <w:rsid w:val="00C713E9"/>
    <w:rsid w:val="00C71DB3"/>
    <w:rsid w:val="00C7363C"/>
    <w:rsid w:val="00C73E35"/>
    <w:rsid w:val="00C80557"/>
    <w:rsid w:val="00C817AB"/>
    <w:rsid w:val="00C85025"/>
    <w:rsid w:val="00C85811"/>
    <w:rsid w:val="00C85E9F"/>
    <w:rsid w:val="00C8691C"/>
    <w:rsid w:val="00C92E59"/>
    <w:rsid w:val="00C94A41"/>
    <w:rsid w:val="00CA0EB3"/>
    <w:rsid w:val="00CA168A"/>
    <w:rsid w:val="00CA1739"/>
    <w:rsid w:val="00CA357E"/>
    <w:rsid w:val="00CA44F9"/>
    <w:rsid w:val="00CA4A69"/>
    <w:rsid w:val="00CA4C94"/>
    <w:rsid w:val="00CB0BB0"/>
    <w:rsid w:val="00CB4847"/>
    <w:rsid w:val="00CB5510"/>
    <w:rsid w:val="00CC3E0C"/>
    <w:rsid w:val="00CC4960"/>
    <w:rsid w:val="00CC58D3"/>
    <w:rsid w:val="00CC5A2F"/>
    <w:rsid w:val="00CC6F08"/>
    <w:rsid w:val="00CC760C"/>
    <w:rsid w:val="00CC784D"/>
    <w:rsid w:val="00CD0B51"/>
    <w:rsid w:val="00CD1136"/>
    <w:rsid w:val="00CD180A"/>
    <w:rsid w:val="00CD328C"/>
    <w:rsid w:val="00CD35CF"/>
    <w:rsid w:val="00CD5F4F"/>
    <w:rsid w:val="00CD6090"/>
    <w:rsid w:val="00CE14C0"/>
    <w:rsid w:val="00CE1EF1"/>
    <w:rsid w:val="00CE2186"/>
    <w:rsid w:val="00CE3539"/>
    <w:rsid w:val="00CE4D7E"/>
    <w:rsid w:val="00CE4E90"/>
    <w:rsid w:val="00CE74A0"/>
    <w:rsid w:val="00CF5946"/>
    <w:rsid w:val="00D01A55"/>
    <w:rsid w:val="00D0337B"/>
    <w:rsid w:val="00D0411F"/>
    <w:rsid w:val="00D04EEB"/>
    <w:rsid w:val="00D074A7"/>
    <w:rsid w:val="00D079B2"/>
    <w:rsid w:val="00D1044E"/>
    <w:rsid w:val="00D114E9"/>
    <w:rsid w:val="00D127CB"/>
    <w:rsid w:val="00D12F11"/>
    <w:rsid w:val="00D13C59"/>
    <w:rsid w:val="00D13EDF"/>
    <w:rsid w:val="00D1527D"/>
    <w:rsid w:val="00D16CEF"/>
    <w:rsid w:val="00D2222E"/>
    <w:rsid w:val="00D2245D"/>
    <w:rsid w:val="00D237C8"/>
    <w:rsid w:val="00D24BBF"/>
    <w:rsid w:val="00D2638E"/>
    <w:rsid w:val="00D2644F"/>
    <w:rsid w:val="00D2767A"/>
    <w:rsid w:val="00D3268E"/>
    <w:rsid w:val="00D330A9"/>
    <w:rsid w:val="00D33B6B"/>
    <w:rsid w:val="00D33B97"/>
    <w:rsid w:val="00D35ED5"/>
    <w:rsid w:val="00D36A1B"/>
    <w:rsid w:val="00D40FA1"/>
    <w:rsid w:val="00D429C6"/>
    <w:rsid w:val="00D42AB6"/>
    <w:rsid w:val="00D43DFB"/>
    <w:rsid w:val="00D44D17"/>
    <w:rsid w:val="00D4530E"/>
    <w:rsid w:val="00D45884"/>
    <w:rsid w:val="00D46359"/>
    <w:rsid w:val="00D4744C"/>
    <w:rsid w:val="00D47748"/>
    <w:rsid w:val="00D50996"/>
    <w:rsid w:val="00D53C6C"/>
    <w:rsid w:val="00D53F7E"/>
    <w:rsid w:val="00D54CC3"/>
    <w:rsid w:val="00D55B4D"/>
    <w:rsid w:val="00D60348"/>
    <w:rsid w:val="00D6041A"/>
    <w:rsid w:val="00D61BC0"/>
    <w:rsid w:val="00D62929"/>
    <w:rsid w:val="00D633EB"/>
    <w:rsid w:val="00D644D8"/>
    <w:rsid w:val="00D66625"/>
    <w:rsid w:val="00D66A7F"/>
    <w:rsid w:val="00D670F7"/>
    <w:rsid w:val="00D67688"/>
    <w:rsid w:val="00D7166A"/>
    <w:rsid w:val="00D721A7"/>
    <w:rsid w:val="00D73F51"/>
    <w:rsid w:val="00D74B0E"/>
    <w:rsid w:val="00D74FD0"/>
    <w:rsid w:val="00D8037B"/>
    <w:rsid w:val="00D80AA2"/>
    <w:rsid w:val="00D82A1A"/>
    <w:rsid w:val="00D82FF7"/>
    <w:rsid w:val="00D833C3"/>
    <w:rsid w:val="00D847FE"/>
    <w:rsid w:val="00D863C9"/>
    <w:rsid w:val="00D96411"/>
    <w:rsid w:val="00D964EA"/>
    <w:rsid w:val="00D966D0"/>
    <w:rsid w:val="00D97C21"/>
    <w:rsid w:val="00DA0B26"/>
    <w:rsid w:val="00DA0C59"/>
    <w:rsid w:val="00DA3991"/>
    <w:rsid w:val="00DA62EC"/>
    <w:rsid w:val="00DA6469"/>
    <w:rsid w:val="00DB0260"/>
    <w:rsid w:val="00DB0990"/>
    <w:rsid w:val="00DB227A"/>
    <w:rsid w:val="00DB364D"/>
    <w:rsid w:val="00DB7E6C"/>
    <w:rsid w:val="00DC2FC4"/>
    <w:rsid w:val="00DC44FE"/>
    <w:rsid w:val="00DC4851"/>
    <w:rsid w:val="00DC5237"/>
    <w:rsid w:val="00DC6394"/>
    <w:rsid w:val="00DC76FE"/>
    <w:rsid w:val="00DC7795"/>
    <w:rsid w:val="00DD034E"/>
    <w:rsid w:val="00DD1D7F"/>
    <w:rsid w:val="00DD40F3"/>
    <w:rsid w:val="00DD5A29"/>
    <w:rsid w:val="00DD5D9D"/>
    <w:rsid w:val="00DD702E"/>
    <w:rsid w:val="00DE10BB"/>
    <w:rsid w:val="00DE19ED"/>
    <w:rsid w:val="00DE29C2"/>
    <w:rsid w:val="00DE3043"/>
    <w:rsid w:val="00DE33A8"/>
    <w:rsid w:val="00DE35CB"/>
    <w:rsid w:val="00DE430B"/>
    <w:rsid w:val="00DE7357"/>
    <w:rsid w:val="00DF21E9"/>
    <w:rsid w:val="00DF3261"/>
    <w:rsid w:val="00DF3D8D"/>
    <w:rsid w:val="00DF3E02"/>
    <w:rsid w:val="00DF68F6"/>
    <w:rsid w:val="00E002D4"/>
    <w:rsid w:val="00E00F14"/>
    <w:rsid w:val="00E0151A"/>
    <w:rsid w:val="00E01A61"/>
    <w:rsid w:val="00E02423"/>
    <w:rsid w:val="00E06386"/>
    <w:rsid w:val="00E10248"/>
    <w:rsid w:val="00E122F7"/>
    <w:rsid w:val="00E12447"/>
    <w:rsid w:val="00E1267E"/>
    <w:rsid w:val="00E13C8F"/>
    <w:rsid w:val="00E146EC"/>
    <w:rsid w:val="00E16084"/>
    <w:rsid w:val="00E23F06"/>
    <w:rsid w:val="00E24EB4"/>
    <w:rsid w:val="00E2533E"/>
    <w:rsid w:val="00E302B2"/>
    <w:rsid w:val="00E3148D"/>
    <w:rsid w:val="00E320ED"/>
    <w:rsid w:val="00E325FA"/>
    <w:rsid w:val="00E339A2"/>
    <w:rsid w:val="00E33AFB"/>
    <w:rsid w:val="00E34218"/>
    <w:rsid w:val="00E34DC3"/>
    <w:rsid w:val="00E36156"/>
    <w:rsid w:val="00E403C1"/>
    <w:rsid w:val="00E40F08"/>
    <w:rsid w:val="00E4160B"/>
    <w:rsid w:val="00E41EE7"/>
    <w:rsid w:val="00E42799"/>
    <w:rsid w:val="00E4363D"/>
    <w:rsid w:val="00E43866"/>
    <w:rsid w:val="00E44A79"/>
    <w:rsid w:val="00E45AC0"/>
    <w:rsid w:val="00E46282"/>
    <w:rsid w:val="00E46DD7"/>
    <w:rsid w:val="00E50083"/>
    <w:rsid w:val="00E519E7"/>
    <w:rsid w:val="00E5216E"/>
    <w:rsid w:val="00E566C5"/>
    <w:rsid w:val="00E602AB"/>
    <w:rsid w:val="00E61901"/>
    <w:rsid w:val="00E62690"/>
    <w:rsid w:val="00E6438E"/>
    <w:rsid w:val="00E7261F"/>
    <w:rsid w:val="00E72787"/>
    <w:rsid w:val="00E77250"/>
    <w:rsid w:val="00E77B9F"/>
    <w:rsid w:val="00E82344"/>
    <w:rsid w:val="00E83D70"/>
    <w:rsid w:val="00E846E6"/>
    <w:rsid w:val="00E84C82"/>
    <w:rsid w:val="00E84D64"/>
    <w:rsid w:val="00E86E96"/>
    <w:rsid w:val="00E87408"/>
    <w:rsid w:val="00E909C0"/>
    <w:rsid w:val="00E910C0"/>
    <w:rsid w:val="00E91366"/>
    <w:rsid w:val="00E914C4"/>
    <w:rsid w:val="00E9265C"/>
    <w:rsid w:val="00E934F5"/>
    <w:rsid w:val="00E93B9D"/>
    <w:rsid w:val="00E94E3C"/>
    <w:rsid w:val="00E95EAC"/>
    <w:rsid w:val="00E96961"/>
    <w:rsid w:val="00E96A83"/>
    <w:rsid w:val="00E97333"/>
    <w:rsid w:val="00E97B0A"/>
    <w:rsid w:val="00EA0CC1"/>
    <w:rsid w:val="00EA0CFB"/>
    <w:rsid w:val="00EA1309"/>
    <w:rsid w:val="00EA2893"/>
    <w:rsid w:val="00EA324B"/>
    <w:rsid w:val="00EA72EC"/>
    <w:rsid w:val="00EA7EE0"/>
    <w:rsid w:val="00EB052C"/>
    <w:rsid w:val="00EB11CB"/>
    <w:rsid w:val="00EB275A"/>
    <w:rsid w:val="00EB7792"/>
    <w:rsid w:val="00EB786A"/>
    <w:rsid w:val="00EC1578"/>
    <w:rsid w:val="00EC1C72"/>
    <w:rsid w:val="00EC2B1E"/>
    <w:rsid w:val="00EC3CC9"/>
    <w:rsid w:val="00EC3D88"/>
    <w:rsid w:val="00EC4413"/>
    <w:rsid w:val="00EC5C81"/>
    <w:rsid w:val="00EC66E8"/>
    <w:rsid w:val="00EC680A"/>
    <w:rsid w:val="00EC6A1F"/>
    <w:rsid w:val="00EC71D0"/>
    <w:rsid w:val="00EC7206"/>
    <w:rsid w:val="00EC7467"/>
    <w:rsid w:val="00ED37CE"/>
    <w:rsid w:val="00ED400F"/>
    <w:rsid w:val="00ED4461"/>
    <w:rsid w:val="00EE2967"/>
    <w:rsid w:val="00EE2BED"/>
    <w:rsid w:val="00EE36C9"/>
    <w:rsid w:val="00EE374B"/>
    <w:rsid w:val="00EE38EF"/>
    <w:rsid w:val="00EE39FD"/>
    <w:rsid w:val="00EE5887"/>
    <w:rsid w:val="00EF2E4D"/>
    <w:rsid w:val="00EF7CAE"/>
    <w:rsid w:val="00F00D65"/>
    <w:rsid w:val="00F02159"/>
    <w:rsid w:val="00F03788"/>
    <w:rsid w:val="00F04673"/>
    <w:rsid w:val="00F063BA"/>
    <w:rsid w:val="00F111AF"/>
    <w:rsid w:val="00F11BB5"/>
    <w:rsid w:val="00F11D47"/>
    <w:rsid w:val="00F1417B"/>
    <w:rsid w:val="00F15432"/>
    <w:rsid w:val="00F176BE"/>
    <w:rsid w:val="00F20068"/>
    <w:rsid w:val="00F20214"/>
    <w:rsid w:val="00F21EB4"/>
    <w:rsid w:val="00F2235E"/>
    <w:rsid w:val="00F24EDA"/>
    <w:rsid w:val="00F2557A"/>
    <w:rsid w:val="00F25660"/>
    <w:rsid w:val="00F26F69"/>
    <w:rsid w:val="00F27516"/>
    <w:rsid w:val="00F34197"/>
    <w:rsid w:val="00F3464C"/>
    <w:rsid w:val="00F34B99"/>
    <w:rsid w:val="00F357BA"/>
    <w:rsid w:val="00F36767"/>
    <w:rsid w:val="00F378E5"/>
    <w:rsid w:val="00F429B9"/>
    <w:rsid w:val="00F43CB7"/>
    <w:rsid w:val="00F43F73"/>
    <w:rsid w:val="00F505B3"/>
    <w:rsid w:val="00F51BFE"/>
    <w:rsid w:val="00F52DAB"/>
    <w:rsid w:val="00F543F0"/>
    <w:rsid w:val="00F55E71"/>
    <w:rsid w:val="00F5693C"/>
    <w:rsid w:val="00F60788"/>
    <w:rsid w:val="00F61EAF"/>
    <w:rsid w:val="00F64BCE"/>
    <w:rsid w:val="00F64BE1"/>
    <w:rsid w:val="00F67303"/>
    <w:rsid w:val="00F67819"/>
    <w:rsid w:val="00F70179"/>
    <w:rsid w:val="00F70FA4"/>
    <w:rsid w:val="00F717FE"/>
    <w:rsid w:val="00F72BE4"/>
    <w:rsid w:val="00F73799"/>
    <w:rsid w:val="00F73959"/>
    <w:rsid w:val="00F81799"/>
    <w:rsid w:val="00F81D29"/>
    <w:rsid w:val="00F83D97"/>
    <w:rsid w:val="00F91C4D"/>
    <w:rsid w:val="00F91E19"/>
    <w:rsid w:val="00F92453"/>
    <w:rsid w:val="00F92AC8"/>
    <w:rsid w:val="00F92FD9"/>
    <w:rsid w:val="00F94E9F"/>
    <w:rsid w:val="00FA335A"/>
    <w:rsid w:val="00FA6684"/>
    <w:rsid w:val="00FA66E6"/>
    <w:rsid w:val="00FA731E"/>
    <w:rsid w:val="00FA762D"/>
    <w:rsid w:val="00FB132A"/>
    <w:rsid w:val="00FB2B38"/>
    <w:rsid w:val="00FB40CA"/>
    <w:rsid w:val="00FB6468"/>
    <w:rsid w:val="00FB72F3"/>
    <w:rsid w:val="00FC2B86"/>
    <w:rsid w:val="00FC6358"/>
    <w:rsid w:val="00FD01CF"/>
    <w:rsid w:val="00FD08F4"/>
    <w:rsid w:val="00FD26BA"/>
    <w:rsid w:val="00FD2C9E"/>
    <w:rsid w:val="00FD2DD7"/>
    <w:rsid w:val="00FD320D"/>
    <w:rsid w:val="00FD3E7A"/>
    <w:rsid w:val="00FD4316"/>
    <w:rsid w:val="00FD5752"/>
    <w:rsid w:val="00FE23DE"/>
    <w:rsid w:val="00FE5EDA"/>
    <w:rsid w:val="00FE6E9E"/>
    <w:rsid w:val="00FF42E0"/>
    <w:rsid w:val="00FF4D8C"/>
    <w:rsid w:val="00FF515B"/>
    <w:rsid w:val="00FF67AA"/>
    <w:rsid w:val="01844F3E"/>
    <w:rsid w:val="023E7A19"/>
    <w:rsid w:val="02570088"/>
    <w:rsid w:val="02C24BF1"/>
    <w:rsid w:val="02C35042"/>
    <w:rsid w:val="037F60EF"/>
    <w:rsid w:val="03B2503D"/>
    <w:rsid w:val="03D82AF0"/>
    <w:rsid w:val="03FB0A67"/>
    <w:rsid w:val="04155920"/>
    <w:rsid w:val="04501303"/>
    <w:rsid w:val="04554401"/>
    <w:rsid w:val="046D3847"/>
    <w:rsid w:val="049F168E"/>
    <w:rsid w:val="04DB3AE5"/>
    <w:rsid w:val="050240AB"/>
    <w:rsid w:val="05C25634"/>
    <w:rsid w:val="05EC2707"/>
    <w:rsid w:val="06023E06"/>
    <w:rsid w:val="060B15CC"/>
    <w:rsid w:val="063F41D5"/>
    <w:rsid w:val="075449B1"/>
    <w:rsid w:val="07830F38"/>
    <w:rsid w:val="07CB4548"/>
    <w:rsid w:val="086A5088"/>
    <w:rsid w:val="086C1E6C"/>
    <w:rsid w:val="08F24482"/>
    <w:rsid w:val="09794C18"/>
    <w:rsid w:val="09D84EDB"/>
    <w:rsid w:val="0A177514"/>
    <w:rsid w:val="0A2E4093"/>
    <w:rsid w:val="0A3463D4"/>
    <w:rsid w:val="0A374116"/>
    <w:rsid w:val="0A3C7BEB"/>
    <w:rsid w:val="0A4B3999"/>
    <w:rsid w:val="0A8315F6"/>
    <w:rsid w:val="0ABA1017"/>
    <w:rsid w:val="0AE82940"/>
    <w:rsid w:val="0B0827F4"/>
    <w:rsid w:val="0B1142A0"/>
    <w:rsid w:val="0B1345F7"/>
    <w:rsid w:val="0B4B73C7"/>
    <w:rsid w:val="0B6D4294"/>
    <w:rsid w:val="0B731B72"/>
    <w:rsid w:val="0B92467D"/>
    <w:rsid w:val="0BAB2EE5"/>
    <w:rsid w:val="0BCF631D"/>
    <w:rsid w:val="0C5F2F82"/>
    <w:rsid w:val="0C711B61"/>
    <w:rsid w:val="0DD61398"/>
    <w:rsid w:val="0DD87D3B"/>
    <w:rsid w:val="0DE77C60"/>
    <w:rsid w:val="0E595261"/>
    <w:rsid w:val="0EF079EE"/>
    <w:rsid w:val="0EF97BEC"/>
    <w:rsid w:val="0F2F0C38"/>
    <w:rsid w:val="0F39623B"/>
    <w:rsid w:val="0F81157D"/>
    <w:rsid w:val="0F9E1CCC"/>
    <w:rsid w:val="101B49AB"/>
    <w:rsid w:val="10334634"/>
    <w:rsid w:val="10802B82"/>
    <w:rsid w:val="10835914"/>
    <w:rsid w:val="11A57F1B"/>
    <w:rsid w:val="11CB56FE"/>
    <w:rsid w:val="11DC5CCF"/>
    <w:rsid w:val="125331BE"/>
    <w:rsid w:val="128D3DF0"/>
    <w:rsid w:val="12C0114D"/>
    <w:rsid w:val="12F6691D"/>
    <w:rsid w:val="13A9430A"/>
    <w:rsid w:val="13F8400C"/>
    <w:rsid w:val="140B3C5A"/>
    <w:rsid w:val="14522278"/>
    <w:rsid w:val="14944E3F"/>
    <w:rsid w:val="14991507"/>
    <w:rsid w:val="14A53E9C"/>
    <w:rsid w:val="14DB04C0"/>
    <w:rsid w:val="14EE73F4"/>
    <w:rsid w:val="14FC4AF3"/>
    <w:rsid w:val="150E057E"/>
    <w:rsid w:val="15130B32"/>
    <w:rsid w:val="157553B2"/>
    <w:rsid w:val="16416E4C"/>
    <w:rsid w:val="164200CB"/>
    <w:rsid w:val="164714CD"/>
    <w:rsid w:val="166261CE"/>
    <w:rsid w:val="16731F44"/>
    <w:rsid w:val="16783AEC"/>
    <w:rsid w:val="16EB6EA7"/>
    <w:rsid w:val="182647C6"/>
    <w:rsid w:val="18454CA5"/>
    <w:rsid w:val="189812ED"/>
    <w:rsid w:val="19045B0B"/>
    <w:rsid w:val="196260A4"/>
    <w:rsid w:val="19864814"/>
    <w:rsid w:val="19D43730"/>
    <w:rsid w:val="19FE305B"/>
    <w:rsid w:val="1A646826"/>
    <w:rsid w:val="1A78055F"/>
    <w:rsid w:val="1A9166B2"/>
    <w:rsid w:val="1A922A93"/>
    <w:rsid w:val="1AC13CB4"/>
    <w:rsid w:val="1AC615AA"/>
    <w:rsid w:val="1B1E0D3A"/>
    <w:rsid w:val="1B1F0C0C"/>
    <w:rsid w:val="1BAA4748"/>
    <w:rsid w:val="1C662D8F"/>
    <w:rsid w:val="1C770086"/>
    <w:rsid w:val="1CAE2016"/>
    <w:rsid w:val="1CD756B9"/>
    <w:rsid w:val="1D0C28B4"/>
    <w:rsid w:val="1D75759D"/>
    <w:rsid w:val="1E220F0E"/>
    <w:rsid w:val="1E281D87"/>
    <w:rsid w:val="1E6908EA"/>
    <w:rsid w:val="1F0528C7"/>
    <w:rsid w:val="200A1C59"/>
    <w:rsid w:val="205C39E8"/>
    <w:rsid w:val="20970DCC"/>
    <w:rsid w:val="20E22BD6"/>
    <w:rsid w:val="21005A66"/>
    <w:rsid w:val="210466A8"/>
    <w:rsid w:val="210B5C89"/>
    <w:rsid w:val="21327661"/>
    <w:rsid w:val="21AA36F4"/>
    <w:rsid w:val="21BC1FBE"/>
    <w:rsid w:val="21C757E8"/>
    <w:rsid w:val="223A473C"/>
    <w:rsid w:val="226513C9"/>
    <w:rsid w:val="226F0499"/>
    <w:rsid w:val="22EE7618"/>
    <w:rsid w:val="22FD7B68"/>
    <w:rsid w:val="233514E5"/>
    <w:rsid w:val="238B3FB8"/>
    <w:rsid w:val="23A07CF2"/>
    <w:rsid w:val="23B24756"/>
    <w:rsid w:val="240630D0"/>
    <w:rsid w:val="24254224"/>
    <w:rsid w:val="250F1AC0"/>
    <w:rsid w:val="252F2963"/>
    <w:rsid w:val="2536704D"/>
    <w:rsid w:val="26055C96"/>
    <w:rsid w:val="260E7FC9"/>
    <w:rsid w:val="26A001C7"/>
    <w:rsid w:val="26F47C93"/>
    <w:rsid w:val="27084A19"/>
    <w:rsid w:val="27AC4B06"/>
    <w:rsid w:val="280430C0"/>
    <w:rsid w:val="289300C3"/>
    <w:rsid w:val="289D744E"/>
    <w:rsid w:val="28B64187"/>
    <w:rsid w:val="29404BCF"/>
    <w:rsid w:val="29515A57"/>
    <w:rsid w:val="29794518"/>
    <w:rsid w:val="298145C1"/>
    <w:rsid w:val="29C07FA1"/>
    <w:rsid w:val="2A2D61F0"/>
    <w:rsid w:val="2A425CB1"/>
    <w:rsid w:val="2A7B753C"/>
    <w:rsid w:val="2B6C5366"/>
    <w:rsid w:val="2BAA0E41"/>
    <w:rsid w:val="2BAF7F94"/>
    <w:rsid w:val="2C0F50D6"/>
    <w:rsid w:val="2C120CF4"/>
    <w:rsid w:val="2C576226"/>
    <w:rsid w:val="2D042F0F"/>
    <w:rsid w:val="2D0D0FDB"/>
    <w:rsid w:val="2D503DAB"/>
    <w:rsid w:val="2D546C0A"/>
    <w:rsid w:val="2D603641"/>
    <w:rsid w:val="2D632B26"/>
    <w:rsid w:val="2DC35F88"/>
    <w:rsid w:val="2DCA08C4"/>
    <w:rsid w:val="2DFA6F8C"/>
    <w:rsid w:val="2E22401B"/>
    <w:rsid w:val="2E39196B"/>
    <w:rsid w:val="2E513EE9"/>
    <w:rsid w:val="2E5C40ED"/>
    <w:rsid w:val="2ECA0BBB"/>
    <w:rsid w:val="2ED86A47"/>
    <w:rsid w:val="2F8162C9"/>
    <w:rsid w:val="2F924EE3"/>
    <w:rsid w:val="2FAF6379"/>
    <w:rsid w:val="30D87A84"/>
    <w:rsid w:val="30E763BC"/>
    <w:rsid w:val="3141061D"/>
    <w:rsid w:val="3160251C"/>
    <w:rsid w:val="31C14142"/>
    <w:rsid w:val="31D77103"/>
    <w:rsid w:val="31EC1380"/>
    <w:rsid w:val="31F05055"/>
    <w:rsid w:val="32D16C5C"/>
    <w:rsid w:val="331D7A9E"/>
    <w:rsid w:val="33380434"/>
    <w:rsid w:val="33B170C3"/>
    <w:rsid w:val="33B9418C"/>
    <w:rsid w:val="33F8220E"/>
    <w:rsid w:val="33FD12B9"/>
    <w:rsid w:val="34200FAE"/>
    <w:rsid w:val="342E1F62"/>
    <w:rsid w:val="349C2B14"/>
    <w:rsid w:val="34AC6CE7"/>
    <w:rsid w:val="34F01510"/>
    <w:rsid w:val="35453F61"/>
    <w:rsid w:val="35584DBD"/>
    <w:rsid w:val="35642381"/>
    <w:rsid w:val="35F04726"/>
    <w:rsid w:val="36126734"/>
    <w:rsid w:val="3655219A"/>
    <w:rsid w:val="368C691B"/>
    <w:rsid w:val="36A47388"/>
    <w:rsid w:val="36B14785"/>
    <w:rsid w:val="36FD5C1C"/>
    <w:rsid w:val="37E40B8A"/>
    <w:rsid w:val="37F05781"/>
    <w:rsid w:val="380D6333"/>
    <w:rsid w:val="38732531"/>
    <w:rsid w:val="387739D0"/>
    <w:rsid w:val="38855E03"/>
    <w:rsid w:val="39097F26"/>
    <w:rsid w:val="392F4087"/>
    <w:rsid w:val="39496203"/>
    <w:rsid w:val="39574FE1"/>
    <w:rsid w:val="395B4E7C"/>
    <w:rsid w:val="39877321"/>
    <w:rsid w:val="39DC5FBD"/>
    <w:rsid w:val="3A2C7C24"/>
    <w:rsid w:val="3A9E14C4"/>
    <w:rsid w:val="3B5424B5"/>
    <w:rsid w:val="3B9A7EDD"/>
    <w:rsid w:val="3BB77BFA"/>
    <w:rsid w:val="3BC07EDE"/>
    <w:rsid w:val="3BC90CFF"/>
    <w:rsid w:val="3BD3714F"/>
    <w:rsid w:val="3BF21AC7"/>
    <w:rsid w:val="3C8D600E"/>
    <w:rsid w:val="3CC00748"/>
    <w:rsid w:val="3CE85D17"/>
    <w:rsid w:val="3D085FE9"/>
    <w:rsid w:val="3DA25539"/>
    <w:rsid w:val="3DA65B4C"/>
    <w:rsid w:val="3DE6740A"/>
    <w:rsid w:val="3E241CE0"/>
    <w:rsid w:val="3EDE3A13"/>
    <w:rsid w:val="3F1702C3"/>
    <w:rsid w:val="3F650802"/>
    <w:rsid w:val="3FB90F66"/>
    <w:rsid w:val="3FC62613"/>
    <w:rsid w:val="401F3E75"/>
    <w:rsid w:val="40792EE3"/>
    <w:rsid w:val="40C129AA"/>
    <w:rsid w:val="415F5DAE"/>
    <w:rsid w:val="416F3BBA"/>
    <w:rsid w:val="41850CE8"/>
    <w:rsid w:val="41D60D5A"/>
    <w:rsid w:val="41FD3703"/>
    <w:rsid w:val="421D0D04"/>
    <w:rsid w:val="428321F7"/>
    <w:rsid w:val="42E303BC"/>
    <w:rsid w:val="430C2C53"/>
    <w:rsid w:val="430D659D"/>
    <w:rsid w:val="43140575"/>
    <w:rsid w:val="432C24B3"/>
    <w:rsid w:val="432C2669"/>
    <w:rsid w:val="446304CD"/>
    <w:rsid w:val="449E0D2B"/>
    <w:rsid w:val="44A92F3F"/>
    <w:rsid w:val="44B55D88"/>
    <w:rsid w:val="4523757B"/>
    <w:rsid w:val="4618037D"/>
    <w:rsid w:val="46346D88"/>
    <w:rsid w:val="465A349C"/>
    <w:rsid w:val="467A2DE5"/>
    <w:rsid w:val="4685435B"/>
    <w:rsid w:val="46AC4F69"/>
    <w:rsid w:val="46DE2AC4"/>
    <w:rsid w:val="46E347C1"/>
    <w:rsid w:val="47BA4098"/>
    <w:rsid w:val="47BE31A6"/>
    <w:rsid w:val="481A210B"/>
    <w:rsid w:val="48684C31"/>
    <w:rsid w:val="4893018E"/>
    <w:rsid w:val="489835C7"/>
    <w:rsid w:val="48AE4D69"/>
    <w:rsid w:val="49311755"/>
    <w:rsid w:val="49795315"/>
    <w:rsid w:val="49C523DF"/>
    <w:rsid w:val="49C8219B"/>
    <w:rsid w:val="49D4280C"/>
    <w:rsid w:val="4A035D59"/>
    <w:rsid w:val="4A0C03EC"/>
    <w:rsid w:val="4A9B587E"/>
    <w:rsid w:val="4AE922E8"/>
    <w:rsid w:val="4B06414F"/>
    <w:rsid w:val="4C6A7458"/>
    <w:rsid w:val="4CC4300C"/>
    <w:rsid w:val="4D1F0A7C"/>
    <w:rsid w:val="4D27266D"/>
    <w:rsid w:val="4DF168C3"/>
    <w:rsid w:val="4E21448E"/>
    <w:rsid w:val="4EA053B3"/>
    <w:rsid w:val="4ECE37CF"/>
    <w:rsid w:val="4F38383D"/>
    <w:rsid w:val="4F42404D"/>
    <w:rsid w:val="4F5759D2"/>
    <w:rsid w:val="4FB568CD"/>
    <w:rsid w:val="4FB64D53"/>
    <w:rsid w:val="4FDE3CE1"/>
    <w:rsid w:val="4FED1881"/>
    <w:rsid w:val="50106227"/>
    <w:rsid w:val="50213FD2"/>
    <w:rsid w:val="50851CC7"/>
    <w:rsid w:val="50F43794"/>
    <w:rsid w:val="50F975E2"/>
    <w:rsid w:val="514A5AAA"/>
    <w:rsid w:val="5153495F"/>
    <w:rsid w:val="515F4E77"/>
    <w:rsid w:val="51B22846"/>
    <w:rsid w:val="53000B16"/>
    <w:rsid w:val="530F739F"/>
    <w:rsid w:val="533107BC"/>
    <w:rsid w:val="53E852C4"/>
    <w:rsid w:val="53E937CF"/>
    <w:rsid w:val="54AB6860"/>
    <w:rsid w:val="54B524DC"/>
    <w:rsid w:val="550E2CC2"/>
    <w:rsid w:val="551E6AAB"/>
    <w:rsid w:val="55436A98"/>
    <w:rsid w:val="554572D7"/>
    <w:rsid w:val="554E37C5"/>
    <w:rsid w:val="556F4FFF"/>
    <w:rsid w:val="55FD772C"/>
    <w:rsid w:val="5612137F"/>
    <w:rsid w:val="569E23B5"/>
    <w:rsid w:val="56C00F63"/>
    <w:rsid w:val="56FF3E96"/>
    <w:rsid w:val="572A1576"/>
    <w:rsid w:val="574134AB"/>
    <w:rsid w:val="57511DAE"/>
    <w:rsid w:val="57911D3D"/>
    <w:rsid w:val="57977705"/>
    <w:rsid w:val="57AD6F2E"/>
    <w:rsid w:val="582F54A6"/>
    <w:rsid w:val="585432D2"/>
    <w:rsid w:val="58F60EE6"/>
    <w:rsid w:val="594A2AEB"/>
    <w:rsid w:val="59DF5E95"/>
    <w:rsid w:val="59F461A6"/>
    <w:rsid w:val="5A1C28D3"/>
    <w:rsid w:val="5A4806FB"/>
    <w:rsid w:val="5AAD5FF1"/>
    <w:rsid w:val="5ACD2463"/>
    <w:rsid w:val="5B1038C0"/>
    <w:rsid w:val="5B155DC5"/>
    <w:rsid w:val="5B336ED0"/>
    <w:rsid w:val="5B4041A6"/>
    <w:rsid w:val="5B88233D"/>
    <w:rsid w:val="5BEA3BD5"/>
    <w:rsid w:val="5C8B332B"/>
    <w:rsid w:val="5C9A63D6"/>
    <w:rsid w:val="5CF04390"/>
    <w:rsid w:val="5D047E25"/>
    <w:rsid w:val="5D4E73B2"/>
    <w:rsid w:val="5E435191"/>
    <w:rsid w:val="5E5A53D0"/>
    <w:rsid w:val="5EA16545"/>
    <w:rsid w:val="5EBC795D"/>
    <w:rsid w:val="5EFC5544"/>
    <w:rsid w:val="5F324FC1"/>
    <w:rsid w:val="5F6E5059"/>
    <w:rsid w:val="5F7268F8"/>
    <w:rsid w:val="5F9C3975"/>
    <w:rsid w:val="5FE202C8"/>
    <w:rsid w:val="606B7A2B"/>
    <w:rsid w:val="60B13610"/>
    <w:rsid w:val="61237025"/>
    <w:rsid w:val="612F64E4"/>
    <w:rsid w:val="613E3CBB"/>
    <w:rsid w:val="61961C75"/>
    <w:rsid w:val="61D03C31"/>
    <w:rsid w:val="61F47A98"/>
    <w:rsid w:val="61F604F7"/>
    <w:rsid w:val="62652744"/>
    <w:rsid w:val="629E1902"/>
    <w:rsid w:val="62B349E1"/>
    <w:rsid w:val="62DC397C"/>
    <w:rsid w:val="63304B00"/>
    <w:rsid w:val="6338031A"/>
    <w:rsid w:val="634E31D8"/>
    <w:rsid w:val="63785C23"/>
    <w:rsid w:val="63845EE2"/>
    <w:rsid w:val="63957E03"/>
    <w:rsid w:val="63C74ED2"/>
    <w:rsid w:val="640B1FAB"/>
    <w:rsid w:val="6493748E"/>
    <w:rsid w:val="64A12F35"/>
    <w:rsid w:val="653603C7"/>
    <w:rsid w:val="65731758"/>
    <w:rsid w:val="65BE4D70"/>
    <w:rsid w:val="660A60F4"/>
    <w:rsid w:val="66651C8A"/>
    <w:rsid w:val="66BA3A5E"/>
    <w:rsid w:val="66BC030D"/>
    <w:rsid w:val="66C06B20"/>
    <w:rsid w:val="66F901D1"/>
    <w:rsid w:val="6732696D"/>
    <w:rsid w:val="67430B73"/>
    <w:rsid w:val="67630035"/>
    <w:rsid w:val="67AA62CF"/>
    <w:rsid w:val="68000819"/>
    <w:rsid w:val="680554CE"/>
    <w:rsid w:val="68147111"/>
    <w:rsid w:val="68290587"/>
    <w:rsid w:val="68730836"/>
    <w:rsid w:val="68AA0DA2"/>
    <w:rsid w:val="68CB0E27"/>
    <w:rsid w:val="68F51602"/>
    <w:rsid w:val="691079DD"/>
    <w:rsid w:val="692245BB"/>
    <w:rsid w:val="693738AC"/>
    <w:rsid w:val="696C260A"/>
    <w:rsid w:val="69D651E4"/>
    <w:rsid w:val="69FB10CE"/>
    <w:rsid w:val="6A126CA6"/>
    <w:rsid w:val="6B4A0729"/>
    <w:rsid w:val="6B7A02A4"/>
    <w:rsid w:val="6BCA7B91"/>
    <w:rsid w:val="6C0B610A"/>
    <w:rsid w:val="6C514E83"/>
    <w:rsid w:val="6C9F7B8F"/>
    <w:rsid w:val="6D007E2E"/>
    <w:rsid w:val="6D413207"/>
    <w:rsid w:val="6D7E58D8"/>
    <w:rsid w:val="6D910D9F"/>
    <w:rsid w:val="6DAF05E0"/>
    <w:rsid w:val="6E187B57"/>
    <w:rsid w:val="6E3E5FAF"/>
    <w:rsid w:val="6E7525F4"/>
    <w:rsid w:val="6EA10310"/>
    <w:rsid w:val="6EA470E4"/>
    <w:rsid w:val="6EA90258"/>
    <w:rsid w:val="6EB74327"/>
    <w:rsid w:val="6ECB392F"/>
    <w:rsid w:val="6EFE0E88"/>
    <w:rsid w:val="6F006E0C"/>
    <w:rsid w:val="6F373E2F"/>
    <w:rsid w:val="6F5F7FFD"/>
    <w:rsid w:val="6F824E8E"/>
    <w:rsid w:val="6F8D19DC"/>
    <w:rsid w:val="6FF7503E"/>
    <w:rsid w:val="700C44E2"/>
    <w:rsid w:val="70485F6F"/>
    <w:rsid w:val="713A661B"/>
    <w:rsid w:val="714B6FA9"/>
    <w:rsid w:val="715B76BF"/>
    <w:rsid w:val="716D3CA6"/>
    <w:rsid w:val="72251674"/>
    <w:rsid w:val="723648BD"/>
    <w:rsid w:val="72407350"/>
    <w:rsid w:val="72827E54"/>
    <w:rsid w:val="728C51FF"/>
    <w:rsid w:val="73412411"/>
    <w:rsid w:val="73710810"/>
    <w:rsid w:val="740D49E9"/>
    <w:rsid w:val="74257F85"/>
    <w:rsid w:val="744F2831"/>
    <w:rsid w:val="74574035"/>
    <w:rsid w:val="746762C8"/>
    <w:rsid w:val="748702F8"/>
    <w:rsid w:val="7496678D"/>
    <w:rsid w:val="75587EE6"/>
    <w:rsid w:val="7582413D"/>
    <w:rsid w:val="76334EF2"/>
    <w:rsid w:val="763A2D50"/>
    <w:rsid w:val="765E62AC"/>
    <w:rsid w:val="76664E96"/>
    <w:rsid w:val="76BE4574"/>
    <w:rsid w:val="76EC08E6"/>
    <w:rsid w:val="775232ED"/>
    <w:rsid w:val="77990522"/>
    <w:rsid w:val="77B04437"/>
    <w:rsid w:val="77FA78C2"/>
    <w:rsid w:val="787A4FAB"/>
    <w:rsid w:val="788334CC"/>
    <w:rsid w:val="78C46964"/>
    <w:rsid w:val="78D93CA2"/>
    <w:rsid w:val="78DD3F99"/>
    <w:rsid w:val="791574E6"/>
    <w:rsid w:val="79191C88"/>
    <w:rsid w:val="791F6394"/>
    <w:rsid w:val="79404245"/>
    <w:rsid w:val="795A2FC9"/>
    <w:rsid w:val="797803E1"/>
    <w:rsid w:val="798F3909"/>
    <w:rsid w:val="79E4723B"/>
    <w:rsid w:val="7A4F18B8"/>
    <w:rsid w:val="7AC33F63"/>
    <w:rsid w:val="7B6A6ADC"/>
    <w:rsid w:val="7B733C54"/>
    <w:rsid w:val="7BB67714"/>
    <w:rsid w:val="7C070AEE"/>
    <w:rsid w:val="7C4E5B9F"/>
    <w:rsid w:val="7C970076"/>
    <w:rsid w:val="7CA57BC1"/>
    <w:rsid w:val="7CAD7756"/>
    <w:rsid w:val="7CBB1486"/>
    <w:rsid w:val="7CDD4DCB"/>
    <w:rsid w:val="7CEB4578"/>
    <w:rsid w:val="7D8A2C07"/>
    <w:rsid w:val="7DE642E1"/>
    <w:rsid w:val="7E057830"/>
    <w:rsid w:val="7E2B0024"/>
    <w:rsid w:val="7E3E210E"/>
    <w:rsid w:val="7E7A683A"/>
    <w:rsid w:val="7E7A711F"/>
    <w:rsid w:val="7EE843E6"/>
    <w:rsid w:val="7F7555E4"/>
    <w:rsid w:val="7F847B26"/>
    <w:rsid w:val="7FAF2A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kern w:val="2"/>
      <w:sz w:val="21"/>
      <w:szCs w:val="24"/>
      <w:lang w:val="en-US" w:eastAsia="zh-CN" w:bidi="ar-SA"/>
    </w:rPr>
  </w:style>
  <w:style w:type="paragraph" w:styleId="3">
    <w:name w:val="heading 1"/>
    <w:basedOn w:val="1"/>
    <w:next w:val="1"/>
    <w:link w:val="16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1"/>
    <w:qFormat/>
    <w:uiPriority w:val="9"/>
    <w:pPr>
      <w:keepNext/>
      <w:keepLines/>
      <w:spacing w:line="408" w:lineRule="auto"/>
      <w:outlineLvl w:val="1"/>
    </w:pPr>
    <w:rPr>
      <w:b/>
      <w:bCs/>
      <w:color w:val="1A1A1A"/>
      <w:sz w:val="32"/>
      <w:szCs w:val="32"/>
    </w:rPr>
  </w:style>
  <w:style w:type="paragraph" w:styleId="5">
    <w:name w:val="heading 3"/>
    <w:basedOn w:val="1"/>
    <w:next w:val="1"/>
    <w:link w:val="103"/>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20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42">
    <w:name w:val="Default Paragraph Font"/>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rPr>
      <w:rFonts w:ascii="Times New Roman" w:hAnsi="Times New Roman"/>
      <w:kern w:val="0"/>
      <w:sz w:val="20"/>
      <w:szCs w:val="20"/>
    </w:rPr>
  </w:style>
  <w:style w:type="paragraph" w:styleId="7">
    <w:name w:val="toc 7"/>
    <w:basedOn w:val="1"/>
    <w:next w:val="1"/>
    <w:semiHidden/>
    <w:qFormat/>
    <w:uiPriority w:val="0"/>
    <w:pPr>
      <w:tabs>
        <w:tab w:val="right" w:leader="dot" w:pos="9241"/>
      </w:tabs>
      <w:ind w:firstLine="505" w:firstLineChars="500"/>
      <w:jc w:val="left"/>
    </w:pPr>
    <w:rPr>
      <w:szCs w:val="21"/>
    </w:rPr>
  </w:style>
  <w:style w:type="paragraph" w:styleId="8">
    <w:name w:val="index 8"/>
    <w:basedOn w:val="1"/>
    <w:next w:val="1"/>
    <w:qFormat/>
    <w:uiPriority w:val="0"/>
    <w:pPr>
      <w:ind w:left="1680" w:hanging="210"/>
      <w:jc w:val="left"/>
    </w:pPr>
    <w:rPr>
      <w:rFonts w:ascii="Calibri" w:hAnsi="Calibri"/>
      <w:sz w:val="20"/>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index 5"/>
    <w:basedOn w:val="1"/>
    <w:next w:val="1"/>
    <w:qFormat/>
    <w:uiPriority w:val="0"/>
    <w:pPr>
      <w:ind w:left="1050" w:hanging="210"/>
      <w:jc w:val="left"/>
    </w:pPr>
    <w:rPr>
      <w:rFonts w:ascii="Calibri" w:hAnsi="Calibri"/>
      <w:sz w:val="20"/>
      <w:szCs w:val="20"/>
    </w:rPr>
  </w:style>
  <w:style w:type="paragraph" w:styleId="11">
    <w:name w:val="Document Map"/>
    <w:basedOn w:val="1"/>
    <w:link w:val="192"/>
    <w:semiHidden/>
    <w:qFormat/>
    <w:uiPriority w:val="0"/>
    <w:pPr>
      <w:shd w:val="clear" w:color="auto" w:fill="000080"/>
    </w:pPr>
  </w:style>
  <w:style w:type="paragraph" w:styleId="12">
    <w:name w:val="annotation text"/>
    <w:basedOn w:val="1"/>
    <w:link w:val="96"/>
    <w:qFormat/>
    <w:uiPriority w:val="99"/>
    <w:pPr>
      <w:jc w:val="left"/>
    </w:pPr>
  </w:style>
  <w:style w:type="paragraph" w:styleId="13">
    <w:name w:val="index 6"/>
    <w:basedOn w:val="1"/>
    <w:next w:val="1"/>
    <w:qFormat/>
    <w:uiPriority w:val="0"/>
    <w:pPr>
      <w:ind w:left="1260" w:hanging="210"/>
      <w:jc w:val="left"/>
    </w:pPr>
    <w:rPr>
      <w:rFonts w:ascii="Calibri" w:hAnsi="Calibri"/>
      <w:sz w:val="20"/>
      <w:szCs w:val="20"/>
    </w:rPr>
  </w:style>
  <w:style w:type="paragraph" w:styleId="14">
    <w:name w:val="index 4"/>
    <w:basedOn w:val="1"/>
    <w:next w:val="1"/>
    <w:qFormat/>
    <w:uiPriority w:val="0"/>
    <w:pPr>
      <w:ind w:left="840" w:hanging="210"/>
      <w:jc w:val="left"/>
    </w:pPr>
    <w:rPr>
      <w:rFonts w:ascii="Calibri" w:hAnsi="Calibri"/>
      <w:sz w:val="20"/>
      <w:szCs w:val="20"/>
    </w:rPr>
  </w:style>
  <w:style w:type="paragraph" w:styleId="15">
    <w:name w:val="toc 5"/>
    <w:basedOn w:val="1"/>
    <w:next w:val="1"/>
    <w:qFormat/>
    <w:uiPriority w:val="39"/>
    <w:pPr>
      <w:tabs>
        <w:tab w:val="right" w:leader="dot" w:pos="9241"/>
      </w:tabs>
      <w:ind w:firstLine="300" w:firstLineChars="300"/>
      <w:jc w:val="left"/>
    </w:pPr>
    <w:rPr>
      <w:szCs w:val="21"/>
    </w:rPr>
  </w:style>
  <w:style w:type="paragraph" w:styleId="16">
    <w:name w:val="toc 3"/>
    <w:basedOn w:val="1"/>
    <w:next w:val="1"/>
    <w:qFormat/>
    <w:uiPriority w:val="39"/>
    <w:pPr>
      <w:tabs>
        <w:tab w:val="right" w:leader="dot" w:pos="8161"/>
      </w:tabs>
      <w:ind w:firstLine="283" w:firstLineChars="135"/>
      <w:jc w:val="left"/>
    </w:pPr>
    <w:rPr>
      <w:szCs w:val="21"/>
    </w:rPr>
  </w:style>
  <w:style w:type="paragraph" w:styleId="17">
    <w:name w:val="toc 8"/>
    <w:basedOn w:val="1"/>
    <w:next w:val="1"/>
    <w:semiHidden/>
    <w:qFormat/>
    <w:uiPriority w:val="0"/>
    <w:pPr>
      <w:tabs>
        <w:tab w:val="right" w:leader="dot" w:pos="9241"/>
      </w:tabs>
      <w:ind w:firstLine="607" w:firstLineChars="600"/>
      <w:jc w:val="left"/>
    </w:pPr>
    <w:rPr>
      <w:szCs w:val="21"/>
    </w:rPr>
  </w:style>
  <w:style w:type="paragraph" w:styleId="18">
    <w:name w:val="index 3"/>
    <w:basedOn w:val="1"/>
    <w:next w:val="1"/>
    <w:qFormat/>
    <w:uiPriority w:val="0"/>
    <w:pPr>
      <w:ind w:left="630" w:hanging="210"/>
      <w:jc w:val="left"/>
    </w:pPr>
    <w:rPr>
      <w:rFonts w:ascii="Calibri" w:hAnsi="Calibri"/>
      <w:sz w:val="20"/>
      <w:szCs w:val="20"/>
    </w:rPr>
  </w:style>
  <w:style w:type="paragraph" w:styleId="19">
    <w:name w:val="Date"/>
    <w:basedOn w:val="1"/>
    <w:next w:val="1"/>
    <w:link w:val="211"/>
    <w:semiHidden/>
    <w:unhideWhenUsed/>
    <w:uiPriority w:val="0"/>
    <w:pPr>
      <w:ind w:left="100" w:leftChars="2500"/>
    </w:pPr>
  </w:style>
  <w:style w:type="paragraph" w:styleId="20">
    <w:name w:val="Body Text Indent 2"/>
    <w:basedOn w:val="1"/>
    <w:link w:val="190"/>
    <w:qFormat/>
    <w:uiPriority w:val="0"/>
    <w:pPr>
      <w:spacing w:after="120" w:line="480" w:lineRule="auto"/>
      <w:ind w:left="420" w:leftChars="200"/>
    </w:pPr>
  </w:style>
  <w:style w:type="paragraph" w:styleId="21">
    <w:name w:val="endnote text"/>
    <w:basedOn w:val="1"/>
    <w:link w:val="193"/>
    <w:semiHidden/>
    <w:qFormat/>
    <w:uiPriority w:val="0"/>
    <w:pPr>
      <w:snapToGrid w:val="0"/>
      <w:jc w:val="left"/>
    </w:pPr>
  </w:style>
  <w:style w:type="paragraph" w:styleId="22">
    <w:name w:val="Balloon Text"/>
    <w:basedOn w:val="1"/>
    <w:link w:val="154"/>
    <w:qFormat/>
    <w:uiPriority w:val="0"/>
    <w:rPr>
      <w:sz w:val="18"/>
      <w:szCs w:val="18"/>
    </w:rPr>
  </w:style>
  <w:style w:type="paragraph" w:styleId="23">
    <w:name w:val="footer"/>
    <w:basedOn w:val="1"/>
    <w:link w:val="179"/>
    <w:qFormat/>
    <w:uiPriority w:val="99"/>
    <w:pPr>
      <w:snapToGrid w:val="0"/>
      <w:ind w:right="210" w:rightChars="100"/>
      <w:jc w:val="right"/>
    </w:pPr>
    <w:rPr>
      <w:sz w:val="18"/>
      <w:szCs w:val="18"/>
    </w:rPr>
  </w:style>
  <w:style w:type="paragraph" w:styleId="24">
    <w:name w:val="header"/>
    <w:basedOn w:val="1"/>
    <w:link w:val="194"/>
    <w:qFormat/>
    <w:uiPriority w:val="0"/>
    <w:pPr>
      <w:snapToGrid w:val="0"/>
      <w:jc w:val="left"/>
    </w:pPr>
    <w:rPr>
      <w:sz w:val="18"/>
      <w:szCs w:val="18"/>
    </w:rPr>
  </w:style>
  <w:style w:type="paragraph" w:styleId="25">
    <w:name w:val="toc 1"/>
    <w:basedOn w:val="1"/>
    <w:next w:val="1"/>
    <w:qFormat/>
    <w:uiPriority w:val="39"/>
    <w:pPr>
      <w:tabs>
        <w:tab w:val="right" w:leader="dot" w:pos="8080"/>
        <w:tab w:val="right" w:leader="dot" w:pos="9346"/>
      </w:tabs>
      <w:spacing w:beforeLines="25" w:afterLines="25"/>
    </w:pPr>
    <w:rPr>
      <w:szCs w:val="21"/>
    </w:rPr>
  </w:style>
  <w:style w:type="paragraph" w:styleId="26">
    <w:name w:val="toc 4"/>
    <w:basedOn w:val="1"/>
    <w:next w:val="1"/>
    <w:qFormat/>
    <w:uiPriority w:val="39"/>
    <w:pPr>
      <w:tabs>
        <w:tab w:val="right" w:leader="dot" w:pos="9241"/>
      </w:tabs>
      <w:ind w:firstLine="198" w:firstLineChars="200"/>
      <w:jc w:val="left"/>
    </w:pPr>
    <w:rPr>
      <w:szCs w:val="21"/>
    </w:rPr>
  </w:style>
  <w:style w:type="paragraph" w:styleId="27">
    <w:name w:val="index heading"/>
    <w:basedOn w:val="1"/>
    <w:next w:val="28"/>
    <w:qFormat/>
    <w:uiPriority w:val="0"/>
    <w:pPr>
      <w:spacing w:before="120" w:after="120"/>
      <w:jc w:val="center"/>
    </w:pPr>
    <w:rPr>
      <w:rFonts w:ascii="Calibri" w:hAnsi="Calibri"/>
      <w:b/>
      <w:bCs/>
      <w:iCs/>
      <w:szCs w:val="20"/>
    </w:rPr>
  </w:style>
  <w:style w:type="paragraph" w:styleId="28">
    <w:name w:val="index 1"/>
    <w:basedOn w:val="1"/>
    <w:next w:val="29"/>
    <w:qFormat/>
    <w:uiPriority w:val="0"/>
    <w:pPr>
      <w:tabs>
        <w:tab w:val="right" w:leader="dot" w:pos="9299"/>
      </w:tabs>
      <w:jc w:val="left"/>
    </w:pPr>
    <w:rPr>
      <w:szCs w:val="21"/>
    </w:rPr>
  </w:style>
  <w:style w:type="paragraph" w:customStyle="1" w:styleId="29">
    <w:name w:val="段"/>
    <w:link w:val="7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0">
    <w:name w:val="footnote text"/>
    <w:basedOn w:val="1"/>
    <w:link w:val="195"/>
    <w:qFormat/>
    <w:uiPriority w:val="0"/>
    <w:pPr>
      <w:numPr>
        <w:ilvl w:val="0"/>
        <w:numId w:val="1"/>
      </w:numPr>
      <w:snapToGrid w:val="0"/>
      <w:jc w:val="left"/>
    </w:pPr>
    <w:rPr>
      <w:sz w:val="18"/>
      <w:szCs w:val="18"/>
    </w:rPr>
  </w:style>
  <w:style w:type="paragraph" w:styleId="31">
    <w:name w:val="toc 6"/>
    <w:basedOn w:val="1"/>
    <w:next w:val="1"/>
    <w:semiHidden/>
    <w:qFormat/>
    <w:uiPriority w:val="0"/>
    <w:pPr>
      <w:tabs>
        <w:tab w:val="right" w:leader="dot" w:pos="9241"/>
      </w:tabs>
      <w:ind w:firstLine="403" w:firstLineChars="400"/>
      <w:jc w:val="left"/>
    </w:pPr>
    <w:rPr>
      <w:szCs w:val="21"/>
    </w:rPr>
  </w:style>
  <w:style w:type="paragraph" w:styleId="32">
    <w:name w:val="index 7"/>
    <w:basedOn w:val="1"/>
    <w:next w:val="1"/>
    <w:qFormat/>
    <w:uiPriority w:val="0"/>
    <w:pPr>
      <w:ind w:left="1470" w:hanging="210"/>
      <w:jc w:val="left"/>
    </w:pPr>
    <w:rPr>
      <w:rFonts w:ascii="Calibri" w:hAnsi="Calibri"/>
      <w:sz w:val="20"/>
      <w:szCs w:val="20"/>
    </w:rPr>
  </w:style>
  <w:style w:type="paragraph" w:styleId="33">
    <w:name w:val="index 9"/>
    <w:basedOn w:val="1"/>
    <w:next w:val="1"/>
    <w:qFormat/>
    <w:uiPriority w:val="0"/>
    <w:pPr>
      <w:ind w:left="1890" w:hanging="210"/>
      <w:jc w:val="left"/>
    </w:pPr>
    <w:rPr>
      <w:rFonts w:ascii="Calibri" w:hAnsi="Calibri"/>
      <w:sz w:val="20"/>
      <w:szCs w:val="20"/>
    </w:rPr>
  </w:style>
  <w:style w:type="paragraph" w:styleId="34">
    <w:name w:val="toc 2"/>
    <w:basedOn w:val="1"/>
    <w:next w:val="1"/>
    <w:qFormat/>
    <w:uiPriority w:val="39"/>
    <w:pPr>
      <w:tabs>
        <w:tab w:val="right" w:leader="dot" w:pos="8175"/>
      </w:tabs>
    </w:pPr>
    <w:rPr>
      <w:szCs w:val="21"/>
    </w:rPr>
  </w:style>
  <w:style w:type="paragraph" w:styleId="35">
    <w:name w:val="toc 9"/>
    <w:basedOn w:val="1"/>
    <w:next w:val="1"/>
    <w:semiHidden/>
    <w:qFormat/>
    <w:uiPriority w:val="0"/>
    <w:pPr>
      <w:ind w:left="1470"/>
      <w:jc w:val="left"/>
    </w:pPr>
    <w:rPr>
      <w:sz w:val="20"/>
      <w:szCs w:val="20"/>
    </w:rPr>
  </w:style>
  <w:style w:type="paragraph" w:styleId="36">
    <w:name w:val="Normal (Web)"/>
    <w:basedOn w:val="1"/>
    <w:unhideWhenUsed/>
    <w:qFormat/>
    <w:uiPriority w:val="99"/>
    <w:rPr>
      <w:sz w:val="24"/>
    </w:rPr>
  </w:style>
  <w:style w:type="paragraph" w:styleId="37">
    <w:name w:val="index 2"/>
    <w:basedOn w:val="1"/>
    <w:next w:val="1"/>
    <w:qFormat/>
    <w:uiPriority w:val="0"/>
    <w:pPr>
      <w:ind w:left="420" w:hanging="210"/>
      <w:jc w:val="left"/>
    </w:pPr>
    <w:rPr>
      <w:rFonts w:ascii="Calibri" w:hAnsi="Calibri"/>
      <w:sz w:val="20"/>
      <w:szCs w:val="20"/>
    </w:rPr>
  </w:style>
  <w:style w:type="paragraph" w:styleId="38">
    <w:name w:val="Title"/>
    <w:basedOn w:val="1"/>
    <w:next w:val="1"/>
    <w:link w:val="196"/>
    <w:qFormat/>
    <w:uiPriority w:val="9"/>
    <w:pPr>
      <w:keepNext/>
      <w:keepLines/>
      <w:spacing w:line="408" w:lineRule="auto"/>
      <w:jc w:val="center"/>
      <w:outlineLvl w:val="0"/>
    </w:pPr>
    <w:rPr>
      <w:b/>
      <w:bCs/>
      <w:color w:val="1A1A1A"/>
      <w:sz w:val="48"/>
      <w:szCs w:val="48"/>
    </w:rPr>
  </w:style>
  <w:style w:type="paragraph" w:styleId="39">
    <w:name w:val="annotation subject"/>
    <w:basedOn w:val="12"/>
    <w:next w:val="12"/>
    <w:link w:val="115"/>
    <w:semiHidden/>
    <w:unhideWhenUsed/>
    <w:qFormat/>
    <w:uiPriority w:val="0"/>
    <w:rPr>
      <w:b/>
      <w:bCs/>
    </w:rPr>
  </w:style>
  <w:style w:type="table" w:styleId="41">
    <w:name w:val="Table Grid"/>
    <w:basedOn w:val="40"/>
    <w:qFormat/>
    <w:uiPriority w:val="59"/>
    <w:pPr>
      <w:tabs>
        <w:tab w:val="left" w:pos="720"/>
      </w:tabs>
      <w:ind w:left="544" w:hanging="181"/>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basedOn w:val="42"/>
    <w:qFormat/>
    <w:uiPriority w:val="22"/>
    <w:rPr>
      <w:b/>
      <w:bCs/>
    </w:rPr>
  </w:style>
  <w:style w:type="character" w:styleId="44">
    <w:name w:val="endnote reference"/>
    <w:basedOn w:val="42"/>
    <w:semiHidden/>
    <w:qFormat/>
    <w:uiPriority w:val="0"/>
    <w:rPr>
      <w:vertAlign w:val="superscript"/>
    </w:rPr>
  </w:style>
  <w:style w:type="character" w:styleId="45">
    <w:name w:val="page number"/>
    <w:basedOn w:val="42"/>
    <w:qFormat/>
    <w:uiPriority w:val="0"/>
    <w:rPr>
      <w:rFonts w:ascii="Times New Roman" w:hAnsi="Times New Roman" w:eastAsia="宋体"/>
      <w:sz w:val="18"/>
    </w:rPr>
  </w:style>
  <w:style w:type="character" w:styleId="46">
    <w:name w:val="FollowedHyperlink"/>
    <w:basedOn w:val="42"/>
    <w:qFormat/>
    <w:uiPriority w:val="0"/>
    <w:rPr>
      <w:color w:val="800080"/>
      <w:u w:val="single"/>
    </w:rPr>
  </w:style>
  <w:style w:type="character" w:styleId="47">
    <w:name w:val="Emphasis"/>
    <w:qFormat/>
    <w:uiPriority w:val="0"/>
  </w:style>
  <w:style w:type="character" w:styleId="48">
    <w:name w:val="Hyperlink"/>
    <w:basedOn w:val="42"/>
    <w:qFormat/>
    <w:uiPriority w:val="99"/>
    <w:rPr>
      <w:color w:val="0000FF"/>
      <w:spacing w:val="0"/>
      <w:w w:val="100"/>
      <w:szCs w:val="21"/>
      <w:u w:val="single"/>
    </w:rPr>
  </w:style>
  <w:style w:type="character" w:styleId="49">
    <w:name w:val="annotation reference"/>
    <w:qFormat/>
    <w:uiPriority w:val="99"/>
    <w:rPr>
      <w:sz w:val="21"/>
      <w:szCs w:val="21"/>
    </w:rPr>
  </w:style>
  <w:style w:type="character" w:styleId="50">
    <w:name w:val="footnote reference"/>
    <w:basedOn w:val="42"/>
    <w:semiHidden/>
    <w:qFormat/>
    <w:uiPriority w:val="0"/>
    <w:rPr>
      <w:vertAlign w:val="superscript"/>
    </w:rPr>
  </w:style>
  <w:style w:type="paragraph" w:customStyle="1" w:styleId="51">
    <w:name w:val="Default"/>
    <w:qFormat/>
    <w:uiPriority w:val="0"/>
    <w:pPr>
      <w:widowControl w:val="0"/>
      <w:autoSpaceDE w:val="0"/>
      <w:autoSpaceDN w:val="0"/>
      <w:adjustRightInd w:val="0"/>
      <w:ind w:left="425" w:hanging="425"/>
      <w:jc w:val="both"/>
    </w:pPr>
    <w:rPr>
      <w:rFonts w:ascii="宋体" w:hAnsi="Calibri" w:eastAsia="宋体" w:cs="宋体"/>
      <w:color w:val="000000"/>
      <w:sz w:val="24"/>
      <w:szCs w:val="24"/>
      <w:lang w:val="en-US" w:eastAsia="zh-CN" w:bidi="ar-SA"/>
    </w:rPr>
  </w:style>
  <w:style w:type="paragraph" w:customStyle="1" w:styleId="52">
    <w:name w:val="一级无"/>
    <w:basedOn w:val="53"/>
    <w:qFormat/>
    <w:uiPriority w:val="0"/>
    <w:pPr>
      <w:spacing w:beforeLines="0" w:afterLines="0"/>
    </w:pPr>
    <w:rPr>
      <w:rFonts w:ascii="宋体" w:eastAsia="宋体"/>
    </w:rPr>
  </w:style>
  <w:style w:type="paragraph" w:customStyle="1" w:styleId="53">
    <w:name w:val="一级条标题"/>
    <w:basedOn w:val="54"/>
    <w:next w:val="29"/>
    <w:link w:val="58"/>
    <w:qFormat/>
    <w:uiPriority w:val="0"/>
    <w:pPr>
      <w:numPr>
        <w:ilvl w:val="1"/>
      </w:numPr>
      <w:spacing w:before="50" w:beforeLines="50" w:after="50" w:afterLines="50"/>
      <w:ind w:left="0"/>
      <w:outlineLvl w:val="2"/>
    </w:pPr>
    <w:rPr>
      <w:rFonts w:hAnsi="黑体"/>
      <w:szCs w:val="21"/>
    </w:rPr>
  </w:style>
  <w:style w:type="paragraph" w:customStyle="1" w:styleId="54">
    <w:name w:val="章标题"/>
    <w:link w:val="180"/>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5">
    <w:name w:val="附录公式"/>
    <w:basedOn w:val="29"/>
    <w:next w:val="29"/>
    <w:link w:val="76"/>
    <w:qFormat/>
    <w:uiPriority w:val="0"/>
  </w:style>
  <w:style w:type="paragraph" w:customStyle="1" w:styleId="56">
    <w:name w:val="示例后文字"/>
    <w:basedOn w:val="29"/>
    <w:next w:val="29"/>
    <w:qFormat/>
    <w:uiPriority w:val="0"/>
    <w:pPr>
      <w:ind w:firstLine="360"/>
    </w:pPr>
    <w:rPr>
      <w:sz w:val="18"/>
    </w:rPr>
  </w:style>
  <w:style w:type="paragraph" w:customStyle="1" w:styleId="57">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58">
    <w:name w:val="一级条标题 Char"/>
    <w:link w:val="53"/>
    <w:qFormat/>
    <w:uiPriority w:val="0"/>
    <w:rPr>
      <w:rFonts w:ascii="黑体" w:hAnsi="黑体" w:eastAsia="黑体"/>
      <w:sz w:val="21"/>
      <w:szCs w:val="21"/>
    </w:rPr>
  </w:style>
  <w:style w:type="paragraph" w:customStyle="1" w:styleId="59">
    <w:name w:val="封面正文"/>
    <w:qFormat/>
    <w:uiPriority w:val="0"/>
    <w:pPr>
      <w:jc w:val="both"/>
    </w:pPr>
    <w:rPr>
      <w:rFonts w:ascii="Times New Roman" w:hAnsi="Times New Roman" w:eastAsia="宋体" w:cs="Times New Roman"/>
      <w:lang w:val="en-US" w:eastAsia="zh-CN" w:bidi="ar-SA"/>
    </w:rPr>
  </w:style>
  <w:style w:type="paragraph" w:customStyle="1" w:styleId="60">
    <w:name w:val="列项说明"/>
    <w:basedOn w:val="1"/>
    <w:qFormat/>
    <w:uiPriority w:val="0"/>
    <w:pPr>
      <w:adjustRightInd w:val="0"/>
      <w:spacing w:line="320" w:lineRule="exact"/>
      <w:ind w:left="400" w:leftChars="200" w:hanging="200" w:hangingChars="200"/>
      <w:jc w:val="left"/>
      <w:textAlignment w:val="baseline"/>
    </w:pPr>
    <w:rPr>
      <w:kern w:val="0"/>
      <w:szCs w:val="20"/>
    </w:rPr>
  </w:style>
  <w:style w:type="paragraph" w:customStyle="1" w:styleId="61">
    <w:name w:val="封面一致性程度标识2"/>
    <w:basedOn w:val="62"/>
    <w:qFormat/>
    <w:uiPriority w:val="0"/>
    <w:pPr>
      <w:framePr w:wrap="around" w:y="4469"/>
    </w:pPr>
  </w:style>
  <w:style w:type="paragraph" w:customStyle="1" w:styleId="62">
    <w:name w:val="封面一致性程度标识"/>
    <w:basedOn w:val="63"/>
    <w:qFormat/>
    <w:uiPriority w:val="0"/>
    <w:pPr>
      <w:framePr w:wrap="around"/>
      <w:spacing w:before="440"/>
    </w:pPr>
    <w:rPr>
      <w:rFonts w:ascii="宋体" w:eastAsia="宋体"/>
    </w:rPr>
  </w:style>
  <w:style w:type="paragraph" w:customStyle="1" w:styleId="63">
    <w:name w:val="封面标准英文名称"/>
    <w:basedOn w:val="64"/>
    <w:qFormat/>
    <w:uiPriority w:val="0"/>
    <w:pPr>
      <w:framePr w:wrap="around"/>
      <w:spacing w:before="370" w:line="400" w:lineRule="exact"/>
    </w:pPr>
    <w:rPr>
      <w:rFonts w:ascii="Times New Roman"/>
      <w:sz w:val="28"/>
      <w:szCs w:val="28"/>
    </w:rPr>
  </w:style>
  <w:style w:type="paragraph" w:customStyle="1" w:styleId="6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5">
    <w:name w:val="附录标识"/>
    <w:basedOn w:val="1"/>
    <w:next w:val="29"/>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6">
    <w:name w:val="参考文献"/>
    <w:basedOn w:val="1"/>
    <w:next w:val="2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7">
    <w:name w:val="附录四级无"/>
    <w:basedOn w:val="68"/>
    <w:qFormat/>
    <w:uiPriority w:val="0"/>
    <w:pPr>
      <w:tabs>
        <w:tab w:val="left" w:pos="360"/>
      </w:tabs>
      <w:spacing w:beforeLines="0" w:afterLines="0"/>
    </w:pPr>
    <w:rPr>
      <w:rFonts w:ascii="宋体" w:eastAsia="宋体"/>
      <w:szCs w:val="21"/>
    </w:rPr>
  </w:style>
  <w:style w:type="paragraph" w:customStyle="1" w:styleId="68">
    <w:name w:val="附录四级条标题"/>
    <w:basedOn w:val="69"/>
    <w:next w:val="29"/>
    <w:qFormat/>
    <w:uiPriority w:val="0"/>
    <w:pPr>
      <w:numPr>
        <w:ilvl w:val="5"/>
      </w:numPr>
      <w:tabs>
        <w:tab w:val="left" w:pos="360"/>
      </w:tabs>
      <w:outlineLvl w:val="5"/>
    </w:pPr>
  </w:style>
  <w:style w:type="paragraph" w:customStyle="1" w:styleId="69">
    <w:name w:val="附录三级条标题"/>
    <w:basedOn w:val="70"/>
    <w:next w:val="29"/>
    <w:qFormat/>
    <w:uiPriority w:val="0"/>
    <w:pPr>
      <w:numPr>
        <w:ilvl w:val="4"/>
      </w:numPr>
      <w:tabs>
        <w:tab w:val="left" w:pos="360"/>
      </w:tabs>
      <w:outlineLvl w:val="4"/>
    </w:pPr>
  </w:style>
  <w:style w:type="paragraph" w:customStyle="1" w:styleId="70">
    <w:name w:val="附录二级条标题"/>
    <w:basedOn w:val="1"/>
    <w:next w:val="29"/>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character" w:customStyle="1" w:styleId="71">
    <w:name w:val="批注文字 字符"/>
    <w:basedOn w:val="42"/>
    <w:semiHidden/>
    <w:qFormat/>
    <w:uiPriority w:val="0"/>
    <w:rPr>
      <w:kern w:val="2"/>
      <w:sz w:val="21"/>
      <w:szCs w:val="24"/>
    </w:rPr>
  </w:style>
  <w:style w:type="paragraph" w:customStyle="1" w:styleId="72">
    <w:name w:val="表格样式"/>
    <w:basedOn w:val="1"/>
    <w:link w:val="184"/>
    <w:qFormat/>
    <w:uiPriority w:val="0"/>
    <w:pPr>
      <w:jc w:val="center"/>
    </w:pPr>
    <w:rPr>
      <w:sz w:val="18"/>
      <w:szCs w:val="18"/>
    </w:rPr>
  </w:style>
  <w:style w:type="paragraph" w:customStyle="1" w:styleId="73">
    <w:name w:val="注×："/>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7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7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76">
    <w:name w:val="附录公式 Char"/>
    <w:basedOn w:val="77"/>
    <w:link w:val="55"/>
    <w:qFormat/>
    <w:uiPriority w:val="0"/>
    <w:rPr>
      <w:rFonts w:ascii="宋体"/>
      <w:sz w:val="21"/>
      <w:lang w:val="en-US" w:eastAsia="zh-CN" w:bidi="ar-SA"/>
    </w:rPr>
  </w:style>
  <w:style w:type="character" w:customStyle="1" w:styleId="77">
    <w:name w:val="段 Char"/>
    <w:basedOn w:val="42"/>
    <w:link w:val="29"/>
    <w:qFormat/>
    <w:uiPriority w:val="0"/>
    <w:rPr>
      <w:rFonts w:ascii="宋体"/>
      <w:sz w:val="21"/>
      <w:lang w:val="en-US" w:eastAsia="zh-CN" w:bidi="ar-SA"/>
    </w:rPr>
  </w:style>
  <w:style w:type="paragraph" w:customStyle="1" w:styleId="78">
    <w:name w:val="首示例"/>
    <w:next w:val="29"/>
    <w:link w:val="95"/>
    <w:qFormat/>
    <w:uiPriority w:val="0"/>
    <w:pPr>
      <w:tabs>
        <w:tab w:val="left" w:pos="360"/>
      </w:tabs>
    </w:pPr>
    <w:rPr>
      <w:rFonts w:ascii="宋体" w:hAnsi="宋体" w:eastAsia="宋体" w:cs="Times New Roman"/>
      <w:kern w:val="2"/>
      <w:sz w:val="18"/>
      <w:szCs w:val="1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目次、标准名称标题"/>
    <w:basedOn w:val="1"/>
    <w:next w:val="2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2">
    <w:name w:val="_Style 154"/>
    <w:basedOn w:val="1"/>
    <w:next w:val="83"/>
    <w:qFormat/>
    <w:uiPriority w:val="34"/>
    <w:pPr>
      <w:spacing w:line="360" w:lineRule="auto"/>
      <w:ind w:firstLine="420" w:firstLineChars="200"/>
    </w:pPr>
    <w:rPr>
      <w:rFonts w:ascii="Calibri" w:hAnsi="Calibri"/>
      <w:szCs w:val="22"/>
    </w:rPr>
  </w:style>
  <w:style w:type="paragraph" w:styleId="83">
    <w:name w:val="List Paragraph"/>
    <w:basedOn w:val="1"/>
    <w:link w:val="143"/>
    <w:qFormat/>
    <w:uiPriority w:val="0"/>
    <w:pPr>
      <w:ind w:firstLine="420" w:firstLineChars="200"/>
    </w:pPr>
    <w:rPr>
      <w:rFonts w:ascii="Calibri" w:hAnsi="Calibri"/>
      <w:szCs w:val="22"/>
    </w:rPr>
  </w:style>
  <w:style w:type="paragraph" w:customStyle="1" w:styleId="8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5">
    <w:name w:val="Table Paragraph"/>
    <w:basedOn w:val="1"/>
    <w:qFormat/>
    <w:uiPriority w:val="1"/>
    <w:pPr>
      <w:autoSpaceDE w:val="0"/>
      <w:autoSpaceDN w:val="0"/>
      <w:adjustRightInd w:val="0"/>
      <w:jc w:val="left"/>
    </w:pPr>
    <w:rPr>
      <w:kern w:val="0"/>
      <w:sz w:val="24"/>
    </w:rPr>
  </w:style>
  <w:style w:type="paragraph" w:customStyle="1" w:styleId="86">
    <w:name w:val="封面标准英文名称2"/>
    <w:basedOn w:val="63"/>
    <w:qFormat/>
    <w:uiPriority w:val="0"/>
    <w:pPr>
      <w:framePr w:wrap="around" w:y="4469"/>
    </w:pPr>
  </w:style>
  <w:style w:type="paragraph" w:customStyle="1" w:styleId="8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8">
    <w:name w:val="五级无"/>
    <w:basedOn w:val="89"/>
    <w:qFormat/>
    <w:uiPriority w:val="0"/>
    <w:pPr>
      <w:spacing w:beforeLines="0" w:afterLines="0"/>
    </w:pPr>
    <w:rPr>
      <w:rFonts w:ascii="宋体" w:eastAsia="宋体"/>
    </w:rPr>
  </w:style>
  <w:style w:type="paragraph" w:customStyle="1" w:styleId="89">
    <w:name w:val="五级条标题"/>
    <w:basedOn w:val="90"/>
    <w:next w:val="29"/>
    <w:qFormat/>
    <w:uiPriority w:val="0"/>
    <w:pPr>
      <w:numPr>
        <w:ilvl w:val="5"/>
      </w:numPr>
      <w:outlineLvl w:val="6"/>
    </w:pPr>
  </w:style>
  <w:style w:type="paragraph" w:customStyle="1" w:styleId="90">
    <w:name w:val="四级条标题"/>
    <w:basedOn w:val="91"/>
    <w:next w:val="29"/>
    <w:qFormat/>
    <w:uiPriority w:val="0"/>
    <w:pPr>
      <w:numPr>
        <w:ilvl w:val="4"/>
      </w:numPr>
      <w:outlineLvl w:val="5"/>
    </w:pPr>
  </w:style>
  <w:style w:type="paragraph" w:customStyle="1" w:styleId="91">
    <w:name w:val="三级条标题"/>
    <w:basedOn w:val="92"/>
    <w:next w:val="29"/>
    <w:qFormat/>
    <w:uiPriority w:val="0"/>
    <w:pPr>
      <w:outlineLvl w:val="4"/>
    </w:pPr>
  </w:style>
  <w:style w:type="paragraph" w:customStyle="1" w:styleId="92">
    <w:name w:val="二级条标题"/>
    <w:basedOn w:val="53"/>
    <w:next w:val="29"/>
    <w:link w:val="149"/>
    <w:qFormat/>
    <w:uiPriority w:val="0"/>
    <w:pPr>
      <w:ind w:left="426"/>
      <w:outlineLvl w:val="3"/>
    </w:pPr>
  </w:style>
  <w:style w:type="character" w:customStyle="1" w:styleId="93">
    <w:name w:val="发布"/>
    <w:basedOn w:val="42"/>
    <w:qFormat/>
    <w:uiPriority w:val="0"/>
    <w:rPr>
      <w:rFonts w:ascii="黑体" w:eastAsia="黑体"/>
      <w:spacing w:val="85"/>
      <w:w w:val="100"/>
      <w:position w:val="3"/>
      <w:sz w:val="28"/>
      <w:szCs w:val="28"/>
    </w:rPr>
  </w:style>
  <w:style w:type="paragraph" w:customStyle="1" w:styleId="94">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character" w:customStyle="1" w:styleId="95">
    <w:name w:val="首示例 Char"/>
    <w:basedOn w:val="42"/>
    <w:link w:val="78"/>
    <w:qFormat/>
    <w:uiPriority w:val="0"/>
    <w:rPr>
      <w:rFonts w:ascii="宋体" w:hAnsi="宋体"/>
      <w:kern w:val="2"/>
      <w:sz w:val="18"/>
      <w:szCs w:val="18"/>
    </w:rPr>
  </w:style>
  <w:style w:type="character" w:customStyle="1" w:styleId="96">
    <w:name w:val="批注文字 字符1"/>
    <w:link w:val="12"/>
    <w:qFormat/>
    <w:uiPriority w:val="99"/>
    <w:rPr>
      <w:kern w:val="2"/>
      <w:sz w:val="21"/>
      <w:szCs w:val="24"/>
    </w:rPr>
  </w:style>
  <w:style w:type="paragraph" w:customStyle="1" w:styleId="97">
    <w:name w:val="表头"/>
    <w:qFormat/>
    <w:uiPriority w:val="0"/>
    <w:pPr>
      <w:spacing w:before="160" w:after="60" w:line="312" w:lineRule="exact"/>
      <w:jc w:val="center"/>
    </w:pPr>
    <w:rPr>
      <w:rFonts w:ascii="EU-F1" w:hAnsi="Times New Roman" w:eastAsia="黑体" w:cs="Times New Roman"/>
      <w:sz w:val="21"/>
      <w:lang w:val="en-US" w:eastAsia="zh-CN" w:bidi="ar-SA"/>
    </w:rPr>
  </w:style>
  <w:style w:type="paragraph" w:customStyle="1" w:styleId="98">
    <w:name w:val="封面标准文稿类别2"/>
    <w:basedOn w:val="99"/>
    <w:qFormat/>
    <w:uiPriority w:val="0"/>
    <w:pPr>
      <w:framePr w:wrap="around" w:y="4469"/>
    </w:pPr>
  </w:style>
  <w:style w:type="paragraph" w:customStyle="1" w:styleId="99">
    <w:name w:val="封面标准文稿类别"/>
    <w:basedOn w:val="62"/>
    <w:qFormat/>
    <w:uiPriority w:val="0"/>
    <w:pPr>
      <w:framePr w:wrap="around"/>
      <w:spacing w:after="160" w:line="240" w:lineRule="auto"/>
    </w:pPr>
    <w:rPr>
      <w:sz w:val="24"/>
    </w:rPr>
  </w:style>
  <w:style w:type="paragraph" w:customStyle="1" w:styleId="100">
    <w:name w:val="四级无"/>
    <w:basedOn w:val="90"/>
    <w:qFormat/>
    <w:uiPriority w:val="0"/>
    <w:pPr>
      <w:spacing w:beforeLines="0" w:afterLines="0"/>
    </w:pPr>
    <w:rPr>
      <w:rFonts w:ascii="宋体" w:eastAsia="宋体"/>
    </w:rPr>
  </w:style>
  <w:style w:type="character" w:customStyle="1" w:styleId="101">
    <w:name w:val="列出段落 Char"/>
    <w:link w:val="102"/>
    <w:qFormat/>
    <w:uiPriority w:val="0"/>
    <w:rPr>
      <w:rFonts w:ascii="Calibri" w:hAnsi="Calibri" w:eastAsia="宋体" w:cs="Times New Roman"/>
      <w:kern w:val="2"/>
      <w:sz w:val="21"/>
      <w:szCs w:val="22"/>
    </w:rPr>
  </w:style>
  <w:style w:type="paragraph" w:customStyle="1" w:styleId="102">
    <w:name w:val="_Style 164"/>
    <w:basedOn w:val="1"/>
    <w:next w:val="83"/>
    <w:link w:val="101"/>
    <w:qFormat/>
    <w:uiPriority w:val="0"/>
    <w:pPr>
      <w:spacing w:line="360" w:lineRule="auto"/>
      <w:ind w:firstLine="420" w:firstLineChars="200"/>
    </w:pPr>
    <w:rPr>
      <w:rFonts w:ascii="Calibri" w:hAnsi="Calibri"/>
      <w:szCs w:val="22"/>
    </w:rPr>
  </w:style>
  <w:style w:type="character" w:customStyle="1" w:styleId="103">
    <w:name w:val="标题 3 字符"/>
    <w:basedOn w:val="42"/>
    <w:link w:val="5"/>
    <w:qFormat/>
    <w:uiPriority w:val="0"/>
    <w:rPr>
      <w:b/>
      <w:bCs/>
      <w:sz w:val="32"/>
      <w:szCs w:val="32"/>
    </w:rPr>
  </w:style>
  <w:style w:type="paragraph" w:customStyle="1" w:styleId="104">
    <w:name w:val="_Style 2"/>
    <w:basedOn w:val="1"/>
    <w:qFormat/>
    <w:uiPriority w:val="34"/>
    <w:pPr>
      <w:ind w:firstLine="420" w:firstLineChars="200"/>
    </w:pPr>
    <w:rPr>
      <w:rFonts w:ascii="Calibri" w:hAnsi="Calibri"/>
      <w:szCs w:val="22"/>
    </w:rPr>
  </w:style>
  <w:style w:type="paragraph" w:customStyle="1" w:styleId="105">
    <w:name w:val="其他标准标志"/>
    <w:basedOn w:val="106"/>
    <w:qFormat/>
    <w:uiPriority w:val="0"/>
    <w:pPr>
      <w:framePr w:w="6101" w:wrap="around" w:vAnchor="page" w:hAnchor="page" w:x="4673" w:y="942"/>
    </w:pPr>
    <w:rPr>
      <w:w w:val="130"/>
    </w:rPr>
  </w:style>
  <w:style w:type="paragraph" w:customStyle="1" w:styleId="10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7">
    <w:name w:val="发布部门"/>
    <w:next w:val="29"/>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08">
    <w:name w:val="封面标准文稿编辑信息"/>
    <w:basedOn w:val="99"/>
    <w:qFormat/>
    <w:uiPriority w:val="0"/>
    <w:pPr>
      <w:framePr w:wrap="around"/>
      <w:spacing w:before="180" w:line="180" w:lineRule="exact"/>
    </w:pPr>
    <w:rPr>
      <w:sz w:val="21"/>
    </w:rPr>
  </w:style>
  <w:style w:type="paragraph" w:customStyle="1" w:styleId="109">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110">
    <w:name w:val="参考文献、索引标题"/>
    <w:basedOn w:val="1"/>
    <w:next w:val="2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1">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112">
    <w:name w:val="正文图标题"/>
    <w:next w:val="29"/>
    <w:qFormat/>
    <w:uiPriority w:val="0"/>
    <w:pPr>
      <w:numPr>
        <w:ilvl w:val="0"/>
        <w:numId w:val="8"/>
      </w:numPr>
      <w:spacing w:beforeLines="50" w:afterLines="50"/>
      <w:jc w:val="center"/>
    </w:pPr>
    <w:rPr>
      <w:rFonts w:ascii="黑体" w:hAnsi="Times New Roman" w:eastAsia="黑体" w:cs="Times New Roman"/>
      <w:sz w:val="21"/>
      <w:lang w:val="en-US" w:eastAsia="zh-CN" w:bidi="ar-SA"/>
    </w:rPr>
  </w:style>
  <w:style w:type="paragraph" w:customStyle="1" w:styleId="113">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114">
    <w:name w:val="Doc Table Band 1st"/>
    <w:basedOn w:val="41"/>
    <w:qFormat/>
    <w:uiPriority w:val="49"/>
    <w:tblStylePr w:type="firstRow">
      <w:rPr>
        <w:b/>
        <w:bCs/>
        <w:color w:val="FFFFFF"/>
      </w:rPr>
      <w:tcPr>
        <w:shd w:val="clear" w:color="auto" w:fill="485368"/>
      </w:tcPr>
    </w:tblStylePr>
    <w:tblStylePr w:type="band2Horz">
      <w:tcPr>
        <w:shd w:val="clear" w:color="auto" w:fill="F3F5F7"/>
      </w:tcPr>
    </w:tblStylePr>
  </w:style>
  <w:style w:type="character" w:customStyle="1" w:styleId="115">
    <w:name w:val="批注主题 字符"/>
    <w:basedOn w:val="96"/>
    <w:link w:val="39"/>
    <w:semiHidden/>
    <w:qFormat/>
    <w:uiPriority w:val="0"/>
    <w:rPr>
      <w:b/>
      <w:bCs/>
      <w:kern w:val="2"/>
      <w:sz w:val="21"/>
      <w:szCs w:val="24"/>
    </w:rPr>
  </w:style>
  <w:style w:type="character" w:customStyle="1" w:styleId="116">
    <w:name w:val="批注文字 Char"/>
    <w:qFormat/>
    <w:uiPriority w:val="99"/>
    <w:rPr>
      <w:kern w:val="2"/>
      <w:sz w:val="21"/>
      <w:szCs w:val="24"/>
    </w:rPr>
  </w:style>
  <w:style w:type="paragraph" w:customStyle="1" w:styleId="117">
    <w:name w:val="_Style 152"/>
    <w:basedOn w:val="1"/>
    <w:next w:val="83"/>
    <w:qFormat/>
    <w:uiPriority w:val="34"/>
    <w:pPr>
      <w:spacing w:line="360" w:lineRule="auto"/>
      <w:ind w:firstLine="420" w:firstLineChars="200"/>
    </w:pPr>
    <w:rPr>
      <w:rFonts w:ascii="Calibri" w:hAnsi="Calibri"/>
      <w:szCs w:val="22"/>
    </w:rPr>
  </w:style>
  <w:style w:type="paragraph" w:customStyle="1" w:styleId="118">
    <w:name w:val="附录图标题"/>
    <w:basedOn w:val="1"/>
    <w:next w:val="29"/>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119">
    <w:name w:val="其他实施日期"/>
    <w:basedOn w:val="120"/>
    <w:qFormat/>
    <w:uiPriority w:val="0"/>
    <w:pPr>
      <w:framePr w:wrap="around"/>
    </w:pPr>
  </w:style>
  <w:style w:type="paragraph" w:customStyle="1" w:styleId="120">
    <w:name w:val="实施日期"/>
    <w:basedOn w:val="87"/>
    <w:qFormat/>
    <w:uiPriority w:val="0"/>
    <w:pPr>
      <w:framePr w:wrap="around" w:vAnchor="page" w:hAnchor="text"/>
      <w:jc w:val="right"/>
    </w:pPr>
  </w:style>
  <w:style w:type="paragraph" w:customStyle="1" w:styleId="121">
    <w:name w:val="封面标准文稿编辑信息2"/>
    <w:basedOn w:val="108"/>
    <w:qFormat/>
    <w:uiPriority w:val="0"/>
    <w:pPr>
      <w:framePr w:wrap="around" w:y="4469"/>
    </w:pPr>
  </w:style>
  <w:style w:type="paragraph" w:customStyle="1" w:styleId="122">
    <w:name w:val="列出段落2"/>
    <w:basedOn w:val="1"/>
    <w:unhideWhenUsed/>
    <w:qFormat/>
    <w:uiPriority w:val="99"/>
    <w:pPr>
      <w:ind w:firstLine="420" w:firstLineChars="200"/>
    </w:pPr>
  </w:style>
  <w:style w:type="paragraph" w:customStyle="1" w:styleId="123">
    <w:name w:val="_Style 153"/>
    <w:basedOn w:val="1"/>
    <w:next w:val="83"/>
    <w:qFormat/>
    <w:uiPriority w:val="34"/>
    <w:pPr>
      <w:spacing w:line="360" w:lineRule="auto"/>
      <w:ind w:firstLine="420" w:firstLineChars="200"/>
    </w:pPr>
    <w:rPr>
      <w:rFonts w:ascii="Calibri" w:hAnsi="Calibri"/>
      <w:szCs w:val="22"/>
    </w:rPr>
  </w:style>
  <w:style w:type="paragraph" w:customStyle="1" w:styleId="124">
    <w:name w:val="列项◆（三级）"/>
    <w:basedOn w:val="1"/>
    <w:qFormat/>
    <w:uiPriority w:val="0"/>
    <w:pPr>
      <w:numPr>
        <w:ilvl w:val="2"/>
        <w:numId w:val="7"/>
      </w:numPr>
    </w:pPr>
    <w:rPr>
      <w:szCs w:val="21"/>
    </w:rPr>
  </w:style>
  <w:style w:type="paragraph" w:customStyle="1" w:styleId="125">
    <w:name w:val="附录五级无"/>
    <w:basedOn w:val="126"/>
    <w:qFormat/>
    <w:uiPriority w:val="0"/>
    <w:pPr>
      <w:tabs>
        <w:tab w:val="left" w:pos="360"/>
      </w:tabs>
      <w:spacing w:beforeLines="0" w:afterLines="0"/>
    </w:pPr>
    <w:rPr>
      <w:rFonts w:ascii="宋体" w:eastAsia="宋体"/>
      <w:szCs w:val="21"/>
    </w:rPr>
  </w:style>
  <w:style w:type="paragraph" w:customStyle="1" w:styleId="126">
    <w:name w:val="附录五级条标题"/>
    <w:basedOn w:val="68"/>
    <w:next w:val="29"/>
    <w:qFormat/>
    <w:uiPriority w:val="0"/>
    <w:pPr>
      <w:numPr>
        <w:ilvl w:val="6"/>
      </w:numPr>
      <w:outlineLvl w:val="6"/>
    </w:pPr>
  </w:style>
  <w:style w:type="paragraph" w:customStyle="1" w:styleId="127">
    <w:name w:val="附录章标题"/>
    <w:next w:val="29"/>
    <w:qFormat/>
    <w:uiPriority w:val="0"/>
    <w:pPr>
      <w:numPr>
        <w:ilvl w:val="1"/>
        <w:numId w:val="3"/>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9">
    <w:name w:val="条文脚注"/>
    <w:basedOn w:val="30"/>
    <w:qFormat/>
    <w:uiPriority w:val="0"/>
    <w:pPr>
      <w:jc w:val="both"/>
    </w:pPr>
  </w:style>
  <w:style w:type="paragraph" w:customStyle="1" w:styleId="130">
    <w:name w:val="术语定义条标题"/>
    <w:basedOn w:val="54"/>
    <w:next w:val="29"/>
    <w:qFormat/>
    <w:uiPriority w:val="0"/>
    <w:pPr>
      <w:tabs>
        <w:tab w:val="left" w:pos="360"/>
      </w:tabs>
      <w:spacing w:beforeLines="50" w:afterLines="50"/>
      <w:ind w:left="833" w:hanging="408"/>
      <w:jc w:val="left"/>
      <w:outlineLvl w:val="9"/>
    </w:pPr>
    <w:rPr>
      <w:b/>
    </w:rPr>
  </w:style>
  <w:style w:type="paragraph" w:customStyle="1" w:styleId="131">
    <w:name w:val="附录三级无"/>
    <w:basedOn w:val="69"/>
    <w:qFormat/>
    <w:uiPriority w:val="0"/>
    <w:pPr>
      <w:tabs>
        <w:tab w:val="clear" w:pos="360"/>
      </w:tabs>
      <w:spacing w:beforeLines="0" w:afterLines="0"/>
    </w:pPr>
    <w:rPr>
      <w:rFonts w:ascii="宋体" w:eastAsia="宋体"/>
      <w:szCs w:val="21"/>
    </w:rPr>
  </w:style>
  <w:style w:type="paragraph" w:customStyle="1" w:styleId="132">
    <w:name w:val="三级无"/>
    <w:basedOn w:val="91"/>
    <w:qFormat/>
    <w:uiPriority w:val="0"/>
    <w:pPr>
      <w:spacing w:beforeLines="0" w:afterLines="0"/>
    </w:pPr>
    <w:rPr>
      <w:rFonts w:ascii="宋体" w:eastAsia="宋体"/>
    </w:rPr>
  </w:style>
  <w:style w:type="paragraph" w:customStyle="1" w:styleId="133">
    <w:name w:val="日期1"/>
    <w:basedOn w:val="1"/>
    <w:next w:val="1"/>
    <w:link w:val="153"/>
    <w:qFormat/>
    <w:uiPriority w:val="0"/>
    <w:pPr>
      <w:ind w:left="100" w:leftChars="2500"/>
    </w:pPr>
    <w:rPr>
      <w:szCs w:val="20"/>
    </w:rPr>
  </w:style>
  <w:style w:type="paragraph" w:customStyle="1" w:styleId="134">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35">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36">
    <w:name w:val="前言、引言标题"/>
    <w:next w:val="2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7">
    <w:name w:val="正文公式编号制表符"/>
    <w:basedOn w:val="29"/>
    <w:next w:val="29"/>
    <w:qFormat/>
    <w:uiPriority w:val="0"/>
    <w:pPr>
      <w:ind w:firstLine="0" w:firstLineChars="0"/>
    </w:pPr>
  </w:style>
  <w:style w:type="paragraph" w:customStyle="1" w:styleId="13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9">
    <w:name w:val="图标脚注说明"/>
    <w:basedOn w:val="29"/>
    <w:qFormat/>
    <w:uiPriority w:val="0"/>
    <w:pPr>
      <w:ind w:left="840" w:hanging="420" w:firstLineChars="0"/>
    </w:pPr>
    <w:rPr>
      <w:sz w:val="18"/>
      <w:szCs w:val="18"/>
    </w:rPr>
  </w:style>
  <w:style w:type="paragraph" w:customStyle="1" w:styleId="140">
    <w:name w:val="表题及表序号"/>
    <w:basedOn w:val="9"/>
    <w:next w:val="1"/>
    <w:qFormat/>
    <w:uiPriority w:val="0"/>
    <w:pPr>
      <w:keepNext/>
      <w:widowControl/>
      <w:spacing w:before="0"/>
      <w:jc w:val="center"/>
    </w:pPr>
    <w:rPr>
      <w:rFonts w:ascii="黑体" w:hAnsi="黑体" w:cs="Times New Roman"/>
      <w:sz w:val="18"/>
    </w:rPr>
  </w:style>
  <w:style w:type="paragraph" w:customStyle="1" w:styleId="141">
    <w:name w:val="附录一级条标题"/>
    <w:basedOn w:val="127"/>
    <w:next w:val="29"/>
    <w:qFormat/>
    <w:uiPriority w:val="0"/>
    <w:pPr>
      <w:numPr>
        <w:ilvl w:val="2"/>
      </w:numPr>
      <w:tabs>
        <w:tab w:val="left" w:pos="360"/>
      </w:tabs>
      <w:autoSpaceDN w:val="0"/>
      <w:spacing w:beforeLines="50" w:afterLines="50"/>
      <w:outlineLvl w:val="2"/>
    </w:pPr>
  </w:style>
  <w:style w:type="character" w:customStyle="1" w:styleId="142">
    <w:name w:val="上标"/>
    <w:basedOn w:val="42"/>
    <w:qFormat/>
    <w:uiPriority w:val="0"/>
    <w:rPr>
      <w:rFonts w:eastAsia="宋体"/>
      <w:sz w:val="18"/>
      <w:vertAlign w:val="superscript"/>
    </w:rPr>
  </w:style>
  <w:style w:type="character" w:customStyle="1" w:styleId="143">
    <w:name w:val="列表段落 字符"/>
    <w:link w:val="83"/>
    <w:qFormat/>
    <w:uiPriority w:val="0"/>
    <w:rPr>
      <w:rFonts w:ascii="Calibri" w:hAnsi="Calibri" w:eastAsia="宋体" w:cs="Times New Roman"/>
      <w:kern w:val="2"/>
      <w:sz w:val="21"/>
      <w:szCs w:val="22"/>
    </w:rPr>
  </w:style>
  <w:style w:type="paragraph" w:customStyle="1" w:styleId="144">
    <w:name w:val="标准书眉_偶数页"/>
    <w:basedOn w:val="84"/>
    <w:next w:val="1"/>
    <w:qFormat/>
    <w:uiPriority w:val="0"/>
    <w:pPr>
      <w:jc w:val="left"/>
    </w:pPr>
  </w:style>
  <w:style w:type="paragraph" w:customStyle="1" w:styleId="145">
    <w:name w:val="图表脚注说明"/>
    <w:basedOn w:val="1"/>
    <w:qFormat/>
    <w:uiPriority w:val="0"/>
    <w:pPr>
      <w:ind w:left="544" w:hanging="181"/>
    </w:pPr>
    <w:rPr>
      <w:sz w:val="18"/>
      <w:szCs w:val="18"/>
    </w:rPr>
  </w:style>
  <w:style w:type="paragraph" w:customStyle="1" w:styleId="14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47">
    <w:name w:val="附录表标号"/>
    <w:basedOn w:val="1"/>
    <w:next w:val="29"/>
    <w:qFormat/>
    <w:uiPriority w:val="0"/>
    <w:pPr>
      <w:numPr>
        <w:ilvl w:val="0"/>
        <w:numId w:val="9"/>
      </w:numPr>
      <w:tabs>
        <w:tab w:val="clear" w:pos="0"/>
      </w:tabs>
      <w:spacing w:line="14" w:lineRule="exact"/>
      <w:ind w:left="811" w:hanging="448"/>
      <w:jc w:val="center"/>
      <w:outlineLvl w:val="0"/>
    </w:pPr>
    <w:rPr>
      <w:color w:val="FFFFFF"/>
    </w:rPr>
  </w:style>
  <w:style w:type="paragraph" w:customStyle="1" w:styleId="148">
    <w:name w:val="附录二级无"/>
    <w:basedOn w:val="70"/>
    <w:qFormat/>
    <w:uiPriority w:val="0"/>
    <w:pPr>
      <w:tabs>
        <w:tab w:val="clear" w:pos="360"/>
      </w:tabs>
      <w:spacing w:beforeLines="0" w:afterLines="0"/>
    </w:pPr>
    <w:rPr>
      <w:rFonts w:ascii="宋体" w:eastAsia="宋体"/>
      <w:szCs w:val="21"/>
    </w:rPr>
  </w:style>
  <w:style w:type="character" w:customStyle="1" w:styleId="149">
    <w:name w:val="二级条标题 Char"/>
    <w:link w:val="92"/>
    <w:qFormat/>
    <w:uiPriority w:val="0"/>
    <w:rPr>
      <w:rFonts w:ascii="黑体" w:eastAsia="黑体"/>
      <w:sz w:val="21"/>
      <w:szCs w:val="21"/>
    </w:rPr>
  </w:style>
  <w:style w:type="paragraph" w:customStyle="1" w:styleId="150">
    <w:name w:val="二级无"/>
    <w:basedOn w:val="92"/>
    <w:qFormat/>
    <w:uiPriority w:val="0"/>
    <w:pPr>
      <w:numPr>
        <w:ilvl w:val="2"/>
      </w:numPr>
      <w:spacing w:beforeLines="0" w:afterLines="0"/>
    </w:pPr>
    <w:rPr>
      <w:rFonts w:ascii="宋体" w:hAnsi="宋体" w:eastAsia="宋体"/>
    </w:rPr>
  </w:style>
  <w:style w:type="paragraph" w:customStyle="1" w:styleId="151">
    <w:name w:val="附录一级无"/>
    <w:basedOn w:val="141"/>
    <w:qFormat/>
    <w:uiPriority w:val="0"/>
    <w:pPr>
      <w:tabs>
        <w:tab w:val="clear" w:pos="360"/>
      </w:tabs>
      <w:spacing w:beforeLines="0" w:afterLines="0"/>
    </w:pPr>
    <w:rPr>
      <w:rFonts w:ascii="宋体" w:eastAsia="宋体"/>
      <w:szCs w:val="21"/>
    </w:rPr>
  </w:style>
  <w:style w:type="paragraph" w:customStyle="1" w:styleId="152">
    <w:name w:val="字母编号列项（一级）"/>
    <w:qFormat/>
    <w:uiPriority w:val="0"/>
    <w:pPr>
      <w:numPr>
        <w:ilvl w:val="0"/>
        <w:numId w:val="10"/>
      </w:numPr>
      <w:jc w:val="both"/>
    </w:pPr>
    <w:rPr>
      <w:rFonts w:ascii="宋体" w:hAnsi="Times New Roman" w:eastAsia="宋体" w:cs="Times New Roman"/>
      <w:sz w:val="21"/>
      <w:lang w:val="en-US" w:eastAsia="zh-CN" w:bidi="ar-SA"/>
    </w:rPr>
  </w:style>
  <w:style w:type="character" w:customStyle="1" w:styleId="153">
    <w:name w:val="日期 Char"/>
    <w:basedOn w:val="42"/>
    <w:link w:val="133"/>
    <w:qFormat/>
    <w:uiPriority w:val="0"/>
    <w:rPr>
      <w:kern w:val="2"/>
      <w:sz w:val="21"/>
    </w:rPr>
  </w:style>
  <w:style w:type="character" w:customStyle="1" w:styleId="154">
    <w:name w:val="批注框文本 字符"/>
    <w:basedOn w:val="42"/>
    <w:link w:val="22"/>
    <w:qFormat/>
    <w:uiPriority w:val="0"/>
    <w:rPr>
      <w:kern w:val="2"/>
      <w:sz w:val="18"/>
      <w:szCs w:val="18"/>
    </w:rPr>
  </w:style>
  <w:style w:type="paragraph" w:customStyle="1" w:styleId="155">
    <w:name w:val="其他发布日期"/>
    <w:basedOn w:val="87"/>
    <w:qFormat/>
    <w:uiPriority w:val="0"/>
    <w:pPr>
      <w:framePr w:wrap="around" w:vAnchor="page" w:hAnchor="text" w:x="1419"/>
    </w:pPr>
  </w:style>
  <w:style w:type="paragraph" w:customStyle="1" w:styleId="156">
    <w:name w:val="封面标准名称2"/>
    <w:basedOn w:val="64"/>
    <w:qFormat/>
    <w:uiPriority w:val="0"/>
    <w:pPr>
      <w:framePr w:wrap="around" w:y="4469"/>
      <w:spacing w:beforeLines="630"/>
    </w:pPr>
  </w:style>
  <w:style w:type="paragraph" w:customStyle="1" w:styleId="157">
    <w:name w:val="编号列项（三级）"/>
    <w:qFormat/>
    <w:uiPriority w:val="0"/>
    <w:rPr>
      <w:rFonts w:ascii="宋体" w:hAnsi="Times New Roman" w:eastAsia="宋体" w:cs="Times New Roman"/>
      <w:sz w:val="21"/>
      <w:lang w:val="en-US" w:eastAsia="zh-CN" w:bidi="ar-SA"/>
    </w:rPr>
  </w:style>
  <w:style w:type="paragraph" w:customStyle="1" w:styleId="158">
    <w:name w:val="附录标题"/>
    <w:basedOn w:val="29"/>
    <w:next w:val="29"/>
    <w:qFormat/>
    <w:uiPriority w:val="0"/>
    <w:pPr>
      <w:ind w:firstLine="0" w:firstLineChars="0"/>
      <w:jc w:val="center"/>
    </w:pPr>
    <w:rPr>
      <w:rFonts w:ascii="黑体" w:eastAsia="黑体"/>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附录公式编号制表符"/>
    <w:basedOn w:val="1"/>
    <w:next w:val="29"/>
    <w:qFormat/>
    <w:uiPriority w:val="0"/>
    <w:pPr>
      <w:widowControl/>
      <w:tabs>
        <w:tab w:val="center" w:pos="4201"/>
        <w:tab w:val="right" w:leader="dot" w:pos="9298"/>
      </w:tabs>
      <w:autoSpaceDE w:val="0"/>
      <w:autoSpaceDN w:val="0"/>
    </w:pPr>
    <w:rPr>
      <w:kern w:val="0"/>
      <w:szCs w:val="20"/>
    </w:rPr>
  </w:style>
  <w:style w:type="paragraph" w:customStyle="1" w:styleId="16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character" w:customStyle="1" w:styleId="162">
    <w:name w:val="contenttitle"/>
    <w:basedOn w:val="42"/>
    <w:qFormat/>
    <w:uiPriority w:val="0"/>
  </w:style>
  <w:style w:type="paragraph" w:customStyle="1" w:styleId="163">
    <w:name w:val="标准书眉一"/>
    <w:qFormat/>
    <w:uiPriority w:val="0"/>
    <w:pPr>
      <w:jc w:val="both"/>
    </w:pPr>
    <w:rPr>
      <w:rFonts w:ascii="Times New Roman" w:hAnsi="Times New Roman" w:eastAsia="宋体" w:cs="Times New Roman"/>
      <w:lang w:val="en-US" w:eastAsia="zh-CN" w:bidi="ar-SA"/>
    </w:rPr>
  </w:style>
  <w:style w:type="paragraph" w:customStyle="1" w:styleId="16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5">
    <w:name w:val="正文表标题"/>
    <w:next w:val="29"/>
    <w:qFormat/>
    <w:uiPriority w:val="0"/>
    <w:pPr>
      <w:numPr>
        <w:ilvl w:val="0"/>
        <w:numId w:val="11"/>
      </w:numPr>
      <w:spacing w:beforeLines="50" w:afterLines="50"/>
      <w:jc w:val="center"/>
    </w:pPr>
    <w:rPr>
      <w:rFonts w:ascii="黑体" w:hAnsi="Times New Roman" w:eastAsia="黑体" w:cs="Times New Roman"/>
      <w:sz w:val="21"/>
      <w:lang w:val="en-US" w:eastAsia="zh-CN" w:bidi="ar-SA"/>
    </w:rPr>
  </w:style>
  <w:style w:type="paragraph" w:customStyle="1" w:styleId="166">
    <w:name w:val="其他发布部门"/>
    <w:basedOn w:val="107"/>
    <w:qFormat/>
    <w:uiPriority w:val="0"/>
    <w:pPr>
      <w:framePr w:wrap="around" w:y="15310"/>
      <w:spacing w:line="0" w:lineRule="atLeast"/>
    </w:pPr>
    <w:rPr>
      <w:rFonts w:ascii="黑体" w:eastAsia="黑体"/>
      <w:b w:val="0"/>
    </w:rPr>
  </w:style>
  <w:style w:type="paragraph" w:customStyle="1" w:styleId="167">
    <w:name w:val="附录表标题"/>
    <w:basedOn w:val="1"/>
    <w:next w:val="29"/>
    <w:qFormat/>
    <w:uiPriority w:val="0"/>
    <w:pPr>
      <w:numPr>
        <w:ilvl w:val="1"/>
        <w:numId w:val="9"/>
      </w:numPr>
      <w:tabs>
        <w:tab w:val="left" w:pos="180"/>
      </w:tabs>
      <w:spacing w:beforeLines="50" w:afterLines="50"/>
      <w:ind w:left="0" w:firstLine="0"/>
      <w:jc w:val="center"/>
    </w:pPr>
    <w:rPr>
      <w:rFonts w:ascii="黑体" w:eastAsia="黑体"/>
      <w:szCs w:val="21"/>
    </w:rPr>
  </w:style>
  <w:style w:type="character" w:customStyle="1" w:styleId="168">
    <w:name w:val="apple-converted-space"/>
    <w:basedOn w:val="42"/>
    <w:qFormat/>
    <w:uiPriority w:val="0"/>
  </w:style>
  <w:style w:type="character" w:customStyle="1" w:styleId="169">
    <w:name w:val="标题 1 字符"/>
    <w:basedOn w:val="42"/>
    <w:link w:val="3"/>
    <w:qFormat/>
    <w:uiPriority w:val="0"/>
    <w:rPr>
      <w:b/>
      <w:bCs/>
      <w:kern w:val="44"/>
      <w:sz w:val="44"/>
      <w:szCs w:val="44"/>
    </w:rPr>
  </w:style>
  <w:style w:type="paragraph" w:customStyle="1" w:styleId="170">
    <w:name w:val="图的脚注"/>
    <w:next w:val="29"/>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71">
    <w:name w:val="_Style 150"/>
    <w:basedOn w:val="1"/>
    <w:next w:val="83"/>
    <w:qFormat/>
    <w:uiPriority w:val="34"/>
    <w:pPr>
      <w:spacing w:line="360" w:lineRule="auto"/>
      <w:ind w:firstLine="420" w:firstLineChars="200"/>
    </w:pPr>
    <w:rPr>
      <w:rFonts w:ascii="Calibri" w:hAnsi="Calibri"/>
      <w:szCs w:val="22"/>
    </w:rPr>
  </w:style>
  <w:style w:type="paragraph" w:customStyle="1" w:styleId="172">
    <w:name w:val="_Style 4"/>
    <w:basedOn w:val="1"/>
    <w:qFormat/>
    <w:uiPriority w:val="0"/>
    <w:pPr>
      <w:spacing w:line="360" w:lineRule="auto"/>
      <w:ind w:firstLine="420" w:firstLineChars="200"/>
    </w:pPr>
    <w:rPr>
      <w:rFonts w:ascii="Calibri" w:hAnsi="Calibri"/>
      <w:szCs w:val="22"/>
    </w:rPr>
  </w:style>
  <w:style w:type="paragraph" w:customStyle="1" w:styleId="173">
    <w:name w:val="终结线"/>
    <w:basedOn w:val="1"/>
    <w:qFormat/>
    <w:uiPriority w:val="0"/>
    <w:pPr>
      <w:framePr w:hSpace="181" w:vSpace="181" w:wrap="around" w:vAnchor="text" w:hAnchor="margin" w:xAlign="center" w:y="285"/>
    </w:pPr>
  </w:style>
  <w:style w:type="paragraph" w:customStyle="1" w:styleId="17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5">
    <w:name w:val="注×：（正文）"/>
    <w:qFormat/>
    <w:uiPriority w:val="0"/>
    <w:pPr>
      <w:numPr>
        <w:ilvl w:val="0"/>
        <w:numId w:val="12"/>
      </w:numPr>
      <w:jc w:val="both"/>
    </w:pPr>
    <w:rPr>
      <w:rFonts w:ascii="宋体" w:hAnsi="Times New Roman" w:eastAsia="宋体" w:cs="Times New Roman"/>
      <w:sz w:val="18"/>
      <w:szCs w:val="18"/>
      <w:lang w:val="en-US" w:eastAsia="zh-CN" w:bidi="ar-SA"/>
    </w:rPr>
  </w:style>
  <w:style w:type="character" w:customStyle="1" w:styleId="176">
    <w:name w:val="j表格式 Char"/>
    <w:link w:val="177"/>
    <w:qFormat/>
    <w:locked/>
    <w:uiPriority w:val="0"/>
    <w:rPr>
      <w:rFonts w:ascii="宋体" w:hAnsi="宋体"/>
      <w:sz w:val="18"/>
    </w:rPr>
  </w:style>
  <w:style w:type="paragraph" w:customStyle="1" w:styleId="177">
    <w:name w:val="j表格式"/>
    <w:basedOn w:val="1"/>
    <w:link w:val="176"/>
    <w:qFormat/>
    <w:uiPriority w:val="0"/>
    <w:pPr>
      <w:widowControl/>
      <w:jc w:val="center"/>
    </w:pPr>
    <w:rPr>
      <w:kern w:val="0"/>
      <w:sz w:val="18"/>
      <w:szCs w:val="20"/>
    </w:rPr>
  </w:style>
  <w:style w:type="paragraph" w:customStyle="1" w:styleId="178">
    <w:name w:val="示例×："/>
    <w:basedOn w:val="54"/>
    <w:qFormat/>
    <w:uiPriority w:val="0"/>
    <w:pPr>
      <w:spacing w:beforeLines="0" w:afterLines="0"/>
      <w:outlineLvl w:val="9"/>
    </w:pPr>
    <w:rPr>
      <w:rFonts w:ascii="宋体" w:eastAsia="宋体"/>
      <w:sz w:val="18"/>
      <w:szCs w:val="18"/>
    </w:rPr>
  </w:style>
  <w:style w:type="character" w:customStyle="1" w:styleId="179">
    <w:name w:val="页脚 字符"/>
    <w:basedOn w:val="42"/>
    <w:link w:val="23"/>
    <w:qFormat/>
    <w:uiPriority w:val="99"/>
    <w:rPr>
      <w:kern w:val="2"/>
      <w:sz w:val="18"/>
      <w:szCs w:val="18"/>
    </w:rPr>
  </w:style>
  <w:style w:type="character" w:customStyle="1" w:styleId="180">
    <w:name w:val="章标题 Char Char"/>
    <w:link w:val="54"/>
    <w:qFormat/>
    <w:uiPriority w:val="0"/>
    <w:rPr>
      <w:rFonts w:ascii="黑体" w:eastAsia="黑体"/>
      <w:sz w:val="21"/>
    </w:rPr>
  </w:style>
  <w:style w:type="paragraph" w:customStyle="1" w:styleId="181">
    <w:name w:val="数字编号列项（二级）"/>
    <w:qFormat/>
    <w:uiPriority w:val="0"/>
    <w:pPr>
      <w:numPr>
        <w:ilvl w:val="1"/>
        <w:numId w:val="10"/>
      </w:numPr>
      <w:jc w:val="both"/>
    </w:pPr>
    <w:rPr>
      <w:rFonts w:ascii="宋体" w:hAnsi="Times New Roman" w:eastAsia="宋体" w:cs="Times New Roman"/>
      <w:sz w:val="21"/>
      <w:lang w:val="en-US" w:eastAsia="zh-CN" w:bidi="ar-SA"/>
    </w:rPr>
  </w:style>
  <w:style w:type="paragraph" w:customStyle="1" w:styleId="182">
    <w:name w:val="注："/>
    <w:next w:val="29"/>
    <w:qFormat/>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注：（正文）"/>
    <w:basedOn w:val="182"/>
    <w:next w:val="29"/>
    <w:qFormat/>
    <w:uiPriority w:val="0"/>
    <w:pPr>
      <w:numPr>
        <w:ilvl w:val="0"/>
        <w:numId w:val="14"/>
      </w:numPr>
      <w:ind w:left="931"/>
    </w:pPr>
  </w:style>
  <w:style w:type="character" w:customStyle="1" w:styleId="184">
    <w:name w:val="表格样式 Char"/>
    <w:link w:val="72"/>
    <w:qFormat/>
    <w:locked/>
    <w:uiPriority w:val="0"/>
    <w:rPr>
      <w:rFonts w:ascii="宋体" w:hAnsi="宋体"/>
      <w:kern w:val="2"/>
      <w:sz w:val="18"/>
      <w:szCs w:val="18"/>
    </w:rPr>
  </w:style>
  <w:style w:type="paragraph" w:customStyle="1" w:styleId="18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6">
    <w:name w:val="示例"/>
    <w:next w:val="57"/>
    <w:qFormat/>
    <w:uiPriority w:val="0"/>
    <w:pPr>
      <w:widowControl w:val="0"/>
      <w:numPr>
        <w:ilvl w:val="0"/>
        <w:numId w:val="15"/>
      </w:numPr>
      <w:jc w:val="both"/>
    </w:pPr>
    <w:rPr>
      <w:rFonts w:ascii="宋体" w:hAnsi="Times New Roman" w:eastAsia="宋体" w:cs="Times New Roman"/>
      <w:sz w:val="18"/>
      <w:szCs w:val="18"/>
      <w:lang w:val="en-US" w:eastAsia="zh-CN" w:bidi="ar-SA"/>
    </w:rPr>
  </w:style>
  <w:style w:type="paragraph" w:customStyle="1" w:styleId="187">
    <w:name w:val="WPSOffice手动目录 1"/>
    <w:qFormat/>
    <w:uiPriority w:val="0"/>
    <w:rPr>
      <w:rFonts w:ascii="Times New Roman" w:hAnsi="Times New Roman" w:eastAsia="宋体" w:cs="Times New Roman"/>
      <w:lang w:val="en-US" w:eastAsia="zh-CN" w:bidi="ar-SA"/>
    </w:rPr>
  </w:style>
  <w:style w:type="paragraph" w:customStyle="1" w:styleId="188">
    <w:name w:val="修订3"/>
    <w:hidden/>
    <w:unhideWhenUsed/>
    <w:qFormat/>
    <w:uiPriority w:val="99"/>
    <w:rPr>
      <w:rFonts w:ascii="宋体" w:hAnsi="宋体" w:eastAsia="宋体" w:cs="Times New Roman"/>
      <w:kern w:val="2"/>
      <w:sz w:val="21"/>
      <w:szCs w:val="24"/>
      <w:lang w:val="en-US" w:eastAsia="zh-CN" w:bidi="ar-SA"/>
    </w:rPr>
  </w:style>
  <w:style w:type="paragraph" w:customStyle="1" w:styleId="189">
    <w:name w:val="修订4"/>
    <w:hidden/>
    <w:unhideWhenUsed/>
    <w:qFormat/>
    <w:uiPriority w:val="99"/>
    <w:rPr>
      <w:rFonts w:ascii="宋体" w:hAnsi="宋体" w:eastAsia="宋体" w:cs="Times New Roman"/>
      <w:kern w:val="2"/>
      <w:sz w:val="21"/>
      <w:szCs w:val="24"/>
      <w:lang w:val="en-US" w:eastAsia="zh-CN" w:bidi="ar-SA"/>
    </w:rPr>
  </w:style>
  <w:style w:type="character" w:customStyle="1" w:styleId="190">
    <w:name w:val="正文文本缩进 2 字符"/>
    <w:basedOn w:val="42"/>
    <w:link w:val="20"/>
    <w:qFormat/>
    <w:uiPriority w:val="0"/>
    <w:rPr>
      <w:rFonts w:ascii="宋体" w:hAnsi="宋体"/>
      <w:kern w:val="2"/>
      <w:sz w:val="21"/>
      <w:szCs w:val="24"/>
    </w:rPr>
  </w:style>
  <w:style w:type="character" w:customStyle="1" w:styleId="191">
    <w:name w:val="标题 2 字符"/>
    <w:basedOn w:val="42"/>
    <w:link w:val="4"/>
    <w:qFormat/>
    <w:uiPriority w:val="9"/>
    <w:rPr>
      <w:rFonts w:ascii="宋体" w:hAnsi="宋体"/>
      <w:b/>
      <w:bCs/>
      <w:color w:val="1A1A1A"/>
      <w:kern w:val="2"/>
      <w:sz w:val="32"/>
      <w:szCs w:val="32"/>
    </w:rPr>
  </w:style>
  <w:style w:type="character" w:customStyle="1" w:styleId="192">
    <w:name w:val="文档结构图 字符"/>
    <w:basedOn w:val="42"/>
    <w:link w:val="11"/>
    <w:semiHidden/>
    <w:qFormat/>
    <w:uiPriority w:val="0"/>
    <w:rPr>
      <w:rFonts w:ascii="宋体" w:hAnsi="宋体"/>
      <w:kern w:val="2"/>
      <w:sz w:val="21"/>
      <w:szCs w:val="24"/>
      <w:shd w:val="clear" w:color="auto" w:fill="000080"/>
    </w:rPr>
  </w:style>
  <w:style w:type="character" w:customStyle="1" w:styleId="193">
    <w:name w:val="尾注文本 字符"/>
    <w:basedOn w:val="42"/>
    <w:link w:val="21"/>
    <w:semiHidden/>
    <w:qFormat/>
    <w:uiPriority w:val="0"/>
    <w:rPr>
      <w:rFonts w:ascii="宋体" w:hAnsi="宋体"/>
      <w:kern w:val="2"/>
      <w:sz w:val="21"/>
      <w:szCs w:val="24"/>
    </w:rPr>
  </w:style>
  <w:style w:type="character" w:customStyle="1" w:styleId="194">
    <w:name w:val="页眉 字符"/>
    <w:basedOn w:val="42"/>
    <w:link w:val="24"/>
    <w:qFormat/>
    <w:uiPriority w:val="0"/>
    <w:rPr>
      <w:rFonts w:ascii="宋体" w:hAnsi="宋体"/>
      <w:kern w:val="2"/>
      <w:sz w:val="18"/>
      <w:szCs w:val="18"/>
    </w:rPr>
  </w:style>
  <w:style w:type="character" w:customStyle="1" w:styleId="195">
    <w:name w:val="脚注文本 字符"/>
    <w:basedOn w:val="42"/>
    <w:link w:val="30"/>
    <w:qFormat/>
    <w:uiPriority w:val="0"/>
    <w:rPr>
      <w:rFonts w:ascii="宋体" w:hAnsi="宋体"/>
      <w:kern w:val="2"/>
      <w:sz w:val="18"/>
      <w:szCs w:val="18"/>
    </w:rPr>
  </w:style>
  <w:style w:type="character" w:customStyle="1" w:styleId="196">
    <w:name w:val="标题 字符"/>
    <w:basedOn w:val="42"/>
    <w:link w:val="38"/>
    <w:qFormat/>
    <w:uiPriority w:val="9"/>
    <w:rPr>
      <w:rFonts w:ascii="宋体" w:hAnsi="宋体"/>
      <w:b/>
      <w:bCs/>
      <w:color w:val="1A1A1A"/>
      <w:kern w:val="2"/>
      <w:sz w:val="48"/>
      <w:szCs w:val="48"/>
    </w:rPr>
  </w:style>
  <w:style w:type="paragraph" w:customStyle="1" w:styleId="197">
    <w:name w:val="标准文件_目录标题"/>
    <w:basedOn w:val="1"/>
    <w:qFormat/>
    <w:uiPriority w:val="0"/>
    <w:pPr>
      <w:spacing w:before="480" w:afterLines="150"/>
      <w:jc w:val="center"/>
    </w:pPr>
    <w:rPr>
      <w:rFonts w:ascii="黑体" w:eastAsia="黑体"/>
      <w:sz w:val="32"/>
    </w:rPr>
  </w:style>
  <w:style w:type="paragraph" w:customStyle="1" w:styleId="19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9">
    <w:name w:val="GB1.1标准条段落"/>
    <w:basedOn w:val="1"/>
    <w:qFormat/>
    <w:uiPriority w:val="0"/>
    <w:pPr>
      <w:ind w:firstLine="440" w:firstLineChars="200"/>
    </w:pPr>
    <w:rPr>
      <w:rFonts w:ascii="黑体" w:hAnsi="黑体"/>
      <w:color w:val="000000"/>
      <w:kern w:val="0"/>
    </w:rPr>
  </w:style>
  <w:style w:type="paragraph" w:customStyle="1" w:styleId="200">
    <w:name w:val="标准文件_一级条标题"/>
    <w:basedOn w:val="201"/>
    <w:next w:val="198"/>
    <w:qFormat/>
    <w:uiPriority w:val="0"/>
    <w:pPr>
      <w:numPr>
        <w:ilvl w:val="2"/>
      </w:numPr>
      <w:spacing w:beforeLines="50" w:afterLines="50"/>
      <w:outlineLvl w:val="1"/>
    </w:pPr>
  </w:style>
  <w:style w:type="paragraph" w:customStyle="1" w:styleId="201">
    <w:name w:val="标准文件_章标题"/>
    <w:next w:val="198"/>
    <w:qFormat/>
    <w:uiPriority w:val="0"/>
    <w:pPr>
      <w:numPr>
        <w:ilvl w:val="1"/>
        <w:numId w:val="16"/>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20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03">
    <w:name w:val="术语定义一级条标题"/>
    <w:basedOn w:val="53"/>
    <w:next w:val="29"/>
    <w:qFormat/>
    <w:uiPriority w:val="0"/>
    <w:pPr>
      <w:spacing w:before="0" w:beforeLines="0" w:after="0" w:afterLines="0"/>
      <w:ind w:left="284"/>
      <w:jc w:val="left"/>
      <w:outlineLvl w:val="9"/>
    </w:pPr>
    <w:rPr>
      <w:rFonts w:hAnsi="Times New Roman"/>
    </w:rPr>
  </w:style>
  <w:style w:type="paragraph" w:customStyle="1" w:styleId="204">
    <w:name w:val="附录表标题续表"/>
    <w:basedOn w:val="167"/>
    <w:next w:val="29"/>
    <w:qFormat/>
    <w:uiPriority w:val="0"/>
    <w:pPr>
      <w:numPr>
        <w:ilvl w:val="0"/>
        <w:numId w:val="0"/>
      </w:numPr>
      <w:tabs>
        <w:tab w:val="clear" w:pos="180"/>
      </w:tabs>
      <w:spacing w:before="50" w:after="50"/>
    </w:pPr>
    <w:rPr>
      <w:rFonts w:hAnsi="Times New Roman"/>
    </w:rPr>
  </w:style>
  <w:style w:type="paragraph" w:customStyle="1" w:styleId="205">
    <w:name w:val="修订5"/>
    <w:hidden/>
    <w:unhideWhenUsed/>
    <w:qFormat/>
    <w:uiPriority w:val="99"/>
    <w:rPr>
      <w:rFonts w:ascii="宋体" w:hAnsi="宋体" w:eastAsia="宋体" w:cs="Times New Roman"/>
      <w:kern w:val="2"/>
      <w:sz w:val="21"/>
      <w:szCs w:val="24"/>
      <w:lang w:val="en-US" w:eastAsia="zh-CN" w:bidi="ar-SA"/>
    </w:rPr>
  </w:style>
  <w:style w:type="character" w:customStyle="1" w:styleId="206">
    <w:name w:val="标题 4 字符"/>
    <w:basedOn w:val="42"/>
    <w:link w:val="6"/>
    <w:semiHidden/>
    <w:qFormat/>
    <w:uiPriority w:val="0"/>
    <w:rPr>
      <w:rFonts w:asciiTheme="majorHAnsi" w:hAnsiTheme="majorHAnsi" w:eastAsiaTheme="majorEastAsia" w:cstheme="majorBidi"/>
      <w:b/>
      <w:bCs/>
      <w:kern w:val="2"/>
      <w:sz w:val="28"/>
      <w:szCs w:val="28"/>
    </w:rPr>
  </w:style>
  <w:style w:type="paragraph" w:customStyle="1" w:styleId="207">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208">
    <w:name w:val="Revision"/>
    <w:hidden/>
    <w:unhideWhenUsed/>
    <w:uiPriority w:val="99"/>
    <w:rPr>
      <w:rFonts w:ascii="宋体" w:hAnsi="宋体" w:eastAsia="宋体" w:cs="Times New Roman"/>
      <w:kern w:val="2"/>
      <w:sz w:val="21"/>
      <w:szCs w:val="24"/>
      <w:lang w:val="en-US" w:eastAsia="zh-CN" w:bidi="ar-SA"/>
    </w:rPr>
  </w:style>
  <w:style w:type="character" w:customStyle="1" w:styleId="209">
    <w:name w:val="citation-132"/>
    <w:basedOn w:val="42"/>
    <w:uiPriority w:val="0"/>
  </w:style>
  <w:style w:type="character" w:customStyle="1" w:styleId="210">
    <w:name w:val="citation-131"/>
    <w:basedOn w:val="42"/>
    <w:uiPriority w:val="0"/>
  </w:style>
  <w:style w:type="character" w:customStyle="1" w:styleId="211">
    <w:name w:val="日期 字符"/>
    <w:basedOn w:val="42"/>
    <w:link w:val="19"/>
    <w:semiHidden/>
    <w:uiPriority w:val="0"/>
    <w:rPr>
      <w:rFonts w:ascii="宋体" w:hAnsi="宋体"/>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645CEF-B8D7-48E4-A01E-B916A4E9B0DF}">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23</Pages>
  <Words>14973</Words>
  <Characters>17067</Characters>
  <Lines>163</Lines>
  <Paragraphs>46</Paragraphs>
  <TotalTime>2</TotalTime>
  <ScaleCrop>false</ScaleCrop>
  <LinksUpToDate>false</LinksUpToDate>
  <CharactersWithSpaces>17595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2026-01-25T03:04:00Z</dcterms:created>
  <dc:creator>Administrator</dc:creator>
  <cp:lastModifiedBy>王嵩</cp:lastModifiedBy>
  <dcterms:modified xsi:type="dcterms:W3CDTF">2026-02-09T00:54:23Z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1E791B40D9044D54A2044F737AD53738_13</vt:lpwstr>
  </property>
  <property fmtid="{D5CDD505-2E9C-101B-9397-08002B2CF9AE}" pid="4" name="KSOTemplateDocerSaveRecord">
    <vt:lpwstr>eyJoZGlkIjoiNDYyNGFiOWVjNmUyNDJkMjQ4ZjU3YWM4YTY1MmJjYzMiLCJ1c2VySWQiOiIxNTgwMzA1OTc1In0=</vt:lpwstr>
  </property>
</Properties>
</file>