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E18E3">
      <w:pPr>
        <w:pStyle w:val="6"/>
        <w:widowControl/>
        <w:kinsoku w:val="0"/>
        <w:autoSpaceDE w:val="0"/>
        <w:autoSpaceDN w:val="0"/>
        <w:adjustRightInd w:val="0"/>
        <w:snapToGrid w:val="0"/>
        <w:spacing w:before="116" w:line="237" w:lineRule="auto"/>
        <w:ind w:left="0" w:right="1896" w:firstLine="0"/>
        <w:jc w:val="left"/>
        <w:textAlignment w:val="baseline"/>
        <w:rPr>
          <w:rFonts w:hint="eastAsia" w:ascii="黑体" w:hAnsi="黑体" w:eastAsia="黑体" w:cs="黑体"/>
          <w:snapToGrid w:val="0"/>
          <w:color w:val="000000"/>
          <w:spacing w:val="7"/>
          <w:kern w:val="0"/>
          <w:sz w:val="32"/>
          <w:szCs w:val="32"/>
          <w:highlight w:val="none"/>
          <w:lang w:eastAsia="zh-CN"/>
        </w:rPr>
      </w:pPr>
      <w:bookmarkStart w:id="0" w:name="OLE_LINK1"/>
      <w:bookmarkStart w:id="129" w:name="_GoBack"/>
      <w:bookmarkEnd w:id="129"/>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6DE72030">
      <w:pPr>
        <w:pStyle w:val="6"/>
        <w:widowControl/>
        <w:kinsoku w:val="0"/>
        <w:autoSpaceDE w:val="0"/>
        <w:autoSpaceDN w:val="0"/>
        <w:adjustRightInd w:val="0"/>
        <w:snapToGrid w:val="0"/>
        <w:spacing w:before="116" w:line="237" w:lineRule="auto"/>
        <w:ind w:left="0" w:right="1896" w:firstLine="0"/>
        <w:jc w:val="left"/>
        <w:textAlignment w:val="baseline"/>
        <w:rPr>
          <w:rFonts w:hint="default" w:ascii="Arial" w:hAnsi="Arial" w:eastAsia="宋体" w:cs="Arial"/>
          <w:snapToGrid w:val="0"/>
          <w:color w:val="000000"/>
          <w:spacing w:val="7"/>
          <w:kern w:val="0"/>
          <w:sz w:val="19"/>
          <w:szCs w:val="19"/>
          <w:highlight w:val="none"/>
          <w:lang w:val="en-US" w:eastAsia="zh-CN"/>
        </w:rPr>
      </w:pPr>
      <w:r>
        <w:rPr>
          <w:rFonts w:ascii="Arial" w:hAnsi="Arial" w:eastAsia="Arial" w:cs="Arial"/>
          <w:snapToGrid w:val="0"/>
          <w:color w:val="000000"/>
          <w:spacing w:val="7"/>
          <w:kern w:val="0"/>
          <w:sz w:val="19"/>
          <w:szCs w:val="19"/>
          <w:highlight w:val="none"/>
          <w:lang w:eastAsia="en-US"/>
        </w:rPr>
        <w:t>ICS 27.</w:t>
      </w:r>
      <w:r>
        <w:rPr>
          <w:rFonts w:hint="eastAsia" w:ascii="Arial" w:hAnsi="Arial" w:eastAsia="宋体" w:cs="Arial"/>
          <w:snapToGrid w:val="0"/>
          <w:color w:val="000000"/>
          <w:spacing w:val="7"/>
          <w:kern w:val="0"/>
          <w:sz w:val="19"/>
          <w:szCs w:val="19"/>
          <w:highlight w:val="none"/>
          <w:lang w:val="en-US" w:eastAsia="zh-CN"/>
        </w:rPr>
        <w:t>100</w:t>
      </w:r>
      <w:r>
        <w:rPr>
          <w:rFonts w:ascii="Arial" w:hAnsi="Arial" w:eastAsia="Arial" w:cs="Arial"/>
          <w:snapToGrid w:val="0"/>
          <w:color w:val="000000"/>
          <w:spacing w:val="7"/>
          <w:kern w:val="0"/>
          <w:sz w:val="19"/>
          <w:szCs w:val="19"/>
          <w:highlight w:val="none"/>
          <w:lang w:eastAsia="en-US"/>
        </w:rPr>
        <w:t xml:space="preserve"> CCS </w:t>
      </w:r>
      <w:r>
        <w:rPr>
          <w:rFonts w:hint="eastAsia" w:ascii="Arial" w:hAnsi="Arial" w:eastAsia="宋体" w:cs="Arial"/>
          <w:snapToGrid w:val="0"/>
          <w:color w:val="000000"/>
          <w:spacing w:val="7"/>
          <w:kern w:val="0"/>
          <w:sz w:val="19"/>
          <w:szCs w:val="19"/>
          <w:highlight w:val="none"/>
          <w:lang w:val="en-US" w:eastAsia="zh-CN"/>
        </w:rPr>
        <w:t>P</w:t>
      </w:r>
      <w:r>
        <w:rPr>
          <w:rFonts w:ascii="Arial" w:hAnsi="Arial" w:eastAsia="Arial" w:cs="Arial"/>
          <w:snapToGrid w:val="0"/>
          <w:color w:val="000000"/>
          <w:spacing w:val="7"/>
          <w:kern w:val="0"/>
          <w:sz w:val="19"/>
          <w:szCs w:val="19"/>
          <w:highlight w:val="none"/>
          <w:lang w:eastAsia="en-US"/>
        </w:rPr>
        <w:t xml:space="preserve"> </w:t>
      </w:r>
      <w:r>
        <w:rPr>
          <w:rFonts w:hint="eastAsia" w:ascii="Arial" w:hAnsi="Arial" w:eastAsia="宋体" w:cs="Arial"/>
          <w:snapToGrid w:val="0"/>
          <w:color w:val="000000"/>
          <w:spacing w:val="7"/>
          <w:kern w:val="0"/>
          <w:sz w:val="19"/>
          <w:szCs w:val="19"/>
          <w:highlight w:val="none"/>
          <w:lang w:val="en-US" w:eastAsia="zh-CN"/>
        </w:rPr>
        <w:t>60</w:t>
      </w:r>
    </w:p>
    <w:p w14:paraId="67079AE1">
      <w:pPr>
        <w:pStyle w:val="6"/>
        <w:widowControl/>
        <w:kinsoku w:val="0"/>
        <w:autoSpaceDE w:val="0"/>
        <w:autoSpaceDN w:val="0"/>
        <w:adjustRightInd w:val="0"/>
        <w:snapToGrid w:val="0"/>
        <w:spacing w:before="116" w:line="237" w:lineRule="auto"/>
        <w:ind w:left="8" w:right="1896" w:firstLine="3"/>
        <w:jc w:val="left"/>
        <w:textAlignment w:val="baseline"/>
        <w:rPr>
          <w:rFonts w:ascii="Arial" w:hAnsi="Arial" w:eastAsia="Arial" w:cs="Arial"/>
          <w:snapToGrid w:val="0"/>
          <w:color w:val="000000"/>
          <w:spacing w:val="7"/>
          <w:kern w:val="0"/>
          <w:sz w:val="19"/>
          <w:szCs w:val="19"/>
          <w:highlight w:val="none"/>
          <w:lang w:eastAsia="en-US"/>
        </w:rPr>
      </w:pPr>
    </w:p>
    <w:p w14:paraId="665E4677">
      <w:pPr>
        <w:spacing w:before="20" w:line="1125" w:lineRule="exact"/>
        <w:rPr>
          <w:highlight w:val="none"/>
        </w:rPr>
      </w:pPr>
      <w:r>
        <w:rPr>
          <w:position w:val="-22"/>
          <w:highlight w:val="none"/>
          <w:lang w:eastAsia="zh-CN"/>
        </w:rPr>
        <w:drawing>
          <wp:inline distT="0" distB="0" distL="0" distR="0">
            <wp:extent cx="714375" cy="71437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
                    <a:stretch>
                      <a:fillRect/>
                    </a:stretch>
                  </pic:blipFill>
                  <pic:spPr>
                    <a:xfrm>
                      <a:off x="0" y="0"/>
                      <a:ext cx="714755" cy="714756"/>
                    </a:xfrm>
                    <a:prstGeom prst="rect">
                      <a:avLst/>
                    </a:prstGeom>
                  </pic:spPr>
                </pic:pic>
              </a:graphicData>
            </a:graphic>
          </wp:inline>
        </w:drawing>
      </w:r>
    </w:p>
    <w:p w14:paraId="6D7636EE">
      <w:pPr>
        <w:spacing w:before="250" w:line="683" w:lineRule="exact"/>
        <w:rPr>
          <w:rFonts w:ascii="黑体" w:hAnsi="黑体" w:eastAsia="黑体" w:cs="黑体"/>
          <w:sz w:val="51"/>
          <w:szCs w:val="51"/>
          <w:highlight w:val="none"/>
          <w:lang w:eastAsia="zh-CN"/>
        </w:rPr>
      </w:pPr>
      <w:r>
        <w:rPr>
          <w:rFonts w:ascii="黑体" w:hAnsi="黑体" w:eastAsia="黑体" w:cs="黑体"/>
          <w:spacing w:val="95"/>
          <w:position w:val="3"/>
          <w:sz w:val="51"/>
          <w:szCs w:val="51"/>
          <w:highlight w:val="none"/>
          <w:lang w:eastAsia="zh-CN"/>
        </w:rPr>
        <w:t>团</w:t>
      </w:r>
    </w:p>
    <w:p w14:paraId="2A429223">
      <w:pPr>
        <w:spacing w:line="142" w:lineRule="auto"/>
        <w:rPr>
          <w:sz w:val="2"/>
          <w:highlight w:val="none"/>
          <w:lang w:eastAsia="zh-CN"/>
        </w:rPr>
      </w:pPr>
    </w:p>
    <w:p w14:paraId="6FD5BB59">
      <w:pPr>
        <w:pStyle w:val="6"/>
        <w:spacing w:line="14" w:lineRule="auto"/>
        <w:rPr>
          <w:sz w:val="2"/>
          <w:highlight w:val="none"/>
          <w:lang w:eastAsia="zh-CN"/>
        </w:rPr>
      </w:pPr>
      <w:r>
        <w:rPr>
          <w:sz w:val="2"/>
          <w:szCs w:val="2"/>
          <w:highlight w:val="none"/>
          <w:lang w:eastAsia="zh-CN"/>
        </w:rPr>
        <w:br w:type="column"/>
      </w:r>
    </w:p>
    <w:p w14:paraId="336A1233">
      <w:pPr>
        <w:pStyle w:val="6"/>
        <w:spacing w:line="252" w:lineRule="auto"/>
        <w:rPr>
          <w:highlight w:val="none"/>
          <w:lang w:eastAsia="zh-CN"/>
        </w:rPr>
      </w:pPr>
    </w:p>
    <w:p w14:paraId="05E0F622">
      <w:pPr>
        <w:pStyle w:val="6"/>
        <w:spacing w:line="252" w:lineRule="auto"/>
        <w:rPr>
          <w:highlight w:val="none"/>
          <w:lang w:eastAsia="zh-CN"/>
        </w:rPr>
      </w:pPr>
    </w:p>
    <w:p w14:paraId="436D697C">
      <w:pPr>
        <w:pStyle w:val="6"/>
        <w:spacing w:line="252" w:lineRule="auto"/>
        <w:rPr>
          <w:highlight w:val="none"/>
          <w:lang w:eastAsia="zh-CN"/>
        </w:rPr>
      </w:pPr>
    </w:p>
    <w:p w14:paraId="2B6DB983">
      <w:pPr>
        <w:pStyle w:val="6"/>
        <w:spacing w:line="252" w:lineRule="auto"/>
        <w:rPr>
          <w:highlight w:val="none"/>
          <w:lang w:eastAsia="zh-CN"/>
        </w:rPr>
      </w:pPr>
    </w:p>
    <w:p w14:paraId="4FBA50CD">
      <w:pPr>
        <w:spacing w:before="166" w:line="682" w:lineRule="exact"/>
        <w:rPr>
          <w:rFonts w:ascii="黑体" w:hAnsi="黑体" w:eastAsia="黑体" w:cs="黑体"/>
          <w:sz w:val="51"/>
          <w:szCs w:val="51"/>
          <w:highlight w:val="none"/>
          <w:lang w:eastAsia="zh-CN"/>
        </w:rPr>
      </w:pPr>
      <w:r>
        <w:rPr>
          <w:rFonts w:ascii="黑体" w:hAnsi="黑体" w:eastAsia="黑体" w:cs="黑体"/>
          <w:spacing w:val="34"/>
          <w:w w:val="125"/>
          <w:position w:val="2"/>
          <w:sz w:val="51"/>
          <w:szCs w:val="51"/>
          <w:highlight w:val="none"/>
          <w:lang w:eastAsia="zh-CN"/>
        </w:rPr>
        <w:t>体</w:t>
      </w:r>
    </w:p>
    <w:p w14:paraId="610FE829">
      <w:pPr>
        <w:pStyle w:val="6"/>
        <w:spacing w:line="14" w:lineRule="auto"/>
        <w:rPr>
          <w:sz w:val="2"/>
          <w:highlight w:val="none"/>
          <w:lang w:eastAsia="zh-CN"/>
        </w:rPr>
      </w:pPr>
      <w:r>
        <w:rPr>
          <w:sz w:val="2"/>
          <w:szCs w:val="2"/>
          <w:highlight w:val="none"/>
          <w:lang w:eastAsia="zh-CN"/>
        </w:rPr>
        <w:br w:type="column"/>
      </w:r>
    </w:p>
    <w:p w14:paraId="51D3D8D1">
      <w:pPr>
        <w:pStyle w:val="6"/>
        <w:spacing w:line="252" w:lineRule="auto"/>
        <w:rPr>
          <w:highlight w:val="none"/>
          <w:lang w:eastAsia="zh-CN"/>
        </w:rPr>
      </w:pPr>
    </w:p>
    <w:p w14:paraId="16DCFF25">
      <w:pPr>
        <w:pStyle w:val="6"/>
        <w:spacing w:line="252" w:lineRule="auto"/>
        <w:rPr>
          <w:highlight w:val="none"/>
          <w:lang w:eastAsia="zh-CN"/>
        </w:rPr>
      </w:pPr>
    </w:p>
    <w:p w14:paraId="76727ADB">
      <w:pPr>
        <w:pStyle w:val="6"/>
        <w:spacing w:line="252" w:lineRule="auto"/>
        <w:rPr>
          <w:highlight w:val="none"/>
          <w:lang w:eastAsia="zh-CN"/>
        </w:rPr>
      </w:pPr>
    </w:p>
    <w:p w14:paraId="51DEB78F">
      <w:pPr>
        <w:pStyle w:val="6"/>
        <w:spacing w:line="252" w:lineRule="auto"/>
        <w:rPr>
          <w:highlight w:val="none"/>
          <w:lang w:eastAsia="zh-CN"/>
        </w:rPr>
      </w:pPr>
    </w:p>
    <w:p w14:paraId="6DE2AE79">
      <w:pPr>
        <w:spacing w:before="166" w:line="682" w:lineRule="exact"/>
        <w:rPr>
          <w:rFonts w:ascii="黑体" w:hAnsi="黑体" w:eastAsia="黑体" w:cs="黑体"/>
          <w:sz w:val="51"/>
          <w:szCs w:val="51"/>
          <w:highlight w:val="none"/>
          <w:lang w:eastAsia="zh-CN"/>
        </w:rPr>
      </w:pPr>
      <w:r>
        <w:rPr>
          <w:rFonts w:ascii="黑体" w:hAnsi="黑体" w:eastAsia="黑体" w:cs="黑体"/>
          <w:spacing w:val="27"/>
          <w:w w:val="125"/>
          <w:position w:val="2"/>
          <w:sz w:val="51"/>
          <w:szCs w:val="51"/>
          <w:highlight w:val="none"/>
          <w:lang w:eastAsia="zh-CN"/>
        </w:rPr>
        <w:t>标</w:t>
      </w:r>
    </w:p>
    <w:p w14:paraId="389A6ED4">
      <w:pPr>
        <w:pStyle w:val="6"/>
        <w:spacing w:line="14" w:lineRule="auto"/>
        <w:rPr>
          <w:sz w:val="2"/>
          <w:highlight w:val="none"/>
          <w:lang w:eastAsia="zh-CN"/>
        </w:rPr>
      </w:pPr>
      <w:r>
        <w:rPr>
          <w:sz w:val="2"/>
          <w:szCs w:val="2"/>
          <w:highlight w:val="none"/>
          <w:lang w:eastAsia="zh-CN"/>
        </w:rPr>
        <w:br w:type="column"/>
      </w:r>
    </w:p>
    <w:p w14:paraId="5B2DCE74">
      <w:pPr>
        <w:pStyle w:val="6"/>
        <w:spacing w:line="252" w:lineRule="auto"/>
        <w:rPr>
          <w:highlight w:val="none"/>
          <w:lang w:eastAsia="zh-CN"/>
        </w:rPr>
      </w:pPr>
    </w:p>
    <w:p w14:paraId="33FCD5F8">
      <w:pPr>
        <w:pStyle w:val="6"/>
        <w:spacing w:line="252" w:lineRule="auto"/>
        <w:rPr>
          <w:highlight w:val="none"/>
          <w:lang w:eastAsia="zh-CN"/>
        </w:rPr>
      </w:pPr>
    </w:p>
    <w:p w14:paraId="21780B88">
      <w:pPr>
        <w:pStyle w:val="6"/>
        <w:spacing w:line="252" w:lineRule="auto"/>
        <w:rPr>
          <w:highlight w:val="none"/>
          <w:lang w:eastAsia="zh-CN"/>
        </w:rPr>
      </w:pPr>
    </w:p>
    <w:p w14:paraId="7239B759">
      <w:pPr>
        <w:pStyle w:val="6"/>
        <w:spacing w:line="252" w:lineRule="auto"/>
        <w:rPr>
          <w:highlight w:val="none"/>
          <w:lang w:eastAsia="zh-CN"/>
        </w:rPr>
      </w:pPr>
    </w:p>
    <w:p w14:paraId="1C542458">
      <w:pPr>
        <w:spacing w:before="166" w:line="680" w:lineRule="exact"/>
        <w:rPr>
          <w:rFonts w:ascii="黑体" w:hAnsi="黑体" w:eastAsia="黑体" w:cs="黑体"/>
          <w:sz w:val="51"/>
          <w:szCs w:val="51"/>
          <w:highlight w:val="none"/>
          <w:lang w:eastAsia="zh-CN"/>
        </w:rPr>
      </w:pPr>
      <w:r>
        <w:rPr>
          <w:rFonts w:ascii="黑体" w:hAnsi="黑体" w:eastAsia="黑体" w:cs="黑体"/>
          <w:spacing w:val="48"/>
          <w:w w:val="117"/>
          <w:position w:val="2"/>
          <w:sz w:val="51"/>
          <w:szCs w:val="51"/>
          <w:highlight w:val="none"/>
          <w:lang w:eastAsia="zh-CN"/>
        </w:rPr>
        <w:t>准</w:t>
      </w:r>
    </w:p>
    <w:p w14:paraId="68AEF843">
      <w:pPr>
        <w:spacing w:line="680" w:lineRule="exact"/>
        <w:rPr>
          <w:rFonts w:ascii="黑体" w:hAnsi="黑体" w:eastAsia="黑体" w:cs="黑体"/>
          <w:sz w:val="51"/>
          <w:szCs w:val="51"/>
          <w:highlight w:val="none"/>
          <w:lang w:eastAsia="zh-CN"/>
        </w:rPr>
        <w:sectPr>
          <w:pgSz w:w="11907" w:h="16841"/>
          <w:pgMar w:top="639" w:right="855" w:bottom="0" w:left="1419" w:header="0" w:footer="0" w:gutter="0"/>
          <w:pgNumType w:fmt="upperRoman"/>
          <w:cols w:equalWidth="0" w:num="4">
            <w:col w:w="2949" w:space="100"/>
            <w:col w:w="2788" w:space="100"/>
            <w:col w:w="2800" w:space="100"/>
            <w:col w:w="797"/>
          </w:cols>
        </w:sectPr>
      </w:pPr>
    </w:p>
    <w:p w14:paraId="3988D9CC">
      <w:pPr>
        <w:pStyle w:val="6"/>
        <w:spacing w:line="349" w:lineRule="auto"/>
        <w:rPr>
          <w:highlight w:val="none"/>
          <w:lang w:eastAsia="zh-CN"/>
        </w:rPr>
      </w:pPr>
    </w:p>
    <w:p w14:paraId="3767FBEF">
      <w:pPr>
        <w:pStyle w:val="6"/>
        <w:widowControl/>
        <w:kinsoku w:val="0"/>
        <w:autoSpaceDE w:val="0"/>
        <w:autoSpaceDN w:val="0"/>
        <w:adjustRightInd w:val="0"/>
        <w:snapToGrid w:val="0"/>
        <w:spacing w:before="75" w:line="234" w:lineRule="auto"/>
        <w:jc w:val="right"/>
        <w:textAlignment w:val="baseline"/>
        <w:rPr>
          <w:rFonts w:ascii="Arial" w:hAnsi="Arial" w:eastAsia="Arial" w:cs="Arial"/>
          <w:snapToGrid w:val="0"/>
          <w:color w:val="000000"/>
          <w:spacing w:val="9"/>
          <w:kern w:val="0"/>
          <w:sz w:val="26"/>
          <w:szCs w:val="26"/>
          <w:highlight w:val="none"/>
          <w:lang w:eastAsia="zh-CN"/>
        </w:rPr>
      </w:pPr>
      <w:r>
        <w:rPr>
          <w:rFonts w:hint="eastAsia" w:ascii="Arial" w:hAnsi="Arial" w:eastAsia="Arial" w:cs="Arial"/>
          <w:snapToGrid w:val="0"/>
          <w:color w:val="000000"/>
          <w:spacing w:val="9"/>
          <w:kern w:val="0"/>
          <w:sz w:val="26"/>
          <w:szCs w:val="26"/>
          <w:highlight w:val="none"/>
          <w:lang w:eastAsia="zh-CN"/>
        </w:rPr>
        <w:t>T/CECPA</w:t>
      </w:r>
      <w:r>
        <w:rPr>
          <w:rFonts w:hint="eastAsia" w:ascii="Arial" w:hAnsi="Arial" w:eastAsia="Arial" w:cs="Arial"/>
          <w:snapToGrid w:val="0"/>
          <w:color w:val="000000"/>
          <w:spacing w:val="9"/>
          <w:kern w:val="0"/>
          <w:sz w:val="26"/>
          <w:szCs w:val="26"/>
          <w:highlight w:val="none"/>
          <w:lang w:val="en-US" w:eastAsia="zh-CN"/>
        </w:rPr>
        <w:t xml:space="preserve">  xxxx</w:t>
      </w:r>
      <w:r>
        <w:rPr>
          <w:rFonts w:hint="eastAsia" w:ascii="Arial" w:hAnsi="Arial" w:eastAsia="Arial" w:cs="Arial"/>
          <w:snapToGrid w:val="0"/>
          <w:color w:val="000000"/>
          <w:spacing w:val="9"/>
          <w:kern w:val="0"/>
          <w:sz w:val="26"/>
          <w:szCs w:val="26"/>
          <w:highlight w:val="none"/>
          <w:lang w:eastAsia="zh-CN"/>
        </w:rPr>
        <w:t>—202</w:t>
      </w:r>
      <w:r>
        <w:rPr>
          <w:rFonts w:hint="eastAsia" w:ascii="Arial" w:hAnsi="Arial" w:eastAsia="Arial" w:cs="Arial"/>
          <w:snapToGrid w:val="0"/>
          <w:color w:val="000000"/>
          <w:spacing w:val="9"/>
          <w:kern w:val="0"/>
          <w:sz w:val="26"/>
          <w:szCs w:val="26"/>
          <w:highlight w:val="none"/>
          <w:lang w:val="en-US" w:eastAsia="zh-CN"/>
        </w:rPr>
        <w:t>6</w:t>
      </w:r>
    </w:p>
    <w:p w14:paraId="2F62FE52">
      <w:pPr>
        <w:pStyle w:val="6"/>
        <w:spacing w:line="246" w:lineRule="auto"/>
        <w:rPr>
          <w:highlight w:val="none"/>
          <w:lang w:eastAsia="zh-CN"/>
        </w:rPr>
      </w:pPr>
    </w:p>
    <w:p w14:paraId="0511BCE2">
      <w:pPr>
        <w:pStyle w:val="6"/>
        <w:spacing w:line="246" w:lineRule="auto"/>
        <w:rPr>
          <w:highlight w:val="none"/>
          <w:lang w:eastAsia="zh-CN"/>
        </w:rPr>
      </w:pPr>
      <w:r>
        <w:rPr>
          <w:highlight w:val="none"/>
          <w:lang w:eastAsia="zh-CN"/>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100330</wp:posOffset>
                </wp:positionV>
                <wp:extent cx="6109970" cy="10160"/>
                <wp:effectExtent l="0" t="635" r="5080" b="0"/>
                <wp:wrapNone/>
                <wp:docPr id="3" name="任意多边形 3"/>
                <wp:cNvGraphicFramePr/>
                <a:graphic xmlns:a="http://schemas.openxmlformats.org/drawingml/2006/main">
                  <a:graphicData uri="http://schemas.microsoft.com/office/word/2010/wordprocessingShape">
                    <wps:wsp>
                      <wps:cNvSpPr>
                        <a:spLocks noChangeArrowheads="1"/>
                      </wps:cNvSpPr>
                      <wps:spPr bwMode="auto">
                        <a:xfrm>
                          <a:off x="0" y="0"/>
                          <a:ext cx="6109970" cy="10160"/>
                        </a:xfrm>
                        <a:custGeom>
                          <a:avLst/>
                          <a:gdLst>
                            <a:gd name="T0" fmla="*/ 0 w 9622"/>
                            <a:gd name="T1" fmla="*/ 7 h 16"/>
                            <a:gd name="T2" fmla="*/ 9621 w 9622"/>
                            <a:gd name="T3" fmla="*/ 7 h 16"/>
                          </a:gdLst>
                          <a:ahLst/>
                          <a:cxnLst>
                            <a:cxn ang="0">
                              <a:pos x="T0" y="T1"/>
                            </a:cxn>
                            <a:cxn ang="0">
                              <a:pos x="T2" y="T3"/>
                            </a:cxn>
                          </a:cxnLst>
                          <a:rect l="0" t="0" r="r" b="b"/>
                          <a:pathLst>
                            <a:path w="9622" h="16">
                              <a:moveTo>
                                <a:pt x="0" y="7"/>
                              </a:moveTo>
                              <a:lnTo>
                                <a:pt x="9621" y="7"/>
                              </a:lnTo>
                            </a:path>
                          </a:pathLst>
                        </a:custGeom>
                        <a:noFill/>
                        <a:ln w="9652">
                          <a:solidFill>
                            <a:srgbClr val="231F20"/>
                          </a:solidFill>
                          <a:miter lim="10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75pt;margin-top:7.9pt;height:0.8pt;width:481.1pt;z-index:251659264;mso-width-relative:page;mso-height-relative:page;" filled="f" stroked="t" coordsize="9622,16" o:gfxdata="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" path="m0,7l9621,7e">
                <v:path o:connectlocs="0,4445;6109335,4445" o:connectangles="0,0"/>
                <v:fill on="f" focussize="0,0"/>
                <v:stroke weight="0.76pt" color="#231F20" miterlimit="10" joinstyle="miter"/>
                <v:imagedata o:title=""/>
                <o:lock v:ext="edit" aspectratio="f"/>
              </v:shape>
            </w:pict>
          </mc:Fallback>
        </mc:AlternateContent>
      </w:r>
    </w:p>
    <w:p w14:paraId="0909453B">
      <w:pPr>
        <w:pStyle w:val="6"/>
        <w:spacing w:line="246" w:lineRule="auto"/>
        <w:rPr>
          <w:highlight w:val="none"/>
          <w:lang w:eastAsia="zh-CN"/>
        </w:rPr>
      </w:pPr>
    </w:p>
    <w:p w14:paraId="61986CE0">
      <w:pPr>
        <w:pStyle w:val="6"/>
        <w:spacing w:line="246" w:lineRule="auto"/>
        <w:rPr>
          <w:highlight w:val="none"/>
          <w:lang w:eastAsia="zh-CN"/>
        </w:rPr>
      </w:pPr>
    </w:p>
    <w:p w14:paraId="7A6B2C47">
      <w:pPr>
        <w:pStyle w:val="6"/>
        <w:spacing w:line="246" w:lineRule="auto"/>
        <w:rPr>
          <w:highlight w:val="none"/>
          <w:lang w:eastAsia="zh-CN"/>
        </w:rPr>
      </w:pPr>
    </w:p>
    <w:p w14:paraId="40ABAA3C">
      <w:pPr>
        <w:pStyle w:val="6"/>
        <w:spacing w:line="246" w:lineRule="auto"/>
        <w:rPr>
          <w:highlight w:val="none"/>
          <w:lang w:eastAsia="zh-CN"/>
        </w:rPr>
      </w:pPr>
    </w:p>
    <w:tbl>
      <w:tblPr>
        <w:tblStyle w:val="15"/>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0"/>
      </w:tblGrid>
      <w:tr w14:paraId="714D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3" w:hRule="atLeast"/>
        </w:trPr>
        <w:tc>
          <w:tcPr>
            <w:tcW w:w="9620" w:type="dxa"/>
            <w:tcBorders>
              <w:top w:val="nil"/>
              <w:left w:val="nil"/>
              <w:bottom w:val="nil"/>
              <w:right w:val="nil"/>
            </w:tcBorders>
            <w:shd w:val="clear" w:color="auto" w:fill="FFFFFF"/>
          </w:tcPr>
          <w:p w14:paraId="0EF1938D">
            <w:pPr>
              <w:widowControl/>
              <w:spacing w:before="357" w:line="280" w:lineRule="exact"/>
              <w:jc w:val="right"/>
              <w:rPr>
                <w:rFonts w:eastAsia="黑体"/>
                <w:kern w:val="0"/>
                <w:sz w:val="28"/>
                <w:szCs w:val="20"/>
                <w:highlight w:val="none"/>
              </w:rPr>
            </w:pPr>
          </w:p>
        </w:tc>
      </w:tr>
      <w:tr w14:paraId="1EE79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9620" w:type="dxa"/>
            <w:tcBorders>
              <w:top w:val="nil"/>
              <w:left w:val="nil"/>
              <w:bottom w:val="nil"/>
              <w:right w:val="nil"/>
            </w:tcBorders>
            <w:shd w:val="clear" w:color="auto" w:fill="FFFFFF"/>
          </w:tcPr>
          <w:tbl>
            <w:tblPr>
              <w:tblStyle w:val="15"/>
              <w:tblpPr w:leftFromText="180" w:rightFromText="180" w:vertAnchor="text" w:horzAnchor="page" w:tblpX="-118" w:tblpY="-887"/>
              <w:tblOverlap w:val="never"/>
              <w:tblW w:w="9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7820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7" w:type="dxa"/>
                  <w:tcBorders>
                    <w:top w:val="nil"/>
                    <w:left w:val="nil"/>
                    <w:bottom w:val="nil"/>
                    <w:right w:val="nil"/>
                  </w:tcBorders>
                  <w:shd w:val="clear" w:color="auto" w:fill="FFFFFF"/>
                </w:tcPr>
                <w:p w14:paraId="340F8E35">
                  <w:pPr>
                    <w:pStyle w:val="22"/>
                    <w:framePr w:w="0" w:hRule="auto" w:wrap="auto" w:vAnchor="margin" w:hAnchor="text" w:xAlign="left" w:yAlign="inline"/>
                    <w:rPr>
                      <w:highlight w:val="none"/>
                    </w:rPr>
                  </w:pPr>
                  <w:r>
                    <w:rPr>
                      <w:rFonts w:hint="eastAsia"/>
                      <w:highlight w:val="none"/>
                    </w:rPr>
                    <w:t>火力发电厂建（构）筑物全过程技术评价导则</w:t>
                  </w:r>
                </w:p>
              </w:tc>
            </w:tr>
          </w:tbl>
          <w:p w14:paraId="2305AF91">
            <w:pPr>
              <w:widowControl/>
              <w:spacing w:before="180" w:after="160" w:line="400" w:lineRule="exact"/>
              <w:jc w:val="center"/>
              <w:rPr>
                <w:rFonts w:hint="eastAsia" w:ascii="黑体" w:hAnsi="黑体" w:eastAsia="黑体" w:cs="黑体"/>
                <w:kern w:val="0"/>
                <w:sz w:val="28"/>
                <w:szCs w:val="20"/>
                <w:highlight w:val="none"/>
              </w:rPr>
            </w:pPr>
            <w:r>
              <w:rPr>
                <w:rFonts w:hint="eastAsia" w:ascii="黑体" w:hAnsi="黑体" w:eastAsia="黑体" w:cs="黑体"/>
                <w:kern w:val="0"/>
                <w:sz w:val="28"/>
                <w:szCs w:val="20"/>
                <w:highlight w:val="none"/>
                <w:lang w:val="en-US" w:eastAsia="zh-CN"/>
              </w:rPr>
              <w:t>Guidelines for Full-Process Technical Evaluation of Buildings and Structures in Thermal Power Plants</w:t>
            </w:r>
            <w:r>
              <w:rPr>
                <w:rFonts w:hint="eastAsia" w:ascii="黑体" w:hAnsi="黑体" w:eastAsia="黑体" w:cs="黑体"/>
                <w:kern w:val="0"/>
                <w:sz w:val="28"/>
                <w:szCs w:val="20"/>
                <w:highlight w:val="none"/>
              </w:rPr>
              <w:t xml:space="preserve"> </w:t>
            </w:r>
          </w:p>
          <w:p w14:paraId="4D7D874F">
            <w:pPr>
              <w:jc w:val="center"/>
              <w:rPr>
                <w:rFonts w:eastAsia="黑体"/>
                <w:sz w:val="32"/>
              </w:rPr>
            </w:pPr>
            <w:r>
              <w:rPr>
                <w:rFonts w:eastAsia="黑体"/>
                <w:sz w:val="32"/>
              </w:rPr>
              <w:t>（征求意见稿）</w:t>
            </w:r>
          </w:p>
          <w:p w14:paraId="5B8F6892">
            <w:pPr>
              <w:widowControl/>
              <w:spacing w:before="180" w:after="160" w:line="400" w:lineRule="exact"/>
              <w:jc w:val="center"/>
              <w:rPr>
                <w:rFonts w:hint="eastAsia" w:ascii="黑体" w:hAnsi="黑体" w:eastAsia="黑体" w:cs="黑体"/>
                <w:kern w:val="0"/>
                <w:sz w:val="28"/>
                <w:szCs w:val="20"/>
                <w:highlight w:val="none"/>
              </w:rPr>
            </w:pPr>
          </w:p>
        </w:tc>
      </w:tr>
      <w:tr w14:paraId="1279C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trPr>
        <w:tc>
          <w:tcPr>
            <w:tcW w:w="9620" w:type="dxa"/>
            <w:tcBorders>
              <w:top w:val="nil"/>
              <w:left w:val="nil"/>
              <w:bottom w:val="nil"/>
              <w:right w:val="nil"/>
            </w:tcBorders>
          </w:tcPr>
          <w:p w14:paraId="6A0DC7AA">
            <w:pPr>
              <w:widowControl/>
              <w:spacing w:line="0" w:lineRule="atLeast"/>
              <w:jc w:val="center"/>
              <w:rPr>
                <w:rFonts w:eastAsia="黑体"/>
                <w:spacing w:val="20"/>
                <w:w w:val="135"/>
                <w:kern w:val="0"/>
                <w:sz w:val="28"/>
                <w:szCs w:val="20"/>
                <w:highlight w:val="none"/>
              </w:rPr>
            </w:pPr>
          </w:p>
        </w:tc>
      </w:tr>
    </w:tbl>
    <w:p w14:paraId="541F412B">
      <w:pPr>
        <w:pStyle w:val="6"/>
        <w:spacing w:line="247" w:lineRule="auto"/>
        <w:rPr>
          <w:highlight w:val="none"/>
        </w:rPr>
      </w:pPr>
    </w:p>
    <w:p w14:paraId="380BB5EF">
      <w:pPr>
        <w:pStyle w:val="6"/>
        <w:spacing w:line="248" w:lineRule="auto"/>
        <w:ind w:left="0"/>
        <w:rPr>
          <w:highlight w:val="none"/>
        </w:rPr>
      </w:pPr>
    </w:p>
    <w:p w14:paraId="3C85B06C">
      <w:pPr>
        <w:pStyle w:val="6"/>
        <w:spacing w:line="248" w:lineRule="auto"/>
        <w:rPr>
          <w:highlight w:val="none"/>
        </w:rPr>
      </w:pPr>
    </w:p>
    <w:p w14:paraId="565E2A42">
      <w:pPr>
        <w:pStyle w:val="6"/>
        <w:widowControl/>
        <w:kinsoku w:val="0"/>
        <w:autoSpaceDE w:val="0"/>
        <w:autoSpaceDN w:val="0"/>
        <w:adjustRightInd w:val="0"/>
        <w:snapToGrid w:val="0"/>
        <w:spacing w:before="84" w:line="239" w:lineRule="auto"/>
        <w:ind w:left="0"/>
        <w:jc w:val="right"/>
        <w:textAlignment w:val="baseline"/>
        <w:rPr>
          <w:rFonts w:ascii="Arial" w:hAnsi="Arial" w:eastAsia="Arial" w:cs="Arial"/>
          <w:snapToGrid w:val="0"/>
          <w:color w:val="000000"/>
          <w:spacing w:val="5"/>
          <w:kern w:val="0"/>
          <w:position w:val="-1"/>
          <w:sz w:val="26"/>
          <w:szCs w:val="26"/>
          <w:highlight w:val="none"/>
          <w:lang w:eastAsia="en-US"/>
        </w:rPr>
      </w:pPr>
    </w:p>
    <w:p w14:paraId="340264F1">
      <w:pPr>
        <w:pStyle w:val="6"/>
        <w:widowControl/>
        <w:kinsoku w:val="0"/>
        <w:autoSpaceDE w:val="0"/>
        <w:autoSpaceDN w:val="0"/>
        <w:adjustRightInd w:val="0"/>
        <w:snapToGrid w:val="0"/>
        <w:spacing w:before="84" w:line="239" w:lineRule="auto"/>
        <w:ind w:left="0"/>
        <w:jc w:val="right"/>
        <w:textAlignment w:val="baseline"/>
        <w:rPr>
          <w:rFonts w:ascii="Arial" w:hAnsi="Arial" w:eastAsia="Arial" w:cs="Arial"/>
          <w:snapToGrid w:val="0"/>
          <w:color w:val="000000"/>
          <w:spacing w:val="5"/>
          <w:kern w:val="0"/>
          <w:position w:val="-1"/>
          <w:sz w:val="26"/>
          <w:szCs w:val="26"/>
          <w:highlight w:val="none"/>
          <w:lang w:eastAsia="en-US"/>
        </w:rPr>
      </w:pPr>
      <w:r>
        <w:rPr>
          <w:rFonts w:ascii="Arial" w:hAnsi="Arial" w:eastAsia="Arial" w:cs="Arial"/>
          <w:snapToGrid w:val="0"/>
          <w:color w:val="000000"/>
          <w:spacing w:val="5"/>
          <w:kern w:val="0"/>
          <w:position w:val="-1"/>
          <w:sz w:val="26"/>
          <w:szCs w:val="26"/>
          <w:highlight w:val="none"/>
          <w:lang w:eastAsia="en-US"/>
        </w:rPr>
        <w:t>202</w:t>
      </w:r>
      <w:r>
        <w:rPr>
          <w:rFonts w:hint="eastAsia" w:ascii="Arial" w:hAnsi="Arial" w:eastAsia="Arial" w:cs="Arial"/>
          <w:snapToGrid w:val="0"/>
          <w:color w:val="000000"/>
          <w:spacing w:val="5"/>
          <w:kern w:val="0"/>
          <w:position w:val="-1"/>
          <w:sz w:val="26"/>
          <w:szCs w:val="26"/>
          <w:highlight w:val="none"/>
          <w:lang w:val="en-US" w:eastAsia="zh-CN"/>
        </w:rPr>
        <w:t>6</w:t>
      </w:r>
      <w:r>
        <w:rPr>
          <w:rFonts w:ascii="Arial" w:hAnsi="Arial" w:eastAsia="Arial" w:cs="Arial"/>
          <w:snapToGrid w:val="0"/>
          <w:color w:val="000000"/>
          <w:spacing w:val="5"/>
          <w:kern w:val="0"/>
          <w:position w:val="-1"/>
          <w:sz w:val="26"/>
          <w:szCs w:val="26"/>
          <w:highlight w:val="none"/>
          <w:lang w:eastAsia="en-US"/>
        </w:rPr>
        <w:t>-</w:t>
      </w:r>
      <w:r>
        <w:rPr>
          <w:rFonts w:hint="eastAsia" w:ascii="Arial" w:hAnsi="Arial" w:eastAsia="宋体" w:cs="Arial"/>
          <w:snapToGrid w:val="0"/>
          <w:color w:val="000000"/>
          <w:spacing w:val="5"/>
          <w:kern w:val="0"/>
          <w:position w:val="-1"/>
          <w:sz w:val="26"/>
          <w:szCs w:val="26"/>
          <w:highlight w:val="none"/>
          <w:lang w:val="en-US" w:eastAsia="zh-CN"/>
        </w:rPr>
        <w:t>xx</w:t>
      </w:r>
      <w:r>
        <w:rPr>
          <w:rFonts w:ascii="Arial" w:hAnsi="Arial" w:eastAsia="Arial" w:cs="Arial"/>
          <w:snapToGrid w:val="0"/>
          <w:color w:val="000000"/>
          <w:spacing w:val="5"/>
          <w:kern w:val="0"/>
          <w:position w:val="-1"/>
          <w:sz w:val="26"/>
          <w:szCs w:val="26"/>
          <w:highlight w:val="none"/>
          <w:lang w:eastAsia="en-US"/>
        </w:rPr>
        <w:t>-</w:t>
      </w:r>
      <w:r>
        <w:rPr>
          <w:rFonts w:hint="eastAsia" w:ascii="Arial" w:hAnsi="Arial" w:eastAsia="Arial" w:cs="Arial"/>
          <w:snapToGrid w:val="0"/>
          <w:color w:val="000000"/>
          <w:spacing w:val="5"/>
          <w:kern w:val="0"/>
          <w:position w:val="-1"/>
          <w:sz w:val="26"/>
          <w:szCs w:val="26"/>
          <w:highlight w:val="none"/>
          <w:lang w:val="en-US" w:eastAsia="zh-CN"/>
        </w:rPr>
        <w:t>xx</w:t>
      </w:r>
      <w:r>
        <w:rPr>
          <w:rFonts w:ascii="Arial" w:hAnsi="Arial" w:eastAsia="Arial" w:cs="Arial"/>
          <w:snapToGrid w:val="0"/>
          <w:color w:val="000000"/>
          <w:spacing w:val="5"/>
          <w:kern w:val="0"/>
          <w:position w:val="-1"/>
          <w:sz w:val="26"/>
          <w:szCs w:val="26"/>
          <w:highlight w:val="none"/>
          <w:lang w:eastAsia="en-US"/>
        </w:rPr>
        <w:t>发布                                       202</w:t>
      </w:r>
      <w:r>
        <w:rPr>
          <w:rFonts w:hint="eastAsia" w:ascii="Arial" w:hAnsi="Arial" w:eastAsia="Arial" w:cs="Arial"/>
          <w:snapToGrid w:val="0"/>
          <w:color w:val="000000"/>
          <w:spacing w:val="5"/>
          <w:kern w:val="0"/>
          <w:position w:val="-1"/>
          <w:sz w:val="26"/>
          <w:szCs w:val="26"/>
          <w:highlight w:val="none"/>
          <w:lang w:val="en-US" w:eastAsia="zh-CN"/>
        </w:rPr>
        <w:t>6</w:t>
      </w:r>
      <w:r>
        <w:rPr>
          <w:rFonts w:ascii="Arial" w:hAnsi="Arial" w:eastAsia="Arial" w:cs="Arial"/>
          <w:snapToGrid w:val="0"/>
          <w:color w:val="000000"/>
          <w:spacing w:val="5"/>
          <w:kern w:val="0"/>
          <w:position w:val="-1"/>
          <w:sz w:val="26"/>
          <w:szCs w:val="26"/>
          <w:highlight w:val="none"/>
          <w:lang w:eastAsia="en-US"/>
        </w:rPr>
        <w:t>-</w:t>
      </w:r>
      <w:r>
        <w:rPr>
          <w:rFonts w:hint="eastAsia" w:ascii="Arial" w:hAnsi="Arial" w:eastAsia="Arial" w:cs="Arial"/>
          <w:snapToGrid w:val="0"/>
          <w:color w:val="000000"/>
          <w:spacing w:val="5"/>
          <w:kern w:val="0"/>
          <w:position w:val="-1"/>
          <w:sz w:val="26"/>
          <w:szCs w:val="26"/>
          <w:highlight w:val="none"/>
          <w:lang w:val="en-US" w:eastAsia="zh-CN"/>
        </w:rPr>
        <w:t>xx</w:t>
      </w:r>
      <w:r>
        <w:rPr>
          <w:rFonts w:ascii="Arial" w:hAnsi="Arial" w:eastAsia="Arial" w:cs="Arial"/>
          <w:snapToGrid w:val="0"/>
          <w:color w:val="000000"/>
          <w:spacing w:val="5"/>
          <w:kern w:val="0"/>
          <w:position w:val="-1"/>
          <w:sz w:val="26"/>
          <w:szCs w:val="26"/>
          <w:highlight w:val="none"/>
          <w:lang w:eastAsia="en-US"/>
        </w:rPr>
        <w:t>-</w:t>
      </w:r>
      <w:r>
        <w:rPr>
          <w:rFonts w:hint="eastAsia" w:ascii="Arial" w:hAnsi="Arial" w:eastAsia="Arial" w:cs="Arial"/>
          <w:snapToGrid w:val="0"/>
          <w:color w:val="000000"/>
          <w:spacing w:val="5"/>
          <w:kern w:val="0"/>
          <w:position w:val="-1"/>
          <w:sz w:val="26"/>
          <w:szCs w:val="26"/>
          <w:highlight w:val="none"/>
          <w:lang w:val="en-US" w:eastAsia="zh-CN"/>
        </w:rPr>
        <w:t>xx</w:t>
      </w:r>
      <w:r>
        <w:rPr>
          <w:rFonts w:ascii="Arial" w:hAnsi="Arial" w:eastAsia="Arial" w:cs="Arial"/>
          <w:snapToGrid w:val="0"/>
          <w:color w:val="000000"/>
          <w:spacing w:val="5"/>
          <w:kern w:val="0"/>
          <w:position w:val="-1"/>
          <w:sz w:val="26"/>
          <w:szCs w:val="26"/>
          <w:highlight w:val="none"/>
          <w:lang w:eastAsia="en-US"/>
        </w:rPr>
        <w:t>实施</w:t>
      </w:r>
    </w:p>
    <w:p w14:paraId="7B6E902C">
      <w:pPr>
        <w:pStyle w:val="6"/>
        <w:spacing w:line="265" w:lineRule="auto"/>
        <w:rPr>
          <w:highlight w:val="none"/>
        </w:rPr>
      </w:pPr>
      <w:r>
        <w:rPr>
          <w:highlight w:val="none"/>
          <w:lang w:eastAsia="zh-CN"/>
        </w:rPr>
        <mc:AlternateContent>
          <mc:Choice Requires="wps">
            <w:drawing>
              <wp:anchor distT="0" distB="0" distL="114300" distR="114300" simplePos="0" relativeHeight="251660288" behindDoc="0" locked="0" layoutInCell="1" allowOverlap="1">
                <wp:simplePos x="0" y="0"/>
                <wp:positionH relativeFrom="column">
                  <wp:posOffset>9525</wp:posOffset>
                </wp:positionH>
                <wp:positionV relativeFrom="paragraph">
                  <wp:posOffset>29210</wp:posOffset>
                </wp:positionV>
                <wp:extent cx="6109970" cy="10160"/>
                <wp:effectExtent l="0" t="635" r="5080" b="0"/>
                <wp:wrapNone/>
                <wp:docPr id="1" name="任意多边形 1"/>
                <wp:cNvGraphicFramePr/>
                <a:graphic xmlns:a="http://schemas.openxmlformats.org/drawingml/2006/main">
                  <a:graphicData uri="http://schemas.microsoft.com/office/word/2010/wordprocessingShape">
                    <wps:wsp>
                      <wps:cNvSpPr>
                        <a:spLocks noChangeArrowheads="1"/>
                      </wps:cNvSpPr>
                      <wps:spPr bwMode="auto">
                        <a:xfrm>
                          <a:off x="0" y="0"/>
                          <a:ext cx="6109970" cy="10160"/>
                        </a:xfrm>
                        <a:custGeom>
                          <a:avLst/>
                          <a:gdLst>
                            <a:gd name="T0" fmla="*/ 0 w 9622"/>
                            <a:gd name="T1" fmla="*/ 7 h 16"/>
                            <a:gd name="T2" fmla="*/ 9621 w 9622"/>
                            <a:gd name="T3" fmla="*/ 7 h 16"/>
                          </a:gdLst>
                          <a:ahLst/>
                          <a:cxnLst>
                            <a:cxn ang="0">
                              <a:pos x="T0" y="T1"/>
                            </a:cxn>
                            <a:cxn ang="0">
                              <a:pos x="T2" y="T3"/>
                            </a:cxn>
                          </a:cxnLst>
                          <a:rect l="0" t="0" r="r" b="b"/>
                          <a:pathLst>
                            <a:path w="9622" h="16">
                              <a:moveTo>
                                <a:pt x="0" y="7"/>
                              </a:moveTo>
                              <a:lnTo>
                                <a:pt x="9621" y="7"/>
                              </a:lnTo>
                            </a:path>
                          </a:pathLst>
                        </a:custGeom>
                        <a:noFill/>
                        <a:ln w="9652">
                          <a:solidFill>
                            <a:srgbClr val="231F20"/>
                          </a:solidFill>
                          <a:miter lim="10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0.75pt;margin-top:2.3pt;height:0.8pt;width:481.1pt;z-index:251660288;mso-width-relative:page;mso-height-relative:page;" filled="f" stroked="t" coordsize="9622,16" o:gfxdata="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CUQtnB1QAAAAUBAAAPAAAAAAAAAAEAIAAAACIAAABkcnMvZG93bnJldi54bWxQSwEC&#10;FAAUAAAACACHTuJA7m8b19sCAAAGBgAADgAAAAAAAAABACAAAAAkAQAAZHJzL2Uyb0RvYy54bWxQ&#10;SwUGAAAAAAYABgBZAQAAcQYAAAAA&#10;" path="m0,7l9621,7e">
                <v:path o:connectlocs="0,4445;6109335,4445" o:connectangles="0,0"/>
                <v:fill on="f" focussize="0,0"/>
                <v:stroke weight="0.76pt" color="#231F20" miterlimit="10" joinstyle="miter"/>
                <v:imagedata o:title=""/>
                <o:lock v:ext="edit" aspectratio="f"/>
              </v:shape>
            </w:pict>
          </mc:Fallback>
        </mc:AlternateContent>
      </w:r>
    </w:p>
    <w:p w14:paraId="358EB7C4">
      <w:pPr>
        <w:pStyle w:val="6"/>
        <w:spacing w:line="265" w:lineRule="auto"/>
        <w:rPr>
          <w:highlight w:val="none"/>
        </w:rPr>
      </w:pPr>
    </w:p>
    <w:p w14:paraId="1D6C3C27">
      <w:pPr>
        <w:spacing w:before="95" w:line="211" w:lineRule="auto"/>
        <w:ind w:left="2661"/>
        <w:rPr>
          <w:rFonts w:ascii="黑体" w:hAnsi="黑体" w:eastAsia="黑体" w:cs="黑体"/>
          <w:sz w:val="26"/>
          <w:szCs w:val="26"/>
          <w:highlight w:val="none"/>
        </w:rPr>
      </w:pPr>
      <w:r>
        <w:rPr>
          <w:rFonts w:ascii="黑体" w:hAnsi="黑体" w:eastAsia="黑体" w:cs="黑体"/>
          <w:spacing w:val="16"/>
          <w:sz w:val="29"/>
          <w:szCs w:val="29"/>
          <w:highlight w:val="none"/>
        </w:rPr>
        <w:t>中国电力建设企业协会</w:t>
      </w:r>
      <w:r>
        <w:rPr>
          <w:rFonts w:ascii="黑体" w:hAnsi="黑体" w:eastAsia="黑体" w:cs="黑体"/>
          <w:spacing w:val="5"/>
          <w:sz w:val="29"/>
          <w:szCs w:val="29"/>
          <w:highlight w:val="none"/>
        </w:rPr>
        <w:t xml:space="preserve">    </w:t>
      </w:r>
      <w:r>
        <w:rPr>
          <w:rFonts w:ascii="黑体" w:hAnsi="黑体" w:eastAsia="黑体" w:cs="黑体"/>
          <w:spacing w:val="16"/>
          <w:sz w:val="26"/>
          <w:szCs w:val="26"/>
          <w:highlight w:val="none"/>
        </w:rPr>
        <w:t>发 布</w:t>
      </w:r>
    </w:p>
    <w:p w14:paraId="53074CD5">
      <w:pPr>
        <w:spacing w:line="211" w:lineRule="auto"/>
        <w:rPr>
          <w:rFonts w:ascii="黑体" w:hAnsi="黑体" w:eastAsia="黑体" w:cs="黑体"/>
          <w:sz w:val="26"/>
          <w:szCs w:val="26"/>
          <w:highlight w:val="none"/>
        </w:rPr>
        <w:sectPr>
          <w:type w:val="continuous"/>
          <w:pgSz w:w="11907" w:h="16841"/>
          <w:pgMar w:top="639" w:right="855" w:bottom="0" w:left="1419" w:header="0" w:footer="0" w:gutter="0"/>
          <w:pgNumType w:fmt="upperRoman"/>
          <w:cols w:equalWidth="0" w:num="1">
            <w:col w:w="9632"/>
          </w:cols>
        </w:sectPr>
      </w:pPr>
    </w:p>
    <w:bookmarkEnd w:id="0"/>
    <w:sdt>
      <w:sdtPr>
        <w:rPr>
          <w:rFonts w:ascii="宋体" w:hAnsi="宋体" w:eastAsia="宋体" w:cs="Times New Roman"/>
          <w:kern w:val="2"/>
          <w:sz w:val="21"/>
          <w:szCs w:val="24"/>
          <w:highlight w:val="none"/>
          <w:lang w:val="en-US" w:eastAsia="zh-CN" w:bidi="ar-SA"/>
        </w:rPr>
        <w:id w:val="147461217"/>
        <w15:color w:val="DBDBDB"/>
        <w:docPartObj>
          <w:docPartGallery w:val="Table of Contents"/>
          <w:docPartUnique/>
        </w:docPartObj>
      </w:sdtPr>
      <w:sdtEndPr>
        <w:rPr>
          <w:rFonts w:hint="eastAsia" w:ascii="宋体" w:hAnsi="宋体" w:eastAsia="宋体" w:cs="宋体"/>
          <w:kern w:val="2"/>
          <w:sz w:val="21"/>
          <w:szCs w:val="21"/>
          <w:highlight w:val="none"/>
          <w:lang w:val="en-US" w:eastAsia="zh-CN" w:bidi="ar-SA"/>
        </w:rPr>
      </w:sdtEndPr>
      <w:sdtContent>
        <w:p w14:paraId="2CA0AB75">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highlight w:val="none"/>
              <w:lang w:val="en-US" w:eastAsia="zh-CN" w:bidi="ar-SA"/>
            </w:rPr>
          </w:pPr>
        </w:p>
        <w:p w14:paraId="0F93E8F8">
          <w:pPr>
            <w:pStyle w:val="76"/>
            <w:bidi w:val="0"/>
            <w:rPr>
              <w:rFonts w:hint="eastAsia"/>
              <w:lang w:eastAsia="zh-CN"/>
            </w:rPr>
          </w:pPr>
          <w:r>
            <w:rPr>
              <w:rFonts w:hint="eastAsia"/>
              <w:spacing w:val="320"/>
              <w:lang w:eastAsia="zh-CN"/>
            </w:rPr>
            <w:t>目</w:t>
          </w:r>
          <w:r>
            <w:rPr>
              <w:rFonts w:hint="eastAsia"/>
              <w:lang w:eastAsia="zh-CN"/>
            </w:rPr>
            <w:t>次</w:t>
          </w:r>
        </w:p>
        <w:p w14:paraId="539A2D65">
          <w:pPr>
            <w:pStyle w:val="11"/>
            <w:tabs>
              <w:tab w:val="right" w:leader="dot" w:pos="9354"/>
            </w:tabs>
          </w:pPr>
          <w:r>
            <w:rPr>
              <w:rFonts w:hint="eastAsia"/>
              <w:spacing w:val="0"/>
              <w:lang w:eastAsia="zh-CN"/>
            </w:rPr>
            <w:fldChar w:fldCharType="begin"/>
          </w:r>
          <w:r>
            <w:rPr>
              <w:rFonts w:hint="eastAsia"/>
              <w:spacing w:val="0"/>
              <w:lang w:eastAsia="zh-CN"/>
            </w:rPr>
            <w:instrText xml:space="preserve">TOC \o "1-1" \t "标准文件_一级条标题,2,标准文件_二级条标题,3,标准文件_三级条标题,4,标准文件_附录一级条标题,2,标准文件_附录二级条标题,3,标准文件_附录三级条标题,4,"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_Toc14971 </w:instrText>
          </w:r>
          <w:r>
            <w:rPr>
              <w:rFonts w:hint="eastAsia"/>
              <w:spacing w:val="0"/>
              <w:lang w:eastAsia="zh-CN"/>
            </w:rPr>
            <w:fldChar w:fldCharType="separate"/>
          </w:r>
          <w:r>
            <w:rPr>
              <w:rFonts w:hint="eastAsia"/>
              <w:spacing w:val="320"/>
              <w:lang w:eastAsia="zh-CN"/>
            </w:rPr>
            <w:t>前</w:t>
          </w:r>
          <w:r>
            <w:rPr>
              <w:rFonts w:hint="eastAsia"/>
              <w:lang w:eastAsia="zh-CN"/>
            </w:rPr>
            <w:t>言</w:t>
          </w:r>
          <w:r>
            <w:tab/>
          </w:r>
          <w:r>
            <w:fldChar w:fldCharType="begin"/>
          </w:r>
          <w:r>
            <w:instrText xml:space="preserve"> PAGEREF _Toc14971 \h </w:instrText>
          </w:r>
          <w:r>
            <w:fldChar w:fldCharType="separate"/>
          </w:r>
          <w:r>
            <w:t>II</w:t>
          </w:r>
          <w:r>
            <w:fldChar w:fldCharType="end"/>
          </w:r>
          <w:r>
            <w:rPr>
              <w:rFonts w:hint="eastAsia"/>
              <w:spacing w:val="0"/>
              <w:lang w:eastAsia="zh-CN"/>
            </w:rPr>
            <w:fldChar w:fldCharType="end"/>
          </w:r>
        </w:p>
        <w:p w14:paraId="6F7BC382">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_Toc6697 </w:instrText>
          </w:r>
          <w:r>
            <w:rPr>
              <w:rFonts w:hint="eastAsia"/>
              <w:spacing w:val="0"/>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_Toc6697 \h </w:instrText>
          </w:r>
          <w:r>
            <w:fldChar w:fldCharType="separate"/>
          </w:r>
          <w:r>
            <w:t>3</w:t>
          </w:r>
          <w:r>
            <w:fldChar w:fldCharType="end"/>
          </w:r>
          <w:r>
            <w:rPr>
              <w:rFonts w:hint="eastAsia"/>
              <w:spacing w:val="0"/>
              <w:lang w:eastAsia="zh-CN"/>
            </w:rPr>
            <w:fldChar w:fldCharType="end"/>
          </w:r>
        </w:p>
        <w:p w14:paraId="098AFAB8">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_Toc5355 </w:instrText>
          </w:r>
          <w:r>
            <w:rPr>
              <w:rFonts w:hint="eastAsia"/>
              <w:spacing w:val="0"/>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_Toc5355 \h </w:instrText>
          </w:r>
          <w:r>
            <w:fldChar w:fldCharType="separate"/>
          </w:r>
          <w:r>
            <w:t>3</w:t>
          </w:r>
          <w:r>
            <w:fldChar w:fldCharType="end"/>
          </w:r>
          <w:r>
            <w:rPr>
              <w:rFonts w:hint="eastAsia"/>
              <w:spacing w:val="0"/>
              <w:lang w:eastAsia="zh-CN"/>
            </w:rPr>
            <w:fldChar w:fldCharType="end"/>
          </w:r>
        </w:p>
        <w:p w14:paraId="7DD7680E">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_Toc31924 </w:instrText>
          </w:r>
          <w:r>
            <w:rPr>
              <w:rFonts w:hint="eastAsia"/>
              <w:spacing w:val="0"/>
              <w:lang w:eastAsia="zh-CN"/>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_Toc31924 \h </w:instrText>
          </w:r>
          <w:r>
            <w:fldChar w:fldCharType="separate"/>
          </w:r>
          <w:r>
            <w:t>3</w:t>
          </w:r>
          <w:r>
            <w:fldChar w:fldCharType="end"/>
          </w:r>
          <w:r>
            <w:rPr>
              <w:rFonts w:hint="eastAsia"/>
              <w:spacing w:val="0"/>
              <w:lang w:eastAsia="zh-CN"/>
            </w:rPr>
            <w:fldChar w:fldCharType="end"/>
          </w:r>
        </w:p>
        <w:p w14:paraId="797AE601">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_Toc17265 </w:instrText>
          </w:r>
          <w:r>
            <w:rPr>
              <w:rFonts w:hint="eastAsia"/>
              <w:spacing w:val="0"/>
              <w:lang w:eastAsia="zh-CN"/>
            </w:rPr>
            <w:fldChar w:fldCharType="separate"/>
          </w:r>
          <w:r>
            <w:rPr>
              <w:rFonts w:hint="eastAsia" w:ascii="黑体" w:eastAsia="黑体"/>
              <w:i w:val="0"/>
            </w:rPr>
            <w:t xml:space="preserve">4 </w:t>
          </w:r>
          <w:r>
            <w:rPr>
              <w:rFonts w:hint="eastAsia"/>
              <w:lang w:val="en-US" w:eastAsia="zh-CN"/>
            </w:rPr>
            <w:t>总则</w:t>
          </w:r>
          <w:r>
            <w:tab/>
          </w:r>
          <w:r>
            <w:fldChar w:fldCharType="begin"/>
          </w:r>
          <w:r>
            <w:instrText xml:space="preserve"> PAGEREF _Toc17265 \h </w:instrText>
          </w:r>
          <w:r>
            <w:fldChar w:fldCharType="separate"/>
          </w:r>
          <w:r>
            <w:t>4</w:t>
          </w:r>
          <w:r>
            <w:fldChar w:fldCharType="end"/>
          </w:r>
          <w:r>
            <w:rPr>
              <w:rFonts w:hint="eastAsia"/>
              <w:spacing w:val="0"/>
              <w:lang w:eastAsia="zh-CN"/>
            </w:rPr>
            <w:fldChar w:fldCharType="end"/>
          </w:r>
        </w:p>
        <w:p w14:paraId="3EFEDAF6">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_Toc24887 </w:instrText>
          </w:r>
          <w:r>
            <w:rPr>
              <w:rFonts w:hint="eastAsia"/>
              <w:spacing w:val="0"/>
              <w:lang w:eastAsia="zh-CN"/>
            </w:rPr>
            <w:fldChar w:fldCharType="separate"/>
          </w:r>
          <w:r>
            <w:rPr>
              <w:rFonts w:hint="eastAsia" w:ascii="黑体" w:eastAsia="黑体"/>
              <w:i w:val="0"/>
            </w:rPr>
            <w:t xml:space="preserve">5 </w:t>
          </w:r>
          <w:r>
            <w:rPr>
              <w:rFonts w:hint="eastAsia"/>
            </w:rPr>
            <w:t>勘察设计期</w:t>
          </w:r>
          <w:r>
            <w:rPr>
              <w:rFonts w:hint="eastAsia"/>
              <w:lang w:eastAsia="zh-CN"/>
            </w:rPr>
            <w:t>评价</w:t>
          </w:r>
          <w:r>
            <w:tab/>
          </w:r>
          <w:r>
            <w:fldChar w:fldCharType="begin"/>
          </w:r>
          <w:r>
            <w:instrText xml:space="preserve"> PAGEREF _Toc24887 \h </w:instrText>
          </w:r>
          <w:r>
            <w:fldChar w:fldCharType="separate"/>
          </w:r>
          <w:r>
            <w:t>5</w:t>
          </w:r>
          <w:r>
            <w:fldChar w:fldCharType="end"/>
          </w:r>
          <w:r>
            <w:rPr>
              <w:rFonts w:hint="eastAsia"/>
              <w:spacing w:val="0"/>
              <w:lang w:eastAsia="zh-CN"/>
            </w:rPr>
            <w:fldChar w:fldCharType="end"/>
          </w:r>
        </w:p>
        <w:p w14:paraId="59BEE090">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_Toc22528 </w:instrText>
          </w:r>
          <w:r>
            <w:rPr>
              <w:rFonts w:hint="eastAsia"/>
              <w:spacing w:val="0"/>
              <w:lang w:eastAsia="zh-CN"/>
            </w:rPr>
            <w:fldChar w:fldCharType="separate"/>
          </w:r>
          <w:r>
            <w:rPr>
              <w:rFonts w:hint="eastAsia" w:ascii="黑体" w:eastAsia="黑体"/>
              <w:i w:val="0"/>
            </w:rPr>
            <w:t xml:space="preserve">6 </w:t>
          </w:r>
          <w:r>
            <w:rPr>
              <w:rFonts w:hint="eastAsia"/>
            </w:rPr>
            <w:t>施工建设期</w:t>
          </w:r>
          <w:r>
            <w:rPr>
              <w:rFonts w:hint="eastAsia"/>
              <w:lang w:eastAsia="zh-CN"/>
            </w:rPr>
            <w:t>评价</w:t>
          </w:r>
          <w:r>
            <w:tab/>
          </w:r>
          <w:r>
            <w:fldChar w:fldCharType="begin"/>
          </w:r>
          <w:r>
            <w:instrText xml:space="preserve"> PAGEREF _Toc22528 \h </w:instrText>
          </w:r>
          <w:r>
            <w:fldChar w:fldCharType="separate"/>
          </w:r>
          <w:r>
            <w:t>7</w:t>
          </w:r>
          <w:r>
            <w:fldChar w:fldCharType="end"/>
          </w:r>
          <w:r>
            <w:rPr>
              <w:rFonts w:hint="eastAsia"/>
              <w:spacing w:val="0"/>
              <w:lang w:eastAsia="zh-CN"/>
            </w:rPr>
            <w:fldChar w:fldCharType="end"/>
          </w:r>
        </w:p>
        <w:p w14:paraId="7A4094B1">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_Toc17601 </w:instrText>
          </w:r>
          <w:r>
            <w:rPr>
              <w:rFonts w:hint="eastAsia"/>
              <w:spacing w:val="0"/>
              <w:lang w:eastAsia="zh-CN"/>
            </w:rPr>
            <w:fldChar w:fldCharType="separate"/>
          </w:r>
          <w:r>
            <w:rPr>
              <w:rFonts w:hint="eastAsia" w:ascii="黑体" w:eastAsia="黑体"/>
              <w:i w:val="0"/>
            </w:rPr>
            <w:t xml:space="preserve">7 </w:t>
          </w:r>
          <w:r>
            <w:rPr>
              <w:rFonts w:hint="eastAsia"/>
            </w:rPr>
            <w:t>运维检修</w:t>
          </w:r>
          <w:r>
            <w:rPr>
              <w:rFonts w:hint="eastAsia"/>
              <w:lang w:val="en-US" w:eastAsia="zh-CN"/>
            </w:rPr>
            <w:t>期</w:t>
          </w:r>
          <w:r>
            <w:rPr>
              <w:rFonts w:hint="eastAsia"/>
              <w:lang w:eastAsia="zh-CN"/>
            </w:rPr>
            <w:t>评价</w:t>
          </w:r>
          <w:r>
            <w:tab/>
          </w:r>
          <w:r>
            <w:fldChar w:fldCharType="begin"/>
          </w:r>
          <w:r>
            <w:instrText xml:space="preserve"> PAGEREF _Toc17601 \h </w:instrText>
          </w:r>
          <w:r>
            <w:fldChar w:fldCharType="separate"/>
          </w:r>
          <w:r>
            <w:t>13</w:t>
          </w:r>
          <w:r>
            <w:fldChar w:fldCharType="end"/>
          </w:r>
          <w:r>
            <w:rPr>
              <w:rFonts w:hint="eastAsia"/>
              <w:spacing w:val="0"/>
              <w:lang w:eastAsia="zh-CN"/>
            </w:rPr>
            <w:fldChar w:fldCharType="end"/>
          </w:r>
        </w:p>
        <w:p w14:paraId="0BE0CF9A">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_Toc11375 </w:instrText>
          </w:r>
          <w:r>
            <w:rPr>
              <w:rFonts w:hint="eastAsia"/>
              <w:spacing w:val="0"/>
              <w:lang w:eastAsia="zh-CN"/>
            </w:rPr>
            <w:fldChar w:fldCharType="separate"/>
          </w:r>
          <w:r>
            <w:rPr>
              <w:rFonts w:hint="eastAsia" w:ascii="黑体" w:eastAsia="黑体"/>
              <w:i w:val="0"/>
            </w:rPr>
            <w:t xml:space="preserve">8 </w:t>
          </w:r>
          <w:r>
            <w:rPr>
              <w:rFonts w:hint="eastAsia"/>
            </w:rPr>
            <w:t>防洪专项</w:t>
          </w:r>
          <w:r>
            <w:rPr>
              <w:rFonts w:hint="eastAsia"/>
              <w:lang w:eastAsia="zh-CN"/>
            </w:rPr>
            <w:t>评价</w:t>
          </w:r>
          <w:r>
            <w:tab/>
          </w:r>
          <w:r>
            <w:fldChar w:fldCharType="begin"/>
          </w:r>
          <w:r>
            <w:instrText xml:space="preserve"> PAGEREF _Toc11375 \h </w:instrText>
          </w:r>
          <w:r>
            <w:fldChar w:fldCharType="separate"/>
          </w:r>
          <w:r>
            <w:t>15</w:t>
          </w:r>
          <w:r>
            <w:fldChar w:fldCharType="end"/>
          </w:r>
          <w:r>
            <w:rPr>
              <w:rFonts w:hint="eastAsia"/>
              <w:spacing w:val="0"/>
              <w:lang w:eastAsia="zh-CN"/>
            </w:rPr>
            <w:fldChar w:fldCharType="end"/>
          </w:r>
        </w:p>
        <w:p w14:paraId="2DFB2D42">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_Toc15679 </w:instrText>
          </w:r>
          <w:r>
            <w:rPr>
              <w:rFonts w:hint="eastAsia"/>
              <w:spacing w:val="0"/>
              <w:lang w:eastAsia="zh-CN"/>
            </w:rPr>
            <w:fldChar w:fldCharType="separate"/>
          </w:r>
          <w:r>
            <w:rPr>
              <w:rFonts w:hint="eastAsia" w:ascii="黑体" w:eastAsia="黑体"/>
              <w:i w:val="0"/>
            </w:rPr>
            <w:t xml:space="preserve">9 </w:t>
          </w:r>
          <w:r>
            <w:rPr>
              <w:rFonts w:hint="eastAsia"/>
            </w:rPr>
            <w:t>抗震专项</w:t>
          </w:r>
          <w:r>
            <w:rPr>
              <w:rFonts w:hint="eastAsia"/>
              <w:lang w:eastAsia="zh-CN"/>
            </w:rPr>
            <w:t>评价</w:t>
          </w:r>
          <w:r>
            <w:tab/>
          </w:r>
          <w:r>
            <w:fldChar w:fldCharType="begin"/>
          </w:r>
          <w:r>
            <w:instrText xml:space="preserve"> PAGEREF _Toc15679 \h </w:instrText>
          </w:r>
          <w:r>
            <w:fldChar w:fldCharType="separate"/>
          </w:r>
          <w:r>
            <w:t>17</w:t>
          </w:r>
          <w:r>
            <w:fldChar w:fldCharType="end"/>
          </w:r>
          <w:r>
            <w:rPr>
              <w:rFonts w:hint="eastAsia"/>
              <w:spacing w:val="0"/>
              <w:lang w:eastAsia="zh-CN"/>
            </w:rPr>
            <w:fldChar w:fldCharType="end"/>
          </w:r>
        </w:p>
        <w:p w14:paraId="404C50DB">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_Toc6617 </w:instrText>
          </w:r>
          <w:r>
            <w:rPr>
              <w:rFonts w:hint="eastAsia"/>
              <w:spacing w:val="0"/>
              <w:lang w:eastAsia="zh-CN"/>
            </w:rPr>
            <w:fldChar w:fldCharType="separate"/>
          </w:r>
          <w:r>
            <w:rPr>
              <w:rFonts w:hint="eastAsia" w:ascii="黑体" w:eastAsia="黑体"/>
              <w:i w:val="0"/>
            </w:rPr>
            <w:t xml:space="preserve">10 </w:t>
          </w:r>
          <w:r>
            <w:rPr>
              <w:rFonts w:hint="eastAsia"/>
            </w:rPr>
            <w:t>技改专项</w:t>
          </w:r>
          <w:r>
            <w:rPr>
              <w:rFonts w:hint="eastAsia"/>
              <w:lang w:eastAsia="zh-CN"/>
            </w:rPr>
            <w:t>评价</w:t>
          </w:r>
          <w:r>
            <w:tab/>
          </w:r>
          <w:r>
            <w:fldChar w:fldCharType="begin"/>
          </w:r>
          <w:r>
            <w:instrText xml:space="preserve"> PAGEREF _Toc6617 \h </w:instrText>
          </w:r>
          <w:r>
            <w:fldChar w:fldCharType="separate"/>
          </w:r>
          <w:r>
            <w:t>18</w:t>
          </w:r>
          <w:r>
            <w:fldChar w:fldCharType="end"/>
          </w:r>
          <w:r>
            <w:rPr>
              <w:rFonts w:hint="eastAsia"/>
              <w:spacing w:val="0"/>
              <w:lang w:eastAsia="zh-CN"/>
            </w:rPr>
            <w:fldChar w:fldCharType="end"/>
          </w:r>
        </w:p>
        <w:p w14:paraId="22364B9A">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_Toc22104 </w:instrText>
          </w:r>
          <w:r>
            <w:rPr>
              <w:rFonts w:hint="eastAsia"/>
              <w:spacing w:val="0"/>
              <w:lang w:eastAsia="zh-CN"/>
            </w:rPr>
            <w:fldChar w:fldCharType="separate"/>
          </w:r>
          <w:r>
            <w:rPr>
              <w:rFonts w:hint="eastAsia"/>
              <w:lang w:val="en-US" w:eastAsia="zh-CN"/>
            </w:rPr>
            <w:t xml:space="preserve">附　录　A （规范性/资料性附录） </w:t>
          </w:r>
          <w:r>
            <w:tab/>
          </w:r>
          <w:r>
            <w:fldChar w:fldCharType="begin"/>
          </w:r>
          <w:r>
            <w:instrText xml:space="preserve"> PAGEREF _Toc22104 \h </w:instrText>
          </w:r>
          <w:r>
            <w:fldChar w:fldCharType="separate"/>
          </w:r>
          <w:r>
            <w:t>19</w:t>
          </w:r>
          <w:r>
            <w:fldChar w:fldCharType="end"/>
          </w:r>
          <w:r>
            <w:rPr>
              <w:rFonts w:hint="eastAsia"/>
              <w:spacing w:val="0"/>
              <w:lang w:eastAsia="zh-CN"/>
            </w:rPr>
            <w:fldChar w:fldCharType="end"/>
          </w:r>
        </w:p>
        <w:p w14:paraId="4E3A004D">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_Toc11683 </w:instrText>
          </w:r>
          <w:r>
            <w:rPr>
              <w:rFonts w:hint="eastAsia"/>
              <w:spacing w:val="0"/>
              <w:lang w:eastAsia="zh-CN"/>
            </w:rPr>
            <w:fldChar w:fldCharType="separate"/>
          </w:r>
          <w:r>
            <w:rPr>
              <w:rFonts w:hint="eastAsia"/>
              <w:lang w:val="en-US" w:eastAsia="zh-CN"/>
            </w:rPr>
            <w:t>附　录　B （规范性/资料性附录）</w:t>
          </w:r>
          <w:r>
            <w:tab/>
          </w:r>
          <w:r>
            <w:fldChar w:fldCharType="begin"/>
          </w:r>
          <w:r>
            <w:instrText xml:space="preserve"> PAGEREF _Toc11683 \h </w:instrText>
          </w:r>
          <w:r>
            <w:fldChar w:fldCharType="separate"/>
          </w:r>
          <w:r>
            <w:t>22</w:t>
          </w:r>
          <w:r>
            <w:fldChar w:fldCharType="end"/>
          </w:r>
          <w:r>
            <w:rPr>
              <w:rFonts w:hint="eastAsia"/>
              <w:spacing w:val="0"/>
              <w:lang w:eastAsia="zh-CN"/>
            </w:rPr>
            <w:fldChar w:fldCharType="end"/>
          </w:r>
        </w:p>
        <w:p w14:paraId="4C7E1F2E">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_Toc13913 </w:instrText>
          </w:r>
          <w:r>
            <w:rPr>
              <w:rFonts w:hint="eastAsia"/>
              <w:spacing w:val="0"/>
              <w:lang w:eastAsia="zh-CN"/>
            </w:rPr>
            <w:fldChar w:fldCharType="separate"/>
          </w:r>
          <w:r>
            <w:rPr>
              <w:rFonts w:hint="eastAsia"/>
              <w:lang w:val="en-US" w:eastAsia="zh-CN"/>
            </w:rPr>
            <w:t>附　录　C （规范性/资料性附录）</w:t>
          </w:r>
          <w:r>
            <w:tab/>
          </w:r>
          <w:r>
            <w:fldChar w:fldCharType="begin"/>
          </w:r>
          <w:r>
            <w:instrText xml:space="preserve"> PAGEREF _Toc13913 \h </w:instrText>
          </w:r>
          <w:r>
            <w:fldChar w:fldCharType="separate"/>
          </w:r>
          <w:r>
            <w:t>24</w:t>
          </w:r>
          <w:r>
            <w:fldChar w:fldCharType="end"/>
          </w:r>
          <w:r>
            <w:rPr>
              <w:rFonts w:hint="eastAsia"/>
              <w:spacing w:val="0"/>
              <w:lang w:eastAsia="zh-CN"/>
            </w:rPr>
            <w:fldChar w:fldCharType="end"/>
          </w:r>
        </w:p>
        <w:p w14:paraId="6CB9C26C">
          <w:pPr>
            <w:pStyle w:val="11"/>
            <w:tabs>
              <w:tab w:val="right" w:leader="dot" w:pos="9354"/>
            </w:tabs>
          </w:pPr>
          <w:r>
            <w:rPr>
              <w:rFonts w:hint="eastAsia"/>
              <w:spacing w:val="0"/>
              <w:lang w:eastAsia="zh-CN"/>
            </w:rPr>
            <w:fldChar w:fldCharType="begin"/>
          </w:r>
          <w:r>
            <w:rPr>
              <w:rFonts w:hint="eastAsia"/>
              <w:spacing w:val="0"/>
              <w:lang w:eastAsia="zh-CN"/>
            </w:rPr>
            <w:instrText xml:space="preserve"> HYPERLINK \l _Toc4515 </w:instrText>
          </w:r>
          <w:r>
            <w:rPr>
              <w:rFonts w:hint="eastAsia"/>
              <w:spacing w:val="0"/>
              <w:lang w:eastAsia="zh-CN"/>
            </w:rPr>
            <w:fldChar w:fldCharType="separate"/>
          </w:r>
          <w:r>
            <w:rPr>
              <w:rFonts w:hint="eastAsia"/>
              <w:lang w:val="en-US" w:eastAsia="zh-CN"/>
            </w:rPr>
            <w:t>附　录　D （规范性/资料性附录）</w:t>
          </w:r>
          <w:r>
            <w:tab/>
          </w:r>
          <w:r>
            <w:fldChar w:fldCharType="begin"/>
          </w:r>
          <w:r>
            <w:instrText xml:space="preserve"> PAGEREF _Toc4515 \h </w:instrText>
          </w:r>
          <w:r>
            <w:fldChar w:fldCharType="separate"/>
          </w:r>
          <w:r>
            <w:t>27</w:t>
          </w:r>
          <w:r>
            <w:fldChar w:fldCharType="end"/>
          </w:r>
          <w:r>
            <w:rPr>
              <w:rFonts w:hint="eastAsia"/>
              <w:spacing w:val="0"/>
              <w:lang w:eastAsia="zh-CN"/>
            </w:rPr>
            <w:fldChar w:fldCharType="end"/>
          </w:r>
        </w:p>
        <w:p w14:paraId="287898E3">
          <w:pPr>
            <w:pStyle w:val="33"/>
            <w:spacing w:line="460" w:lineRule="exact"/>
            <w:jc w:val="both"/>
            <w:outlineLvl w:val="9"/>
            <w:rPr>
              <w:rFonts w:hint="eastAsia" w:ascii="宋体" w:hAnsi="宋体" w:eastAsia="宋体" w:cs="宋体"/>
              <w:kern w:val="2"/>
              <w:sz w:val="21"/>
              <w:szCs w:val="21"/>
              <w:highlight w:val="none"/>
            </w:rPr>
            <w:sectPr>
              <w:headerReference r:id="rId3" w:type="default"/>
              <w:footerReference r:id="rId5" w:type="default"/>
              <w:headerReference r:id="rId4" w:type="even"/>
              <w:footerReference r:id="rId6" w:type="even"/>
              <w:pgSz w:w="11906" w:h="16838"/>
              <w:pgMar w:top="1418" w:right="1134" w:bottom="1134" w:left="1418" w:header="1418" w:footer="1134" w:gutter="0"/>
              <w:pgNumType w:fmt="upperRoman" w:start="1"/>
              <w:cols w:space="720" w:num="1"/>
              <w:formProt w:val="0"/>
              <w:docGrid w:type="lines" w:linePitch="312" w:charSpace="0"/>
            </w:sectPr>
          </w:pPr>
          <w:r>
            <w:rPr>
              <w:rFonts w:hint="eastAsia"/>
              <w:spacing w:val="0"/>
              <w:lang w:eastAsia="zh-CN"/>
            </w:rPr>
            <w:fldChar w:fldCharType="end"/>
          </w:r>
        </w:p>
      </w:sdtContent>
    </w:sdt>
    <w:p w14:paraId="6AED1658">
      <w:pPr>
        <w:pStyle w:val="63"/>
        <w:bidi w:val="0"/>
        <w:spacing w:before="560"/>
        <w:rPr>
          <w:rFonts w:hint="default" w:ascii="Times New Roman" w:hAnsi="Times New Roman" w:cs="Times New Roman"/>
          <w:lang w:eastAsia="zh-CN"/>
        </w:rPr>
      </w:pPr>
      <w:bookmarkStart w:id="1" w:name="_Toc5712"/>
      <w:bookmarkStart w:id="2" w:name="_Toc14971"/>
      <w:bookmarkStart w:id="3" w:name="BookMark2"/>
      <w:r>
        <w:rPr>
          <w:rFonts w:hint="default" w:ascii="Times New Roman" w:hAnsi="Times New Roman" w:cs="Times New Roman"/>
          <w:spacing w:val="320"/>
          <w:lang w:eastAsia="zh-CN"/>
        </w:rPr>
        <w:t>前</w:t>
      </w:r>
      <w:r>
        <w:rPr>
          <w:rFonts w:hint="default" w:ascii="Times New Roman" w:hAnsi="Times New Roman" w:cs="Times New Roman"/>
          <w:lang w:eastAsia="zh-CN"/>
        </w:rPr>
        <w:t>言</w:t>
      </w:r>
      <w:bookmarkEnd w:id="1"/>
      <w:bookmarkEnd w:id="2"/>
    </w:p>
    <w:p w14:paraId="11CE9E54">
      <w:pPr>
        <w:pStyle w:val="48"/>
        <w:bidi w:val="0"/>
        <w:rPr>
          <w:rFonts w:hint="default" w:ascii="Times New Roman" w:hAnsi="Times New Roman" w:cs="Times New Roman"/>
          <w:lang w:eastAsia="zh-CN"/>
        </w:rPr>
      </w:pPr>
      <w:r>
        <w:rPr>
          <w:rFonts w:hint="default" w:ascii="Times New Roman" w:hAnsi="Times New Roman" w:cs="Times New Roman"/>
          <w:lang w:eastAsia="zh-CN"/>
        </w:rPr>
        <w:t>本文件按照GB/T 1.1-2020《标准化工作导则 第1部分：标准化文件的结构和起草规则》的规定起草。</w:t>
      </w:r>
    </w:p>
    <w:p w14:paraId="0149B2A7">
      <w:pPr>
        <w:pStyle w:val="48"/>
        <w:bidi w:val="0"/>
        <w:rPr>
          <w:rFonts w:hint="default" w:ascii="Times New Roman" w:hAnsi="Times New Roman" w:cs="Times New Roman"/>
          <w:lang w:eastAsia="zh-CN"/>
        </w:rPr>
      </w:pPr>
      <w:r>
        <w:rPr>
          <w:rFonts w:hint="default" w:ascii="Times New Roman" w:hAnsi="Times New Roman" w:cs="Times New Roman"/>
          <w:lang w:eastAsia="zh-CN"/>
        </w:rPr>
        <w:t xml:space="preserve">请注意本文件的某些内容可能涉及专利。本文件的发布机构不承担识别专利的责任。 </w:t>
      </w:r>
    </w:p>
    <w:p w14:paraId="6D2F204D">
      <w:pPr>
        <w:pStyle w:val="48"/>
        <w:bidi w:val="0"/>
        <w:rPr>
          <w:rFonts w:hint="default" w:ascii="Times New Roman" w:hAnsi="Times New Roman" w:cs="Times New Roman"/>
          <w:lang w:eastAsia="zh-CN"/>
        </w:rPr>
      </w:pPr>
      <w:r>
        <w:rPr>
          <w:rFonts w:hint="default" w:ascii="Times New Roman" w:hAnsi="Times New Roman" w:cs="Times New Roman"/>
          <w:lang w:eastAsia="zh-CN"/>
        </w:rPr>
        <w:t>本文件由中国电力建设企业协会提出并归口。</w:t>
      </w:r>
    </w:p>
    <w:p w14:paraId="4304326D">
      <w:pPr>
        <w:pStyle w:val="48"/>
        <w:bidi w:val="0"/>
        <w:rPr>
          <w:rFonts w:hint="default" w:ascii="Times New Roman" w:hAnsi="Times New Roman" w:cs="Times New Roman"/>
          <w:lang w:eastAsia="zh-CN"/>
        </w:rPr>
      </w:pPr>
      <w:r>
        <w:rPr>
          <w:rFonts w:hint="default" w:ascii="Times New Roman" w:hAnsi="Times New Roman" w:cs="Times New Roman"/>
          <w:lang w:eastAsia="zh-CN"/>
        </w:rPr>
        <w:t>本文件起草单位：</w:t>
      </w:r>
    </w:p>
    <w:p w14:paraId="701CCB1A">
      <w:pPr>
        <w:pStyle w:val="48"/>
        <w:bidi w:val="0"/>
        <w:rPr>
          <w:rFonts w:hint="default" w:ascii="Times New Roman" w:hAnsi="Times New Roman" w:cs="Times New Roman"/>
          <w:lang w:eastAsia="zh-CN"/>
        </w:rPr>
      </w:pPr>
      <w:r>
        <w:rPr>
          <w:rFonts w:hint="default" w:ascii="Times New Roman" w:hAnsi="Times New Roman" w:cs="Times New Roman"/>
          <w:lang w:eastAsia="zh-CN"/>
        </w:rPr>
        <w:t>本文件主要起草人：</w:t>
      </w:r>
    </w:p>
    <w:p w14:paraId="0C9A1ED0">
      <w:pPr>
        <w:pStyle w:val="48"/>
        <w:bidi w:val="0"/>
        <w:rPr>
          <w:rFonts w:hint="default" w:ascii="Times New Roman" w:hAnsi="Times New Roman" w:cs="Times New Roman"/>
          <w:lang w:eastAsia="zh-CN"/>
        </w:rPr>
      </w:pPr>
      <w:r>
        <w:rPr>
          <w:rFonts w:hint="default" w:ascii="Times New Roman" w:hAnsi="Times New Roman" w:cs="Times New Roman"/>
          <w:lang w:eastAsia="zh-CN"/>
        </w:rPr>
        <w:t>本文件主要审查人：</w:t>
      </w:r>
    </w:p>
    <w:p w14:paraId="6BF45967">
      <w:pPr>
        <w:pStyle w:val="48"/>
        <w:bidi w:val="0"/>
        <w:rPr>
          <w:rFonts w:hint="default" w:ascii="Times New Roman" w:hAnsi="Times New Roman" w:cs="Times New Roman"/>
          <w:lang w:eastAsia="zh-CN"/>
        </w:rPr>
      </w:pPr>
      <w:r>
        <w:rPr>
          <w:rFonts w:hint="default" w:ascii="Times New Roman" w:hAnsi="Times New Roman" w:cs="Times New Roman"/>
          <w:lang w:eastAsia="zh-CN"/>
        </w:rPr>
        <w:t>本文件在执行过程中的意见或建议反馈至中国电力建设企业协会（北京市丰台区西四环南路35号中都科技大厦3层）</w:t>
      </w:r>
    </w:p>
    <w:p w14:paraId="3C6CBF93">
      <w:pPr>
        <w:pStyle w:val="48"/>
        <w:bidi w:val="0"/>
        <w:rPr>
          <w:rFonts w:hint="default" w:ascii="Times New Roman" w:hAnsi="Times New Roman" w:cs="Times New Roman"/>
          <w:lang w:eastAsia="zh-CN"/>
        </w:rPr>
        <w:sectPr>
          <w:pgSz w:w="11906" w:h="16838"/>
          <w:pgMar w:top="1928" w:right="1134" w:bottom="1134" w:left="1134" w:header="1418" w:footer="1134" w:gutter="284"/>
          <w:pgNumType w:fmt="upperRoman"/>
          <w:cols w:space="425" w:num="1"/>
          <w:formProt w:val="0"/>
          <w:docGrid w:linePitch="312" w:charSpace="0"/>
        </w:sectPr>
      </w:pPr>
    </w:p>
    <w:bookmarkEnd w:id="3"/>
    <w:sdt>
      <w:sdtPr>
        <w:rPr>
          <w:rFonts w:hint="eastAsia" w:ascii="微软雅黑" w:hAnsi="微软雅黑" w:eastAsia="微软雅黑" w:cs="微软雅黑"/>
          <w:sz w:val="32"/>
          <w:szCs w:val="32"/>
        </w:rPr>
        <w:tag w:val="NEW_STAND_NAME"/>
        <w:id w:val="147466112"/>
        <w:lock w:val="sdtLocked"/>
        <w:placeholder>
          <w:docPart w:val="{ee2fefa9-fdfa-425b-aee0-01e88b1a4a43}"/>
        </w:placeholder>
      </w:sdtPr>
      <w:sdtEndPr>
        <w:rPr>
          <w:rFonts w:hint="eastAsia" w:ascii="微软雅黑" w:hAnsi="微软雅黑" w:eastAsia="微软雅黑" w:cs="微软雅黑"/>
          <w:sz w:val="32"/>
          <w:szCs w:val="32"/>
        </w:rPr>
      </w:sdtEndPr>
      <w:sdtContent>
        <w:p w14:paraId="751CE1CB">
          <w:pPr>
            <w:numPr>
              <w:ilvl w:val="0"/>
              <w:numId w:val="0"/>
            </w:numPr>
            <w:spacing w:before="240" w:beforeLines="100" w:after="240" w:afterLines="100"/>
            <w:ind w:leftChars="0"/>
            <w:jc w:val="center"/>
            <w:outlineLvl w:val="0"/>
            <w:rPr>
              <w:lang w:val="en-US" w:eastAsia="zh-CN"/>
            </w:rPr>
          </w:pPr>
          <w:bookmarkStart w:id="4" w:name="_Toc11201"/>
          <w:bookmarkStart w:id="5" w:name="_Toc24884211"/>
          <w:bookmarkStart w:id="6" w:name="_Toc26986771"/>
          <w:bookmarkStart w:id="7" w:name="_Toc26986530"/>
          <w:bookmarkStart w:id="8" w:name="_Toc97192964"/>
          <w:bookmarkStart w:id="9" w:name="_Toc8087"/>
          <w:bookmarkStart w:id="10" w:name="_Toc26648465"/>
          <w:bookmarkStart w:id="11" w:name="_Toc17233325"/>
          <w:bookmarkStart w:id="12" w:name="_Toc26718930"/>
          <w:bookmarkStart w:id="13" w:name="_Toc6697"/>
          <w:bookmarkStart w:id="14" w:name="_Toc17233333"/>
          <w:bookmarkStart w:id="15" w:name="_Toc24884218"/>
          <w:r>
            <w:rPr>
              <w:rFonts w:hint="eastAsia" w:ascii="黑体" w:hAnsi="黑体" w:eastAsia="黑体" w:cs="黑体"/>
              <w:sz w:val="32"/>
              <w:szCs w:val="32"/>
            </w:rPr>
            <w:t>火力发电厂建（构）筑物全过程技术</w:t>
          </w:r>
          <w:r>
            <w:rPr>
              <w:rFonts w:hint="eastAsia" w:ascii="黑体" w:hAnsi="黑体" w:eastAsia="黑体" w:cs="黑体"/>
              <w:sz w:val="32"/>
              <w:szCs w:val="32"/>
              <w:lang w:eastAsia="zh-CN"/>
            </w:rPr>
            <w:t>评价</w:t>
          </w:r>
          <w:r>
            <w:rPr>
              <w:rFonts w:hint="eastAsia" w:ascii="黑体" w:hAnsi="黑体" w:eastAsia="黑体" w:cs="黑体"/>
              <w:sz w:val="32"/>
              <w:szCs w:val="32"/>
            </w:rPr>
            <w:t>导则</w:t>
          </w:r>
        </w:p>
      </w:sdtContent>
    </w:sdt>
    <w:p w14:paraId="6CAAC9D0">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范围</w:t>
      </w:r>
      <w:bookmarkEnd w:id="4"/>
      <w:bookmarkEnd w:id="5"/>
      <w:bookmarkEnd w:id="6"/>
      <w:bookmarkEnd w:id="7"/>
      <w:bookmarkEnd w:id="8"/>
      <w:bookmarkEnd w:id="9"/>
      <w:bookmarkEnd w:id="10"/>
      <w:bookmarkEnd w:id="11"/>
      <w:bookmarkEnd w:id="12"/>
      <w:bookmarkEnd w:id="13"/>
      <w:bookmarkEnd w:id="14"/>
      <w:bookmarkEnd w:id="15"/>
    </w:p>
    <w:p w14:paraId="60385D3C">
      <w:pPr>
        <w:autoSpaceDE w:val="0"/>
        <w:autoSpaceDN w:val="0"/>
        <w:ind w:firstLine="420" w:firstLineChars="200"/>
        <w:jc w:val="both"/>
        <w:rPr>
          <w:rFonts w:hint="eastAsia" w:ascii="Times New Roman" w:hAnsi="Times New Roman" w:eastAsia="宋体" w:cs="Times New Roman"/>
          <w:sz w:val="21"/>
          <w:lang w:val="en-US" w:eastAsia="zh-CN" w:bidi="ar-SA"/>
        </w:rPr>
      </w:pPr>
      <w:bookmarkStart w:id="16" w:name="_Toc17233326"/>
      <w:bookmarkStart w:id="17" w:name="_Toc17233334"/>
      <w:bookmarkStart w:id="18" w:name="_Toc24884212"/>
      <w:bookmarkStart w:id="19" w:name="_Toc26648466"/>
      <w:bookmarkStart w:id="20" w:name="_Toc24884219"/>
      <w:r>
        <w:rPr>
          <w:rFonts w:hint="eastAsia" w:ascii="Times New Roman" w:hAnsi="Times New Roman" w:eastAsia="宋体" w:cs="Times New Roman"/>
          <w:sz w:val="21"/>
          <w:lang w:val="en-US" w:eastAsia="zh-CN" w:bidi="ar-SA"/>
        </w:rPr>
        <w:t>本文件规定了火力发电企业施工建设、生产运行、检修维护及技术改造等过程中，建（构）筑物技术</w:t>
      </w:r>
      <w:r>
        <w:rPr>
          <w:rFonts w:hint="eastAsia" w:ascii="Times New Roman" w:hAnsi="Times New Roman" w:cs="Times New Roman"/>
          <w:sz w:val="21"/>
          <w:lang w:val="en-US" w:eastAsia="zh-CN" w:bidi="ar-SA"/>
        </w:rPr>
        <w:t>评价</w:t>
      </w:r>
      <w:r>
        <w:rPr>
          <w:rFonts w:hint="eastAsia" w:ascii="Times New Roman" w:hAnsi="Times New Roman" w:eastAsia="宋体" w:cs="Times New Roman"/>
          <w:sz w:val="21"/>
          <w:lang w:val="en-US" w:eastAsia="zh-CN" w:bidi="ar-SA"/>
        </w:rPr>
        <w:t>工作的主要内容及管理要求。</w:t>
      </w:r>
    </w:p>
    <w:p w14:paraId="61E837B4">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本文件适用于火力发电企业的主要建（构）筑物专业技术</w:t>
      </w:r>
      <w:r>
        <w:rPr>
          <w:rFonts w:hint="eastAsia" w:ascii="Times New Roman" w:hAnsi="Times New Roman" w:cs="Times New Roman"/>
          <w:sz w:val="21"/>
          <w:lang w:val="en-US" w:eastAsia="zh-CN" w:bidi="ar-SA"/>
        </w:rPr>
        <w:t>评价</w:t>
      </w:r>
      <w:r>
        <w:rPr>
          <w:rFonts w:hint="eastAsia" w:ascii="Times New Roman" w:hAnsi="Times New Roman" w:eastAsia="宋体" w:cs="Times New Roman"/>
          <w:sz w:val="21"/>
          <w:lang w:val="en-US" w:eastAsia="zh-CN" w:bidi="ar-SA"/>
        </w:rPr>
        <w:t>工作，包括动力建（构）筑物、水工建（构）筑物、燃料建（构）筑物、电气建（构）筑物、辅助附属建（构）筑物等。</w:t>
      </w:r>
    </w:p>
    <w:p w14:paraId="62F0821E">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21" w:name="_Toc5355"/>
      <w:bookmarkStart w:id="22" w:name="_Toc26986531"/>
      <w:bookmarkStart w:id="23" w:name="_Toc26986772"/>
      <w:bookmarkStart w:id="24" w:name="_Toc1252"/>
      <w:bookmarkStart w:id="25" w:name="_Toc97192965"/>
      <w:bookmarkStart w:id="26" w:name="_Toc6041"/>
      <w:bookmarkStart w:id="27" w:name="_Toc26718931"/>
      <w:r>
        <w:rPr>
          <w:rFonts w:hint="eastAsia" w:ascii="黑体" w:hAnsi="Times New Roman" w:eastAsia="黑体" w:cs="Times New Roman"/>
          <w:sz w:val="21"/>
          <w:lang w:val="en-US" w:eastAsia="zh-CN" w:bidi="ar-SA"/>
        </w:rPr>
        <w:t>规范性引用文件</w:t>
      </w:r>
      <w:bookmarkEnd w:id="16"/>
      <w:bookmarkEnd w:id="17"/>
      <w:bookmarkEnd w:id="18"/>
      <w:bookmarkEnd w:id="19"/>
      <w:bookmarkEnd w:id="20"/>
      <w:bookmarkEnd w:id="21"/>
      <w:bookmarkEnd w:id="22"/>
      <w:bookmarkEnd w:id="23"/>
      <w:bookmarkEnd w:id="24"/>
      <w:bookmarkEnd w:id="25"/>
      <w:bookmarkEnd w:id="26"/>
      <w:bookmarkEnd w:id="27"/>
    </w:p>
    <w:sdt>
      <w:sdtPr>
        <w:rPr>
          <w:rFonts w:hint="eastAsia" w:ascii="Calibri" w:hAnsi="Calibri" w:eastAsia="宋体" w:cs="Times New Roman"/>
          <w:kern w:val="2"/>
          <w:sz w:val="21"/>
          <w:szCs w:val="21"/>
          <w:lang w:val="en-US" w:eastAsia="zh-CN" w:bidi="ar-SA"/>
        </w:rPr>
        <w:id w:val="147468615"/>
        <w:placeholder>
          <w:docPart w:val="{a24145b7-c11d-4ef4-acb3-8481bdb69b3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hAnsi="Times New Roman" w:eastAsia="宋体" w:cs="Times New Roman"/>
          <w:kern w:val="2"/>
          <w:sz w:val="21"/>
          <w:szCs w:val="21"/>
          <w:lang w:val="en-US" w:eastAsia="zh-CN" w:bidi="ar-SA"/>
        </w:rPr>
      </w:sdtEndPr>
      <w:sdtContent>
        <w:p w14:paraId="45ED16A1">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B37151">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bookmarkStart w:id="28" w:name="_Toc16466"/>
      <w:bookmarkStart w:id="29" w:name="_Toc31924"/>
      <w:bookmarkStart w:id="30" w:name="_Toc97192966"/>
      <w:bookmarkStart w:id="31" w:name="_Toc648"/>
      <w:r>
        <w:rPr>
          <w:rFonts w:hint="eastAsia" w:ascii="Times New Roman" w:hAnsi="Times New Roman" w:eastAsia="宋体" w:cs="Times New Roman"/>
          <w:kern w:val="2"/>
          <w:sz w:val="21"/>
          <w:szCs w:val="24"/>
          <w:lang w:val="en-US" w:eastAsia="zh-CN" w:bidi="ar-SA"/>
        </w:rPr>
        <w:t>GB 50007 《建筑地基基础设计规范》</w:t>
      </w:r>
    </w:p>
    <w:p w14:paraId="44586C3B">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50011 《建筑抗震设计规范》</w:t>
      </w:r>
    </w:p>
    <w:p w14:paraId="7BD65F6B">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50023 《建筑抗震鉴定标准》</w:t>
      </w:r>
    </w:p>
    <w:p w14:paraId="18875375">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50144 《工业建筑可靠性鉴定标准》</w:t>
      </w:r>
    </w:p>
    <w:p w14:paraId="04449992">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50201 《防洪标准》</w:t>
      </w:r>
    </w:p>
    <w:p w14:paraId="7191A1C4">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GB/T 50344 《建筑结构检测技术标准》</w:t>
      </w:r>
    </w:p>
    <w:p w14:paraId="555965D4">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50345 《屋面工程技术规范》</w:t>
      </w:r>
    </w:p>
    <w:p w14:paraId="52D3790C">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50550 《建筑结构加固工程施工质量验收规范》</w:t>
      </w:r>
    </w:p>
    <w:p w14:paraId="539B33F4">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55001 《工程结构通用规范》</w:t>
      </w:r>
    </w:p>
    <w:p w14:paraId="5E065E6C">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55002 《建筑与市政工程抗震通用规范》</w:t>
      </w:r>
    </w:p>
    <w:p w14:paraId="31BDB0D9">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55018 《工程测量通用规范》</w:t>
      </w:r>
    </w:p>
    <w:p w14:paraId="7997D385">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55021 《既有建筑鉴定与加固通用规范》</w:t>
      </w:r>
    </w:p>
    <w:p w14:paraId="4B1584C9">
      <w:pPr>
        <w:widowControl w:val="0"/>
        <w:autoSpaceDE w:val="0"/>
        <w:autoSpaceDN w:val="0"/>
        <w:ind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GB 55022 《既有建筑维护与改造通用规范》</w:t>
      </w:r>
    </w:p>
    <w:p w14:paraId="546BF986">
      <w:pPr>
        <w:widowControl w:val="0"/>
        <w:autoSpaceDE w:val="0"/>
        <w:autoSpaceDN w:val="0"/>
        <w:ind w:leftChars="0" w:firstLine="420" w:firstLineChars="200"/>
        <w:jc w:val="both"/>
        <w:rPr>
          <w:rFonts w:hint="eastAsia" w:ascii="Times New Roman" w:hAnsi="Times New Roman"/>
        </w:rPr>
      </w:pPr>
      <w:r>
        <w:rPr>
          <w:rFonts w:hint="eastAsia" w:ascii="Times New Roman" w:hAnsi="Times New Roman"/>
        </w:rPr>
        <w:t>JGJ 8 《建筑变形测量规范》</w:t>
      </w:r>
    </w:p>
    <w:p w14:paraId="51A18EA9">
      <w:pPr>
        <w:widowControl w:val="0"/>
        <w:autoSpaceDE w:val="0"/>
        <w:autoSpaceDN w:val="0"/>
        <w:ind w:leftChars="0" w:firstLine="420" w:firstLineChars="200"/>
        <w:jc w:val="both"/>
        <w:rPr>
          <w:rFonts w:hint="eastAsia" w:ascii="Times New Roman" w:hAnsi="Times New Roman"/>
        </w:rPr>
      </w:pPr>
      <w:r>
        <w:rPr>
          <w:rFonts w:hint="eastAsia" w:ascii="Times New Roman" w:hAnsi="Times New Roman"/>
        </w:rPr>
        <w:t>JGJ 116 《建筑抗震加固技术规范》</w:t>
      </w:r>
    </w:p>
    <w:p w14:paraId="0C68929D">
      <w:pPr>
        <w:widowControl w:val="0"/>
        <w:autoSpaceDE w:val="0"/>
        <w:autoSpaceDN w:val="0"/>
        <w:ind w:leftChars="0" w:firstLine="420" w:firstLineChars="200"/>
        <w:jc w:val="both"/>
        <w:rPr>
          <w:rFonts w:hint="eastAsia" w:ascii="Times New Roman" w:hAnsi="Times New Roman"/>
        </w:rPr>
      </w:pPr>
      <w:r>
        <w:rPr>
          <w:rFonts w:hint="eastAsia" w:ascii="Times New Roman" w:hAnsi="Times New Roman"/>
        </w:rPr>
        <w:t>DL/T 1051 《电力技术监督导则》</w:t>
      </w:r>
    </w:p>
    <w:p w14:paraId="55ED000A">
      <w:pPr>
        <w:widowControl w:val="0"/>
        <w:autoSpaceDE w:val="0"/>
        <w:autoSpaceDN w:val="0"/>
        <w:ind w:leftChars="0" w:firstLine="420" w:firstLineChars="200"/>
        <w:jc w:val="both"/>
        <w:rPr>
          <w:rFonts w:hint="eastAsia" w:ascii="Times New Roman" w:hAnsi="Times New Roman" w:eastAsia="宋体" w:cs="Times New Roman"/>
          <w:kern w:val="2"/>
          <w:sz w:val="21"/>
          <w:szCs w:val="24"/>
          <w:lang w:val="en-US" w:eastAsia="zh-CN" w:bidi="ar-SA"/>
        </w:rPr>
      </w:pPr>
      <w:r>
        <w:rPr>
          <w:rFonts w:hint="eastAsia" w:ascii="Times New Roman" w:hAnsi="Times New Roman"/>
        </w:rPr>
        <w:t>DL 5210.1 《电力建设施工质量验收规程 第1部分：土建工程》</w:t>
      </w:r>
    </w:p>
    <w:p w14:paraId="43195E49">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r>
        <w:rPr>
          <w:rFonts w:hint="eastAsia" w:ascii="黑体" w:hAnsi="Times New Roman" w:eastAsia="黑体" w:cs="Times New Roman"/>
          <w:sz w:val="21"/>
          <w:szCs w:val="21"/>
          <w:lang w:val="en-US" w:eastAsia="zh-CN" w:bidi="ar-SA"/>
        </w:rPr>
        <w:t>术语和定义</w:t>
      </w:r>
      <w:bookmarkEnd w:id="28"/>
      <w:bookmarkEnd w:id="29"/>
      <w:bookmarkEnd w:id="30"/>
      <w:bookmarkEnd w:id="31"/>
    </w:p>
    <w:sdt>
      <w:sdtPr>
        <w:rPr>
          <w:rFonts w:ascii="Calibri" w:hAnsi="Calibri" w:eastAsia="宋体" w:cs="Times New Roman"/>
          <w:kern w:val="2"/>
          <w:sz w:val="21"/>
          <w:szCs w:val="21"/>
          <w:lang w:val="en-US" w:eastAsia="zh-CN" w:bidi="ar-SA"/>
        </w:rPr>
        <w:id w:val="147483433"/>
        <w:placeholder>
          <w:docPart w:val="{e8d48387-e3b3-4904-becb-b636d97340a2}"/>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hAnsi="Times New Roman" w:eastAsia="宋体" w:cs="Times New Roman"/>
          <w:kern w:val="2"/>
          <w:sz w:val="21"/>
          <w:szCs w:val="21"/>
          <w:lang w:val="en-US" w:eastAsia="zh-CN" w:bidi="ar-SA"/>
        </w:rPr>
      </w:sdtEndPr>
      <w:sdtContent>
        <w:p w14:paraId="1B4A9734">
          <w:pPr>
            <w:autoSpaceDE w:val="0"/>
            <w:autoSpaceDN w:val="0"/>
            <w:ind w:firstLine="420" w:firstLineChars="200"/>
            <w:jc w:val="both"/>
            <w:rPr>
              <w:rFonts w:ascii="Times New Roman" w:hAnsi="Times New Roman" w:eastAsia="宋体" w:cs="Times New Roman"/>
              <w:sz w:val="21"/>
              <w:lang w:val="en-US" w:eastAsia="zh-CN" w:bidi="ar-SA"/>
            </w:rPr>
          </w:pPr>
          <w:bookmarkStart w:id="32" w:name="_Toc26986532"/>
          <w:bookmarkEnd w:id="32"/>
          <w:r>
            <w:rPr>
              <w:rFonts w:ascii="Times New Roman" w:hAnsi="Times New Roman" w:eastAsia="宋体" w:cs="Times New Roman"/>
              <w:sz w:val="21"/>
              <w:lang w:val="en-US" w:eastAsia="zh-CN" w:bidi="ar-SA"/>
            </w:rPr>
            <w:t>下列术语和定义适用于本文件。</w:t>
          </w:r>
        </w:p>
      </w:sdtContent>
    </w:sdt>
    <w:p w14:paraId="4A20D202">
      <w:pPr>
        <w:numPr>
          <w:ilvl w:val="2"/>
          <w:numId w:val="9"/>
        </w:numPr>
        <w:bidi w:val="0"/>
        <w:spacing w:before="50" w:beforeLines="50" w:after="50" w:afterLines="50"/>
        <w:jc w:val="both"/>
        <w:outlineLvl w:val="1"/>
        <w:rPr>
          <w:rFonts w:hint="default" w:ascii="黑体" w:hAnsi="Times New Roman" w:eastAsia="黑体" w:cs="Times New Roman"/>
          <w:sz w:val="21"/>
          <w:lang w:val="en-US" w:eastAsia="zh-CN" w:bidi="ar-SA"/>
        </w:rPr>
      </w:pPr>
      <w:bookmarkStart w:id="33" w:name="_Toc27022"/>
      <w:bookmarkEnd w:id="33"/>
      <w:bookmarkStart w:id="34" w:name="_Toc29060"/>
      <w:bookmarkEnd w:id="34"/>
      <w:bookmarkStart w:id="35" w:name="_Toc8701"/>
      <w:bookmarkEnd w:id="35"/>
      <w:bookmarkStart w:id="36" w:name="_Toc3290"/>
      <w:bookmarkEnd w:id="36"/>
      <w:bookmarkStart w:id="37" w:name="_Toc8621"/>
      <w:bookmarkEnd w:id="37"/>
      <w:bookmarkStart w:id="38" w:name="_Toc25180"/>
    </w:p>
    <w:bookmarkEnd w:id="38"/>
    <w:p w14:paraId="7342E932">
      <w:pPr>
        <w:autoSpaceDE w:val="0"/>
        <w:autoSpaceDN w:val="0"/>
        <w:ind w:firstLine="422" w:firstLineChars="200"/>
        <w:jc w:val="both"/>
        <w:rPr>
          <w:rFonts w:hint="eastAsia" w:ascii="Times New Roman" w:hAnsi="Times New Roman" w:eastAsia="宋体" w:cs="Times New Roman"/>
          <w:b/>
          <w:bCs/>
          <w:sz w:val="21"/>
          <w:lang w:val="en-US" w:eastAsia="zh-CN" w:bidi="ar-SA"/>
        </w:rPr>
      </w:pPr>
      <w:r>
        <w:rPr>
          <w:rFonts w:hint="eastAsia" w:ascii="Times New Roman" w:hAnsi="Times New Roman" w:eastAsia="宋体" w:cs="Times New Roman"/>
          <w:b/>
          <w:bCs/>
          <w:sz w:val="21"/>
          <w:lang w:val="en-US" w:eastAsia="zh-CN" w:bidi="ar-SA"/>
        </w:rPr>
        <w:t>既有建（构）筑物 existing buildings and structures</w:t>
      </w:r>
    </w:p>
    <w:p w14:paraId="63180583">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已建成并投入使用，为工业生产服务的建筑物和构筑物。</w:t>
      </w:r>
    </w:p>
    <w:p w14:paraId="2625F016">
      <w:pPr>
        <w:numPr>
          <w:ilvl w:val="2"/>
          <w:numId w:val="9"/>
        </w:numPr>
        <w:bidi w:val="0"/>
        <w:spacing w:before="50" w:beforeLines="50" w:after="50" w:afterLines="50"/>
        <w:jc w:val="both"/>
        <w:outlineLvl w:val="1"/>
        <w:rPr>
          <w:rFonts w:hint="default" w:ascii="黑体" w:hAnsi="Times New Roman" w:eastAsia="黑体" w:cs="Times New Roman"/>
          <w:sz w:val="21"/>
          <w:lang w:val="en-US" w:eastAsia="zh-CN" w:bidi="ar-SA"/>
        </w:rPr>
      </w:pPr>
      <w:bookmarkStart w:id="39" w:name="_Toc6500"/>
      <w:bookmarkEnd w:id="39"/>
      <w:bookmarkStart w:id="40" w:name="_Toc26079"/>
      <w:bookmarkEnd w:id="40"/>
      <w:bookmarkStart w:id="41" w:name="_Toc27182"/>
      <w:bookmarkEnd w:id="41"/>
      <w:bookmarkStart w:id="42" w:name="_Toc4516"/>
      <w:bookmarkEnd w:id="42"/>
      <w:bookmarkStart w:id="43" w:name="_Toc22233"/>
      <w:bookmarkEnd w:id="43"/>
      <w:bookmarkStart w:id="44" w:name="_Toc29479"/>
    </w:p>
    <w:bookmarkEnd w:id="44"/>
    <w:p w14:paraId="41381425">
      <w:pPr>
        <w:autoSpaceDE w:val="0"/>
        <w:autoSpaceDN w:val="0"/>
        <w:ind w:firstLine="422" w:firstLineChars="200"/>
        <w:jc w:val="both"/>
        <w:rPr>
          <w:rFonts w:hint="eastAsia" w:ascii="Times New Roman" w:hAnsi="Times New Roman" w:eastAsia="宋体" w:cs="Times New Roman"/>
          <w:b/>
          <w:bCs/>
          <w:sz w:val="21"/>
          <w:lang w:val="en-US" w:eastAsia="zh-CN" w:bidi="ar-SA"/>
        </w:rPr>
      </w:pPr>
      <w:r>
        <w:rPr>
          <w:rFonts w:hint="eastAsia" w:ascii="Times New Roman" w:hAnsi="Times New Roman" w:eastAsia="宋体" w:cs="Times New Roman"/>
          <w:b/>
          <w:bCs/>
          <w:sz w:val="21"/>
          <w:lang w:val="en-US" w:eastAsia="zh-CN" w:bidi="ar-SA"/>
        </w:rPr>
        <w:t>动力建（构）筑物 power-related buildings and structures</w:t>
      </w:r>
    </w:p>
    <w:p w14:paraId="1548EC53">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主厂房（汽机房、燃机房）、集控楼、吸风机室、锅炉房、除氧间、煤仓间、烟囱、除尘器基础及砼结构支架、空冷系统钢结构平台及钢筋混凝土支柱、脱硫控制楼、石膏楼、设备及管道支架、设备基础、场地道路等。</w:t>
      </w:r>
    </w:p>
    <w:p w14:paraId="57B06A3F">
      <w:pPr>
        <w:numPr>
          <w:ilvl w:val="2"/>
          <w:numId w:val="9"/>
        </w:numPr>
        <w:bidi w:val="0"/>
        <w:spacing w:before="50" w:beforeLines="50" w:after="50" w:afterLines="50"/>
        <w:jc w:val="both"/>
        <w:outlineLvl w:val="1"/>
        <w:rPr>
          <w:rFonts w:hint="default" w:ascii="黑体" w:hAnsi="Times New Roman" w:eastAsia="黑体" w:cs="Times New Roman"/>
          <w:sz w:val="21"/>
          <w:lang w:val="en-US" w:eastAsia="zh-CN" w:bidi="ar-SA"/>
        </w:rPr>
      </w:pPr>
      <w:bookmarkStart w:id="45" w:name="_Toc18007"/>
      <w:bookmarkEnd w:id="45"/>
      <w:bookmarkStart w:id="46" w:name="_Toc32467"/>
      <w:bookmarkEnd w:id="46"/>
      <w:bookmarkStart w:id="47" w:name="_Toc23515"/>
      <w:bookmarkEnd w:id="47"/>
      <w:bookmarkStart w:id="48" w:name="_Toc9374"/>
      <w:bookmarkEnd w:id="48"/>
      <w:bookmarkStart w:id="49" w:name="_Toc22198"/>
      <w:bookmarkEnd w:id="49"/>
      <w:bookmarkStart w:id="50" w:name="_Toc16879"/>
    </w:p>
    <w:bookmarkEnd w:id="50"/>
    <w:p w14:paraId="57B4C315">
      <w:pPr>
        <w:autoSpaceDE w:val="0"/>
        <w:autoSpaceDN w:val="0"/>
        <w:ind w:firstLine="422" w:firstLineChars="200"/>
        <w:jc w:val="both"/>
        <w:rPr>
          <w:rFonts w:hint="eastAsia" w:ascii="Times New Roman" w:hAnsi="Times New Roman" w:eastAsia="宋体" w:cs="Times New Roman"/>
          <w:b/>
          <w:bCs/>
          <w:sz w:val="21"/>
          <w:lang w:val="en-US" w:eastAsia="zh-CN" w:bidi="ar-SA"/>
        </w:rPr>
      </w:pPr>
      <w:r>
        <w:rPr>
          <w:rFonts w:hint="eastAsia" w:ascii="Times New Roman" w:hAnsi="Times New Roman" w:eastAsia="宋体" w:cs="Times New Roman"/>
          <w:b/>
          <w:bCs/>
          <w:sz w:val="21"/>
          <w:lang w:val="en-US" w:eastAsia="zh-CN" w:bidi="ar-SA"/>
        </w:rPr>
        <w:t>水工建（构）筑物 hydraulic structures</w:t>
      </w:r>
    </w:p>
    <w:p w14:paraId="48563FAD">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煤（油、基建等）码头、引桥、大堤、循环水管沟、雨水池、排水工作井、循泵房、冷却塔、输回水沟、喷水池、冷却池、灰库灰坝、泵房等。</w:t>
      </w:r>
    </w:p>
    <w:p w14:paraId="71103391">
      <w:pPr>
        <w:numPr>
          <w:ilvl w:val="2"/>
          <w:numId w:val="9"/>
        </w:numPr>
        <w:bidi w:val="0"/>
        <w:spacing w:before="50" w:beforeLines="50" w:after="50" w:afterLines="50"/>
        <w:jc w:val="both"/>
        <w:outlineLvl w:val="1"/>
        <w:rPr>
          <w:rFonts w:hint="default" w:ascii="黑体" w:hAnsi="Times New Roman" w:eastAsia="黑体" w:cs="Times New Roman"/>
          <w:sz w:val="21"/>
          <w:lang w:val="en-US" w:eastAsia="zh-CN" w:bidi="ar-SA"/>
        </w:rPr>
      </w:pPr>
      <w:bookmarkStart w:id="51" w:name="_Toc10340"/>
      <w:bookmarkEnd w:id="51"/>
      <w:bookmarkStart w:id="52" w:name="_Toc24177"/>
      <w:bookmarkEnd w:id="52"/>
      <w:bookmarkStart w:id="53" w:name="_Toc17709"/>
      <w:bookmarkEnd w:id="53"/>
      <w:bookmarkStart w:id="54" w:name="_Toc8567"/>
      <w:bookmarkEnd w:id="54"/>
      <w:bookmarkStart w:id="55" w:name="_Toc5631"/>
      <w:bookmarkEnd w:id="55"/>
      <w:bookmarkStart w:id="56" w:name="_Toc20499"/>
    </w:p>
    <w:bookmarkEnd w:id="56"/>
    <w:p w14:paraId="244127B2">
      <w:pPr>
        <w:autoSpaceDE w:val="0"/>
        <w:autoSpaceDN w:val="0"/>
        <w:ind w:firstLine="422" w:firstLineChars="200"/>
        <w:jc w:val="both"/>
        <w:rPr>
          <w:rFonts w:hint="eastAsia" w:ascii="Times New Roman" w:hAnsi="Times New Roman" w:eastAsia="宋体" w:cs="Times New Roman"/>
          <w:b/>
          <w:bCs/>
          <w:sz w:val="21"/>
          <w:lang w:val="en-US" w:eastAsia="zh-CN" w:bidi="ar-SA"/>
        </w:rPr>
      </w:pPr>
      <w:r>
        <w:rPr>
          <w:rFonts w:hint="eastAsia" w:ascii="Times New Roman" w:hAnsi="Times New Roman" w:eastAsia="宋体" w:cs="Times New Roman"/>
          <w:b/>
          <w:bCs/>
          <w:sz w:val="21"/>
          <w:lang w:val="en-US" w:eastAsia="zh-CN" w:bidi="ar-SA"/>
        </w:rPr>
        <w:t>燃料建（构）筑物 fuel system facilities</w:t>
      </w:r>
    </w:p>
    <w:p w14:paraId="79D29125">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碎煤机室、转运站、输煤栈桥、干煤棚、地下输煤廊道、油库、油泵房、油处理构筑物等。</w:t>
      </w:r>
    </w:p>
    <w:p w14:paraId="66C437ED">
      <w:pPr>
        <w:numPr>
          <w:ilvl w:val="2"/>
          <w:numId w:val="9"/>
        </w:numPr>
        <w:bidi w:val="0"/>
        <w:spacing w:before="50" w:beforeLines="50" w:after="50" w:afterLines="50"/>
        <w:jc w:val="both"/>
        <w:outlineLvl w:val="1"/>
        <w:rPr>
          <w:rFonts w:hint="default" w:ascii="黑体" w:hAnsi="Times New Roman" w:eastAsia="黑体" w:cs="Times New Roman"/>
          <w:sz w:val="21"/>
          <w:lang w:val="en-US" w:eastAsia="zh-CN" w:bidi="ar-SA"/>
        </w:rPr>
      </w:pPr>
      <w:bookmarkStart w:id="57" w:name="_Toc7467"/>
      <w:bookmarkEnd w:id="57"/>
      <w:bookmarkStart w:id="58" w:name="_Toc9394"/>
      <w:bookmarkEnd w:id="58"/>
      <w:bookmarkStart w:id="59" w:name="_Toc20334"/>
      <w:bookmarkEnd w:id="59"/>
      <w:bookmarkStart w:id="60" w:name="_Toc21051"/>
      <w:bookmarkEnd w:id="60"/>
      <w:bookmarkStart w:id="61" w:name="_Toc23397"/>
      <w:bookmarkEnd w:id="61"/>
      <w:bookmarkStart w:id="62" w:name="_Toc31843"/>
    </w:p>
    <w:bookmarkEnd w:id="62"/>
    <w:p w14:paraId="606D724D">
      <w:pPr>
        <w:autoSpaceDE w:val="0"/>
        <w:autoSpaceDN w:val="0"/>
        <w:ind w:firstLine="422"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b/>
          <w:bCs/>
          <w:sz w:val="21"/>
          <w:lang w:val="en-US" w:eastAsia="zh-CN" w:bidi="ar-SA"/>
        </w:rPr>
        <w:t>电气建（构）筑物 electrical system structures</w:t>
      </w:r>
    </w:p>
    <w:p w14:paraId="1DD4BFDE">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网（主）控室、升压站、变电站支架、地下电缆沟、继电器室、配电开关室、变压器室等。</w:t>
      </w:r>
    </w:p>
    <w:p w14:paraId="101604B7">
      <w:pPr>
        <w:numPr>
          <w:ilvl w:val="2"/>
          <w:numId w:val="9"/>
        </w:numPr>
        <w:bidi w:val="0"/>
        <w:spacing w:before="50" w:beforeLines="50" w:after="50" w:afterLines="50"/>
        <w:jc w:val="both"/>
        <w:outlineLvl w:val="1"/>
        <w:rPr>
          <w:rFonts w:hint="default" w:ascii="黑体" w:hAnsi="Times New Roman" w:eastAsia="黑体" w:cs="Times New Roman"/>
          <w:sz w:val="21"/>
          <w:lang w:val="en-US" w:eastAsia="zh-CN" w:bidi="ar-SA"/>
        </w:rPr>
      </w:pPr>
      <w:bookmarkStart w:id="63" w:name="_Toc19252"/>
      <w:bookmarkEnd w:id="63"/>
      <w:bookmarkStart w:id="64" w:name="_Toc28692"/>
      <w:bookmarkEnd w:id="64"/>
      <w:bookmarkStart w:id="65" w:name="_Toc11556"/>
      <w:bookmarkEnd w:id="65"/>
      <w:bookmarkStart w:id="66" w:name="_Toc7472"/>
      <w:bookmarkEnd w:id="66"/>
      <w:bookmarkStart w:id="67" w:name="_Toc10422"/>
      <w:bookmarkEnd w:id="67"/>
      <w:bookmarkStart w:id="68" w:name="_Toc24747"/>
    </w:p>
    <w:bookmarkEnd w:id="68"/>
    <w:p w14:paraId="31AACE8B">
      <w:pPr>
        <w:autoSpaceDE w:val="0"/>
        <w:autoSpaceDN w:val="0"/>
        <w:ind w:firstLine="422"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b/>
          <w:bCs/>
          <w:sz w:val="21"/>
          <w:lang w:val="en-US" w:eastAsia="zh-CN" w:bidi="ar-SA"/>
        </w:rPr>
        <w:t>辅助附属建（构）筑物 ancillary facilities</w:t>
      </w:r>
    </w:p>
    <w:p w14:paraId="05D2E54F">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办公楼、检修楼、生产综合楼、食堂、消防楼、小车库、停车棚、医务室、招待所、浴室、技培中心、宿舍楼、门卫及汽修厂等。</w:t>
      </w:r>
    </w:p>
    <w:p w14:paraId="308AA275">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69" w:name="_Toc11814"/>
      <w:bookmarkStart w:id="70" w:name="_Toc17265"/>
      <w:r>
        <w:rPr>
          <w:rFonts w:hint="eastAsia" w:ascii="黑体" w:hAnsi="Times New Roman" w:eastAsia="黑体" w:cs="Times New Roman"/>
          <w:sz w:val="21"/>
          <w:lang w:val="en-US" w:eastAsia="zh-CN" w:bidi="ar-SA"/>
        </w:rPr>
        <w:t>总则</w:t>
      </w:r>
      <w:bookmarkEnd w:id="69"/>
      <w:bookmarkEnd w:id="70"/>
    </w:p>
    <w:p w14:paraId="5ECEDE76">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宋体" w:eastAsia="宋体" w:cs="宋体"/>
          <w:b w:val="0"/>
          <w:bCs w:val="0"/>
          <w:i w:val="0"/>
          <w:iCs w:val="0"/>
          <w:caps w:val="0"/>
          <w:color w:val="0F1115"/>
          <w:spacing w:val="0"/>
          <w:sz w:val="21"/>
          <w:szCs w:val="21"/>
          <w:shd w:val="clear" w:fill="FFFFFF"/>
          <w:lang w:val="en-US" w:eastAsia="zh-CN" w:bidi="ar-SA"/>
        </w:rPr>
        <w:t>为指导火力发电厂建（构）筑物在勘察设计、施工建设、运维检修、防洪、抗震及技术改造等各阶段的技术</w:t>
      </w:r>
      <w:r>
        <w:rPr>
          <w:rFonts w:hint="eastAsia" w:ascii="Times New Roman" w:hAnsi="Times New Roman" w:cs="Times New Roman"/>
          <w:sz w:val="21"/>
          <w:lang w:val="en-US" w:eastAsia="zh-CN" w:bidi="ar-SA"/>
        </w:rPr>
        <w:t>评价</w:t>
      </w:r>
      <w:r>
        <w:rPr>
          <w:rFonts w:hint="eastAsia" w:ascii="宋体" w:hAnsi="宋体" w:eastAsia="宋体" w:cs="宋体"/>
          <w:b w:val="0"/>
          <w:bCs w:val="0"/>
          <w:i w:val="0"/>
          <w:iCs w:val="0"/>
          <w:caps w:val="0"/>
          <w:color w:val="0F1115"/>
          <w:spacing w:val="0"/>
          <w:sz w:val="21"/>
          <w:szCs w:val="21"/>
          <w:shd w:val="clear" w:fill="FFFFFF"/>
          <w:lang w:val="en-US" w:eastAsia="zh-CN" w:bidi="ar-SA"/>
        </w:rPr>
        <w:t>工作，明确</w:t>
      </w:r>
      <w:r>
        <w:rPr>
          <w:rFonts w:hint="eastAsia" w:ascii="Times New Roman" w:hAnsi="Times New Roman" w:cs="Times New Roman"/>
          <w:sz w:val="21"/>
          <w:lang w:val="en-US" w:eastAsia="zh-CN" w:bidi="ar-SA"/>
        </w:rPr>
        <w:t>评价</w:t>
      </w:r>
      <w:r>
        <w:rPr>
          <w:rFonts w:hint="eastAsia" w:ascii="宋体" w:hAnsi="宋体" w:eastAsia="宋体" w:cs="宋体"/>
          <w:b w:val="0"/>
          <w:bCs w:val="0"/>
          <w:i w:val="0"/>
          <w:iCs w:val="0"/>
          <w:caps w:val="0"/>
          <w:color w:val="0F1115"/>
          <w:spacing w:val="0"/>
          <w:sz w:val="21"/>
          <w:szCs w:val="21"/>
          <w:shd w:val="clear" w:fill="FFFFFF"/>
          <w:lang w:val="en-US" w:eastAsia="zh-CN" w:bidi="ar-SA"/>
        </w:rPr>
        <w:t>内容、程序与要求，保障建（构）筑物在全生命周期内的结构安全、使用功能和耐久性，提升发电企业技术管理水平，制定本导则。</w:t>
      </w:r>
    </w:p>
    <w:p w14:paraId="6BD30145">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default" w:ascii="宋体" w:hAnsi="宋体" w:eastAsia="宋体" w:cs="宋体"/>
          <w:b w:val="0"/>
          <w:bCs w:val="0"/>
          <w:i w:val="0"/>
          <w:iCs w:val="0"/>
          <w:caps w:val="0"/>
          <w:color w:val="0F1115"/>
          <w:spacing w:val="0"/>
          <w:sz w:val="21"/>
          <w:szCs w:val="21"/>
          <w:shd w:val="clear" w:fill="FFFFFF"/>
          <w:lang w:val="en-US" w:eastAsia="zh-CN" w:bidi="ar-SA"/>
        </w:rPr>
        <w:t>技术</w:t>
      </w:r>
      <w:r>
        <w:rPr>
          <w:rFonts w:hint="eastAsia" w:ascii="宋体" w:hAnsi="宋体" w:cs="宋体"/>
          <w:b w:val="0"/>
          <w:bCs w:val="0"/>
          <w:i w:val="0"/>
          <w:iCs w:val="0"/>
          <w:caps w:val="0"/>
          <w:color w:val="0F1115"/>
          <w:spacing w:val="0"/>
          <w:sz w:val="21"/>
          <w:szCs w:val="21"/>
          <w:shd w:val="clear" w:fill="FFFFFF"/>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工作应贯彻“安全第一、预防为主、综合治理”的方针，遵循“全过程、全覆盖、分级负责”的原则，落实企业主体责任，强化标准执行与过程管控，实现技术</w:t>
      </w:r>
      <w:r>
        <w:rPr>
          <w:rFonts w:hint="eastAsia" w:ascii="Times New Roman" w:hAnsi="Times New Roman" w:cs="Times New Roman"/>
          <w:sz w:val="21"/>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的系统化、规范化和科学化。</w:t>
      </w:r>
    </w:p>
    <w:p w14:paraId="2F6852B2">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宋体" w:eastAsia="宋体" w:cs="宋体"/>
          <w:b w:val="0"/>
          <w:bCs w:val="0"/>
          <w:i w:val="0"/>
          <w:iCs w:val="0"/>
          <w:caps w:val="0"/>
          <w:color w:val="0F1115"/>
          <w:spacing w:val="0"/>
          <w:sz w:val="21"/>
          <w:szCs w:val="21"/>
          <w:shd w:val="clear" w:fill="FFFFFF"/>
          <w:lang w:val="en-US" w:eastAsia="zh-CN" w:bidi="ar-SA"/>
        </w:rPr>
        <w:t>发电</w:t>
      </w:r>
      <w:r>
        <w:rPr>
          <w:rFonts w:hint="default" w:ascii="宋体" w:hAnsi="宋体" w:eastAsia="宋体" w:cs="宋体"/>
          <w:b w:val="0"/>
          <w:bCs w:val="0"/>
          <w:i w:val="0"/>
          <w:iCs w:val="0"/>
          <w:caps w:val="0"/>
          <w:color w:val="0F1115"/>
          <w:spacing w:val="0"/>
          <w:sz w:val="21"/>
          <w:szCs w:val="21"/>
          <w:shd w:val="clear" w:fill="FFFFFF"/>
          <w:lang w:val="en-US" w:eastAsia="zh-CN" w:bidi="ar-SA"/>
        </w:rPr>
        <w:t>企业应建立健全建（构）筑物技术</w:t>
      </w:r>
      <w:r>
        <w:rPr>
          <w:rFonts w:hint="eastAsia" w:ascii="Times New Roman" w:hAnsi="Times New Roman" w:cs="Times New Roman"/>
          <w:sz w:val="21"/>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体系，明确</w:t>
      </w:r>
      <w:r>
        <w:rPr>
          <w:rFonts w:hint="eastAsia" w:ascii="Times New Roman" w:hAnsi="Times New Roman" w:cs="Times New Roman"/>
          <w:sz w:val="21"/>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职责，配备专业人员，完善管理制度</w:t>
      </w:r>
      <w:r>
        <w:rPr>
          <w:rFonts w:hint="eastAsia" w:ascii="宋体" w:hAnsi="宋体" w:eastAsia="宋体" w:cs="宋体"/>
          <w:b w:val="0"/>
          <w:bCs w:val="0"/>
          <w:i w:val="0"/>
          <w:iCs w:val="0"/>
          <w:caps w:val="0"/>
          <w:color w:val="0F1115"/>
          <w:spacing w:val="0"/>
          <w:sz w:val="21"/>
          <w:szCs w:val="21"/>
          <w:shd w:val="clear" w:fill="FFFFFF"/>
          <w:lang w:val="en-US" w:eastAsia="zh-CN" w:bidi="ar-SA"/>
        </w:rPr>
        <w:t>；</w:t>
      </w:r>
      <w:r>
        <w:rPr>
          <w:rFonts w:hint="default" w:ascii="宋体" w:hAnsi="宋体" w:eastAsia="宋体" w:cs="宋体"/>
          <w:b w:val="0"/>
          <w:bCs w:val="0"/>
          <w:i w:val="0"/>
          <w:iCs w:val="0"/>
          <w:caps w:val="0"/>
          <w:color w:val="0F1115"/>
          <w:spacing w:val="0"/>
          <w:sz w:val="21"/>
          <w:szCs w:val="21"/>
          <w:shd w:val="clear" w:fill="FFFFFF"/>
          <w:lang w:val="en-US" w:eastAsia="zh-CN" w:bidi="ar-SA"/>
        </w:rPr>
        <w:t>技术</w:t>
      </w:r>
      <w:r>
        <w:rPr>
          <w:rFonts w:hint="eastAsia" w:ascii="Times New Roman" w:hAnsi="Times New Roman" w:cs="Times New Roman"/>
          <w:sz w:val="21"/>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应依据国家法律法规、行业标准及本导则要求，结合企业实际情况，制定实施细则并组织实施</w:t>
      </w:r>
      <w:r>
        <w:rPr>
          <w:rFonts w:hint="eastAsia" w:ascii="宋体" w:hAnsi="宋体" w:eastAsia="宋体" w:cs="宋体"/>
          <w:b w:val="0"/>
          <w:bCs w:val="0"/>
          <w:i w:val="0"/>
          <w:iCs w:val="0"/>
          <w:caps w:val="0"/>
          <w:color w:val="0F1115"/>
          <w:spacing w:val="0"/>
          <w:sz w:val="21"/>
          <w:szCs w:val="21"/>
          <w:shd w:val="clear" w:fill="FFFFFF"/>
          <w:lang w:val="en-US" w:eastAsia="zh-CN" w:bidi="ar-SA"/>
        </w:rPr>
        <w:t>；</w:t>
      </w:r>
      <w:r>
        <w:rPr>
          <w:rFonts w:hint="eastAsia" w:ascii="宋体" w:hAnsi="宋体" w:cs="宋体"/>
          <w:b w:val="0"/>
          <w:bCs w:val="0"/>
          <w:i w:val="0"/>
          <w:iCs w:val="0"/>
          <w:caps w:val="0"/>
          <w:color w:val="0F1115"/>
          <w:spacing w:val="0"/>
          <w:sz w:val="21"/>
          <w:szCs w:val="21"/>
          <w:shd w:val="clear" w:fill="FFFFFF"/>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过程中应注重资料的真实性、完整性和可追溯性，强化过程记录与档案管理</w:t>
      </w:r>
      <w:r>
        <w:rPr>
          <w:rFonts w:hint="eastAsia" w:ascii="宋体" w:hAnsi="宋体" w:eastAsia="宋体" w:cs="宋体"/>
          <w:b w:val="0"/>
          <w:bCs w:val="0"/>
          <w:i w:val="0"/>
          <w:iCs w:val="0"/>
          <w:caps w:val="0"/>
          <w:color w:val="0F1115"/>
          <w:spacing w:val="0"/>
          <w:sz w:val="21"/>
          <w:szCs w:val="21"/>
          <w:shd w:val="clear" w:fill="FFFFFF"/>
          <w:lang w:val="en-US" w:eastAsia="zh-CN" w:bidi="ar-SA"/>
        </w:rPr>
        <w:t>；</w:t>
      </w:r>
      <w:r>
        <w:rPr>
          <w:rFonts w:hint="default" w:ascii="宋体" w:hAnsi="宋体" w:eastAsia="宋体" w:cs="宋体"/>
          <w:b w:val="0"/>
          <w:bCs w:val="0"/>
          <w:i w:val="0"/>
          <w:iCs w:val="0"/>
          <w:caps w:val="0"/>
          <w:color w:val="0F1115"/>
          <w:spacing w:val="0"/>
          <w:sz w:val="21"/>
          <w:szCs w:val="21"/>
          <w:shd w:val="clear" w:fill="FFFFFF"/>
          <w:lang w:val="en-US" w:eastAsia="zh-CN" w:bidi="ar-SA"/>
        </w:rPr>
        <w:t>对发现的问题应及时整改闭环，对重大隐患应启动应急机制并按规定上报。</w:t>
      </w:r>
    </w:p>
    <w:p w14:paraId="31AFE21A">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宋体" w:eastAsia="宋体" w:cs="宋体"/>
          <w:b w:val="0"/>
          <w:bCs w:val="0"/>
          <w:i w:val="0"/>
          <w:iCs w:val="0"/>
          <w:caps w:val="0"/>
          <w:color w:val="0F1115"/>
          <w:spacing w:val="0"/>
          <w:sz w:val="21"/>
          <w:szCs w:val="21"/>
          <w:shd w:val="clear" w:fill="FFFFFF"/>
          <w:lang w:val="en-US" w:eastAsia="zh-CN" w:bidi="ar-SA"/>
        </w:rPr>
        <w:t>发电</w:t>
      </w:r>
      <w:r>
        <w:rPr>
          <w:rFonts w:hint="default" w:ascii="宋体" w:hAnsi="宋体" w:eastAsia="宋体" w:cs="宋体"/>
          <w:b w:val="0"/>
          <w:bCs w:val="0"/>
          <w:i w:val="0"/>
          <w:iCs w:val="0"/>
          <w:caps w:val="0"/>
          <w:color w:val="0F1115"/>
          <w:spacing w:val="0"/>
          <w:sz w:val="21"/>
          <w:szCs w:val="21"/>
          <w:shd w:val="clear" w:fill="FFFFFF"/>
          <w:lang w:val="en-US" w:eastAsia="zh-CN" w:bidi="ar-SA"/>
        </w:rPr>
        <w:t>企业是技术</w:t>
      </w:r>
      <w:r>
        <w:rPr>
          <w:rFonts w:hint="eastAsia" w:ascii="Times New Roman" w:hAnsi="Times New Roman" w:cs="Times New Roman"/>
          <w:sz w:val="21"/>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的责任主体，负责组织实施本导则，并对</w:t>
      </w:r>
      <w:r>
        <w:rPr>
          <w:rFonts w:hint="eastAsia" w:ascii="宋体" w:hAnsi="宋体" w:cs="宋体"/>
          <w:b w:val="0"/>
          <w:bCs w:val="0"/>
          <w:i w:val="0"/>
          <w:iCs w:val="0"/>
          <w:caps w:val="0"/>
          <w:color w:val="0F1115"/>
          <w:spacing w:val="0"/>
          <w:sz w:val="21"/>
          <w:szCs w:val="21"/>
          <w:shd w:val="clear" w:fill="FFFFFF"/>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结果负责</w:t>
      </w:r>
      <w:r>
        <w:rPr>
          <w:rFonts w:hint="eastAsia" w:ascii="宋体" w:hAnsi="宋体" w:eastAsia="宋体" w:cs="宋体"/>
          <w:b w:val="0"/>
          <w:bCs w:val="0"/>
          <w:i w:val="0"/>
          <w:iCs w:val="0"/>
          <w:caps w:val="0"/>
          <w:color w:val="0F1115"/>
          <w:spacing w:val="0"/>
          <w:sz w:val="21"/>
          <w:szCs w:val="21"/>
          <w:shd w:val="clear" w:fill="FFFFFF"/>
          <w:lang w:val="en-US" w:eastAsia="zh-CN" w:bidi="ar-SA"/>
        </w:rPr>
        <w:t>；</w:t>
      </w:r>
      <w:r>
        <w:rPr>
          <w:rFonts w:hint="default" w:ascii="宋体" w:hAnsi="宋体" w:eastAsia="宋体" w:cs="宋体"/>
          <w:b w:val="0"/>
          <w:bCs w:val="0"/>
          <w:i w:val="0"/>
          <w:iCs w:val="0"/>
          <w:caps w:val="0"/>
          <w:color w:val="0F1115"/>
          <w:spacing w:val="0"/>
          <w:sz w:val="21"/>
          <w:szCs w:val="21"/>
          <w:shd w:val="clear" w:fill="FFFFFF"/>
          <w:lang w:val="en-US" w:eastAsia="zh-CN" w:bidi="ar-SA"/>
        </w:rPr>
        <w:t>设计、施工、监理、检测等单位应按照职责分工，配合开展技术</w:t>
      </w:r>
      <w:r>
        <w:rPr>
          <w:rFonts w:hint="eastAsia" w:ascii="宋体" w:hAnsi="宋体" w:cs="宋体"/>
          <w:b w:val="0"/>
          <w:bCs w:val="0"/>
          <w:i w:val="0"/>
          <w:iCs w:val="0"/>
          <w:caps w:val="0"/>
          <w:color w:val="0F1115"/>
          <w:spacing w:val="0"/>
          <w:sz w:val="21"/>
          <w:szCs w:val="21"/>
          <w:shd w:val="clear" w:fill="FFFFFF"/>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工作，确保各阶段技术措施的落实</w:t>
      </w:r>
      <w:r>
        <w:rPr>
          <w:rFonts w:hint="eastAsia" w:ascii="宋体" w:hAnsi="宋体" w:eastAsia="宋体" w:cs="宋体"/>
          <w:b w:val="0"/>
          <w:bCs w:val="0"/>
          <w:i w:val="0"/>
          <w:iCs w:val="0"/>
          <w:caps w:val="0"/>
          <w:color w:val="0F1115"/>
          <w:spacing w:val="0"/>
          <w:sz w:val="21"/>
          <w:szCs w:val="21"/>
          <w:shd w:val="clear" w:fill="FFFFFF"/>
          <w:lang w:val="en-US" w:eastAsia="zh-CN" w:bidi="ar-SA"/>
        </w:rPr>
        <w:t>；</w:t>
      </w:r>
      <w:r>
        <w:rPr>
          <w:rFonts w:hint="default" w:ascii="宋体" w:hAnsi="宋体" w:eastAsia="宋体" w:cs="宋体"/>
          <w:b w:val="0"/>
          <w:bCs w:val="0"/>
          <w:i w:val="0"/>
          <w:iCs w:val="0"/>
          <w:caps w:val="0"/>
          <w:color w:val="0F1115"/>
          <w:spacing w:val="0"/>
          <w:sz w:val="21"/>
          <w:szCs w:val="21"/>
          <w:shd w:val="clear" w:fill="FFFFFF"/>
          <w:lang w:val="en-US" w:eastAsia="zh-CN" w:bidi="ar-SA"/>
        </w:rPr>
        <w:t>技术</w:t>
      </w:r>
      <w:r>
        <w:rPr>
          <w:rFonts w:hint="eastAsia" w:ascii="宋体" w:hAnsi="宋体" w:cs="宋体"/>
          <w:b w:val="0"/>
          <w:bCs w:val="0"/>
          <w:i w:val="0"/>
          <w:iCs w:val="0"/>
          <w:caps w:val="0"/>
          <w:color w:val="0F1115"/>
          <w:spacing w:val="0"/>
          <w:sz w:val="21"/>
          <w:szCs w:val="21"/>
          <w:shd w:val="clear" w:fill="FFFFFF"/>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人员应具备相应专业能力</w:t>
      </w:r>
      <w:r>
        <w:rPr>
          <w:rFonts w:hint="eastAsia" w:ascii="宋体" w:hAnsi="宋体" w:eastAsia="宋体" w:cs="宋体"/>
          <w:b w:val="0"/>
          <w:bCs w:val="0"/>
          <w:i w:val="0"/>
          <w:iCs w:val="0"/>
          <w:caps w:val="0"/>
          <w:color w:val="0F1115"/>
          <w:spacing w:val="0"/>
          <w:sz w:val="21"/>
          <w:szCs w:val="21"/>
          <w:shd w:val="clear" w:fill="FFFFFF"/>
          <w:lang w:val="en-US" w:eastAsia="zh-CN" w:bidi="ar-SA"/>
        </w:rPr>
        <w:t>，</w:t>
      </w:r>
      <w:r>
        <w:rPr>
          <w:rFonts w:hint="eastAsia" w:ascii="宋体" w:hAnsi="Times New Roman" w:eastAsia="宋体" w:cs="Times New Roman"/>
          <w:sz w:val="21"/>
          <w:szCs w:val="21"/>
          <w:lang w:val="en-US" w:eastAsia="zh-CN" w:bidi="ar-SA"/>
        </w:rPr>
        <w:t>熟悉和掌握本规定及相关国家和行业标准规范</w:t>
      </w:r>
      <w:r>
        <w:rPr>
          <w:rFonts w:hint="default" w:ascii="宋体" w:hAnsi="宋体" w:eastAsia="宋体" w:cs="宋体"/>
          <w:b w:val="0"/>
          <w:bCs w:val="0"/>
          <w:i w:val="0"/>
          <w:iCs w:val="0"/>
          <w:caps w:val="0"/>
          <w:color w:val="0F1115"/>
          <w:spacing w:val="0"/>
          <w:sz w:val="21"/>
          <w:szCs w:val="21"/>
          <w:shd w:val="clear" w:fill="FFFFFF"/>
          <w:lang w:val="en-US" w:eastAsia="zh-CN" w:bidi="ar-SA"/>
        </w:rPr>
        <w:t>，定期接受培训与考核。</w:t>
      </w:r>
    </w:p>
    <w:p w14:paraId="2C5E99D1">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宋体" w:eastAsia="宋体" w:cs="宋体"/>
          <w:b w:val="0"/>
          <w:bCs w:val="0"/>
          <w:i w:val="0"/>
          <w:iCs w:val="0"/>
          <w:caps w:val="0"/>
          <w:color w:val="0F1115"/>
          <w:spacing w:val="0"/>
          <w:sz w:val="21"/>
          <w:szCs w:val="21"/>
          <w:shd w:val="clear" w:fill="FFFFFF"/>
          <w:lang w:val="en-US" w:eastAsia="zh-CN" w:bidi="ar-SA"/>
        </w:rPr>
        <w:t>火力发电厂</w:t>
      </w:r>
      <w:r>
        <w:rPr>
          <w:rFonts w:hint="eastAsia" w:ascii="宋体" w:hAnsi="Times New Roman" w:eastAsia="宋体" w:cs="Times New Roman"/>
          <w:b w:val="0"/>
          <w:bCs w:val="0"/>
          <w:sz w:val="21"/>
          <w:szCs w:val="21"/>
          <w:lang w:val="en-US" w:eastAsia="zh-CN" w:bidi="ar-SA"/>
        </w:rPr>
        <w:t>建（构）筑物技术</w:t>
      </w:r>
      <w:r>
        <w:rPr>
          <w:rFonts w:hint="eastAsia" w:ascii="宋体" w:hAnsi="Times New Roman" w:cs="Times New Roman"/>
          <w:b w:val="0"/>
          <w:bCs w:val="0"/>
          <w:sz w:val="21"/>
          <w:szCs w:val="21"/>
          <w:lang w:val="en-US" w:eastAsia="zh-CN" w:bidi="ar-SA"/>
        </w:rPr>
        <w:t>评价</w:t>
      </w:r>
      <w:r>
        <w:rPr>
          <w:rFonts w:hint="eastAsia" w:ascii="宋体" w:hAnsi="Times New Roman" w:eastAsia="宋体" w:cs="Times New Roman"/>
          <w:b w:val="0"/>
          <w:bCs w:val="0"/>
          <w:sz w:val="21"/>
          <w:szCs w:val="21"/>
          <w:lang w:val="en-US" w:eastAsia="zh-CN" w:bidi="ar-SA"/>
        </w:rPr>
        <w:t>管理应符合DL/T 1051《电力技术监督导则》的规定。</w:t>
      </w:r>
    </w:p>
    <w:p w14:paraId="1C12EC29">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default" w:ascii="宋体" w:hAnsi="宋体" w:eastAsia="宋体" w:cs="宋体"/>
          <w:b w:val="0"/>
          <w:bCs w:val="0"/>
          <w:i w:val="0"/>
          <w:iCs w:val="0"/>
          <w:caps w:val="0"/>
          <w:color w:val="0F1115"/>
          <w:spacing w:val="0"/>
          <w:sz w:val="21"/>
          <w:szCs w:val="21"/>
          <w:shd w:val="clear" w:fill="FFFFFF"/>
          <w:lang w:val="en-US" w:eastAsia="zh-CN" w:bidi="ar-SA"/>
        </w:rPr>
        <w:t>技术</w:t>
      </w:r>
      <w:r>
        <w:rPr>
          <w:rFonts w:hint="eastAsia" w:ascii="宋体" w:hAnsi="宋体" w:cs="宋体"/>
          <w:b w:val="0"/>
          <w:bCs w:val="0"/>
          <w:i w:val="0"/>
          <w:iCs w:val="0"/>
          <w:caps w:val="0"/>
          <w:color w:val="0F1115"/>
          <w:spacing w:val="0"/>
          <w:sz w:val="21"/>
          <w:szCs w:val="21"/>
          <w:shd w:val="clear" w:fill="FFFFFF"/>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涵盖火力发电厂各类建（构）筑物，包括动力建（构）筑物、水工建（构）筑物、燃料建（构）筑物、电气建（构）筑物及辅助附属建（构）筑物。</w:t>
      </w:r>
      <w:r>
        <w:rPr>
          <w:rFonts w:hint="eastAsia" w:ascii="宋体" w:hAnsi="宋体" w:cs="宋体"/>
          <w:b w:val="0"/>
          <w:bCs w:val="0"/>
          <w:i w:val="0"/>
          <w:iCs w:val="0"/>
          <w:caps w:val="0"/>
          <w:color w:val="0F1115"/>
          <w:spacing w:val="0"/>
          <w:sz w:val="21"/>
          <w:szCs w:val="21"/>
          <w:shd w:val="clear" w:fill="FFFFFF"/>
          <w:lang w:val="en-US" w:eastAsia="zh-CN" w:bidi="ar-SA"/>
        </w:rPr>
        <w:t>评价</w:t>
      </w:r>
      <w:r>
        <w:rPr>
          <w:rFonts w:hint="default" w:ascii="宋体" w:hAnsi="宋体" w:eastAsia="宋体" w:cs="宋体"/>
          <w:b w:val="0"/>
          <w:bCs w:val="0"/>
          <w:i w:val="0"/>
          <w:iCs w:val="0"/>
          <w:caps w:val="0"/>
          <w:color w:val="0F1115"/>
          <w:spacing w:val="0"/>
          <w:sz w:val="21"/>
          <w:szCs w:val="21"/>
          <w:shd w:val="clear" w:fill="FFFFFF"/>
          <w:lang w:val="en-US" w:eastAsia="zh-CN" w:bidi="ar-SA"/>
        </w:rPr>
        <w:t>内容应包括但不限于：</w:t>
      </w:r>
    </w:p>
    <w:p w14:paraId="7496E009">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w:t>
      </w:r>
      <w:r>
        <w:rPr>
          <w:rFonts w:hint="default" w:ascii="Times New Roman" w:hAnsi="Times New Roman" w:eastAsia="宋体" w:cs="Times New Roman"/>
          <w:sz w:val="21"/>
          <w:lang w:val="en-US" w:eastAsia="zh-CN" w:bidi="ar-SA"/>
        </w:rPr>
        <w:t>勘察设计阶段的合规性、科学性与安全性审查；</w:t>
      </w:r>
    </w:p>
    <w:p w14:paraId="6F39AF2E">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w:t>
      </w:r>
      <w:r>
        <w:rPr>
          <w:rFonts w:hint="default" w:ascii="Times New Roman" w:hAnsi="Times New Roman" w:eastAsia="宋体" w:cs="Times New Roman"/>
          <w:sz w:val="21"/>
          <w:lang w:val="en-US" w:eastAsia="zh-CN" w:bidi="ar-SA"/>
        </w:rPr>
        <w:t>施工建设阶段的质量控制、验收与档案管理；</w:t>
      </w:r>
    </w:p>
    <w:p w14:paraId="33422701">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w:t>
      </w:r>
      <w:r>
        <w:rPr>
          <w:rFonts w:hint="default" w:ascii="Times New Roman" w:hAnsi="Times New Roman" w:eastAsia="宋体" w:cs="Times New Roman"/>
          <w:sz w:val="21"/>
          <w:lang w:val="en-US" w:eastAsia="zh-CN" w:bidi="ar-SA"/>
        </w:rPr>
        <w:t>运维检修阶段的日常巡查、定期检查、应急检查与专业检测；</w:t>
      </w:r>
    </w:p>
    <w:p w14:paraId="4357E6E8">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w:t>
      </w:r>
      <w:r>
        <w:rPr>
          <w:rFonts w:hint="default" w:ascii="Times New Roman" w:hAnsi="Times New Roman" w:eastAsia="宋体" w:cs="Times New Roman"/>
          <w:sz w:val="21"/>
          <w:lang w:val="en-US" w:eastAsia="zh-CN" w:bidi="ar-SA"/>
        </w:rPr>
        <w:t>防洪、抗震等专项技术措施的落实与</w:t>
      </w:r>
      <w:r>
        <w:rPr>
          <w:rFonts w:hint="eastAsia" w:ascii="Times New Roman" w:hAnsi="Times New Roman" w:cs="Times New Roman"/>
          <w:sz w:val="21"/>
          <w:lang w:val="en-US" w:eastAsia="zh-CN" w:bidi="ar-SA"/>
        </w:rPr>
        <w:t>评价</w:t>
      </w:r>
      <w:r>
        <w:rPr>
          <w:rFonts w:hint="default" w:ascii="Times New Roman" w:hAnsi="Times New Roman" w:eastAsia="宋体" w:cs="Times New Roman"/>
          <w:sz w:val="21"/>
          <w:lang w:val="en-US" w:eastAsia="zh-CN" w:bidi="ar-SA"/>
        </w:rPr>
        <w:t>；</w:t>
      </w:r>
    </w:p>
    <w:p w14:paraId="0513D4D1">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w:t>
      </w:r>
      <w:r>
        <w:rPr>
          <w:rFonts w:hint="default" w:ascii="Times New Roman" w:hAnsi="Times New Roman" w:eastAsia="宋体" w:cs="Times New Roman"/>
          <w:sz w:val="21"/>
          <w:lang w:val="en-US" w:eastAsia="zh-CN" w:bidi="ar-SA"/>
        </w:rPr>
        <w:t>技术改造与加固工程的技术审查与过程</w:t>
      </w:r>
      <w:r>
        <w:rPr>
          <w:rFonts w:hint="eastAsia" w:ascii="Times New Roman" w:hAnsi="Times New Roman" w:cs="Times New Roman"/>
          <w:sz w:val="21"/>
          <w:lang w:val="en-US" w:eastAsia="zh-CN" w:bidi="ar-SA"/>
        </w:rPr>
        <w:t>评价</w:t>
      </w:r>
      <w:r>
        <w:rPr>
          <w:rFonts w:hint="default" w:ascii="Times New Roman" w:hAnsi="Times New Roman" w:eastAsia="宋体" w:cs="Times New Roman"/>
          <w:sz w:val="21"/>
          <w:lang w:val="en-US" w:eastAsia="zh-CN" w:bidi="ar-SA"/>
        </w:rPr>
        <w:t>。</w:t>
      </w:r>
    </w:p>
    <w:p w14:paraId="3C835B34">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71" w:name="_Toc24887"/>
      <w:bookmarkStart w:id="72" w:name="_Toc16025"/>
      <w:r>
        <w:rPr>
          <w:rFonts w:hint="eastAsia" w:ascii="黑体" w:hAnsi="Times New Roman" w:eastAsia="黑体" w:cs="Times New Roman"/>
          <w:sz w:val="21"/>
          <w:lang w:val="en-US" w:eastAsia="zh-CN" w:bidi="ar-SA"/>
        </w:rPr>
        <w:t>勘察设计期</w:t>
      </w:r>
      <w:bookmarkEnd w:id="71"/>
      <w:bookmarkEnd w:id="72"/>
      <w:r>
        <w:rPr>
          <w:rFonts w:hint="eastAsia" w:ascii="黑体" w:hAnsi="Times New Roman" w:eastAsia="黑体" w:cs="Times New Roman"/>
          <w:sz w:val="21"/>
          <w:lang w:val="en-US" w:eastAsia="zh-CN" w:bidi="ar-SA"/>
        </w:rPr>
        <w:t>评价</w:t>
      </w:r>
    </w:p>
    <w:p w14:paraId="449E3961">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工程设计通用要求</w:t>
      </w:r>
    </w:p>
    <w:p w14:paraId="41CB72CE">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设计工作应严格遵循国家现行法律、法规、强制性工程建设规范及行业技术标准，贯彻“安全可靠、经济合理、绿色环保”的技术经济政策，确保设计文件内容完整、设计深度满足各阶段设计要求，数据准确无误，能够直接指导后续施工、验收及运行维护工作。</w:t>
      </w:r>
    </w:p>
    <w:p w14:paraId="3E0FEDA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设计全过程应建立完善的质量管控体系，落实各阶段设计评审制度，重点关注场地适应性、工艺匹配性、结构安全性、系统可靠性及环保合规性，及时解决设计中存在的技术问题。</w:t>
      </w:r>
    </w:p>
    <w:p w14:paraId="287F0A3E">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设计文件应明确建（构）筑物的设计工作年限（除临时性结构外均为50年）、抗震设防目标、岩土性能指标、地基或桩基承载力、防火防水等级等核心技术指标，为后续施工、验收及运行</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提供明确依据。</w:t>
      </w:r>
    </w:p>
    <w:p w14:paraId="25A764E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设计单位应配合施工阶段的技术服务工作，对施工图纸会审、设计技术交底、设计变更、地基验槽等工作提供专业支持，确保设计意图准确落地。</w:t>
      </w:r>
    </w:p>
    <w:p w14:paraId="2B6ECD8E">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工程勘察通用要求</w:t>
      </w:r>
    </w:p>
    <w:p w14:paraId="61517A6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岩土勘察工程应在各项建设工程设计和施工之前，必须按基本建设程序进行。工程勘察应根据工程建设不同阶段的要求，提供资料真实、结构完整、评价合理、结论可靠、建议可行的勘察报告。</w:t>
      </w:r>
    </w:p>
    <w:p w14:paraId="2B5BFB3E">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岩土勘察工程应根据拟建工程设计资料，搜集与工程建设相关的地质资料和环境资料，编制勘察纲要。</w:t>
      </w:r>
    </w:p>
    <w:p w14:paraId="549AF9FF">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详细勘察应针对单体或建筑群提供专项岩土工程资料，明确地基类型、基础形式、地基处理及不良地质作用防治建议；同时应明确地下水分布特征，分析地下水对工程的影响，针对地下水和土对建筑材料的腐蚀性做出评价；存在岩溶、滑坡、采空区、危岩和崩塌、泥石流、活动断裂及地裂缝等不良地质条件时，应开展专门勘察并出具专项报告；</w:t>
      </w:r>
    </w:p>
    <w:p w14:paraId="42B96F63">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工程勘察分析评价应基于完整的勘探、测试及岩土指标统计数据，结合工程特点开展，重点评价场地稳定性、工程建设适宜性及地质风险，提出针对性防治措施，提供准确的岩土设计参数。</w:t>
      </w:r>
    </w:p>
    <w:p w14:paraId="13773C2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勘察报告应包含文字及图表两部分，加盖单位公章并经相关责任人签章，内容完整覆盖场地概况、勘察方法、地质条件、岩土参数、地下水评价、土和水的腐蚀性评价、不良地质危害程度评价、地震效应评价、场地稳定性和适宜性的评价、地基基础分析评价、结论建议等核心内容。</w:t>
      </w:r>
    </w:p>
    <w:p w14:paraId="43A42C4F">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勘察单位应配合施工阶段的技术服务工作，对地基验槽工作提供专业支持，确保设计意图准确落地。</w:t>
      </w:r>
    </w:p>
    <w:p w14:paraId="422D72E9">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建筑与结构设计评价</w:t>
      </w:r>
    </w:p>
    <w:p w14:paraId="6E995BC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建筑平面布置应统筹工艺流程、自然条件及土地集约利用要求，辅助与附属建筑宜采用联合布置形式，不同功能区域设置独立出入口，避免交叉干扰。</w:t>
      </w:r>
    </w:p>
    <w:p w14:paraId="684E79A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建筑防火设计应符合符合《建筑设计防火规范》GB 50016、《火力发电厂与变电站设计防火标准》GB 50229等规范要求，明确防火分区划分、疏散通道及安全出口设置、装修材料燃烧性能等级等关键要求；</w:t>
      </w:r>
    </w:p>
    <w:p w14:paraId="2A09F428">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建筑抗震设计应符合《建筑抗震设计标准》GB 50011、《电力设施抗震设计规范》GB 50260等规范要求，满足“小震不坏、中震可修、大震不倒”目标，关键建筑适当提高抗震构造措施等级。</w:t>
      </w:r>
    </w:p>
    <w:p w14:paraId="405EB1D9">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结构设计应同时满足承载力、正常使用及耐久性极限状态要求，主厂房结构型式选择应综合自然条件、材料供应等因素确定；纵向温度伸缩缝设置应符合规范限值，避免沉降与温度应力冲突。</w:t>
      </w:r>
    </w:p>
    <w:p w14:paraId="04001EF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建筑防水与排水设计应符合《屋面工程技术规范》GB 50345、《建筑给水排水设计标准》GB 50015等规范要求，重要建筑屋面防水等级不低于Ⅰ级；有水冲洗要求的楼地面应设置合理排水坡度及防护措施，电缆沟、隧道严禁作为排水通道。</w:t>
      </w:r>
    </w:p>
    <w:p w14:paraId="092CAA64">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暖通与冷却系统设计评价</w:t>
      </w:r>
    </w:p>
    <w:p w14:paraId="390AFBF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暖通设计应符合《工业建筑供暖通风与空气调节设计规范》GB 50019等规范要求，供暖方式根据地区气象条件确定，集中供暖区域优先采用经济高效的供暖形式；通风系统应针对余热余湿、有毒有害气体等场景合理设计，事故通风换气次数不小于12次/h。</w:t>
      </w:r>
    </w:p>
    <w:p w14:paraId="079C7045">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冷却系统选择应经技术经济比较，水资源丰富地区宜采用湿冷系统，干旱缺水地区宜采用空冷系统；湿冷与空冷系统的设计参数应结合气象、水温资料优化确定，确保冷却效率与机组运行匹配。</w:t>
      </w:r>
    </w:p>
    <w:p w14:paraId="23FF657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冷却塔设计应符合下列要求：湿式冷却塔宜采用逆流式自然通风型式，寒冷地区应采取防冻措施；间接空冷塔结构与尺寸应优化确定，散热器布置需考虑风环境影响；排烟冷却塔应计入烟气对热力性能的影响，做好防腐设计；海水冷却塔应选择适配海水水质的材料，修正填料热力特性。</w:t>
      </w:r>
    </w:p>
    <w:p w14:paraId="31F6E624">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给水排水与水工设计评价</w:t>
      </w:r>
    </w:p>
    <w:p w14:paraId="170C94FE">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给水系统采用分质供水，生活饮用水应符合现行卫生标准并设置消毒设施；排水系统采用完全分流制，废污水按清污分流原则分类处理，含煤废水应独立收集处理后优先回用。</w:t>
      </w:r>
    </w:p>
    <w:p w14:paraId="71956349">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水工设计应基于完整的水文、气象、地质资料开展，水资源统筹规划应兼顾节水与环保要求；取排水建(构)筑物布置应优化温排水扩散效果，取水保证率常规情况下不低于97%；补给水系统应预留扩建条件，水锤防护措施应完善</w:t>
      </w:r>
    </w:p>
    <w:p w14:paraId="79A5A923">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施工阶段设计技术交底一般要求</w:t>
      </w:r>
    </w:p>
    <w:p w14:paraId="000D4964">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设计单位应在施工前完成全面技术交底，重点说明设计意图、核心技术要求、关键部位施工注意事项及质量控制要点，交底记录应归档留存。</w:t>
      </w:r>
    </w:p>
    <w:p w14:paraId="58958D8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参与施工图纸会审工作，针对图纸中存在的错漏、矛盾及与现场实际条件不符的问题，及时出具图纸会审纪要及修改意见，确保施工图纸的准确性与适用性。</w:t>
      </w:r>
    </w:p>
    <w:p w14:paraId="1D704ECB">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施工质量与设计符合性一般要求</w:t>
      </w:r>
    </w:p>
    <w:p w14:paraId="31CA47BD">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施工过程与设计文件的符合性，重点核查地基基础、主体结构、防水工程、暖通空调系统、冷却系统及水工设施等关键部位的施工参数与设计要求一致。</w:t>
      </w:r>
    </w:p>
    <w:p w14:paraId="4B16179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针对施工中出现的地质条件变化、材料替代、工艺调整等情况，设计单位应及时开展现场勘查，评估对设计功能的影响，出具正式的设计变更文件，严禁无设计依据的施工修改。</w:t>
      </w:r>
    </w:p>
    <w:p w14:paraId="54C66B1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对冷却塔、主厂房、取排水构筑物等重大建(构)筑物的施工过程，设计单位应派驻专业人员进行现场技术指导，</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关键施工工序的质量控制措施落实。</w:t>
      </w:r>
    </w:p>
    <w:p w14:paraId="0A753630">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施工阶段设计验收</w:t>
      </w:r>
    </w:p>
    <w:p w14:paraId="2A6C4C1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勘察、设计单位应参加地基与基础分部工程的质量验收；设计单位应参加主体机构和节能分部工程的质量验收</w:t>
      </w:r>
    </w:p>
    <w:p w14:paraId="4FE516D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参与分部工程质量验收应核查验收资料与勘察、设计要求的一致性，对验收中发现的质量问题，提出针对性的整改设计建议。</w:t>
      </w:r>
    </w:p>
    <w:p w14:paraId="7939860D">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单位工程完工后，勘察、设计单位应参加单位工程竣工验收工作。勘察单位应出具勘查工程质量检查报告；设计单位应对设计文件和施工过程中的设计变更进行检查，出具设计工程质量检查报告。</w:t>
      </w:r>
    </w:p>
    <w:p w14:paraId="76C5FCE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参与单位工程质量验收应核查工程实体质量、功能实现情况是否符合设计文件及规范要求，出具设计单位竣工验收意见，对工程存在的设计相关问题明确整改要求及闭环标准</w:t>
      </w:r>
    </w:p>
    <w:p w14:paraId="0DA1163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施工过程中形成的设计变更、技术洽商、现场勘查记录等资料应系统整理，与原勘察、设计文件一并归档，作为工程竣工结算及后续运行维护的技术依据。</w:t>
      </w:r>
    </w:p>
    <w:p w14:paraId="4A4C0FBC">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73" w:name="_Toc22528"/>
      <w:bookmarkStart w:id="74" w:name="_Toc4234"/>
      <w:bookmarkStart w:id="75" w:name="_Toc14217"/>
      <w:r>
        <w:rPr>
          <w:rFonts w:hint="eastAsia" w:ascii="黑体" w:hAnsi="Times New Roman" w:eastAsia="黑体" w:cs="Times New Roman"/>
          <w:sz w:val="21"/>
          <w:lang w:val="en-US" w:eastAsia="zh-CN" w:bidi="ar-SA"/>
        </w:rPr>
        <w:t>施工建设期</w:t>
      </w:r>
      <w:bookmarkEnd w:id="73"/>
      <w:bookmarkEnd w:id="74"/>
      <w:bookmarkEnd w:id="75"/>
      <w:r>
        <w:rPr>
          <w:rFonts w:hint="eastAsia" w:ascii="黑体" w:hAnsi="Times New Roman" w:eastAsia="黑体" w:cs="Times New Roman"/>
          <w:sz w:val="21"/>
          <w:lang w:val="en-US" w:eastAsia="zh-CN" w:bidi="ar-SA"/>
        </w:rPr>
        <w:t>评价</w:t>
      </w:r>
    </w:p>
    <w:p w14:paraId="7F5AEB61">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76" w:name="_Toc15286"/>
      <w:r>
        <w:rPr>
          <w:rFonts w:hint="eastAsia" w:ascii="黑体" w:hAnsi="Times New Roman" w:eastAsia="黑体" w:cs="Times New Roman"/>
          <w:sz w:val="21"/>
          <w:lang w:val="en-US" w:eastAsia="zh-CN" w:bidi="ar-SA"/>
        </w:rPr>
        <w:t>检查评价应具备条件</w:t>
      </w:r>
      <w:bookmarkEnd w:id="76"/>
    </w:p>
    <w:p w14:paraId="5EB5C06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无工程技术</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检查计划时，施工建设期各阶段技术</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检查应具备的条件按照火电监检大纲各阶段应具备条件要求执行；</w:t>
      </w:r>
    </w:p>
    <w:p w14:paraId="6B14DCBE">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有工程技术</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检查计划时，应根据火电监检大纲各阶段应具备的条件要求和工程建设实际情况，合理确定</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检查阶段。进度相近的</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检查阶段可合并进行，合并相应部分的检查内容不得简化、省略或替代。</w:t>
      </w:r>
    </w:p>
    <w:p w14:paraId="16DBBACF">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检查评价一般要求</w:t>
      </w:r>
    </w:p>
    <w:p w14:paraId="75F3CDAD">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工程所用原材料、半成品、构(配)件、设备等产品，应符合设计要求和现行国家有关标准的规定。不得使用国家明令禁止和淘汰的建筑材料和建筑设备。</w:t>
      </w:r>
    </w:p>
    <w:p w14:paraId="22D0BF5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火力发电厂土建工程质量验收范围按机组、系统、单位(子单位)工程、分部(子分部)工程、分项工程和检验批进行划分。</w:t>
      </w:r>
    </w:p>
    <w:p w14:paraId="31F6E5D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工程质量验收的程序、组织和记录应符合DLT5210.1规定</w:t>
      </w:r>
    </w:p>
    <w:p w14:paraId="05B0AE0B">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当工程由分包单位施工时，分包单位对所承包的工程项目应按质量验收的程序开展自检，总包单位应负责组织验收。</w:t>
      </w:r>
    </w:p>
    <w:p w14:paraId="4F573723">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从事现场工程质量检测的第三方检测机构应由其建设单位进行委托，检测项目和数量应符合抽样检验要求。非建设单位委托的检测机构出具的检测报告不得作为工程质量验收依据。</w:t>
      </w:r>
    </w:p>
    <w:p w14:paraId="60AD2ECE">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施工用工器具应进行校准，使用期间应在校准有效范围内。</w:t>
      </w:r>
    </w:p>
    <w:p w14:paraId="10029ECB">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工程施工方案及作业指导书编制报审和各专业技术交底实施。</w:t>
      </w:r>
    </w:p>
    <w:p w14:paraId="6F41CD99">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工程施工绿色施工方案编制报审和分阶段绿色施工方案实施。</w:t>
      </w:r>
    </w:p>
    <w:p w14:paraId="6077F122">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77" w:name="_Toc11611"/>
      <w:r>
        <w:rPr>
          <w:rFonts w:hint="eastAsia" w:ascii="黑体" w:hAnsi="Times New Roman" w:eastAsia="黑体" w:cs="Times New Roman"/>
          <w:sz w:val="21"/>
          <w:lang w:val="en-US" w:eastAsia="zh-CN" w:bidi="ar-SA"/>
        </w:rPr>
        <w:t>施工建设期各阶段原材料验收</w:t>
      </w:r>
      <w:bookmarkEnd w:id="77"/>
    </w:p>
    <w:p w14:paraId="730F8504">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工程采用的主要材料、半成品、成品、构配件、器具和设备应进行进场检验。涉及安全、节能、环境保护和主要使用功能的重要材料、产品应按各专业相关规定进行复验，并应经监理工程师检查认可。</w:t>
      </w:r>
    </w:p>
    <w:p w14:paraId="7B697B67">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对涉及结构安全、节能、环境保护和主要使用功能的试块、试件及材料，应按规定进行见证检验。见证检验应在建设单位或者监理单位的</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下现场取样、送检，检测试样应具有真实性和代表性。</w:t>
      </w:r>
    </w:p>
    <w:p w14:paraId="41C76593">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施工现场的材料、半成品、成品、构配件、器具和设备，在运输和储存时应采取确保其质量和性能不受影响的储存及防护措施</w:t>
      </w:r>
    </w:p>
    <w:p w14:paraId="3E12683A">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78" w:name="_Toc21382"/>
      <w:r>
        <w:rPr>
          <w:rFonts w:hint="eastAsia" w:ascii="黑体" w:hAnsi="Times New Roman" w:eastAsia="黑体" w:cs="Times New Roman"/>
          <w:sz w:val="21"/>
          <w:lang w:val="en-US" w:eastAsia="zh-CN" w:bidi="ar-SA"/>
        </w:rPr>
        <w:t>工程建设期各阶段工程质量验收</w:t>
      </w:r>
      <w:bookmarkEnd w:id="78"/>
    </w:p>
    <w:p w14:paraId="28AC7835">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施工前，应由施工单位制定单位工程、分部工程、分项工程和检验批的划分方案，并应由监理单位审核通过后实施。</w:t>
      </w:r>
    </w:p>
    <w:p w14:paraId="724EF6C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工程施工质量应符合国家现行强制性工程建设规范的规定，并应符合工程勘察设计文件的要求和合同约定。</w:t>
      </w:r>
    </w:p>
    <w:p w14:paraId="00030163">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应建立工程质量信息公示制度。工程竣工验收合格后，建设单位应在建 (构)筑物的明显位置设置有关工程质量责任主体的永久性标牌。</w:t>
      </w:r>
    </w:p>
    <w:p w14:paraId="5000AC6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工程资料文件的形成和积累应纳入工程建设管理的各个环节和有关人员的职责范围，全面反映工程建设活动和工程实际情况。工程资料文件应随工程建设进度同步形成。</w:t>
      </w:r>
    </w:p>
    <w:p w14:paraId="74A3B03E">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工程资料归档应由勘察、设计、施工、监理等单位将本单位形成的工程文件收集齐全、整理立卷后向建设单位移交。</w:t>
      </w:r>
    </w:p>
    <w:p w14:paraId="479F76FB">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79" w:name="_Toc16275"/>
      <w:r>
        <w:rPr>
          <w:rFonts w:hint="eastAsia" w:ascii="黑体" w:hAnsi="Times New Roman" w:eastAsia="黑体" w:cs="Times New Roman"/>
          <w:sz w:val="21"/>
          <w:lang w:val="en-US" w:eastAsia="zh-CN" w:bidi="ar-SA"/>
        </w:rPr>
        <w:t>工程建设期完成后质量保修与维护</w:t>
      </w:r>
      <w:bookmarkEnd w:id="79"/>
    </w:p>
    <w:p w14:paraId="22F78325">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建筑工程应编制工程使用说明书，并应包括下列内容；</w:t>
      </w:r>
    </w:p>
    <w:p w14:paraId="27EAECD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 工程概况；</w:t>
      </w:r>
    </w:p>
    <w:p w14:paraId="5A5FEE5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 工程设计合理使用年限、性能指标及保修期限；</w:t>
      </w:r>
    </w:p>
    <w:p w14:paraId="6E55B84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 主体结构位置示意图、房屋上下水布置示意图、房屋电气线路布置示意图及复杂设备的使用说明；</w:t>
      </w:r>
    </w:p>
    <w:p w14:paraId="6B843B0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 使用维护注意事项。</w:t>
      </w:r>
    </w:p>
    <w:p w14:paraId="1C91DABF">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建设单位应建立质量回访和质量投诉处理机制。</w:t>
      </w:r>
    </w:p>
    <w:p w14:paraId="6E42D6A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当工程在保修期内出现一般质量缺陷时，建设单位应向施工单位发出保修通知，施工单位应进行现场勘察、制定保修方案，并及时进行修复。</w:t>
      </w:r>
    </w:p>
    <w:p w14:paraId="363841BB">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当工程在保修期内出现涉及结构安全或影响使用功能的严重质量缺陷时，应由原设计单位或相应资质等级的设计单位提出保修设计方案，施工单位实施保修。保修完成后，工程应符合原设计要求。</w:t>
      </w:r>
    </w:p>
    <w:p w14:paraId="240CE09D">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建设单位、施工单位或受委托的其他单位在保修期内应明确保修和质量投诉受理部门、人员及联系方式，并建立相关工作记录文件。</w:t>
      </w:r>
    </w:p>
    <w:p w14:paraId="2D7AB21F">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80" w:name="_Toc4724"/>
      <w:r>
        <w:rPr>
          <w:rFonts w:hint="eastAsia" w:ascii="黑体" w:hAnsi="Times New Roman" w:eastAsia="黑体" w:cs="Times New Roman"/>
          <w:sz w:val="21"/>
          <w:lang w:val="en-US" w:eastAsia="zh-CN" w:bidi="ar-SA"/>
        </w:rPr>
        <w:t>工程测量</w:t>
      </w:r>
      <w:bookmarkEnd w:id="80"/>
      <w:r>
        <w:rPr>
          <w:rFonts w:hint="eastAsia" w:ascii="黑体" w:hAnsi="Times New Roman" w:eastAsia="黑体" w:cs="Times New Roman"/>
          <w:sz w:val="21"/>
          <w:lang w:val="en-US" w:eastAsia="zh-CN" w:bidi="ar-SA"/>
        </w:rPr>
        <w:t>检查评价</w:t>
      </w:r>
    </w:p>
    <w:p w14:paraId="0E13DC7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检测设备、计量工器具配置满足需要，经检定（校准）合格且在有效期内。</w:t>
      </w:r>
    </w:p>
    <w:p w14:paraId="03DB581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测量定位基准点验收合格，厂区平面控制网、高程控制网、主要建（构）筑物控制桩复测报告齐全，桩位保护措施有效。</w:t>
      </w:r>
    </w:p>
    <w:p w14:paraId="04ED112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变形监测</w:t>
      </w:r>
      <w:r>
        <w:rPr>
          <w:rFonts w:hint="eastAsia" w:ascii="宋体" w:hAnsi="Times New Roman" w:cs="Times New Roman"/>
          <w:sz w:val="21"/>
          <w:lang w:val="en-US" w:eastAsia="zh-CN" w:bidi="ar-SA"/>
        </w:rPr>
        <w:t>的一般要求：</w:t>
      </w:r>
    </w:p>
    <w:p w14:paraId="7DE7C7D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建设工程施工和使用期间进行变形监测时，应根据项目合同要求，通过项目技术设计对监测内容、监测精度、监测频率、变形预警值、变形速率阈值等作出规定。当监测对象对周边道路、地面、管线及其他对象产生影响时，应将受影响的对象纳入监测中。</w:t>
      </w:r>
    </w:p>
    <w:p w14:paraId="4A3EE4B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2）对多期变形监测项目，每期监测后应提交本期及累计监测数据。全部监测完成后，除应提交各期监测数据及累计监测数据外，尚应提交项目技术报告。</w:t>
      </w:r>
    </w:p>
    <w:p w14:paraId="75DFDEFB">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81" w:name="_Toc31909"/>
      <w:r>
        <w:rPr>
          <w:rFonts w:hint="eastAsia" w:ascii="黑体" w:hAnsi="Times New Roman" w:eastAsia="黑体" w:cs="Times New Roman"/>
          <w:sz w:val="21"/>
          <w:lang w:val="en-US" w:eastAsia="zh-CN" w:bidi="ar-SA"/>
        </w:rPr>
        <w:t>地基基础工程</w:t>
      </w:r>
      <w:bookmarkEnd w:id="81"/>
      <w:r>
        <w:rPr>
          <w:rFonts w:hint="eastAsia" w:ascii="黑体" w:hAnsi="Times New Roman" w:eastAsia="黑体" w:cs="Times New Roman"/>
          <w:sz w:val="21"/>
          <w:lang w:val="en-US" w:eastAsia="zh-CN" w:bidi="ar-SA"/>
        </w:rPr>
        <w:t>检查评价</w:t>
      </w:r>
    </w:p>
    <w:p w14:paraId="1D613B3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换填垫层地基</w:t>
      </w:r>
      <w:r>
        <w:rPr>
          <w:rFonts w:hint="eastAsia" w:ascii="宋体" w:hAnsi="Times New Roman" w:cs="Times New Roman"/>
          <w:sz w:val="21"/>
          <w:lang w:val="en-US" w:eastAsia="zh-CN" w:bidi="ar-SA"/>
        </w:rPr>
        <w:t>工程质量的一般要求：</w:t>
      </w:r>
      <w:r>
        <w:rPr>
          <w:rFonts w:hint="eastAsia" w:ascii="宋体" w:hAnsi="Times New Roman" w:eastAsia="宋体" w:cs="Times New Roman"/>
          <w:sz w:val="21"/>
          <w:lang w:val="en-US" w:eastAsia="zh-CN" w:bidi="ar-SA"/>
        </w:rPr>
        <w:tab/>
      </w:r>
    </w:p>
    <w:p w14:paraId="178CF659">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1）地基验槽满足设计要求，验收记录齐全。</w:t>
      </w:r>
      <w:r>
        <w:rPr>
          <w:rFonts w:hint="eastAsia" w:ascii="Times New Roman" w:hAnsi="Times New Roman" w:eastAsia="宋体" w:cs="Times New Roman"/>
          <w:sz w:val="21"/>
          <w:lang w:val="en-US" w:eastAsia="zh-CN" w:bidi="ar-SA"/>
        </w:rPr>
        <w:tab/>
      </w:r>
    </w:p>
    <w:p w14:paraId="54DDA7F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2）砂石、粉质黏土、灰土、矿渣、粉煤灰、土工合成材料等换填垫层材料性能满足设计要求，质量证明文件齐全。</w:t>
      </w:r>
      <w:r>
        <w:rPr>
          <w:rFonts w:hint="eastAsia" w:ascii="Times New Roman" w:hAnsi="Times New Roman" w:eastAsia="宋体" w:cs="Times New Roman"/>
          <w:sz w:val="21"/>
          <w:lang w:val="en-US" w:eastAsia="zh-CN" w:bidi="ar-SA"/>
        </w:rPr>
        <w:tab/>
      </w:r>
    </w:p>
    <w:p w14:paraId="34AA1B86">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3）换填已进行分层检验，压实系数满足设计要求。</w:t>
      </w:r>
      <w:r>
        <w:rPr>
          <w:rFonts w:hint="eastAsia" w:ascii="Times New Roman" w:hAnsi="Times New Roman" w:eastAsia="宋体" w:cs="Times New Roman"/>
          <w:sz w:val="21"/>
          <w:lang w:val="en-US" w:eastAsia="zh-CN" w:bidi="ar-SA"/>
        </w:rPr>
        <w:tab/>
      </w:r>
    </w:p>
    <w:p w14:paraId="0B6D070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4）承载力检测结果满足设计要求。</w:t>
      </w:r>
      <w:r>
        <w:rPr>
          <w:rFonts w:hint="eastAsia" w:ascii="Times New Roman" w:hAnsi="Times New Roman" w:eastAsia="宋体" w:cs="Times New Roman"/>
          <w:sz w:val="21"/>
          <w:lang w:val="en-US" w:eastAsia="zh-CN" w:bidi="ar-SA"/>
        </w:rPr>
        <w:tab/>
      </w:r>
    </w:p>
    <w:p w14:paraId="22FD83D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5）施工质量的检验项目、方法、数量符合标准规定，质量验收记录齐全。</w:t>
      </w:r>
      <w:r>
        <w:rPr>
          <w:rFonts w:hint="eastAsia" w:ascii="Times New Roman" w:hAnsi="Times New Roman" w:eastAsia="宋体" w:cs="Times New Roman"/>
          <w:sz w:val="21"/>
          <w:lang w:val="en-US" w:eastAsia="zh-CN" w:bidi="ar-SA"/>
        </w:rPr>
        <w:tab/>
      </w:r>
    </w:p>
    <w:p w14:paraId="7348CEDF">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天然地基与处理地基</w:t>
      </w:r>
      <w:r>
        <w:rPr>
          <w:rFonts w:hint="eastAsia" w:ascii="宋体" w:hAnsi="Times New Roman" w:cs="Times New Roman"/>
          <w:sz w:val="21"/>
          <w:lang w:val="en-US" w:eastAsia="zh-CN" w:bidi="ar-SA"/>
        </w:rPr>
        <w:t>工程质量的一般要求：</w:t>
      </w:r>
      <w:r>
        <w:rPr>
          <w:rFonts w:hint="eastAsia" w:ascii="宋体" w:hAnsi="Times New Roman" w:eastAsia="宋体" w:cs="Times New Roman"/>
          <w:sz w:val="21"/>
          <w:lang w:val="en-US" w:eastAsia="zh-CN" w:bidi="ar-SA"/>
        </w:rPr>
        <w:tab/>
      </w:r>
    </w:p>
    <w:p w14:paraId="3D5D654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1）地基设计应符合下列规定：</w:t>
      </w:r>
      <w:r>
        <w:rPr>
          <w:rFonts w:hint="eastAsia" w:ascii="Times New Roman" w:hAnsi="Times New Roman" w:eastAsia="宋体" w:cs="Times New Roman"/>
          <w:sz w:val="21"/>
          <w:lang w:val="en-US" w:eastAsia="zh-CN" w:bidi="ar-SA"/>
        </w:rPr>
        <w:tab/>
      </w:r>
      <w:r>
        <w:rPr>
          <w:rFonts w:hint="eastAsia" w:ascii="Times New Roman" w:hAnsi="Times New Roman" w:eastAsia="宋体" w:cs="Times New Roman"/>
          <w:sz w:val="21"/>
          <w:lang w:val="en-US" w:eastAsia="zh-CN" w:bidi="ar-SA"/>
        </w:rPr>
        <w:t>地基计算均应满足承载力计算的要求；对地基变形有控制要求的工程结构，均应按地基变形设计；对受水平荷载作用的工程结构或位于斜坡上的工程结构，应进行地基稳定性验算。</w:t>
      </w:r>
    </w:p>
    <w:p w14:paraId="237F6FD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2）地基基槽（坑）开挖到设计标高后，应进行基槽（坑）检验。</w:t>
      </w:r>
      <w:r>
        <w:rPr>
          <w:rFonts w:hint="eastAsia" w:ascii="Times New Roman" w:hAnsi="Times New Roman" w:eastAsia="宋体" w:cs="Times New Roman"/>
          <w:sz w:val="21"/>
          <w:lang w:val="en-US" w:eastAsia="zh-CN" w:bidi="ar-SA"/>
        </w:rPr>
        <w:tab/>
      </w:r>
    </w:p>
    <w:p w14:paraId="6AE20A8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处理后的地基应进行地基承载力和变形评价、处理范围和有效加固深度内地基均匀性评价。复合地基应进行增强体强度及桩身完整性和单桩竖向承载力检验以及单桩或多桩复合地基载荷试验，施工工艺对桩间土承载力有影响时尚应进行桩间土承载力检验。</w:t>
      </w:r>
      <w:r>
        <w:rPr>
          <w:rFonts w:hint="eastAsia" w:ascii="Times New Roman" w:hAnsi="Times New Roman" w:eastAsia="宋体" w:cs="Times New Roman"/>
          <w:sz w:val="21"/>
          <w:lang w:val="en-US" w:eastAsia="zh-CN" w:bidi="ar-SA"/>
        </w:rPr>
        <w:tab/>
      </w:r>
    </w:p>
    <w:p w14:paraId="5372034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特殊性岩土地基</w:t>
      </w:r>
      <w:r>
        <w:rPr>
          <w:rFonts w:hint="eastAsia" w:ascii="宋体" w:hAnsi="Times New Roman" w:cs="Times New Roman"/>
          <w:sz w:val="21"/>
          <w:lang w:val="en-US" w:eastAsia="zh-CN" w:bidi="ar-SA"/>
        </w:rPr>
        <w:t>工程质量的一般要求：</w:t>
      </w:r>
    </w:p>
    <w:p w14:paraId="3FF315A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1）膨胀土地区建(构)筑物的基础埋置深度不应小于1m。膨胀土地基稳定性验算时应计取水平膨胀力的作用。膨胀土地区建(构)筑物应采取预防胀缩变形的地基基础措施、建筑措施与结构措施。</w:t>
      </w:r>
      <w:r>
        <w:rPr>
          <w:rFonts w:hint="eastAsia" w:ascii="Times New Roman" w:hAnsi="Times New Roman" w:eastAsia="宋体" w:cs="Times New Roman"/>
          <w:sz w:val="21"/>
          <w:lang w:val="en-US" w:eastAsia="zh-CN" w:bidi="ar-SA"/>
        </w:rPr>
        <w:tab/>
      </w:r>
    </w:p>
    <w:p w14:paraId="74CE76DB">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湿陷性黄土地基的湿陷变形、压缩变形或承载力不能满足设计要求时，应针对不同土质条件和建筑物的类别以及湿陷性黄土地基的湿陷变形、压缩变形和承载力设计等要求，采用相应的建筑措施、结构措施、地基处理和防水处理措施。</w:t>
      </w:r>
      <w:r>
        <w:rPr>
          <w:rFonts w:hint="eastAsia" w:ascii="Times New Roman" w:hAnsi="Times New Roman" w:eastAsia="宋体" w:cs="Times New Roman"/>
          <w:sz w:val="21"/>
          <w:lang w:val="en-US" w:eastAsia="zh-CN" w:bidi="ar-SA"/>
        </w:rPr>
        <w:tab/>
      </w:r>
    </w:p>
    <w:p w14:paraId="4E382E7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多年冻土地基设计时，应保证建筑物正常使用期间冻土地基的地温保持在允许范围内。多年冻土地基承载力计算时，应计入地基土的温度影响。地基的热工计算应包括地温特征值计算、地基冻结深度计算、地基融化深度计算等。建筑场地应设置排水措施，对按冻结状态设计的地基，冬季应及时清除积雪；供热与给水管道应采取隔热措施。</w:t>
      </w:r>
      <w:r>
        <w:rPr>
          <w:rFonts w:hint="eastAsia" w:ascii="Times New Roman" w:hAnsi="Times New Roman" w:eastAsia="宋体" w:cs="Times New Roman"/>
          <w:sz w:val="21"/>
          <w:lang w:val="en-US" w:eastAsia="zh-CN" w:bidi="ar-SA"/>
        </w:rPr>
        <w:tab/>
      </w:r>
    </w:p>
    <w:p w14:paraId="504CADE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4）当地基土为欠固结土、湿陷性黄土、可液化土等特殊性岩土时，复合地基设计采用的增强体和施工工艺，应满足处理后地基土和增强体共同承担荷载的技术要求。</w:t>
      </w:r>
      <w:r>
        <w:rPr>
          <w:rFonts w:hint="eastAsia" w:ascii="Times New Roman" w:hAnsi="Times New Roman" w:eastAsia="宋体" w:cs="Times New Roman"/>
          <w:sz w:val="21"/>
          <w:lang w:val="en-US" w:eastAsia="zh-CN" w:bidi="ar-SA"/>
        </w:rPr>
        <w:tab/>
      </w:r>
    </w:p>
    <w:p w14:paraId="4EA80E3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当利用压实填土作为建筑工程的地基持力层时，在平整场地前，应根据结构类型、填料性能和现场条件等，对拟压实的填土提出质量要求。未经检验查明以及不符合质量要求的压实填土，均不得作为建筑工程的地基持力层。</w:t>
      </w:r>
      <w:r>
        <w:rPr>
          <w:rFonts w:hint="eastAsia" w:ascii="Times New Roman" w:hAnsi="Times New Roman" w:eastAsia="宋体" w:cs="Times New Roman"/>
          <w:sz w:val="21"/>
          <w:lang w:val="en-US" w:eastAsia="zh-CN" w:bidi="ar-SA"/>
        </w:rPr>
        <w:tab/>
      </w:r>
    </w:p>
    <w:p w14:paraId="7A52AD2F">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压实地基</w:t>
      </w:r>
      <w:r>
        <w:rPr>
          <w:rFonts w:hint="eastAsia" w:ascii="宋体" w:hAnsi="Times New Roman" w:cs="Times New Roman"/>
          <w:sz w:val="21"/>
          <w:lang w:val="en-US" w:eastAsia="zh-CN" w:bidi="ar-SA"/>
        </w:rPr>
        <w:t>工程质量的一般要求：</w:t>
      </w:r>
    </w:p>
    <w:p w14:paraId="1E11278A">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1）现场试验性施工，确定了碾压分层厚度、碾压遍数、碾压范围和有效加固深度等施工参数和压实地基施工方法。</w:t>
      </w:r>
      <w:r>
        <w:rPr>
          <w:rFonts w:hint="eastAsia" w:ascii="Times New Roman" w:hAnsi="Times New Roman" w:eastAsia="宋体" w:cs="Times New Roman"/>
          <w:sz w:val="21"/>
          <w:lang w:val="en-US" w:eastAsia="zh-CN" w:bidi="ar-SA"/>
        </w:rPr>
        <w:tab/>
      </w:r>
    </w:p>
    <w:p w14:paraId="0EF7B6D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2）压实土性能指标满足设计要求。</w:t>
      </w:r>
      <w:r>
        <w:rPr>
          <w:rFonts w:hint="eastAsia" w:ascii="Times New Roman" w:hAnsi="Times New Roman" w:eastAsia="宋体" w:cs="Times New Roman"/>
          <w:sz w:val="21"/>
          <w:lang w:val="en-US" w:eastAsia="zh-CN" w:bidi="ar-SA"/>
        </w:rPr>
        <w:tab/>
      </w:r>
    </w:p>
    <w:p w14:paraId="113AE2F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3）承载力检测结果满足设计要求。</w:t>
      </w:r>
      <w:r>
        <w:rPr>
          <w:rFonts w:hint="eastAsia" w:ascii="Times New Roman" w:hAnsi="Times New Roman" w:eastAsia="宋体" w:cs="Times New Roman"/>
          <w:sz w:val="21"/>
          <w:lang w:val="en-US" w:eastAsia="zh-CN" w:bidi="ar-SA"/>
        </w:rPr>
        <w:tab/>
      </w:r>
    </w:p>
    <w:p w14:paraId="553D92A7">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4）施工质量的检验项目、方法、数量符合标准规定，质量验收记录齐全。</w:t>
      </w:r>
      <w:r>
        <w:rPr>
          <w:rFonts w:hint="eastAsia" w:ascii="Times New Roman" w:hAnsi="Times New Roman" w:eastAsia="宋体" w:cs="Times New Roman"/>
          <w:sz w:val="21"/>
          <w:lang w:val="en-US" w:eastAsia="zh-CN" w:bidi="ar-SA"/>
        </w:rPr>
        <w:tab/>
      </w:r>
    </w:p>
    <w:p w14:paraId="2047A61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基础</w:t>
      </w:r>
      <w:r>
        <w:rPr>
          <w:rFonts w:hint="eastAsia" w:ascii="宋体" w:hAnsi="Times New Roman" w:cs="Times New Roman"/>
          <w:sz w:val="21"/>
          <w:lang w:val="en-US" w:eastAsia="zh-CN" w:bidi="ar-SA"/>
        </w:rPr>
        <w:t>工程质量的一般要求：</w:t>
      </w:r>
    </w:p>
    <w:p w14:paraId="731CCE0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1）基础的埋置深度应满足地基承载力、变形和稳定性要求。位于岩石地基上的工程结构，其基础埋深应满足抗滑稳定性要求。</w:t>
      </w:r>
      <w:r>
        <w:rPr>
          <w:rFonts w:hint="eastAsia" w:ascii="Times New Roman" w:hAnsi="Times New Roman" w:eastAsia="宋体" w:cs="Times New Roman"/>
          <w:sz w:val="21"/>
          <w:lang w:val="en-US" w:eastAsia="zh-CN" w:bidi="ar-SA"/>
        </w:rPr>
        <w:tab/>
      </w:r>
    </w:p>
    <w:p w14:paraId="571C457E">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2）混凝土基础应进行受冲切承载力、受剪切承载力、受弯承载力和局部受压承载力计算。</w:t>
      </w:r>
      <w:r>
        <w:rPr>
          <w:rFonts w:hint="eastAsia" w:ascii="Times New Roman" w:hAnsi="Times New Roman" w:eastAsia="宋体" w:cs="Times New Roman"/>
          <w:sz w:val="21"/>
          <w:lang w:val="en-US" w:eastAsia="zh-CN" w:bidi="ar-SA"/>
        </w:rPr>
        <w:tab/>
      </w:r>
    </w:p>
    <w:p w14:paraId="67978B2A">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3）受地下水浮力作用的建筑与市政工程应满足抗浮稳定性要求。抗浮结构及构件、抗浮设施的设计工作年限不应低于工程结构的设计工作年限。</w:t>
      </w:r>
      <w:r>
        <w:rPr>
          <w:rFonts w:hint="eastAsia" w:ascii="Times New Roman" w:hAnsi="Times New Roman" w:eastAsia="宋体" w:cs="Times New Roman"/>
          <w:sz w:val="21"/>
          <w:lang w:val="en-US" w:eastAsia="zh-CN" w:bidi="ar-SA"/>
        </w:rPr>
        <w:tab/>
      </w:r>
    </w:p>
    <w:p w14:paraId="181FEA7A">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4）基础用混凝土、钢筋及其锚固连接，基础构造等应满足其所处场地环境类别中的耐久性要求。工程抗浮结构及构件应满足其所处场地环境类别中的耐久性要求。</w:t>
      </w:r>
      <w:r>
        <w:rPr>
          <w:rFonts w:hint="eastAsia" w:ascii="Times New Roman" w:hAnsi="Times New Roman" w:eastAsia="宋体" w:cs="Times New Roman"/>
          <w:sz w:val="21"/>
          <w:lang w:val="en-US" w:eastAsia="zh-CN" w:bidi="ar-SA"/>
        </w:rPr>
        <w:tab/>
      </w:r>
    </w:p>
    <w:p w14:paraId="766D050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基坑</w:t>
      </w:r>
      <w:r>
        <w:rPr>
          <w:rFonts w:hint="eastAsia" w:ascii="宋体" w:hAnsi="Times New Roman" w:cs="Times New Roman"/>
          <w:sz w:val="21"/>
          <w:lang w:val="en-US" w:eastAsia="zh-CN" w:bidi="ar-SA"/>
        </w:rPr>
        <w:t>工程质量的一般要求：</w:t>
      </w:r>
    </w:p>
    <w:p w14:paraId="725CB02E">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1）基坑支护结构应按承载能力极限状态和正常使用极限状态进行设计。</w:t>
      </w:r>
      <w:r>
        <w:rPr>
          <w:rFonts w:hint="eastAsia" w:ascii="Times New Roman" w:hAnsi="Times New Roman" w:eastAsia="宋体" w:cs="Times New Roman"/>
          <w:sz w:val="21"/>
          <w:lang w:val="en-US" w:eastAsia="zh-CN" w:bidi="ar-SA"/>
        </w:rPr>
        <w:tab/>
      </w:r>
    </w:p>
    <w:p w14:paraId="17D3F861">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基坑支护结构进行承载能力极限状态设计的计算应包括下列内容：根据基坑支护形式及其受力特点进行基坑稳定性验算；基坑支护结构的受压、受弯、受剪、受扭承载力计算；当有锚杆或支撑时，应对其进行承载力计算和稳定性验算。</w:t>
      </w:r>
    </w:p>
    <w:p w14:paraId="408CACB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3）对于支护结构安全等级为一级、二级的基坑工程，应对支护结构变形及基坑周边土体的变形进行计算，并应进行周边环境影响的分析评价。</w:t>
      </w:r>
      <w:r>
        <w:rPr>
          <w:rFonts w:hint="eastAsia" w:ascii="Times New Roman" w:hAnsi="Times New Roman" w:eastAsia="宋体" w:cs="Times New Roman"/>
          <w:sz w:val="21"/>
          <w:lang w:val="en-US" w:eastAsia="zh-CN" w:bidi="ar-SA"/>
        </w:rPr>
        <w:tab/>
      </w:r>
    </w:p>
    <w:p w14:paraId="6212123E">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4）基坑开挖与支护结构施工、基坑工程监测应严格按设计要求进行，并应实施动态设计和信息化施工。</w:t>
      </w:r>
      <w:r>
        <w:rPr>
          <w:rFonts w:hint="eastAsia" w:ascii="Times New Roman" w:hAnsi="Times New Roman" w:eastAsia="宋体" w:cs="Times New Roman"/>
          <w:sz w:val="21"/>
          <w:lang w:val="en-US" w:eastAsia="zh-CN" w:bidi="ar-SA"/>
        </w:rPr>
        <w:tab/>
      </w:r>
    </w:p>
    <w:p w14:paraId="0DCE428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5）安全等级为一级、二级的支护结构，在基坑开挖过程与支护结构使用期内，必须进行支护结构的水平位移监测和基坑开挖影响范围内建(构)筑物、地面的沉降监测。</w:t>
      </w:r>
      <w:r>
        <w:rPr>
          <w:rFonts w:hint="eastAsia" w:ascii="Times New Roman" w:hAnsi="Times New Roman" w:eastAsia="宋体" w:cs="Times New Roman"/>
          <w:sz w:val="21"/>
          <w:lang w:val="en-US" w:eastAsia="zh-CN" w:bidi="ar-SA"/>
        </w:rPr>
        <w:tab/>
      </w:r>
    </w:p>
    <w:p w14:paraId="1BEF327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边坡工程</w:t>
      </w:r>
      <w:r>
        <w:rPr>
          <w:rFonts w:hint="eastAsia" w:ascii="宋体" w:hAnsi="Times New Roman" w:cs="Times New Roman"/>
          <w:sz w:val="21"/>
          <w:lang w:val="en-US" w:eastAsia="zh-CN" w:bidi="ar-SA"/>
        </w:rPr>
        <w:t>质量的一般要求：</w:t>
      </w:r>
    </w:p>
    <w:p w14:paraId="4413DBE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边坡工程设计应符合下列规定：边坡设计应兼顾治理和保护边坡环境，边坡应结合地表水与地下水分布特点，因势利导设置边坡排水系统；边坡坡面应结合植被生态恢复与绿化景观需要，选择坡面防护构造；应根据边坡类型、边坡环境、边坡高度及影响范围等，选择支挡结构形式。</w:t>
      </w:r>
    </w:p>
    <w:p w14:paraId="14E2E1C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2）边坡工程设计应根据不同的工况进行整体稳定性分析与验算。永久性边坡支挡结构及构件、坡面排水设施、地下排水设施等应满足其所处场地环境类别中的耐久性要求。</w:t>
      </w:r>
      <w:r>
        <w:rPr>
          <w:rFonts w:hint="eastAsia" w:ascii="Times New Roman" w:hAnsi="Times New Roman" w:eastAsia="宋体" w:cs="Times New Roman"/>
          <w:sz w:val="21"/>
          <w:lang w:val="en-US" w:eastAsia="zh-CN" w:bidi="ar-SA"/>
        </w:rPr>
        <w:tab/>
      </w:r>
    </w:p>
    <w:p w14:paraId="00D3A2A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在建设场区内，对可能因施工或其他因素诱发滑坡、崩塌等地质灾害的区域，应采取预防措施。对具有发展趋势并威胁建(构)筑物、地下管线、道路等市政设施安全使用的滑坡与崩塌，应采取处置措施消除隐患。</w:t>
      </w:r>
      <w:r>
        <w:rPr>
          <w:rFonts w:hint="eastAsia" w:ascii="Times New Roman" w:hAnsi="Times New Roman" w:eastAsia="宋体" w:cs="Times New Roman"/>
          <w:sz w:val="21"/>
          <w:lang w:val="en-US" w:eastAsia="zh-CN" w:bidi="ar-SA"/>
        </w:rPr>
        <w:tab/>
      </w:r>
    </w:p>
    <w:p w14:paraId="7DEFB586">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4）位于边坡塌滑区域的建(构)筑物在施工与使用期间，应对坡顶位移、地表裂缝、建(构)筑物沉降变形进行监测。永久性边坡工程竣工后的监测时间不应少于2年。</w:t>
      </w:r>
      <w:r>
        <w:rPr>
          <w:rFonts w:hint="eastAsia" w:ascii="Times New Roman" w:hAnsi="Times New Roman" w:eastAsia="宋体" w:cs="Times New Roman"/>
          <w:sz w:val="21"/>
          <w:lang w:val="en-US" w:eastAsia="zh-CN" w:bidi="ar-SA"/>
        </w:rPr>
        <w:tab/>
      </w:r>
    </w:p>
    <w:p w14:paraId="7853D7F7">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灌注桩工程</w:t>
      </w:r>
      <w:r>
        <w:rPr>
          <w:rFonts w:hint="eastAsia" w:ascii="宋体" w:hAnsi="Times New Roman" w:cs="Times New Roman"/>
          <w:sz w:val="21"/>
          <w:lang w:val="en-US" w:eastAsia="zh-CN" w:bidi="ar-SA"/>
        </w:rPr>
        <w:t>质量的一般要求：</w:t>
      </w:r>
    </w:p>
    <w:p w14:paraId="775E7FC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1）当需要提供设计参数和施工工艺参数时，应按试桩方案进行试桩确定。</w:t>
      </w:r>
      <w:r>
        <w:rPr>
          <w:rFonts w:hint="eastAsia" w:ascii="Times New Roman" w:hAnsi="Times New Roman" w:eastAsia="宋体" w:cs="Times New Roman"/>
          <w:sz w:val="21"/>
          <w:lang w:val="en-US" w:eastAsia="zh-CN" w:bidi="ar-SA"/>
        </w:rPr>
        <w:tab/>
      </w:r>
    </w:p>
    <w:p w14:paraId="5E126B3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2）灌注桩技术方案、施工方案齐全，已审批。</w:t>
      </w:r>
      <w:r>
        <w:rPr>
          <w:rFonts w:hint="eastAsia" w:ascii="Times New Roman" w:hAnsi="Times New Roman" w:eastAsia="宋体" w:cs="Times New Roman"/>
          <w:sz w:val="21"/>
          <w:lang w:val="en-US" w:eastAsia="zh-CN" w:bidi="ar-SA"/>
        </w:rPr>
        <w:tab/>
      </w:r>
    </w:p>
    <w:p w14:paraId="47ACEDA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3）钢筋、水泥、砂、石、掺合料及钢筋焊接材料等质量证明文件、现场见证取样检验报告齐全。</w:t>
      </w:r>
      <w:r>
        <w:rPr>
          <w:rFonts w:hint="eastAsia" w:ascii="Times New Roman" w:hAnsi="Times New Roman" w:eastAsia="宋体" w:cs="Times New Roman"/>
          <w:sz w:val="21"/>
          <w:lang w:val="en-US" w:eastAsia="zh-CN" w:bidi="ar-SA"/>
        </w:rPr>
        <w:tab/>
      </w:r>
    </w:p>
    <w:p w14:paraId="3CBFC0B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4）结构混凝土强度等级的选用满足工程结构的承载力、刚度及耐久性需求。</w:t>
      </w:r>
      <w:r>
        <w:rPr>
          <w:rFonts w:hint="eastAsia" w:ascii="Times New Roman" w:hAnsi="Times New Roman" w:eastAsia="宋体" w:cs="Times New Roman"/>
          <w:sz w:val="21"/>
          <w:lang w:val="en-US" w:eastAsia="zh-CN" w:bidi="ar-SA"/>
        </w:rPr>
        <w:tab/>
      </w:r>
    </w:p>
    <w:p w14:paraId="7EC7ECE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5）桩基础施工工艺与设计（施工）方案一致。</w:t>
      </w:r>
      <w:r>
        <w:rPr>
          <w:rFonts w:hint="eastAsia" w:ascii="Times New Roman" w:hAnsi="Times New Roman" w:eastAsia="宋体" w:cs="Times New Roman"/>
          <w:sz w:val="21"/>
          <w:lang w:val="en-US" w:eastAsia="zh-CN" w:bidi="ar-SA"/>
        </w:rPr>
        <w:tab/>
      </w:r>
    </w:p>
    <w:p w14:paraId="675C48F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6）人工挖孔灌注桩、干成孔灌注桩、套管成孔灌注桩、泥浆护壁钻孔灌注桩成孔的桩径、垂直度、孔底沉渣厚度及桩位的偏差符合标准规定。"</w:t>
      </w:r>
      <w:r>
        <w:rPr>
          <w:rFonts w:hint="eastAsia" w:ascii="Times New Roman" w:hAnsi="Times New Roman" w:eastAsia="宋体" w:cs="Times New Roman"/>
          <w:sz w:val="21"/>
          <w:lang w:val="en-US" w:eastAsia="zh-CN" w:bidi="ar-SA"/>
        </w:rPr>
        <w:tab/>
      </w:r>
    </w:p>
    <w:p w14:paraId="0499DF5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7）承载力检测结果满足设计要求，桩身完整性检验符合标准规定。</w:t>
      </w:r>
      <w:r>
        <w:rPr>
          <w:rFonts w:hint="eastAsia" w:ascii="Times New Roman" w:hAnsi="Times New Roman" w:eastAsia="宋体" w:cs="Times New Roman"/>
          <w:sz w:val="21"/>
          <w:lang w:val="en-US" w:eastAsia="zh-CN" w:bidi="ar-SA"/>
        </w:rPr>
        <w:tab/>
      </w:r>
    </w:p>
    <w:p w14:paraId="3A1944F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8）施工质量的检验项目、方法、数量符合标准规定，质量验收记录齐全。</w:t>
      </w:r>
      <w:r>
        <w:rPr>
          <w:rFonts w:hint="eastAsia" w:ascii="Times New Roman" w:hAnsi="Times New Roman" w:eastAsia="宋体" w:cs="Times New Roman"/>
          <w:sz w:val="21"/>
          <w:lang w:val="en-US" w:eastAsia="zh-CN" w:bidi="ar-SA"/>
        </w:rPr>
        <w:tab/>
      </w:r>
    </w:p>
    <w:p w14:paraId="3260C2C8">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预制桩工程</w:t>
      </w:r>
      <w:r>
        <w:rPr>
          <w:rFonts w:hint="eastAsia" w:ascii="宋体" w:hAnsi="Times New Roman" w:cs="Times New Roman"/>
          <w:sz w:val="21"/>
          <w:lang w:val="en-US" w:eastAsia="zh-CN" w:bidi="ar-SA"/>
        </w:rPr>
        <w:t>质量的一般要求：</w:t>
      </w:r>
      <w:r>
        <w:rPr>
          <w:rFonts w:hint="eastAsia" w:ascii="宋体" w:hAnsi="Times New Roman" w:eastAsia="宋体" w:cs="Times New Roman"/>
          <w:sz w:val="21"/>
          <w:lang w:val="en-US" w:eastAsia="zh-CN" w:bidi="ar-SA"/>
        </w:rPr>
        <w:tab/>
      </w:r>
    </w:p>
    <w:p w14:paraId="2519CB8E">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1）当需要提供设计参数和施工工艺参数时，应按试桩方案进行试桩确定。</w:t>
      </w:r>
      <w:r>
        <w:rPr>
          <w:rFonts w:hint="eastAsia" w:ascii="Times New Roman" w:hAnsi="Times New Roman" w:eastAsia="宋体" w:cs="Times New Roman"/>
          <w:sz w:val="21"/>
          <w:lang w:val="en-US" w:eastAsia="zh-CN" w:bidi="ar-SA"/>
        </w:rPr>
        <w:tab/>
      </w:r>
    </w:p>
    <w:p w14:paraId="63B4583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2）预制桩工程施工方案齐全，已审批。</w:t>
      </w:r>
      <w:r>
        <w:rPr>
          <w:rFonts w:hint="eastAsia" w:ascii="Times New Roman" w:hAnsi="Times New Roman" w:eastAsia="宋体" w:cs="Times New Roman"/>
          <w:sz w:val="21"/>
          <w:lang w:val="en-US" w:eastAsia="zh-CN" w:bidi="ar-SA"/>
        </w:rPr>
        <w:tab/>
      </w:r>
    </w:p>
    <w:p w14:paraId="7B8D592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3）桩体材料和连接材料的性能证明文件齐全。</w:t>
      </w:r>
      <w:r>
        <w:rPr>
          <w:rFonts w:hint="eastAsia" w:ascii="Times New Roman" w:hAnsi="Times New Roman" w:eastAsia="宋体" w:cs="Times New Roman"/>
          <w:sz w:val="21"/>
          <w:lang w:val="en-US" w:eastAsia="zh-CN" w:bidi="ar-SA"/>
        </w:rPr>
        <w:tab/>
      </w:r>
    </w:p>
    <w:p w14:paraId="4FF7F37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4）桩身检测、接桩接头检测合格，报告齐全。</w:t>
      </w:r>
      <w:r>
        <w:rPr>
          <w:rFonts w:hint="eastAsia" w:ascii="Times New Roman" w:hAnsi="Times New Roman" w:eastAsia="宋体" w:cs="Times New Roman"/>
          <w:sz w:val="21"/>
          <w:lang w:val="en-US" w:eastAsia="zh-CN" w:bidi="ar-SA"/>
        </w:rPr>
        <w:tab/>
      </w:r>
    </w:p>
    <w:p w14:paraId="6DAD4C5E">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5）承载力检测结果满足设计要求，桩身完整性检验符合标准规定。</w:t>
      </w:r>
      <w:r>
        <w:rPr>
          <w:rFonts w:hint="eastAsia" w:ascii="Times New Roman" w:hAnsi="Times New Roman" w:eastAsia="宋体" w:cs="Times New Roman"/>
          <w:sz w:val="21"/>
          <w:lang w:val="en-US" w:eastAsia="zh-CN" w:bidi="ar-SA"/>
        </w:rPr>
        <w:tab/>
      </w:r>
    </w:p>
    <w:p w14:paraId="0AFB361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6）静压桩、锤击桩施工工艺与设计（施工）方案一致。</w:t>
      </w:r>
      <w:r>
        <w:rPr>
          <w:rFonts w:hint="eastAsia" w:ascii="Times New Roman" w:hAnsi="Times New Roman" w:eastAsia="宋体" w:cs="Times New Roman"/>
          <w:sz w:val="21"/>
          <w:lang w:val="en-US" w:eastAsia="zh-CN" w:bidi="ar-SA"/>
        </w:rPr>
        <w:tab/>
      </w:r>
    </w:p>
    <w:p w14:paraId="0E95FE3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7）施工质量的检验项目、方法、数量符合标准规定，质量验收记录齐全。</w:t>
      </w:r>
      <w:r>
        <w:rPr>
          <w:rFonts w:hint="eastAsia" w:ascii="Times New Roman" w:hAnsi="Times New Roman" w:eastAsia="宋体" w:cs="Times New Roman"/>
          <w:sz w:val="21"/>
          <w:lang w:val="en-US" w:eastAsia="zh-CN" w:bidi="ar-SA"/>
        </w:rPr>
        <w:tab/>
      </w:r>
    </w:p>
    <w:p w14:paraId="01B95714">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冻土地基</w:t>
      </w:r>
      <w:r>
        <w:rPr>
          <w:rFonts w:hint="eastAsia" w:ascii="宋体" w:hAnsi="Times New Roman" w:cs="Times New Roman"/>
          <w:sz w:val="21"/>
          <w:lang w:val="en-US" w:eastAsia="zh-CN" w:bidi="ar-SA"/>
        </w:rPr>
        <w:t>工程质量的一般要求：</w:t>
      </w:r>
    </w:p>
    <w:p w14:paraId="2E658C7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1）所用热棒、通风管管材、保温隔热材料，产品质量证明文件齐全，复试合格。</w:t>
      </w:r>
      <w:r>
        <w:rPr>
          <w:rFonts w:hint="eastAsia" w:ascii="Times New Roman" w:hAnsi="Times New Roman" w:eastAsia="宋体" w:cs="Times New Roman"/>
          <w:sz w:val="21"/>
          <w:lang w:val="en-US" w:eastAsia="zh-CN" w:bidi="ar-SA"/>
        </w:rPr>
        <w:tab/>
      </w:r>
    </w:p>
    <w:p w14:paraId="6FD02077">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2）热棒、通风管、保温隔热材料施工记录齐全，记录数据和实际相符。</w:t>
      </w:r>
      <w:r>
        <w:rPr>
          <w:rFonts w:hint="eastAsia" w:ascii="Times New Roman" w:hAnsi="Times New Roman" w:eastAsia="宋体" w:cs="Times New Roman"/>
          <w:sz w:val="21"/>
          <w:lang w:val="en-US" w:eastAsia="zh-CN" w:bidi="ar-SA"/>
        </w:rPr>
        <w:tab/>
      </w:r>
    </w:p>
    <w:p w14:paraId="0BB939D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3）地温观测孔及变形监测点设置符合标准规定。</w:t>
      </w:r>
      <w:r>
        <w:rPr>
          <w:rFonts w:hint="eastAsia" w:ascii="Times New Roman" w:hAnsi="Times New Roman" w:eastAsia="宋体" w:cs="Times New Roman"/>
          <w:sz w:val="21"/>
          <w:lang w:val="en-US" w:eastAsia="zh-CN" w:bidi="ar-SA"/>
        </w:rPr>
        <w:tab/>
      </w:r>
    </w:p>
    <w:p w14:paraId="75DB3F8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4）季节性冻土、多年冻土地基融沉和承载力检测结果满足设计要求。</w:t>
      </w:r>
      <w:r>
        <w:rPr>
          <w:rFonts w:hint="eastAsia" w:ascii="Times New Roman" w:hAnsi="Times New Roman" w:eastAsia="宋体" w:cs="Times New Roman"/>
          <w:sz w:val="21"/>
          <w:lang w:val="en-US" w:eastAsia="zh-CN" w:bidi="ar-SA"/>
        </w:rPr>
        <w:tab/>
      </w:r>
    </w:p>
    <w:p w14:paraId="4C940380">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82" w:name="_Toc24006"/>
      <w:r>
        <w:rPr>
          <w:rFonts w:hint="eastAsia" w:ascii="黑体" w:hAnsi="Times New Roman" w:eastAsia="黑体" w:cs="Times New Roman"/>
          <w:sz w:val="21"/>
          <w:lang w:val="en-US" w:eastAsia="zh-CN" w:bidi="ar-SA"/>
        </w:rPr>
        <w:t>混凝土结构工程检查评价</w:t>
      </w:r>
      <w:bookmarkEnd w:id="82"/>
    </w:p>
    <w:p w14:paraId="26BADB4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钢筋、焊接材料、机械连接件质量证明文件齐全；自拌混凝土配合比符合设计要求、原材料检验报告齐全；现场见证取样检验合格，报告齐全；预拌混凝土质量证明文件完整齐全。</w:t>
      </w:r>
      <w:r>
        <w:rPr>
          <w:rFonts w:hint="eastAsia" w:ascii="宋体" w:hAnsi="Times New Roman" w:eastAsia="宋体" w:cs="Times New Roman"/>
          <w:sz w:val="21"/>
          <w:lang w:val="en-US" w:eastAsia="zh-CN" w:bidi="ar-SA"/>
        </w:rPr>
        <w:tab/>
      </w:r>
    </w:p>
    <w:p w14:paraId="1E8DD4F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结构混凝土采用的骨料具有碱活性及潜在碱活性时，已采取措施抑制碱骨料反应，并验证抑制措施的有效性。</w:t>
      </w:r>
      <w:r>
        <w:rPr>
          <w:rFonts w:hint="eastAsia" w:ascii="宋体" w:hAnsi="Times New Roman" w:eastAsia="宋体" w:cs="Times New Roman"/>
          <w:sz w:val="21"/>
          <w:lang w:val="en-US" w:eastAsia="zh-CN" w:bidi="ar-SA"/>
        </w:rPr>
        <w:tab/>
      </w:r>
    </w:p>
    <w:p w14:paraId="64948FC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钢筋混凝土、预应力混凝土用砂的氯离子含量符合标准规定。</w:t>
      </w:r>
      <w:r>
        <w:rPr>
          <w:rFonts w:hint="eastAsia" w:ascii="宋体" w:hAnsi="Times New Roman" w:eastAsia="宋体" w:cs="Times New Roman"/>
          <w:sz w:val="21"/>
          <w:lang w:val="en-US" w:eastAsia="zh-CN" w:bidi="ar-SA"/>
        </w:rPr>
        <w:tab/>
      </w:r>
    </w:p>
    <w:p w14:paraId="305B8F5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钢筋焊接、机械连接工艺试验合格；钢筋连接接头试件取样符合标准规定，试验合格、报告齐全。</w:t>
      </w:r>
      <w:r>
        <w:rPr>
          <w:rFonts w:hint="eastAsia" w:ascii="宋体" w:hAnsi="Times New Roman" w:eastAsia="宋体" w:cs="Times New Roman"/>
          <w:sz w:val="21"/>
          <w:lang w:val="en-US" w:eastAsia="zh-CN" w:bidi="ar-SA"/>
        </w:rPr>
        <w:tab/>
      </w:r>
    </w:p>
    <w:p w14:paraId="423239C7">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结构混凝土强度等级的选用满足工程结构的承载力、刚度及耐久性需求。</w:t>
      </w:r>
      <w:r>
        <w:rPr>
          <w:rFonts w:hint="eastAsia" w:ascii="宋体" w:hAnsi="Times New Roman" w:eastAsia="宋体" w:cs="Times New Roman"/>
          <w:sz w:val="21"/>
          <w:lang w:val="en-US" w:eastAsia="zh-CN" w:bidi="ar-SA"/>
        </w:rPr>
        <w:tab/>
      </w:r>
    </w:p>
    <w:p w14:paraId="0B7E690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混凝土浇筑记录齐全；试件抽取、留置符合标准规定。</w:t>
      </w:r>
      <w:r>
        <w:rPr>
          <w:rFonts w:hint="eastAsia" w:ascii="宋体" w:hAnsi="Times New Roman" w:eastAsia="宋体" w:cs="Times New Roman"/>
          <w:sz w:val="21"/>
          <w:lang w:val="en-US" w:eastAsia="zh-CN" w:bidi="ar-SA"/>
        </w:rPr>
        <w:tab/>
      </w:r>
    </w:p>
    <w:p w14:paraId="0F5AEF7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混凝土结构外观质量、截面尺寸、保护层厚度与位置尺寸偏差满足设计要求及符合标准规定。</w:t>
      </w:r>
    </w:p>
    <w:p w14:paraId="7960084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冬期施工的混凝土工程，养护条件、测温次数符合标准规定，记录齐全。</w:t>
      </w:r>
      <w:r>
        <w:rPr>
          <w:rFonts w:hint="eastAsia" w:ascii="宋体" w:hAnsi="Times New Roman" w:eastAsia="宋体" w:cs="Times New Roman"/>
          <w:sz w:val="21"/>
          <w:lang w:val="en-US" w:eastAsia="zh-CN" w:bidi="ar-SA"/>
        </w:rPr>
        <w:tab/>
      </w:r>
    </w:p>
    <w:p w14:paraId="6F87F9A5">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大体积混凝土基础</w:t>
      </w:r>
      <w:r>
        <w:rPr>
          <w:rFonts w:hint="eastAsia" w:ascii="宋体" w:hAnsi="Times New Roman" w:cs="Times New Roman"/>
          <w:sz w:val="21"/>
          <w:lang w:val="en-US" w:eastAsia="zh-CN" w:bidi="ar-SA"/>
        </w:rPr>
        <w:t>工程质量的一般要求：</w:t>
      </w:r>
    </w:p>
    <w:p w14:paraId="1E9E7EC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1）大体积混凝土浇筑体温度应力、收缩应力和表面保温层厚度计算符合标准规定。</w:t>
      </w:r>
    </w:p>
    <w:p w14:paraId="14949D5B">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2）大体积混凝土浇筑体内监测点布置方式、温控措施符合标准规定，记录齐全。</w:t>
      </w:r>
    </w:p>
    <w:p w14:paraId="791A0836">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3）混凝土施工记录齐全；试件抽取、留置符合标准规定。</w:t>
      </w:r>
    </w:p>
    <w:p w14:paraId="30D71F2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4）质量验收记录齐全。</w:t>
      </w:r>
    </w:p>
    <w:p w14:paraId="7B43AFB9">
      <w:pPr>
        <w:autoSpaceDE w:val="0"/>
        <w:autoSpaceDN w:val="0"/>
        <w:bidi w:val="0"/>
        <w:ind w:firstLine="420" w:firstLineChars="200"/>
        <w:jc w:val="both"/>
        <w:rPr>
          <w:rFonts w:hint="default"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5）质量</w:t>
      </w:r>
      <w:r>
        <w:rPr>
          <w:rFonts w:hint="eastAsia" w:ascii="Times New Roman" w:hAnsi="Times New Roman" w:cs="Times New Roman"/>
          <w:sz w:val="21"/>
          <w:lang w:val="en-US" w:eastAsia="zh-CN" w:bidi="ar-SA"/>
        </w:rPr>
        <w:t>评价</w:t>
      </w:r>
      <w:r>
        <w:rPr>
          <w:rFonts w:hint="eastAsia" w:ascii="Times New Roman" w:hAnsi="Times New Roman" w:eastAsia="宋体" w:cs="Times New Roman"/>
          <w:sz w:val="21"/>
          <w:lang w:val="en-US" w:eastAsia="zh-CN" w:bidi="ar-SA"/>
        </w:rPr>
        <w:t>检测。</w:t>
      </w:r>
    </w:p>
    <w:p w14:paraId="7604FCAE">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83" w:name="_Toc17082"/>
      <w:r>
        <w:rPr>
          <w:rFonts w:hint="eastAsia" w:ascii="黑体" w:hAnsi="Times New Roman" w:eastAsia="黑体" w:cs="Times New Roman"/>
          <w:sz w:val="21"/>
          <w:lang w:val="en-US" w:eastAsia="zh-CN" w:bidi="ar-SA"/>
        </w:rPr>
        <w:t>钢结构</w:t>
      </w:r>
      <w:bookmarkEnd w:id="83"/>
      <w:r>
        <w:rPr>
          <w:rFonts w:hint="eastAsia" w:ascii="黑体" w:hAnsi="Times New Roman" w:eastAsia="黑体" w:cs="Times New Roman"/>
          <w:sz w:val="21"/>
          <w:lang w:val="en-US" w:eastAsia="zh-CN" w:bidi="ar-SA"/>
        </w:rPr>
        <w:t>工程检查评价</w:t>
      </w:r>
    </w:p>
    <w:p w14:paraId="087D6C7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钢材、高强度螺栓连接副、地脚螺栓、涂料、焊材等材料质量证明文件齐全。</w:t>
      </w:r>
      <w:r>
        <w:rPr>
          <w:rFonts w:hint="eastAsia" w:ascii="宋体" w:hAnsi="Times New Roman" w:eastAsia="宋体" w:cs="Times New Roman"/>
          <w:sz w:val="21"/>
          <w:lang w:val="en-US" w:eastAsia="zh-CN" w:bidi="ar-SA"/>
        </w:rPr>
        <w:tab/>
      </w:r>
    </w:p>
    <w:p w14:paraId="7F60156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高强度螺栓连接副扭矩系数、紧固轴力（预拉力）、摩擦面抗滑移系数的出厂检验和抽样检验合格。</w:t>
      </w:r>
      <w:r>
        <w:rPr>
          <w:rFonts w:hint="eastAsia" w:ascii="宋体" w:hAnsi="Times New Roman" w:eastAsia="宋体" w:cs="Times New Roman"/>
          <w:sz w:val="21"/>
          <w:lang w:val="en-US" w:eastAsia="zh-CN" w:bidi="ar-SA"/>
        </w:rPr>
        <w:tab/>
      </w:r>
    </w:p>
    <w:p w14:paraId="65945DE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高强度螺栓连接副扭矩抽测合格。</w:t>
      </w:r>
      <w:r>
        <w:rPr>
          <w:rFonts w:hint="eastAsia" w:ascii="宋体" w:hAnsi="Times New Roman" w:eastAsia="宋体" w:cs="Times New Roman"/>
          <w:sz w:val="21"/>
          <w:lang w:val="en-US" w:eastAsia="zh-CN" w:bidi="ar-SA"/>
        </w:rPr>
        <w:tab/>
      </w:r>
    </w:p>
    <w:p w14:paraId="7798FE4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钢结构现场焊接焊缝检验合格，设计要求的一、二级焊缝的无损检测合格。</w:t>
      </w:r>
      <w:r>
        <w:rPr>
          <w:rFonts w:hint="eastAsia" w:ascii="宋体" w:hAnsi="Times New Roman" w:eastAsia="宋体" w:cs="Times New Roman"/>
          <w:sz w:val="21"/>
          <w:lang w:val="en-US" w:eastAsia="zh-CN" w:bidi="ar-SA"/>
        </w:rPr>
        <w:tab/>
      </w:r>
    </w:p>
    <w:p w14:paraId="434497FB">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防腐涂料、防火涂料的涂装遍数、涂装间隔、涂层厚度满足设计要求。</w:t>
      </w:r>
      <w:r>
        <w:rPr>
          <w:rFonts w:hint="eastAsia" w:ascii="宋体" w:hAnsi="Times New Roman" w:eastAsia="宋体" w:cs="Times New Roman"/>
          <w:sz w:val="21"/>
          <w:lang w:val="en-US" w:eastAsia="zh-CN" w:bidi="ar-SA"/>
        </w:rPr>
        <w:tab/>
      </w:r>
    </w:p>
    <w:p w14:paraId="14DE8B2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钢结构建筑围护系统制作安装施工完成。</w:t>
      </w:r>
      <w:r>
        <w:rPr>
          <w:rFonts w:hint="eastAsia" w:ascii="宋体" w:hAnsi="Times New Roman" w:eastAsia="宋体" w:cs="Times New Roman"/>
          <w:sz w:val="21"/>
          <w:lang w:val="en-US" w:eastAsia="zh-CN" w:bidi="ar-SA"/>
        </w:rPr>
        <w:tab/>
      </w:r>
    </w:p>
    <w:p w14:paraId="4F992E46">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金属屋面系统抗风揭性能满足设计要求。</w:t>
      </w:r>
      <w:r>
        <w:rPr>
          <w:rFonts w:hint="eastAsia" w:ascii="宋体" w:hAnsi="Times New Roman" w:eastAsia="宋体" w:cs="Times New Roman"/>
          <w:sz w:val="21"/>
          <w:lang w:val="en-US" w:eastAsia="zh-CN" w:bidi="ar-SA"/>
        </w:rPr>
        <w:tab/>
      </w:r>
    </w:p>
    <w:p w14:paraId="69BF98C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钢结构连接</w:t>
      </w:r>
      <w:r>
        <w:rPr>
          <w:rFonts w:hint="eastAsia" w:ascii="宋体" w:hAnsi="Times New Roman" w:cs="Times New Roman"/>
          <w:sz w:val="21"/>
          <w:lang w:val="en-US" w:eastAsia="zh-CN" w:bidi="ar-SA"/>
        </w:rPr>
        <w:t>施工的一般要求：</w:t>
      </w:r>
    </w:p>
    <w:p w14:paraId="002DDB8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1）连接和连接件的计算模型应与连接的实际受力性能相符合，并应按承载力极限状态和正常使用极限状态分别计算和设计单个连接件。</w:t>
      </w:r>
    </w:p>
    <w:p w14:paraId="74EE0426">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2）对于普通螺栓连接、铆钉连接、高强度螺栓连接，应计算螺栓（铆钉）受剪、受拉、拉剪联合承载力，以及连接板的承压承载力，并应考虑螺栓孔削弱和连接板撬力对连接承载力的影响。</w:t>
      </w:r>
    </w:p>
    <w:p w14:paraId="699DFAF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3）螺栓孔加工精度、高强度螺栓施加的预拉力、高强度螺栓摩擦型连接的连接板摩擦面处理工艺应保证螺栓连接的可靠性；已施加过预拉力的高强度螺栓拆卸后不应作为受力螺栓循环使用。</w:t>
      </w:r>
    </w:p>
    <w:p w14:paraId="4384F36E">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4）焊接材料应与母材相匹配。焊缝应采用减少垂直于厚度方向的焊接收缩应力的坡口形式与构造措施。</w:t>
      </w:r>
    </w:p>
    <w:p w14:paraId="117B119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5）钢结构设计时，焊缝质量等级应根据钢结构的重要性、荷载特性、焊缝形式、工作环境以及应力状态等确定。</w:t>
      </w:r>
    </w:p>
    <w:p w14:paraId="3021C2B1">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6）钢结构承受动荷载且需进行疲劳验算时，严禁使用塞焊、槽焊、电渣焊和气电立焊接。</w:t>
      </w:r>
    </w:p>
    <w:p w14:paraId="59123E0F">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预制构件连接应符合设计要求，并应符合下列规定：</w:t>
      </w:r>
    </w:p>
    <w:p w14:paraId="359F26E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1）套筒灌浆连接接头应进行工艺检验和现场平行加工试件性能检验；灌浆应饱满密实。</w:t>
      </w:r>
    </w:p>
    <w:p w14:paraId="7BA4D83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2）浆锚搭接连接的钢筋搭接长度应符合设计要求，灌浆应饱满密实。</w:t>
      </w:r>
    </w:p>
    <w:p w14:paraId="0A34732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3）螺栓连接应进行工艺检验和安装质量检验。</w:t>
      </w:r>
    </w:p>
    <w:p w14:paraId="137FF11A">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4）钢筋机械连接应制作平行加工试件，并进行性能检验。</w:t>
      </w:r>
    </w:p>
    <w:p w14:paraId="2676E7F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预制叠合构件的接合面、预制构件连接节点的接合面，应按设计要求做好界面处理并清理干净，后浇混凝土应饱满、密实。</w:t>
      </w:r>
      <w:r>
        <w:rPr>
          <w:rFonts w:hint="eastAsia" w:ascii="宋体" w:hAnsi="Times New Roman" w:eastAsia="宋体" w:cs="Times New Roman"/>
          <w:sz w:val="21"/>
          <w:lang w:val="en-US" w:eastAsia="zh-CN" w:bidi="ar-SA"/>
        </w:rPr>
        <w:tab/>
      </w:r>
    </w:p>
    <w:p w14:paraId="4FE6FC72">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84" w:name="_Toc1162"/>
      <w:r>
        <w:rPr>
          <w:rFonts w:hint="eastAsia" w:ascii="黑体" w:hAnsi="Times New Roman" w:eastAsia="黑体" w:cs="Times New Roman"/>
          <w:sz w:val="21"/>
          <w:lang w:val="en-US" w:eastAsia="zh-CN" w:bidi="ar-SA"/>
        </w:rPr>
        <w:t>砌筑工程</w:t>
      </w:r>
      <w:bookmarkEnd w:id="84"/>
      <w:r>
        <w:rPr>
          <w:rFonts w:hint="eastAsia" w:ascii="黑体" w:hAnsi="Times New Roman" w:eastAsia="黑体" w:cs="Times New Roman"/>
          <w:sz w:val="21"/>
          <w:lang w:val="en-US" w:eastAsia="zh-CN" w:bidi="ar-SA"/>
        </w:rPr>
        <w:t>检查评价</w:t>
      </w:r>
    </w:p>
    <w:p w14:paraId="1C71760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砌体结构所用砖、石材、砌块、水泥、砂、钢筋等原材料质量证明文件齐全；现场见证取样检验合格，报告齐全。</w:t>
      </w:r>
    </w:p>
    <w:p w14:paraId="6D89EA18">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砂浆强度、钢筋拉拔试验满足设计要求，检测试验报告齐全。</w:t>
      </w:r>
    </w:p>
    <w:p w14:paraId="5528F8D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砌体组砌方式、后锚固钢筋的设置位置、构造筋设置结构位置、挡土墙的沉降缝和泄水孔留置符合标准规定。</w:t>
      </w:r>
    </w:p>
    <w:p w14:paraId="110402B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质量验收记录齐全。</w:t>
      </w:r>
    </w:p>
    <w:p w14:paraId="317A3898">
      <w:pPr>
        <w:numPr>
          <w:ilvl w:val="2"/>
          <w:numId w:val="9"/>
        </w:numPr>
        <w:bidi w:val="0"/>
        <w:spacing w:before="50" w:beforeLines="50" w:after="50" w:afterLines="50"/>
        <w:jc w:val="both"/>
        <w:outlineLvl w:val="1"/>
        <w:rPr>
          <w:rFonts w:hint="default" w:ascii="黑体" w:hAnsi="Times New Roman" w:eastAsia="黑体" w:cs="Times New Roman"/>
          <w:sz w:val="21"/>
          <w:lang w:val="en-US" w:eastAsia="zh-CN" w:bidi="ar-SA"/>
        </w:rPr>
      </w:pPr>
      <w:bookmarkStart w:id="85" w:name="_Toc4101"/>
      <w:r>
        <w:rPr>
          <w:rFonts w:hint="eastAsia" w:ascii="黑体" w:hAnsi="Times New Roman" w:eastAsia="黑体" w:cs="Times New Roman"/>
          <w:sz w:val="21"/>
          <w:lang w:val="en-US" w:eastAsia="zh-CN" w:bidi="ar-SA"/>
        </w:rPr>
        <w:t>屋面工程</w:t>
      </w:r>
      <w:bookmarkEnd w:id="85"/>
      <w:r>
        <w:rPr>
          <w:rFonts w:hint="eastAsia" w:ascii="黑体" w:hAnsi="Times New Roman" w:eastAsia="黑体" w:cs="Times New Roman"/>
          <w:sz w:val="21"/>
          <w:lang w:val="en-US" w:eastAsia="zh-CN" w:bidi="ar-SA"/>
        </w:rPr>
        <w:t>检查评价</w:t>
      </w:r>
    </w:p>
    <w:p w14:paraId="6939B02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楼地面、屋面工程使用的原材料和产品质量证明文件齐全，重要材料复检合格；不发火（防爆）面层中使用的碎石检验合格。</w:t>
      </w:r>
    </w:p>
    <w:p w14:paraId="6B8853A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防水地面无渗漏，排水坡向正确、无积水，防滑地面满足设计要求。</w:t>
      </w:r>
    </w:p>
    <w:p w14:paraId="2C23EF8D">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屋面淋水、蓄水试验合格，记录齐全。</w:t>
      </w:r>
    </w:p>
    <w:p w14:paraId="6860F023">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严寒地区的坡屋面檐口有防冰雪融坠设施。</w:t>
      </w:r>
    </w:p>
    <w:p w14:paraId="43A90782">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86" w:name="_Toc20992"/>
      <w:r>
        <w:rPr>
          <w:rFonts w:hint="eastAsia" w:ascii="黑体" w:hAnsi="Times New Roman" w:eastAsia="黑体" w:cs="Times New Roman"/>
          <w:sz w:val="21"/>
          <w:lang w:val="en-US" w:eastAsia="zh-CN" w:bidi="ar-SA"/>
        </w:rPr>
        <w:t>装饰装修及附属（地面）工程</w:t>
      </w:r>
      <w:bookmarkEnd w:id="86"/>
      <w:r>
        <w:rPr>
          <w:rFonts w:hint="eastAsia" w:ascii="黑体" w:hAnsi="Times New Roman" w:eastAsia="黑体" w:cs="Times New Roman"/>
          <w:sz w:val="21"/>
          <w:lang w:val="en-US" w:eastAsia="zh-CN" w:bidi="ar-SA"/>
        </w:rPr>
        <w:t>检查评价</w:t>
      </w:r>
    </w:p>
    <w:p w14:paraId="73A46E4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装饰装修工程</w:t>
      </w:r>
      <w:r>
        <w:rPr>
          <w:rFonts w:hint="eastAsia" w:ascii="宋体" w:hAnsi="Times New Roman" w:cs="Times New Roman"/>
          <w:sz w:val="21"/>
          <w:lang w:val="en-US" w:eastAsia="zh-CN" w:bidi="ar-SA"/>
        </w:rPr>
        <w:t>质量的一般要求：</w:t>
      </w:r>
    </w:p>
    <w:p w14:paraId="253DB65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1）装修材料质量证明文件齐全。</w:t>
      </w:r>
    </w:p>
    <w:p w14:paraId="4986F88B">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2）外墙和顶棚抹灰层、保温层薄抹灰与基层、饰面砖与基层粘结牢固，粘贴强度检验合格，报告齐全。</w:t>
      </w:r>
    </w:p>
    <w:p w14:paraId="1921D83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3）灯具、排风扇及其他设备安装牢固。</w:t>
      </w:r>
    </w:p>
    <w:p w14:paraId="4D392F0B">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4）装饰装修预埋件、连接件数量、规格、位置和防腐处理满足设计要求，安装牢固。</w:t>
      </w:r>
    </w:p>
    <w:p w14:paraId="0D232A29">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5）护栏、爬梯安装牢固，护栏高度、栏杆间距、安装位置满足设计要求。</w:t>
      </w:r>
    </w:p>
    <w:p w14:paraId="4A6307E1">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6）吊顶、幕墙材料、受力构件等满足设计要求；密封材料性能检验合格。</w:t>
      </w:r>
    </w:p>
    <w:p w14:paraId="6D1B8AC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7）外墙砂浆、涂膜防水和透气膜防水工程满足设计要求，验收记录、材料质量证明文件齐全。</w:t>
      </w:r>
    </w:p>
    <w:p w14:paraId="173F223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8）涂膜防水层、透气膜防水层、砂浆防水层不得有渗漏现象，防水层与基层之间及防水层各层之间应粘接牢固，不得有空鼓、裂纹。</w:t>
      </w:r>
    </w:p>
    <w:p w14:paraId="7D544B13">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门窗工程</w:t>
      </w:r>
      <w:r>
        <w:rPr>
          <w:rFonts w:hint="eastAsia" w:ascii="宋体" w:hAnsi="Times New Roman" w:cs="Times New Roman"/>
          <w:sz w:val="21"/>
          <w:lang w:val="en-US" w:eastAsia="zh-CN" w:bidi="ar-SA"/>
        </w:rPr>
        <w:t>质量的一般要求：</w:t>
      </w:r>
    </w:p>
    <w:p w14:paraId="782AD48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1）门窗材料及配件质量证明文件齐全；门窗工程性能复验报告齐全。</w:t>
      </w:r>
    </w:p>
    <w:p w14:paraId="4A7ED2F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建筑外门窗的安装牢固，推拉门窗安装防脱落装置。</w:t>
      </w:r>
    </w:p>
    <w:p w14:paraId="15163A5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2）安全玻璃性能满足设计要求。</w:t>
      </w:r>
    </w:p>
    <w:p w14:paraId="482F960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3）特种门规格尺寸类型、开启方向、安装位置和防腐处理应满足设计要求及符合标准规定。</w:t>
      </w:r>
    </w:p>
    <w:p w14:paraId="28F1D653">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给排水及采暖工程</w:t>
      </w:r>
      <w:r>
        <w:rPr>
          <w:rFonts w:hint="eastAsia" w:ascii="宋体" w:hAnsi="Times New Roman" w:cs="Times New Roman"/>
          <w:sz w:val="21"/>
          <w:lang w:val="en-US" w:eastAsia="zh-CN" w:bidi="ar-SA"/>
        </w:rPr>
        <w:t>质量的一般要求：</w:t>
      </w:r>
    </w:p>
    <w:p w14:paraId="2FB9FE0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1）管材和阀门等材料选用满足设计要求；给水管道的水压试验、阀门的强度和严密性试验合格，灌水、通水、通球试验记录齐全。</w:t>
      </w:r>
    </w:p>
    <w:p w14:paraId="0A1F6F3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2）管道排列整齐、连接牢固，坡度、坡向正确；支吊架、伸缩补偿节、穿墙套管等安装位置满足设计要求。</w:t>
      </w:r>
    </w:p>
    <w:p w14:paraId="2F3CAD1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3）生产给水系统交付前冲洗和消毒记录齐全，检验合格。</w:t>
      </w:r>
    </w:p>
    <w:p w14:paraId="34CF0BF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cs="Times New Roman"/>
          <w:sz w:val="21"/>
          <w:lang w:val="en-US" w:eastAsia="zh-CN" w:bidi="ar-SA"/>
        </w:rPr>
        <w:t>4</w:t>
      </w:r>
      <w:r>
        <w:rPr>
          <w:rFonts w:hint="eastAsia" w:ascii="Times New Roman" w:hAnsi="Times New Roman" w:eastAsia="宋体" w:cs="Times New Roman"/>
          <w:sz w:val="21"/>
          <w:lang w:val="en-US" w:eastAsia="zh-CN" w:bidi="ar-SA"/>
        </w:rPr>
        <w:t>）排水管道及管件的材质应耐腐蚀，应具有承受不低于40°C排水温度且连续排水的耐温能力。接口安装连接应可靠、安全。</w:t>
      </w:r>
    </w:p>
    <w:p w14:paraId="1C96970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cs="Times New Roman"/>
          <w:sz w:val="21"/>
          <w:lang w:val="en-US" w:eastAsia="zh-CN" w:bidi="ar-SA"/>
        </w:rPr>
        <w:t>5</w:t>
      </w:r>
      <w:r>
        <w:rPr>
          <w:rFonts w:hint="eastAsia" w:ascii="Times New Roman" w:hAnsi="Times New Roman" w:eastAsia="宋体" w:cs="Times New Roman"/>
          <w:sz w:val="21"/>
          <w:lang w:val="en-US" w:eastAsia="zh-CN" w:bidi="ar-SA"/>
        </w:rPr>
        <w:t>）生活排水应排入市政污水管网或处理后达标排放。</w:t>
      </w:r>
    </w:p>
    <w:p w14:paraId="58FE9EF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cs="Times New Roman"/>
          <w:sz w:val="21"/>
          <w:lang w:val="en-US" w:eastAsia="zh-CN" w:bidi="ar-SA"/>
        </w:rPr>
        <w:t>6</w:t>
      </w:r>
      <w:r>
        <w:rPr>
          <w:rFonts w:hint="eastAsia" w:ascii="Times New Roman" w:hAnsi="Times New Roman" w:eastAsia="宋体" w:cs="Times New Roman"/>
          <w:sz w:val="21"/>
          <w:lang w:val="en-US" w:eastAsia="zh-CN" w:bidi="ar-SA"/>
        </w:rPr>
        <w:t>）生活饮用水箱（池）、中水箱（池）、雨水清水池的泄水管道、溢流管道应采用间接排水，严禁与水管道直接连接。</w:t>
      </w:r>
    </w:p>
    <w:p w14:paraId="5FB12B64">
      <w:pPr>
        <w:autoSpaceDE w:val="0"/>
        <w:autoSpaceDN w:val="0"/>
        <w:bidi w:val="0"/>
        <w:ind w:firstLine="420" w:firstLineChars="200"/>
        <w:jc w:val="both"/>
        <w:rPr>
          <w:rFonts w:hint="eastAsia" w:ascii="Times New Roman" w:hAnsi="Times New Roman" w:eastAsia="宋体" w:cs="Times New Roman"/>
          <w:sz w:val="21"/>
          <w:lang w:val="en-US" w:eastAsia="zh-CN" w:bidi="ar-SA"/>
        </w:rPr>
      </w:pPr>
    </w:p>
    <w:p w14:paraId="703F331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通风及空调工程</w:t>
      </w:r>
      <w:r>
        <w:rPr>
          <w:rFonts w:hint="eastAsia" w:ascii="宋体" w:hAnsi="Times New Roman" w:cs="Times New Roman"/>
          <w:sz w:val="21"/>
          <w:lang w:val="en-US" w:eastAsia="zh-CN" w:bidi="ar-SA"/>
        </w:rPr>
        <w:t>质量的一般要求：</w:t>
      </w:r>
    </w:p>
    <w:p w14:paraId="7F799A0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1）通风及空调功能正常，记录齐全。</w:t>
      </w:r>
    </w:p>
    <w:p w14:paraId="6CCF045A">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2）设施传动装置的外露部位及进、排气口防护措施可靠。</w:t>
      </w:r>
    </w:p>
    <w:p w14:paraId="2125F2C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建筑电气</w:t>
      </w:r>
      <w:r>
        <w:rPr>
          <w:rFonts w:hint="eastAsia" w:ascii="宋体" w:hAnsi="Times New Roman" w:cs="Times New Roman"/>
          <w:sz w:val="21"/>
          <w:lang w:val="en-US" w:eastAsia="zh-CN" w:bidi="ar-SA"/>
        </w:rPr>
        <w:t>工程质量的一般要求：</w:t>
      </w:r>
    </w:p>
    <w:p w14:paraId="3D4553BB">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1）质量验收记录齐全。</w:t>
      </w:r>
    </w:p>
    <w:p w14:paraId="7D07342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2）电气设备安装满足设计要求，接地线连接牢固、规范、标识正确。</w:t>
      </w:r>
    </w:p>
    <w:p w14:paraId="0AAA810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3）开关、插座、灯具安装规范，照明全负荷试验记录齐全。</w:t>
      </w:r>
    </w:p>
    <w:p w14:paraId="64B6DB7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4）建（构）筑物和设备的防雷接地可靠，接地阻抗测试满足设计要求及符合标准规定。"</w:t>
      </w:r>
    </w:p>
    <w:p w14:paraId="001FDE48">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建筑保温</w:t>
      </w:r>
      <w:r>
        <w:rPr>
          <w:rFonts w:hint="eastAsia" w:ascii="宋体" w:hAnsi="Times New Roman" w:cs="Times New Roman"/>
          <w:sz w:val="21"/>
          <w:lang w:val="en-US" w:eastAsia="zh-CN" w:bidi="ar-SA"/>
        </w:rPr>
        <w:t>工程质量的一般要求：</w:t>
      </w:r>
    </w:p>
    <w:p w14:paraId="1BF3994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1）饰面层宜选涂装饰面；涂装材料应采用水性外墙涂料、饰面砂浆和柔性面砖等，其性能应与现浇混凝土聚苯板外保温系统相容，并应符合国家现行相关标准要求。</w:t>
      </w:r>
    </w:p>
    <w:p w14:paraId="4092154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2）现浇混凝土聚苯板外保温系统的各种组成材料应配套供应，采用的所有配件应与现浇混凝土聚苯板外保温系统性能相容，并应符合国家现行相关标准的要求。</w:t>
      </w:r>
    </w:p>
    <w:p w14:paraId="5FB11379">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现浇混凝土聚苯板外保温系统的防火构造措施应符合国家现行相关标准的规定，防火隔离带材料宜选用增强竖丝岩棉复合板，并用工程塑料或镀锌薄钢板制成的固定卡与相邻聚苯板及现浇混凝土内部钢筋形成可靠连接。</w:t>
      </w:r>
    </w:p>
    <w:p w14:paraId="4D7AA61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4）质量验收记录齐全。</w:t>
      </w:r>
    </w:p>
    <w:p w14:paraId="0B2F47CF">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87" w:name="_Toc6480"/>
      <w:bookmarkStart w:id="88" w:name="_Toc17601"/>
      <w:r>
        <w:rPr>
          <w:rFonts w:hint="eastAsia" w:ascii="黑体" w:hAnsi="Times New Roman" w:eastAsia="黑体" w:cs="Times New Roman"/>
          <w:sz w:val="21"/>
          <w:lang w:val="en-US" w:eastAsia="zh-CN" w:bidi="ar-SA"/>
        </w:rPr>
        <w:t>运维检修期</w:t>
      </w:r>
      <w:bookmarkEnd w:id="87"/>
      <w:bookmarkEnd w:id="88"/>
      <w:r>
        <w:rPr>
          <w:rFonts w:hint="eastAsia" w:ascii="黑体" w:hAnsi="Times New Roman" w:eastAsia="黑体" w:cs="Times New Roman"/>
          <w:sz w:val="21"/>
          <w:lang w:val="en-US" w:eastAsia="zh-CN" w:bidi="ar-SA"/>
        </w:rPr>
        <w:t>评价</w:t>
      </w:r>
    </w:p>
    <w:p w14:paraId="012202DF">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 xml:space="preserve"> 检查评价通用要求</w:t>
      </w:r>
    </w:p>
    <w:p w14:paraId="3F7A7ACC">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火力发电企业应建立既有建（构）筑物</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检查、安全监测、结构分析、鉴定评级、维修加固及技改等相关专业规章制度。</w:t>
      </w:r>
    </w:p>
    <w:p w14:paraId="3EF122A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火力发电企业应建立建（构）筑物专业现行有效标准清单，结合执行标准制定相应的程序文件，动态管理、及时更新。</w:t>
      </w:r>
    </w:p>
    <w:p w14:paraId="47F3894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火力发电企业应对专业人员岗前进行专业上岗培训，定期开展在岗专业人员专业技术、技能培训和考试。每年至少开展一次。</w:t>
      </w:r>
    </w:p>
    <w:p w14:paraId="134386C2">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bookmarkStart w:id="89" w:name="_Toc14380"/>
      <w:r>
        <w:rPr>
          <w:rFonts w:hint="eastAsia" w:ascii="黑体" w:hAnsi="Times New Roman" w:eastAsia="黑体" w:cs="Times New Roman"/>
          <w:sz w:val="21"/>
          <w:lang w:val="en-US" w:eastAsia="zh-CN" w:bidi="ar-SA"/>
        </w:rPr>
        <w:t>检查评价一般内容</w:t>
      </w:r>
      <w:bookmarkEnd w:id="89"/>
    </w:p>
    <w:p w14:paraId="5E492451">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日常巡查</w:t>
      </w:r>
      <w:r>
        <w:rPr>
          <w:rFonts w:hint="eastAsia" w:ascii="宋体" w:hAnsi="Times New Roman" w:cs="Times New Roman"/>
          <w:sz w:val="21"/>
          <w:lang w:val="en-US" w:eastAsia="zh-CN" w:bidi="ar-SA"/>
        </w:rPr>
        <w:t>内容：</w:t>
      </w:r>
    </w:p>
    <w:p w14:paraId="6F46B26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 对建（构）筑物及其附属设施进行目测检查，必要时可配备简易的工器具；</w:t>
      </w:r>
    </w:p>
    <w:p w14:paraId="06FA8E3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 巡查工作按制度规定或规范要求的频次和程序进行，包括检查项目、路线、频次、记录格式等，检查和处理的情况应以文字、图表、影像等方式记载保存；</w:t>
      </w:r>
    </w:p>
    <w:p w14:paraId="27EF01E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 日常巡查可根据建（构）筑物重要性及服役状态按照周、月、季度、年度定期开展。检查内容可参照附录D进行。</w:t>
      </w:r>
    </w:p>
    <w:p w14:paraId="479E7E99">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定期检查</w:t>
      </w:r>
      <w:r>
        <w:rPr>
          <w:rFonts w:hint="eastAsia" w:ascii="宋体" w:hAnsi="Times New Roman" w:cs="Times New Roman"/>
          <w:sz w:val="21"/>
          <w:lang w:val="en-US" w:eastAsia="zh-CN" w:bidi="ar-SA"/>
        </w:rPr>
        <w:t>内容：</w:t>
      </w:r>
    </w:p>
    <w:p w14:paraId="24F3FD8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 以目测结合检测和监测形式进行检查，对建（构）筑物主体结构、附属结构及地基基础的状况进行的全面分析和判断，检查结果应评定建（构）筑物的总体状况，对存在问题给出处理意见，检查结果和处理结果应整理归档。</w:t>
      </w:r>
    </w:p>
    <w:p w14:paraId="4BFB615B">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 对于生产相关的主要建（构）筑物应每年至少开展一次定期检查。</w:t>
      </w:r>
    </w:p>
    <w:p w14:paraId="7246C436">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 定期检查内容包括：建（构）筑物整体外观完整性；地基基础、主体结构、围护结构结构性损伤；单体构件材料劣化；烟囱和冷却塔等高耸建筑物耐久性受损情况。检查内容可参照附录D进行。</w:t>
      </w:r>
    </w:p>
    <w:p w14:paraId="3E1CFD49">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应急检查</w:t>
      </w:r>
      <w:r>
        <w:rPr>
          <w:rFonts w:hint="eastAsia" w:ascii="宋体" w:hAnsi="Times New Roman" w:cs="Times New Roman"/>
          <w:sz w:val="21"/>
          <w:lang w:val="en-US" w:eastAsia="zh-CN" w:bidi="ar-SA"/>
        </w:rPr>
        <w:t>内容：</w:t>
      </w:r>
    </w:p>
    <w:p w14:paraId="61B3769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 建（构）筑物遇极端天气、爆炸、火灾、撞击、地震及其他自然灾害受到结构性损伤时，应启动应急检查程序，组织专业人员对建（构）筑物进行针对性检查，查明损伤状况、评估结构性能，建立隐患、缺陷台账，对破损部位制定整改计划，明确责任人和整改期限。必要时采取应急抢修措施，恢复其使用功能。</w:t>
      </w:r>
    </w:p>
    <w:p w14:paraId="3AD0BB57">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 对建（构）筑物的重要部位和薄弱部位，要加强检查和监测，发现威胁建（构）筑物结构安全性的问题，应立即上报主管部门，制定相应的应急方案，必要时对建（构）筑物结构安全性和使用性进行评估鉴定，为后续维修、加固和技改提供依据。检查内容可参照附录D进行。</w:t>
      </w:r>
    </w:p>
    <w:p w14:paraId="2082C0F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 应急检查后，应汇总检查结果，评估异常事件的影响，确定合理的应对措施和整改意见，检查资料整理归档。</w:t>
      </w:r>
    </w:p>
    <w:p w14:paraId="548265DF">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专业检查</w:t>
      </w:r>
      <w:r>
        <w:rPr>
          <w:rFonts w:hint="eastAsia" w:ascii="宋体" w:hAnsi="Times New Roman" w:cs="Times New Roman"/>
          <w:sz w:val="21"/>
          <w:lang w:val="en-US" w:eastAsia="zh-CN" w:bidi="ar-SA"/>
        </w:rPr>
        <w:t>内容：</w:t>
      </w:r>
    </w:p>
    <w:p w14:paraId="6AFD3DF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 根据日常巡检、定期检查及应急检查的结果，对需要进一步判明结构性损伤原因、结构性损伤程度和对使用性功能有影响的建（构）筑物，针对结构性损伤情况进行专门的现场试验检测、验算与分析等鉴定评级工作；</w:t>
      </w:r>
    </w:p>
    <w:p w14:paraId="596552B4">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 根据建（构）筑物的使用年限对其整体结构安全性和使用性进行定期鉴定评级工作。</w:t>
      </w:r>
    </w:p>
    <w:p w14:paraId="18A97D8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 专业检查应委托具备检测鉴定资质及相应能力的单位承担，专业检查对象可选建（构）筑物整体、相对独立的鉴定单元、结构系统或结构构件。</w:t>
      </w:r>
    </w:p>
    <w:p w14:paraId="67E573F3">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安全监测一般内容</w:t>
      </w:r>
    </w:p>
    <w:p w14:paraId="291D29B5">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企业负责安全监测点设计与安装的组织工作，包括平面坐标系统、高程基准、基准点、工作基点和监测点等；由项目施工单位依据设计要求完成基准点、工作基点和监测点的设置与安装工作；火力发电企业按照设计要求验收基准点、工作基点和监测点设置与安装工作，验收资料整理归档。</w:t>
      </w:r>
      <w:r>
        <w:rPr>
          <w:rFonts w:hint="eastAsia" w:ascii="宋体" w:hAnsi="Times New Roman" w:eastAsia="宋体" w:cs="Times New Roman"/>
          <w:sz w:val="21"/>
          <w:lang w:val="en-US" w:eastAsia="zh-CN" w:bidi="ar-SA"/>
        </w:rPr>
        <w:tab/>
      </w:r>
    </w:p>
    <w:p w14:paraId="5D0D59FA">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安全监测技术</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重点</w:t>
      </w:r>
      <w:r>
        <w:rPr>
          <w:rFonts w:hint="eastAsia" w:ascii="宋体" w:hAnsi="Times New Roman" w:cs="Times New Roman"/>
          <w:sz w:val="21"/>
          <w:lang w:val="en-US" w:eastAsia="zh-CN" w:bidi="ar-SA"/>
        </w:rPr>
        <w:t>检查</w:t>
      </w:r>
      <w:r>
        <w:rPr>
          <w:rFonts w:hint="eastAsia" w:ascii="宋体" w:hAnsi="Times New Roman" w:eastAsia="宋体" w:cs="Times New Roman"/>
          <w:sz w:val="21"/>
          <w:lang w:val="en-US" w:eastAsia="zh-CN" w:bidi="ar-SA"/>
        </w:rPr>
        <w:t>内容</w:t>
      </w:r>
      <w:r>
        <w:rPr>
          <w:rFonts w:hint="eastAsia" w:ascii="宋体" w:hAnsi="Times New Roman" w:cs="Times New Roman"/>
          <w:sz w:val="21"/>
          <w:lang w:val="en-US" w:eastAsia="zh-CN" w:bidi="ar-SA"/>
        </w:rPr>
        <w:t>：</w:t>
      </w:r>
    </w:p>
    <w:p w14:paraId="31E8C8C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1）安全监测项目及监测系统布置的规范性；</w:t>
      </w:r>
    </w:p>
    <w:p w14:paraId="66BF0F2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2）安全监测设施的可靠性和合理性；</w:t>
      </w:r>
    </w:p>
    <w:p w14:paraId="467D64B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3）对于多期变形监测项目，每期监测后应提交本期及累计监测数据。全部监测完成后，除应提交各期监测数据及累计监测数据外，应提交项目技术报告。</w:t>
      </w:r>
    </w:p>
    <w:p w14:paraId="28CC4E2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cs="Times New Roman"/>
          <w:sz w:val="21"/>
          <w:lang w:val="en-US" w:eastAsia="zh-CN" w:bidi="ar-SA"/>
        </w:rPr>
        <w:t>运行检修阶段</w:t>
      </w:r>
      <w:r>
        <w:rPr>
          <w:rFonts w:hint="eastAsia" w:ascii="宋体" w:hAnsi="Times New Roman" w:eastAsia="宋体" w:cs="Times New Roman"/>
          <w:sz w:val="21"/>
          <w:lang w:val="en-US" w:eastAsia="zh-CN" w:bidi="ar-SA"/>
        </w:rPr>
        <w:t>安全监测</w:t>
      </w:r>
      <w:r>
        <w:rPr>
          <w:rFonts w:hint="eastAsia" w:ascii="宋体" w:hAnsi="Times New Roman" w:cs="Times New Roman"/>
          <w:sz w:val="21"/>
          <w:lang w:val="en-US" w:eastAsia="zh-CN" w:bidi="ar-SA"/>
        </w:rPr>
        <w:t>检查内容：</w:t>
      </w:r>
    </w:p>
    <w:p w14:paraId="14A214E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 建（构）筑物地基基础和上部结构及厂区护坡、挡土墙、灰坝、电力设备基础等依据GB 55018、JGJ 8规范要求，定期进行变形监测。</w:t>
      </w:r>
    </w:p>
    <w:p w14:paraId="1EE98152">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 对自施工期间延续的沉降监测、垂直度及倾斜监测、水平位移监测，工程竣工使用后第一年应观测3次或4次，第二年应至少观测2次，第三年后每年应至少观测1次，直至变形达到稳定状态为止；</w:t>
      </w:r>
    </w:p>
    <w:p w14:paraId="3FBEDB7C">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 使用期间监测对象变形达到稳定状态的判定，应以所有监测点的最大变形速率均不超过项目技术设计给定的相应变形速率阈值为依据；</w:t>
      </w:r>
    </w:p>
    <w:p w14:paraId="483998E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 日常巡查、定期检查发现的结构变形问题应进行变形监测；</w:t>
      </w:r>
    </w:p>
    <w:p w14:paraId="406FA8B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 当发生重大自然灾害或监测对象的变形趋势加大时，应提高监测频率，并应立即预警。</w:t>
      </w:r>
    </w:p>
    <w:p w14:paraId="7F0D1140">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 安全监测包括沉降观测、水平位移观测、倾斜观测、裂缝观测、挠度观测、收敛变形观测、日照变形观测、风振观测、结构健康监测等；</w:t>
      </w:r>
    </w:p>
    <w:p w14:paraId="4541246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7） 火力发电企业委托第三方检测机构进行安全观测，由第三方检测机构编写监测成果分析报告，报告要求结论清晰，监测频次、单次监测周期满足规范要求，并整理存档；</w:t>
      </w:r>
    </w:p>
    <w:p w14:paraId="44CD696F">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8） 执行安全监测第三方检测机构应满足检测机构资质要求、监测人员资格要求、监测设备检定或校准要求。上述资质证书及设备检定报告需作为技术能力文件存档备查。</w:t>
      </w:r>
    </w:p>
    <w:p w14:paraId="12FC8CFF">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应急管理一般规定</w:t>
      </w:r>
    </w:p>
    <w:p w14:paraId="354E39E0">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火力发电企业应制定各类应急预案，建立各类应急预案组织实施、计划、措施、维护、检查、评价等相关工作制度。</w:t>
      </w:r>
    </w:p>
    <w:p w14:paraId="160089DD">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火力发电企业应定期根据各类应急预案并结合实际开展预案演练工作，针对各类应急预案演练方案的实施应进行结果评价。专项应急预案演练每年至少开展一次。</w:t>
      </w:r>
    </w:p>
    <w:p w14:paraId="633DEA03">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结构分析一般要求</w:t>
      </w:r>
    </w:p>
    <w:p w14:paraId="4FC8050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查阅原设计施工资料，包括工程地质勘察报告、设计计算书、设计施工图、设计变更记录、施工及施工洽商记录、竣工资料等；</w:t>
      </w:r>
    </w:p>
    <w:p w14:paraId="24513D4B">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调查工业建筑的历史情况，包括历次检查观测记录、历次维修加固或改造资料，用途变更、使用条件改变、事故处理以及遭受灾害等情况；</w:t>
      </w:r>
    </w:p>
    <w:p w14:paraId="5AF50C9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考察现场，应调查工业建筑的现状、使用条件、内外部环境、存在的问题。</w:t>
      </w:r>
    </w:p>
    <w:p w14:paraId="558FE3C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既有建（构）筑物实体缺陷识别应符合GB 50144相关规定，工程结构必须按照GB 55001执行；现场检查发现的实体缺陷应执行调查、检测、结构分析、鉴定评级、结论与建议等相关程序，为后续建（构）筑物实体缺陷加固、维护、技改与施工提供基础数据。</w:t>
      </w:r>
    </w:p>
    <w:p w14:paraId="4BABDEC8">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鉴定评级一般要求</w:t>
      </w:r>
      <w:r>
        <w:rPr>
          <w:rFonts w:hint="eastAsia" w:ascii="黑体" w:hAnsi="Times New Roman" w:eastAsia="黑体" w:cs="Times New Roman"/>
          <w:sz w:val="21"/>
          <w:lang w:val="en-US" w:eastAsia="zh-CN" w:bidi="ar-SA"/>
        </w:rPr>
        <w:tab/>
      </w:r>
    </w:p>
    <w:p w14:paraId="47D11479">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实体缺陷鉴定方案应根据鉴定目的、范围、内容及初步调查结果制定，应包括鉴定依据、详细调查和检测内容、检测方法、工作进度计划及需委托方完成的准备配合工作等。需要进行结构加固及鉴定的项目应符合GB 55021、GB 50344相关规定。</w:t>
      </w:r>
    </w:p>
    <w:p w14:paraId="13BD2BF8">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维修加固和技改一般要求</w:t>
      </w:r>
    </w:p>
    <w:p w14:paraId="61BCA20A">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实体缺陷检查整改按照第10章相关规定进行。</w:t>
      </w:r>
    </w:p>
    <w:p w14:paraId="4AE31D61">
      <w:pPr>
        <w:numPr>
          <w:ilvl w:val="2"/>
          <w:numId w:val="9"/>
        </w:numPr>
        <w:bidi w:val="0"/>
        <w:spacing w:before="50" w:beforeLines="50" w:after="5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实体缺陷检查评价</w:t>
      </w:r>
      <w:r>
        <w:rPr>
          <w:rFonts w:hint="eastAsia" w:ascii="黑体" w:hAnsi="Times New Roman" w:eastAsia="黑体" w:cs="Times New Roman"/>
          <w:sz w:val="21"/>
          <w:lang w:val="en-US" w:eastAsia="zh-CN" w:bidi="ar-SA"/>
        </w:rPr>
        <w:tab/>
      </w:r>
    </w:p>
    <w:p w14:paraId="348F5755">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既有建（构）筑物实体缺陷识别应符合GB 50144相关规定，需要进行结构加固及鉴定的项目应符合GB 55021、GB 50344相关规定，工程结构必须按照GB 55001执行；现场检查发现的实体缺陷应执行调查、检测、结构分析、鉴定评级、结论与建议等相关程序，为后续建（构）筑物实体缺陷加固、维护、技改与施工提供基础数据。</w:t>
      </w:r>
      <w:r>
        <w:rPr>
          <w:rFonts w:hint="eastAsia" w:ascii="宋体" w:hAnsi="Times New Roman" w:eastAsia="宋体" w:cs="Times New Roman"/>
          <w:sz w:val="21"/>
          <w:lang w:val="en-US" w:eastAsia="zh-CN" w:bidi="ar-SA"/>
        </w:rPr>
        <w:tab/>
      </w:r>
    </w:p>
    <w:p w14:paraId="4074BB9D">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实体缺陷调查工作内容</w:t>
      </w:r>
      <w:r>
        <w:rPr>
          <w:rFonts w:hint="eastAsia" w:ascii="宋体" w:hAnsi="Times New Roman" w:eastAsia="宋体" w:cs="Times New Roman"/>
          <w:sz w:val="21"/>
          <w:lang w:val="en-US" w:eastAsia="zh-CN" w:bidi="ar-SA"/>
        </w:rPr>
        <w:tab/>
      </w:r>
    </w:p>
    <w:p w14:paraId="0E12D1B2">
      <w:pPr>
        <w:widowControl w:val="0"/>
        <w:numPr>
          <w:ilvl w:val="3"/>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检测工作内容</w:t>
      </w:r>
      <w:r>
        <w:rPr>
          <w:rFonts w:hint="eastAsia" w:ascii="宋体" w:hAnsi="Times New Roman" w:cs="Times New Roman"/>
          <w:sz w:val="21"/>
          <w:lang w:val="en-US" w:eastAsia="zh-CN" w:bidi="ar-SA"/>
        </w:rPr>
        <w:t>：</w:t>
      </w:r>
    </w:p>
    <w:p w14:paraId="7B4DBAA7">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1）调查结构上的作用和环境中的不利因素；</w:t>
      </w:r>
    </w:p>
    <w:p w14:paraId="6CE93D6D">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2）检查结构布置和构造、支撑系统、结构构件及连接情况；</w:t>
      </w:r>
    </w:p>
    <w:p w14:paraId="56306E73">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3）检测结构材料的实际性能和构件的几何参数，还可通过荷载试验检验结构或构件的实际性能；</w:t>
      </w:r>
    </w:p>
    <w:p w14:paraId="627CE2D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4）调查或测量地基的变形，检查地基变形对上部承重结构、围护结构系统及吊车运行等的影响；还可开挖基础检查，补充勘察或进行现场地基承载能力试验；</w:t>
      </w:r>
    </w:p>
    <w:p w14:paraId="679CA5BB">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5）检测上部承重结构或构件、支撑杆件及其连接存在的缺陷和损伤、裂缝、变形或偏差、腐蚀、老化等；</w:t>
      </w:r>
    </w:p>
    <w:p w14:paraId="48B20DB8">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6）检查围护结构系统的安全状况和使用功能；</w:t>
      </w:r>
    </w:p>
    <w:p w14:paraId="1B7FD009">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7）检查构筑物特殊功能结构系统的安全状况和使用功能；</w:t>
      </w:r>
    </w:p>
    <w:p w14:paraId="3EA0D195">
      <w:pPr>
        <w:autoSpaceDE w:val="0"/>
        <w:autoSpaceDN w:val="0"/>
        <w:bidi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8）上部承重结构整体或局部有明显振动时，应测试结构或构件的动力反应和动力特性。</w:t>
      </w:r>
    </w:p>
    <w:p w14:paraId="309B15BC">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90" w:name="_Toc10719"/>
      <w:bookmarkStart w:id="91" w:name="_Toc11375"/>
      <w:r>
        <w:rPr>
          <w:rFonts w:hint="eastAsia" w:ascii="黑体" w:hAnsi="Times New Roman" w:eastAsia="黑体" w:cs="Times New Roman"/>
          <w:sz w:val="21"/>
          <w:lang w:val="en-US" w:eastAsia="zh-CN" w:bidi="ar-SA"/>
        </w:rPr>
        <w:t>防洪专项</w:t>
      </w:r>
      <w:bookmarkEnd w:id="90"/>
      <w:bookmarkEnd w:id="91"/>
      <w:r>
        <w:rPr>
          <w:rFonts w:hint="eastAsia" w:ascii="黑体" w:hAnsi="Times New Roman" w:eastAsia="黑体" w:cs="Times New Roman"/>
          <w:sz w:val="21"/>
          <w:lang w:val="en-US" w:eastAsia="zh-CN" w:bidi="ar-SA"/>
        </w:rPr>
        <w:t>评价</w:t>
      </w:r>
    </w:p>
    <w:p w14:paraId="037BCC70">
      <w:pPr>
        <w:numPr>
          <w:ilvl w:val="2"/>
          <w:numId w:val="9"/>
        </w:numPr>
        <w:spacing w:before="120" w:beforeLines="50" w:after="120" w:afterLines="50"/>
        <w:jc w:val="both"/>
        <w:outlineLvl w:val="1"/>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一般规定</w:t>
      </w:r>
    </w:p>
    <w:p w14:paraId="5C86046D">
      <w:pPr>
        <w:numPr>
          <w:ilvl w:val="0"/>
          <w:numId w:val="0"/>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黑体" w:hAnsi="黑体" w:eastAsia="黑体" w:cs="Times New Roman"/>
          <w:sz w:val="21"/>
          <w:lang w:val="en-US" w:eastAsia="zh-CN" w:bidi="ar-SA"/>
        </w:rPr>
        <w:t>8.1.1</w:t>
      </w:r>
      <w:r>
        <w:rPr>
          <w:rFonts w:hint="eastAsia" w:ascii="宋体" w:hAnsi="Times New Roman" w:eastAsia="宋体" w:cs="Times New Roman"/>
          <w:sz w:val="21"/>
          <w:lang w:val="en-US" w:eastAsia="zh-CN" w:bidi="ar-SA"/>
        </w:rPr>
        <w:t>火力发电企业应定期开展防洪防汛技术</w:t>
      </w:r>
      <w:r>
        <w:rPr>
          <w:rFonts w:hint="eastAsia" w:ascii="宋体" w:hAnsi="Times New Roman" w:cs="Times New Roman"/>
          <w:sz w:val="21"/>
          <w:lang w:val="en-US" w:eastAsia="zh-CN" w:bidi="ar-SA"/>
        </w:rPr>
        <w:t>评价</w:t>
      </w:r>
      <w:r>
        <w:rPr>
          <w:rFonts w:hint="eastAsia" w:ascii="宋体" w:hAnsi="Times New Roman" w:eastAsia="宋体" w:cs="Times New Roman"/>
          <w:sz w:val="21"/>
          <w:lang w:val="en-US" w:eastAsia="zh-CN" w:bidi="ar-SA"/>
        </w:rPr>
        <w:t>专项工作。</w:t>
      </w:r>
    </w:p>
    <w:p w14:paraId="0EB4FD83">
      <w:pPr>
        <w:numPr>
          <w:ilvl w:val="0"/>
          <w:numId w:val="0"/>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黑体" w:hAnsi="黑体" w:eastAsia="黑体" w:cs="Times New Roman"/>
          <w:sz w:val="21"/>
          <w:lang w:val="en-US" w:eastAsia="zh-CN" w:bidi="ar-SA"/>
        </w:rPr>
        <w:t>8.1.2</w:t>
      </w:r>
      <w:r>
        <w:rPr>
          <w:rFonts w:hint="eastAsia" w:ascii="黑体" w:hAnsi="黑体" w:eastAsia="黑体" w:cs="Times New Roman"/>
          <w:sz w:val="21"/>
          <w:highlight w:val="none"/>
          <w:lang w:val="en-US" w:eastAsia="zh-CN" w:bidi="ar-SA"/>
        </w:rPr>
        <w:t xml:space="preserve"> </w:t>
      </w:r>
      <w:r>
        <w:rPr>
          <w:rFonts w:hint="eastAsia" w:ascii="宋体" w:hAnsi="Times New Roman" w:eastAsia="宋体" w:cs="Times New Roman"/>
          <w:sz w:val="21"/>
          <w:highlight w:val="none"/>
          <w:lang w:val="en-US" w:eastAsia="zh-CN" w:bidi="ar-SA"/>
        </w:rPr>
        <w:t>厂区应有防倒灌措施、防渗漏措施、排水措施、挡水措施，保障应急电源可靠性、信息通讯畅通性、联动机制有效性、防汛物资有效性。</w:t>
      </w:r>
    </w:p>
    <w:p w14:paraId="2BC64578">
      <w:pPr>
        <w:numPr>
          <w:ilvl w:val="2"/>
          <w:numId w:val="9"/>
        </w:numPr>
        <w:spacing w:before="120" w:beforeLines="50" w:after="120" w:afterLines="50"/>
        <w:jc w:val="both"/>
        <w:outlineLvl w:val="1"/>
        <w:rPr>
          <w:rFonts w:ascii="黑体" w:hAnsi="Times New Roman" w:eastAsia="黑体" w:cs="Times New Roman"/>
          <w:sz w:val="21"/>
          <w:lang w:val="en-US" w:eastAsia="zh-CN" w:bidi="ar-SA"/>
        </w:rPr>
      </w:pPr>
      <w:bookmarkStart w:id="92" w:name="_Toc19364"/>
      <w:r>
        <w:rPr>
          <w:rFonts w:hint="eastAsia" w:ascii="黑体" w:hAnsi="Times New Roman" w:eastAsia="黑体" w:cs="Times New Roman"/>
          <w:sz w:val="21"/>
          <w:lang w:val="en-US" w:eastAsia="zh-CN" w:bidi="ar-SA"/>
        </w:rPr>
        <w:t>规划设计</w:t>
      </w:r>
      <w:bookmarkEnd w:id="92"/>
      <w:r>
        <w:rPr>
          <w:rFonts w:hint="eastAsia" w:ascii="黑体" w:hAnsi="Times New Roman" w:eastAsia="黑体" w:cs="Times New Roman"/>
          <w:sz w:val="21"/>
          <w:lang w:val="en-US" w:eastAsia="zh-CN" w:bidi="ar-SA"/>
        </w:rPr>
        <w:t>一般要求</w:t>
      </w:r>
    </w:p>
    <w:p w14:paraId="6A62CD4A">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在洪泛区、蓄滞洪区内建设的火力发电厂应编制洪水影响评价报告，报告应当包括建设单位自行安排的防洪避洪方案。</w:t>
      </w:r>
    </w:p>
    <w:p w14:paraId="21CAC609">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火力发电厂选址应充分考虑洪水灾害的影响，避开山洪威胁。尽量避开不利地段，禁止在危险地段新建、扩建和改建工程。已经建在受山洪威胁的地方的，应当采取防御措施。</w:t>
      </w:r>
    </w:p>
    <w:p w14:paraId="4E0F832E">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火力发电厂防洪设计应根据完整、正确的水文、气象、地质等基础资料进行。</w:t>
      </w:r>
    </w:p>
    <w:p w14:paraId="0B316818">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火力发电厂厂区防洪标准应符合先行国家标准《防洪标准》GB 50201和《大中型火力发电厂设计标准》GB 50660的有关规定。</w:t>
      </w:r>
    </w:p>
    <w:p w14:paraId="75DE34B2">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厂区竖向布置及设置的防洪设施应符合《大中型火力发电厂设计标准》GB 50660 的有关规定。</w:t>
      </w:r>
    </w:p>
    <w:p w14:paraId="40A9CFFE">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受风暴潮威胁的沿海地区建筑物、构筑物的设计和施工符合防御风暴潮的需要。</w:t>
      </w:r>
    </w:p>
    <w:p w14:paraId="7E4F4422">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火力发电厂建筑设计应采取防洪安全措施。</w:t>
      </w:r>
    </w:p>
    <w:p w14:paraId="5A48FD32">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厂房应设计可靠的正常及应急排水系统。</w:t>
      </w:r>
    </w:p>
    <w:p w14:paraId="4CD1FB9D">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在蓄滞洪区内建造房屋应当采用平顶式结构。</w:t>
      </w:r>
    </w:p>
    <w:p w14:paraId="405CD2FC">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highlight w:val="none"/>
          <w:lang w:val="en-US" w:eastAsia="zh-CN" w:bidi="ar-SA"/>
        </w:rPr>
        <w:t>地表水岸边水泵房±0.00m层标高设计应符合《大中型火力发电厂设计标准》GB 50660 的有关规定。</w:t>
      </w:r>
    </w:p>
    <w:p w14:paraId="71697D64">
      <w:pPr>
        <w:numPr>
          <w:ilvl w:val="2"/>
          <w:numId w:val="9"/>
        </w:numPr>
        <w:spacing w:before="120" w:beforeLines="50" w:after="120" w:afterLines="50"/>
        <w:jc w:val="both"/>
        <w:outlineLvl w:val="1"/>
        <w:rPr>
          <w:rFonts w:ascii="黑体" w:hAnsi="Times New Roman" w:eastAsia="黑体" w:cs="Times New Roman"/>
          <w:sz w:val="21"/>
          <w:lang w:val="en-US" w:eastAsia="zh-CN" w:bidi="ar-SA"/>
        </w:rPr>
      </w:pPr>
      <w:bookmarkStart w:id="93" w:name="_Toc26375"/>
      <w:r>
        <w:rPr>
          <w:rFonts w:hint="eastAsia" w:ascii="黑体" w:hAnsi="Times New Roman" w:eastAsia="黑体" w:cs="Times New Roman"/>
          <w:sz w:val="21"/>
          <w:lang w:val="en-US" w:eastAsia="zh-CN" w:bidi="ar-SA"/>
        </w:rPr>
        <w:t>施工期防洪度汛一般要求</w:t>
      </w:r>
    </w:p>
    <w:p w14:paraId="606AC8C6">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建设单位应按照《中华人民共和国防洪法》、《中华人民共和国防汛条例》及本企业相关规定设立包含各参建单位的防洪度汛组织机构，明确各单位职责、人员组成及其联系方式。</w:t>
      </w:r>
    </w:p>
    <w:p w14:paraId="5CBF29B9">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设计单位应于每年汛前提出工程度汛标准、工程形象面貌及度汛要求。</w:t>
      </w:r>
    </w:p>
    <w:p w14:paraId="67B46809">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厂房改（扩）建过程中应满足各施工阶段的防洪标准。</w:t>
      </w:r>
    </w:p>
    <w:p w14:paraId="1E88586E">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建设单位应组织编制满足工程度汛及施工要求的防洪度汛方案，报相关部门审查后严格执行。</w:t>
      </w:r>
    </w:p>
    <w:p w14:paraId="31871FFF">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建设单位、施工单位应制定完善工程防洪应急预案，按要求组织评审、审批、培训和演练，按规定报地方政府有关部门备案。</w:t>
      </w:r>
    </w:p>
    <w:p w14:paraId="33CCA538">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施工单位应单独编制监测设施施工方案，由项目建设单位组织设计、监理、运行单位审查后实施。</w:t>
      </w:r>
    </w:p>
    <w:p w14:paraId="386DD93B">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建设单位应于汛前组织开展防汛检查，并对汛期可能存在的安全风险进行辨识、分析和评估，制定管控措施，汛前落实到位。</w:t>
      </w:r>
    </w:p>
    <w:p w14:paraId="36D86727">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施工单位应于汛前按设计要求和现场施工情况制定防汛措施，报监理单位审批后成立防汛抢险队伍，配置必要的防汛物资，做好防洪抢险准备工作。</w:t>
      </w:r>
    </w:p>
    <w:p w14:paraId="6064B6DA">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施工期应加强洪水的监测预报，做好汛期防灾避险工作，预报有强降雨前应及时对截排水系统等进行全面检查，加强施工区域的隐患排查治理和突发事件应急处置。。</w:t>
      </w:r>
    </w:p>
    <w:p w14:paraId="38C010C8">
      <w:pPr>
        <w:numPr>
          <w:ilvl w:val="2"/>
          <w:numId w:val="9"/>
        </w:numPr>
        <w:spacing w:before="120" w:beforeLines="50" w:after="120" w:afterLines="50"/>
        <w:jc w:val="both"/>
        <w:outlineLvl w:val="1"/>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日常运行防洪度汛一般要求</w:t>
      </w:r>
    </w:p>
    <w:p w14:paraId="0124E6A8">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汛前工作</w:t>
      </w:r>
      <w:bookmarkEnd w:id="93"/>
      <w:r>
        <w:rPr>
          <w:rFonts w:hint="eastAsia" w:ascii="宋体" w:hAnsi="Times New Roman" w:cs="Times New Roman"/>
          <w:sz w:val="21"/>
          <w:lang w:val="en-US" w:eastAsia="zh-CN" w:bidi="ar-SA"/>
        </w:rPr>
        <w:t>评价内容：</w:t>
      </w:r>
    </w:p>
    <w:p w14:paraId="72BFC06A">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1）组建防洪度汛组织机构，明确人员职责及联系方式；</w:t>
      </w:r>
    </w:p>
    <w:p w14:paraId="43949B59">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2）制定汛期值班制度；</w:t>
      </w:r>
    </w:p>
    <w:p w14:paraId="3515D8EE">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3）制定防洪度汛措施计划，对防洪度汛设施进行检查，及时维护、消缺；</w:t>
      </w:r>
    </w:p>
    <w:p w14:paraId="7E0026D8">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4）科学制定编制防洪应急预案，成立防汛抢险队伍，明确防汛重点部位、薄弱环节，结合实际开展预案演练工作，演练应有总结分析、结果评价；</w:t>
      </w:r>
    </w:p>
    <w:p w14:paraId="10B12F50">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5）应编制防汛物资管理办法，汛前完成防汛物资更新补充工作，配备工具及安全防护用品。</w:t>
      </w:r>
    </w:p>
    <w:p w14:paraId="6B9A940F">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bookmarkStart w:id="94" w:name="_Toc7430"/>
      <w:r>
        <w:rPr>
          <w:rFonts w:hint="eastAsia" w:ascii="宋体" w:hAnsi="Times New Roman" w:eastAsia="宋体" w:cs="Times New Roman"/>
          <w:sz w:val="21"/>
          <w:lang w:val="en-US" w:eastAsia="zh-CN" w:bidi="ar-SA"/>
        </w:rPr>
        <w:t>汛期工作</w:t>
      </w:r>
      <w:bookmarkEnd w:id="94"/>
      <w:r>
        <w:rPr>
          <w:rFonts w:hint="eastAsia" w:ascii="宋体" w:hAnsi="Times New Roman" w:cs="Times New Roman"/>
          <w:sz w:val="21"/>
          <w:lang w:val="en-US" w:eastAsia="zh-CN" w:bidi="ar-SA"/>
        </w:rPr>
        <w:t>评价内容：</w:t>
      </w:r>
    </w:p>
    <w:p w14:paraId="402FFA5A">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1）严格执行汛期值班制度，值班人员应具有相应的业务知识和技能，并落实汛期24小时值班和领导带班制度，保持通讯畅通；</w:t>
      </w:r>
    </w:p>
    <w:p w14:paraId="2CE64B07">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2）对厂区地质灾害突发事件，应按照预案开展工作，组织防洪抢险队伍及时抢险，确保汛期安全；</w:t>
      </w:r>
    </w:p>
    <w:p w14:paraId="293A2161">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3）汛期定期对重点区域及隐患点进行巡视检查；</w:t>
      </w:r>
    </w:p>
    <w:p w14:paraId="3E9F6E9A">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4）与地方政府、水利部门建立应急联动机制，并保障汛期信息共享；</w:t>
      </w:r>
    </w:p>
    <w:p w14:paraId="119C0649">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5）保障排水设施通畅；挡水物资齐全、充足；应急电源可靠。</w:t>
      </w:r>
    </w:p>
    <w:p w14:paraId="18DDDAAB">
      <w:pPr>
        <w:widowControl w:val="0"/>
        <w:numPr>
          <w:ilvl w:val="3"/>
          <w:numId w:val="9"/>
        </w:numPr>
        <w:spacing w:before="0" w:beforeLines="0" w:after="0" w:afterLines="0"/>
        <w:jc w:val="both"/>
        <w:outlineLvl w:val="9"/>
        <w:rPr>
          <w:rFonts w:ascii="宋体" w:hAnsi="Times New Roman" w:eastAsia="宋体" w:cs="Times New Roman"/>
          <w:sz w:val="21"/>
          <w:lang w:val="en-US" w:eastAsia="zh-CN" w:bidi="ar-SA"/>
        </w:rPr>
      </w:pPr>
      <w:bookmarkStart w:id="95" w:name="_Toc18693"/>
      <w:r>
        <w:rPr>
          <w:rFonts w:hint="eastAsia" w:ascii="宋体" w:hAnsi="Times New Roman" w:eastAsia="宋体" w:cs="Times New Roman"/>
          <w:sz w:val="21"/>
          <w:lang w:val="en-US" w:eastAsia="zh-CN" w:bidi="ar-SA"/>
        </w:rPr>
        <w:t>汛后工作</w:t>
      </w:r>
      <w:bookmarkEnd w:id="95"/>
      <w:r>
        <w:rPr>
          <w:rFonts w:hint="eastAsia" w:ascii="宋体" w:hAnsi="Times New Roman" w:cs="Times New Roman"/>
          <w:sz w:val="21"/>
          <w:lang w:val="en-US" w:eastAsia="zh-CN" w:bidi="ar-SA"/>
        </w:rPr>
        <w:t>评价内容：</w:t>
      </w:r>
    </w:p>
    <w:p w14:paraId="7A100EEB">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1）汛后应组织安全检查，对水毁部分缺陷和隐患制定整改计划，明确整改要求，落实责任人和整改期限；</w:t>
      </w:r>
    </w:p>
    <w:p w14:paraId="65B49A03">
      <w:pPr>
        <w:autoSpaceDE w:val="0"/>
        <w:autoSpaceDN w:val="0"/>
        <w:ind w:firstLine="420" w:firstLineChars="200"/>
        <w:jc w:val="both"/>
        <w:rPr>
          <w:rFonts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2）做好防汛工作总结，总结内容包括水文气象、防洪调度、防洪抢险、水工建构筑物运行情况、存在问题和建议等。</w:t>
      </w:r>
    </w:p>
    <w:p w14:paraId="53E779D6">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96" w:name="_Toc17276"/>
      <w:bookmarkStart w:id="97" w:name="_Toc15679"/>
      <w:r>
        <w:rPr>
          <w:rFonts w:hint="eastAsia" w:ascii="黑体" w:hAnsi="Times New Roman" w:eastAsia="黑体" w:cs="Times New Roman"/>
          <w:sz w:val="21"/>
          <w:lang w:val="en-US" w:eastAsia="zh-CN" w:bidi="ar-SA"/>
        </w:rPr>
        <w:t>抗震专项</w:t>
      </w:r>
      <w:bookmarkEnd w:id="96"/>
      <w:bookmarkEnd w:id="97"/>
      <w:r>
        <w:rPr>
          <w:rFonts w:hint="eastAsia" w:ascii="黑体" w:hAnsi="Times New Roman" w:eastAsia="黑体" w:cs="Times New Roman"/>
          <w:sz w:val="21"/>
          <w:lang w:val="en-US" w:eastAsia="zh-CN" w:bidi="ar-SA"/>
        </w:rPr>
        <w:t>评价</w:t>
      </w:r>
    </w:p>
    <w:p w14:paraId="0E12628C">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新建、改建和扩建的电力设施必须达到抗震设防要求。</w:t>
      </w:r>
    </w:p>
    <w:p w14:paraId="280699EA">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火力发电厂建（构）筑物的抗震设防类别的划分应符合现行国家标准《建筑与市政工程抗震通用规范》GB 55002、《电力设施抗震设计规范》 GB 50260 和《建筑工程抗震设防分类标准》 GB 50223的规定，并符合下列要求:</w:t>
      </w:r>
    </w:p>
    <w:p w14:paraId="022660C6">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1）主厂房、集中控制楼、 空冷凝汽器支撑结构、烟囱、碎煤机室、运煤转运站、运煤栈桥、封闭煤场、贮煤筒仓、燃油和燃气机组发电厂的燃料供应设施、屋内配电装置室、网控通信楼、热网首站、燃油泵房、氢气站（供氢站）、消防站或消防车库；循环水泵房、补给水泵房、冷却塔、综合水泵房、消防水泵房，应划为重点设防类（乙类）；</w:t>
      </w:r>
    </w:p>
    <w:p w14:paraId="4AA12EC4">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2）除本条第 1、3 款以外的其它建（构）筑物，应划分为标准设防类（丙类）；</w:t>
      </w:r>
    </w:p>
    <w:p w14:paraId="3FB0D195">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3）一般材料库、自行车棚，应划分为适度设防类（丁类）。</w:t>
      </w:r>
    </w:p>
    <w:p w14:paraId="76A110D4">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火力发电厂建（构）筑物抗震设防烈度的确定应符合现行国家标准《中国地震动参数区划图》GB 18306、《建筑与市政工程抗震通用规范》GB 55002、《建筑抗震设计标准》GB/T 50011有关规定；对已进行地震安全性评价的火力发电厂，应按批准的地震安全性评价报告中的有关内容确定。</w:t>
      </w:r>
    </w:p>
    <w:p w14:paraId="1DE0BEF6">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火力发电厂建（构）筑物应进行抗震设计，抗震设计应符合国家现行标准《建筑抗震设计标准》GB/T 50011、《构筑物抗震设计规范》GB 50191、《电力设施抗震设计规范》GB 50260、《室外给水排水和燃气热力工程抗震设计规范》GB 50032、《水工建筑物抗震设计规范》DL/T 5073 和《水运工程水工建筑物抗震设计规范》JTJ 225 的有关规定。</w:t>
      </w:r>
    </w:p>
    <w:p w14:paraId="2C3D615D">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对未采取抗震设防措施或者未达到抗震设防强制性标准的已经建成的建设工程宜进行抗震性能鉴定。建筑结构抗震鉴定技术应符合《建筑抗震鉴定标准》GB 50023、《构筑物抗震鉴定标准》GB 50117要求。 </w:t>
      </w:r>
    </w:p>
    <w:p w14:paraId="301E8223">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抗震加固技术应符合《建筑抗震加固技术规程》JGJ 116的要求。 </w:t>
      </w:r>
    </w:p>
    <w:p w14:paraId="3DC8A0ED">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抗震技术强制性执行条款必须按照《建筑与市政工程抗震通用规范》GB 55002执行。</w:t>
      </w:r>
    </w:p>
    <w:p w14:paraId="40EC2CF4">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火力发电厂建（构）筑物结构材料与施工应满足《建筑抗震设计标准》GB/T 50011有关规定。</w:t>
      </w:r>
    </w:p>
    <w:p w14:paraId="6CFA66D1">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火力发电厂建（构）筑物连接节点设计应按要求进行极限承载力验算。</w:t>
      </w:r>
    </w:p>
    <w:p w14:paraId="769C0579">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勘察文件中应当说明抗震场地类别，对场地地震效应进行分析，并提出工程选址、不良地质处置等建议。</w:t>
      </w:r>
    </w:p>
    <w:p w14:paraId="319F4239">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设计文件中应当说明抗震设防烈度、抗震设防类别以及拟采用的抗震设防措施。采用隔震减震技术的建设工程，设计文件中应当对隔震减震装置技术性能、检验检测、施工安装和使用维护等提出明确要求。</w:t>
      </w:r>
    </w:p>
    <w:p w14:paraId="44293D0B">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对位于高烈度设防地区、地震重点监视防御区的建设工程，设计单位应当在初步设计阶段按照国家有关规定编制建设工程抗震设防专篇。</w:t>
      </w:r>
    </w:p>
    <w:p w14:paraId="1EAE269C">
      <w:pPr>
        <w:numPr>
          <w:ilvl w:val="2"/>
          <w:numId w:val="9"/>
        </w:numPr>
        <w:bidi w:val="0"/>
        <w:spacing w:before="0" w:beforeLines="0" w:after="0" w:afterLines="0"/>
        <w:jc w:val="both"/>
        <w:outlineLvl w:val="9"/>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施工单位应当按照抗震设防强制性标准进行施工。</w:t>
      </w:r>
    </w:p>
    <w:p w14:paraId="36B1F841">
      <w:pPr>
        <w:numPr>
          <w:ilvl w:val="1"/>
          <w:numId w:val="9"/>
        </w:numPr>
        <w:spacing w:before="240" w:beforeLines="100" w:after="240" w:afterLines="100"/>
        <w:jc w:val="both"/>
        <w:outlineLvl w:val="0"/>
        <w:rPr>
          <w:rFonts w:ascii="黑体" w:hAnsi="Times New Roman" w:eastAsia="黑体" w:cs="Times New Roman"/>
          <w:sz w:val="21"/>
          <w:lang w:val="en-US" w:eastAsia="zh-CN" w:bidi="ar-SA"/>
        </w:rPr>
      </w:pPr>
      <w:bookmarkStart w:id="98" w:name="_Toc28921"/>
      <w:bookmarkStart w:id="99" w:name="_Toc6617"/>
      <w:r>
        <w:rPr>
          <w:rFonts w:hint="eastAsia" w:ascii="黑体" w:hAnsi="Times New Roman" w:eastAsia="黑体" w:cs="Times New Roman"/>
          <w:sz w:val="21"/>
          <w:lang w:val="en-US" w:eastAsia="zh-CN" w:bidi="ar-SA"/>
        </w:rPr>
        <w:t>技改专项</w:t>
      </w:r>
      <w:bookmarkEnd w:id="98"/>
      <w:bookmarkEnd w:id="99"/>
      <w:r>
        <w:rPr>
          <w:rFonts w:hint="eastAsia" w:ascii="黑体" w:hAnsi="Times New Roman" w:eastAsia="黑体" w:cs="Times New Roman"/>
          <w:sz w:val="21"/>
          <w:lang w:val="en-US" w:eastAsia="zh-CN" w:bidi="ar-SA"/>
        </w:rPr>
        <w:t>评价</w:t>
      </w:r>
    </w:p>
    <w:p w14:paraId="0A9D388B">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在开展建筑结构的扩建或改造工作之前，应对既有建筑物实施可靠性鉴定，并依据鉴定结果判定是否对建筑结构进行加固处理。</w:t>
      </w:r>
    </w:p>
    <w:p w14:paraId="73AFF3D5">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既有建筑在下列情况下应进行鉴定：</w:t>
      </w:r>
    </w:p>
    <w:p w14:paraId="41BDFE4C">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1）达到设计工作年限需要继续使用；</w:t>
      </w:r>
    </w:p>
    <w:p w14:paraId="35FBC043">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2）改建、扩建、移位以及建筑用途或使用环境改变前；</w:t>
      </w:r>
    </w:p>
    <w:p w14:paraId="1570CF37">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3）原设计未考虑抗震设防或抗震设防要求提高；</w:t>
      </w:r>
    </w:p>
    <w:p w14:paraId="0FCB31B9">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4）遭受灾害或事故后；</w:t>
      </w:r>
    </w:p>
    <w:p w14:paraId="6827C578">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5）存在较严重的质量缺陷或损伤、疲劳、变形、振动影响、毗邻工程施工影响；</w:t>
      </w:r>
    </w:p>
    <w:p w14:paraId="266C8067">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6）日常使用中发现安全隐患；</w:t>
      </w:r>
    </w:p>
    <w:p w14:paraId="64BD9F3E">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7）有要求需进行质量评价时。</w:t>
      </w:r>
    </w:p>
    <w:p w14:paraId="035F5F4C">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既有建筑在下列情况下情况下应进行加固：</w:t>
      </w:r>
    </w:p>
    <w:p w14:paraId="582D7348">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1）经安全性鉴定确认需要提高结构构件的安全性；</w:t>
      </w:r>
    </w:p>
    <w:p w14:paraId="087C65B6">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2）经抗震鉴定确认需要加强整体性、改善构件的受力状况、提高综合抗震能力。</w:t>
      </w:r>
    </w:p>
    <w:p w14:paraId="5F2D8C9D">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建筑结构的加固应进行承载能力加固与抗震能力加固，且应以恢复建筑物安全使用功能、延长其使用年限为目标；结构应具备防止倒塌的整体稳固性，同时满足紧急状态下人员从建筑内撤离等安全应急功能需求。</w:t>
      </w:r>
    </w:p>
    <w:p w14:paraId="68108531">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建筑结构加固工程必须按规定的程序进行加固设计，不得直接将鉴定报告用于加固施工。加固施工应按GB50550等施工质量验收规范的要求进行施工质量检验和竣工验收，合格后方可投入使用。</w:t>
      </w:r>
    </w:p>
    <w:p w14:paraId="3CBD7C0D">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建筑结构加固工程质量控制的一般要求：</w:t>
      </w:r>
    </w:p>
    <w:p w14:paraId="34149DA1">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1）加固设计应明确结构加固后的用途、使用环境和加固设计工作年限。在加固设计工作年限内，未经技术鉴定或设计许可，不得改变加固后结构的用途和使用环境。</w:t>
      </w:r>
    </w:p>
    <w:p w14:paraId="432FFD96">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2）结构加固设计单位应按审查批准的施工图，对施工单位进行技术交底；对加固过程中可能出现倾斜、失稳、过大变形或坍塌的结构，应在加固设计文件中提出相应的临时性安全措施。</w:t>
      </w:r>
    </w:p>
    <w:p w14:paraId="60E68E8D">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3）结构加固施工单位应据设计单位提供的施工图编制施工组织设计和施工技术方案，经审查批准后组织实施；施工前，应对原结构、构件进行清理、修整和支护。</w:t>
      </w:r>
    </w:p>
    <w:p w14:paraId="7A387B3E">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4）施工过程中，需对进场加固材料、产品质量进行严格把控，材料和产品进场时必须查验其质量证明文件，并按规范规定的抽样数量进行见证抽样复验，合格后方可使用。施工单位或生产厂家自行抽样、送检的委托检验报告无效。</w:t>
      </w:r>
    </w:p>
    <w:p w14:paraId="13DFD1C3">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5）各工序及隐蔽工程施工完成后，应按照设计要求和施工技术标准进行检查验收，工种交接时应进行交接检验，未经检验或检验不合格的工序不得进入下道工序施工。</w:t>
      </w:r>
    </w:p>
    <w:p w14:paraId="26411E05">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建筑结构的维护与改造要求应符合GB55022相关规定：</w:t>
      </w:r>
    </w:p>
    <w:p w14:paraId="652D8727">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既有建筑未经批准不得擅自改动建筑物主体结构和改变使用功能。</w:t>
      </w:r>
    </w:p>
    <w:p w14:paraId="440B9AE2">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既有建筑应确定维护周期，并对其进行周期性的检查。实施检查后，应根据检查结果做出评定。</w:t>
      </w:r>
    </w:p>
    <w:p w14:paraId="6CDD8544">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既有建筑维护与改造前应进行现场踏勘，并应针对建筑的具体特点，制定维护方案或进行修缮与改造设计。施工前应编制施工组织设计，制定针对性的安全防护措施，并应编制应急预案。</w:t>
      </w:r>
    </w:p>
    <w:p w14:paraId="25B4E358">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既有建筑维护与改造工程应进行质量控制。工程全部完成后，应进行验收。</w:t>
      </w:r>
    </w:p>
    <w:p w14:paraId="0EB04387">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既有建筑维护与改造工程，应及时收集、整理工程项目各环节的资料，建立、健全项目档案。相关档案资料应妥善保管；既有建筑物管理权移交时，应同时移交建筑物的相关档案。</w:t>
      </w:r>
    </w:p>
    <w:p w14:paraId="7ECBE59E">
      <w:pPr>
        <w:numPr>
          <w:ilvl w:val="2"/>
          <w:numId w:val="9"/>
        </w:numPr>
        <w:bidi w:val="0"/>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建筑结构的维护与改造应按照检查、修缮、改造相关程序进行。</w:t>
      </w:r>
      <w:bookmarkStart w:id="100" w:name="_Toc141598561"/>
      <w:bookmarkStart w:id="101" w:name="_Toc22104"/>
      <w:bookmarkStart w:id="102" w:name="_Toc8830"/>
    </w:p>
    <w:p w14:paraId="5AE34B71">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检查工作应对建筑、结构、设施设备分别实施检查。具体检查项目详见附录D。</w:t>
      </w:r>
    </w:p>
    <w:p w14:paraId="0887D9CA">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检查工作分为定期检查和应急检查，检查要求应符合7.2条规定。</w:t>
      </w:r>
    </w:p>
    <w:p w14:paraId="0CD86796">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既有建筑检查及评定中发现的损伤，应根据损伤的程度采取修缮、改造、更新置换或废弃拆除等处理措施；在采取上述措施前，应及时采取停用或临时解除危险的措施。</w:t>
      </w:r>
    </w:p>
    <w:p w14:paraId="48A504C7">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修缮工作包括建筑修缮、结构修缮、设施设备维修。既有建筑的修缮工作应按照修缮计划，依据检查及评定结果进行周期性修缮，当发生危及房屋使用和人身财产安全的紧急情况时，应立即实施应急抢险修缮。</w:t>
      </w:r>
    </w:p>
    <w:p w14:paraId="6DAB732F">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既有建筑的改造工作应根据检查或鉴定结果先进行改造设计。改造工作包括建筑改造、结构改造、设施设备改造。</w:t>
      </w:r>
    </w:p>
    <w:p w14:paraId="127FADF5">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既有建筑改造过程中应避免破坏原结构承重构件，如确需改动的，应对其进行有效处理。</w:t>
      </w:r>
    </w:p>
    <w:p w14:paraId="5D5814E2">
      <w:pPr>
        <w:widowControl w:val="0"/>
        <w:numPr>
          <w:ilvl w:val="3"/>
          <w:numId w:val="9"/>
        </w:numPr>
        <w:spacing w:before="0" w:beforeLines="0" w:after="0" w:afterLines="0"/>
        <w:jc w:val="both"/>
        <w:outlineLvl w:val="9"/>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既有建筑结构改造应明确改造后的使用功能和后续设计工作年限。在后续设计工作年限内，未经检测鉴定或设计许可，不得改变改造后结构的用途和使用环境。</w:t>
      </w:r>
      <w:r>
        <w:rPr>
          <w:rFonts w:hint="eastAsia" w:ascii="宋体" w:hAnsi="Times New Roman" w:eastAsia="宋体" w:cs="Times New Roman"/>
          <w:sz w:val="21"/>
          <w:lang w:val="en-US" w:eastAsia="zh-CN" w:bidi="ar-SA"/>
        </w:rPr>
        <w:br w:type="page"/>
      </w:r>
    </w:p>
    <w:p w14:paraId="0DD09F88">
      <w:pPr>
        <w:keepNext w:val="0"/>
        <w:keepLines w:val="0"/>
        <w:pageBreakBefore w:val="0"/>
        <w:widowControl w:val="0"/>
        <w:kinsoku/>
        <w:wordWrap/>
        <w:overflowPunct/>
        <w:topLinePunct w:val="0"/>
        <w:autoSpaceDE/>
        <w:autoSpaceDN/>
        <w:bidi w:val="0"/>
        <w:adjustRightInd w:val="0"/>
        <w:snapToGrid/>
        <w:spacing w:line="312" w:lineRule="exact"/>
        <w:ind w:left="0" w:leftChars="0" w:firstLine="0" w:firstLineChars="0"/>
        <w:jc w:val="center"/>
        <w:textAlignment w:val="auto"/>
        <w:outlineLvl w:val="0"/>
        <w:rPr>
          <w:rFonts w:ascii="Calibri" w:hAnsi="Calibri" w:eastAsia="宋体" w:cs="Times New Roman"/>
          <w:kern w:val="2"/>
          <w:sz w:val="21"/>
          <w:szCs w:val="21"/>
          <w:lang w:val="en-US" w:eastAsia="zh-CN" w:bidi="ar-SA"/>
        </w:rPr>
      </w:pPr>
      <w:bookmarkStart w:id="103" w:name="_Toc9461"/>
      <w:r>
        <w:rPr>
          <w:rFonts w:hint="eastAsia" w:ascii="黑体" w:hAnsi="Times New Roman" w:eastAsia="黑体" w:cs="Times New Roman"/>
          <w:kern w:val="2"/>
          <w:sz w:val="21"/>
          <w:szCs w:val="21"/>
          <w:lang w:val="en-US" w:eastAsia="zh-CN" w:bidi="ar-SA"/>
        </w:rPr>
        <w:t>附　录　A</w:t>
      </w:r>
      <w:bookmarkStart w:id="104" w:name="_Toc67578467"/>
      <w:bookmarkStart w:id="105" w:name="_Toc105185541"/>
      <w:bookmarkStart w:id="106" w:name="_Toc67647506"/>
      <w:bookmarkStart w:id="107" w:name="_Toc67578700"/>
      <w:r>
        <w:rPr>
          <w:rFonts w:hint="eastAsia" w:ascii="黑体" w:hAnsi="Times New Roman" w:eastAsia="黑体" w:cs="Times New Roman"/>
          <w:kern w:val="2"/>
          <w:sz w:val="21"/>
          <w:szCs w:val="21"/>
          <w:lang w:val="en-US" w:eastAsia="zh-CN" w:bidi="ar-SA"/>
        </w:rPr>
        <w:br w:type="textWrapping"/>
      </w:r>
      <w:r>
        <w:rPr>
          <w:rFonts w:hint="eastAsia" w:ascii="黑体" w:hAnsi="Times New Roman" w:eastAsia="黑体" w:cs="Times New Roman"/>
          <w:kern w:val="2"/>
          <w:sz w:val="21"/>
          <w:szCs w:val="21"/>
          <w:lang w:val="en-US" w:eastAsia="zh-CN" w:bidi="ar-SA"/>
        </w:rPr>
        <w:t>（规范性）</w:t>
      </w:r>
      <w:bookmarkEnd w:id="104"/>
      <w:bookmarkEnd w:id="105"/>
      <w:bookmarkEnd w:id="106"/>
      <w:bookmarkEnd w:id="107"/>
      <w:bookmarkStart w:id="108" w:name="_Toc67578468"/>
      <w:bookmarkStart w:id="109" w:name="_Toc67578701"/>
      <w:bookmarkStart w:id="110" w:name="_Toc105185542"/>
      <w:bookmarkStart w:id="111" w:name="_Toc67647507"/>
      <w:r>
        <w:rPr>
          <w:rFonts w:hint="eastAsia" w:ascii="黑体" w:hAnsi="Times New Roman" w:eastAsia="黑体" w:cs="Times New Roman"/>
          <w:kern w:val="2"/>
          <w:sz w:val="21"/>
          <w:szCs w:val="21"/>
          <w:lang w:val="en-US" w:eastAsia="zh-CN" w:bidi="ar-SA"/>
        </w:rPr>
        <w:br w:type="textWrapping"/>
      </w:r>
      <w:bookmarkEnd w:id="100"/>
      <w:bookmarkEnd w:id="101"/>
      <w:bookmarkEnd w:id="108"/>
      <w:bookmarkEnd w:id="109"/>
      <w:bookmarkEnd w:id="110"/>
      <w:bookmarkEnd w:id="111"/>
      <w:r>
        <w:rPr>
          <w:rFonts w:hint="eastAsia" w:ascii="黑体" w:hAnsi="Times New Roman" w:eastAsia="黑体" w:cs="Times New Roman"/>
          <w:kern w:val="21"/>
          <w:sz w:val="21"/>
          <w:szCs w:val="21"/>
          <w:lang w:val="en-US" w:eastAsia="zh-CN" w:bidi="ar-SA"/>
        </w:rPr>
        <w:t>施工建设期技术评价检查表</w:t>
      </w:r>
      <w:bookmarkEnd w:id="102"/>
      <w:bookmarkEnd w:id="103"/>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6"/>
        <w:gridCol w:w="1933"/>
        <w:gridCol w:w="2560"/>
        <w:gridCol w:w="1654"/>
        <w:gridCol w:w="2697"/>
      </w:tblGrid>
      <w:tr w14:paraId="1D57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726" w:type="dxa"/>
            <w:shd w:val="clear" w:color="auto" w:fill="auto"/>
            <w:vAlign w:val="center"/>
          </w:tcPr>
          <w:p w14:paraId="6D223413">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933" w:type="dxa"/>
            <w:shd w:val="clear" w:color="auto" w:fill="auto"/>
            <w:vAlign w:val="center"/>
          </w:tcPr>
          <w:p w14:paraId="056E69F5">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检查项目</w:t>
            </w:r>
          </w:p>
        </w:tc>
        <w:tc>
          <w:tcPr>
            <w:tcW w:w="2560" w:type="dxa"/>
            <w:shd w:val="clear" w:color="auto" w:fill="auto"/>
            <w:vAlign w:val="center"/>
          </w:tcPr>
          <w:p w14:paraId="7FAD2FAA">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检查内容</w:t>
            </w:r>
          </w:p>
        </w:tc>
        <w:tc>
          <w:tcPr>
            <w:tcW w:w="1654" w:type="dxa"/>
            <w:shd w:val="clear" w:color="auto" w:fill="auto"/>
            <w:vAlign w:val="center"/>
          </w:tcPr>
          <w:p w14:paraId="6F111DF9">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检查方法</w:t>
            </w:r>
          </w:p>
        </w:tc>
        <w:tc>
          <w:tcPr>
            <w:tcW w:w="2697" w:type="dxa"/>
            <w:shd w:val="clear" w:color="auto" w:fill="auto"/>
            <w:vAlign w:val="center"/>
          </w:tcPr>
          <w:p w14:paraId="04727260">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评价标准</w:t>
            </w:r>
          </w:p>
        </w:tc>
      </w:tr>
      <w:tr w14:paraId="2BA4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3ECA9F98">
            <w:pPr>
              <w:keepNext w:val="0"/>
              <w:keepLines w:val="0"/>
              <w:pageBreakBefore w:val="0"/>
              <w:widowControl/>
              <w:suppressLineNumbers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宋体" w:hAnsi="宋体" w:eastAsia="宋体" w:cs="宋体"/>
                <w:b/>
                <w:bCs/>
                <w:i w:val="0"/>
                <w:iCs w:val="0"/>
                <w:caps w:val="0"/>
                <w:color w:val="0F1115"/>
                <w:spacing w:val="0"/>
                <w:kern w:val="0"/>
                <w:sz w:val="21"/>
                <w:szCs w:val="21"/>
                <w:lang w:val="en-US" w:eastAsia="zh-CN" w:bidi="ar"/>
              </w:rPr>
            </w:pPr>
            <w:r>
              <w:rPr>
                <w:rFonts w:hint="eastAsia" w:ascii="宋体" w:hAnsi="宋体" w:eastAsia="宋体" w:cs="宋体"/>
                <w:b/>
                <w:bCs/>
                <w:i w:val="0"/>
                <w:iCs w:val="0"/>
                <w:caps w:val="0"/>
                <w:color w:val="0F1115"/>
                <w:spacing w:val="0"/>
                <w:kern w:val="0"/>
                <w:sz w:val="21"/>
                <w:szCs w:val="21"/>
                <w:lang w:val="en-US" w:eastAsia="zh-CN" w:bidi="ar"/>
              </w:rPr>
              <w:t>1</w:t>
            </w:r>
          </w:p>
        </w:tc>
        <w:tc>
          <w:tcPr>
            <w:tcW w:w="1933" w:type="dxa"/>
            <w:shd w:val="clear" w:color="auto" w:fill="FFFFFF"/>
            <w:vAlign w:val="center"/>
          </w:tcPr>
          <w:p w14:paraId="52A660A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合规性与管理资料</w:t>
            </w:r>
          </w:p>
        </w:tc>
        <w:tc>
          <w:tcPr>
            <w:tcW w:w="2560" w:type="dxa"/>
            <w:shd w:val="clear" w:color="auto" w:fill="FFFFFF"/>
            <w:vAlign w:val="center"/>
          </w:tcPr>
          <w:p w14:paraId="4BD4320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1654" w:type="dxa"/>
            <w:shd w:val="clear" w:color="auto" w:fill="FFFFFF"/>
            <w:vAlign w:val="center"/>
          </w:tcPr>
          <w:p w14:paraId="5E87B68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2697" w:type="dxa"/>
            <w:shd w:val="clear" w:color="auto" w:fill="FFFFFF"/>
            <w:vAlign w:val="center"/>
          </w:tcPr>
          <w:p w14:paraId="365B81E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r>
      <w:tr w14:paraId="32A6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7B4F8EBC">
            <w:pPr>
              <w:keepNext w:val="0"/>
              <w:keepLines w:val="0"/>
              <w:widowControl/>
              <w:suppressLineNumbers w:val="0"/>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1.1</w:t>
            </w:r>
          </w:p>
        </w:tc>
        <w:tc>
          <w:tcPr>
            <w:tcW w:w="1933" w:type="dxa"/>
            <w:shd w:val="clear" w:color="auto" w:fill="FFFFFF"/>
            <w:vAlign w:val="center"/>
          </w:tcPr>
          <w:p w14:paraId="6073F30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建设程序文件</w:t>
            </w:r>
          </w:p>
        </w:tc>
        <w:tc>
          <w:tcPr>
            <w:tcW w:w="2560" w:type="dxa"/>
            <w:shd w:val="clear" w:color="auto" w:fill="FFFFFF"/>
            <w:vAlign w:val="center"/>
          </w:tcPr>
          <w:p w14:paraId="708B976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项目立项、用地许可、工程规划许可、施工许可等证照的齐全性与有效性。</w:t>
            </w:r>
          </w:p>
        </w:tc>
        <w:tc>
          <w:tcPr>
            <w:tcW w:w="1654" w:type="dxa"/>
            <w:shd w:val="clear" w:color="auto" w:fill="FFFFFF"/>
            <w:vAlign w:val="center"/>
          </w:tcPr>
          <w:p w14:paraId="296D1E0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核查原件或加盖公章的红章复印件。</w:t>
            </w:r>
          </w:p>
        </w:tc>
        <w:tc>
          <w:tcPr>
            <w:tcW w:w="2697" w:type="dxa"/>
            <w:shd w:val="clear" w:color="auto" w:fill="FFFFFF"/>
            <w:vAlign w:val="center"/>
          </w:tcPr>
          <w:p w14:paraId="7A1B752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证照齐全、审批流程完整、均在有效期内。</w:t>
            </w:r>
          </w:p>
        </w:tc>
      </w:tr>
      <w:tr w14:paraId="4714C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32C268CF">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1.2</w:t>
            </w:r>
          </w:p>
        </w:tc>
        <w:tc>
          <w:tcPr>
            <w:tcW w:w="1933" w:type="dxa"/>
            <w:shd w:val="clear" w:color="auto" w:fill="FFFFFF"/>
            <w:vAlign w:val="center"/>
          </w:tcPr>
          <w:p w14:paraId="4418A3B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参建单位资质</w:t>
            </w:r>
          </w:p>
        </w:tc>
        <w:tc>
          <w:tcPr>
            <w:tcW w:w="2560" w:type="dxa"/>
            <w:shd w:val="clear" w:color="auto" w:fill="FFFFFF"/>
            <w:vAlign w:val="center"/>
          </w:tcPr>
          <w:p w14:paraId="3349368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勘察、设计、施工、监理、检测等单位的资质等级、营业范围及人员资格证书。</w:t>
            </w:r>
          </w:p>
        </w:tc>
        <w:tc>
          <w:tcPr>
            <w:tcW w:w="1654" w:type="dxa"/>
            <w:shd w:val="clear" w:color="auto" w:fill="FFFFFF"/>
            <w:vAlign w:val="center"/>
          </w:tcPr>
          <w:p w14:paraId="11BF53F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核对资质证书、投标文件及现场主要管理人员资格证书。</w:t>
            </w:r>
          </w:p>
        </w:tc>
        <w:tc>
          <w:tcPr>
            <w:tcW w:w="2697" w:type="dxa"/>
            <w:shd w:val="clear" w:color="auto" w:fill="FFFFFF"/>
            <w:vAlign w:val="center"/>
          </w:tcPr>
          <w:p w14:paraId="0EA5FD9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资质符合工程等级要求，人员持证上岗、人证相符。</w:t>
            </w:r>
          </w:p>
        </w:tc>
      </w:tr>
      <w:tr w14:paraId="308A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62ABD012">
            <w:pPr>
              <w:adjustRightInd w:val="0"/>
              <w:snapToGrid w:val="0"/>
              <w:spacing w:line="400" w:lineRule="exact"/>
              <w:ind w:left="0" w:leftChars="0" w:right="0" w:rightChars="0" w:firstLine="0" w:firstLineChars="0"/>
              <w:jc w:val="center"/>
              <w:rPr>
                <w:rFonts w:hint="eastAsia" w:ascii="宋体" w:hAnsi="宋体" w:eastAsia="宋体" w:cs="宋体"/>
                <w:b/>
                <w:bCs/>
                <w:i w:val="0"/>
                <w:iCs w:val="0"/>
                <w:caps w:val="0"/>
                <w:color w:val="0F1115"/>
                <w:spacing w:val="0"/>
                <w:kern w:val="2"/>
                <w:sz w:val="21"/>
                <w:szCs w:val="21"/>
                <w:lang w:val="en-US" w:eastAsia="zh-CN" w:bidi="ar-SA"/>
              </w:rPr>
            </w:pPr>
            <w:r>
              <w:rPr>
                <w:rFonts w:hint="eastAsia" w:ascii="宋体" w:hAnsi="宋体" w:eastAsia="宋体" w:cs="宋体"/>
                <w:b/>
                <w:bCs/>
                <w:i w:val="0"/>
                <w:iCs w:val="0"/>
                <w:caps w:val="0"/>
                <w:color w:val="0F1115"/>
                <w:spacing w:val="0"/>
                <w:sz w:val="21"/>
                <w:szCs w:val="21"/>
                <w:lang w:val="en-US" w:eastAsia="zh-CN"/>
              </w:rPr>
              <w:t>2</w:t>
            </w:r>
          </w:p>
        </w:tc>
        <w:tc>
          <w:tcPr>
            <w:tcW w:w="1933" w:type="dxa"/>
            <w:shd w:val="clear" w:color="auto" w:fill="FFFFFF"/>
            <w:vAlign w:val="center"/>
          </w:tcPr>
          <w:p w14:paraId="7305896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技术准备资料</w:t>
            </w:r>
          </w:p>
        </w:tc>
        <w:tc>
          <w:tcPr>
            <w:tcW w:w="2560" w:type="dxa"/>
            <w:shd w:val="clear" w:color="auto" w:fill="FFFFFF"/>
            <w:vAlign w:val="center"/>
          </w:tcPr>
          <w:p w14:paraId="1DA59BA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1654" w:type="dxa"/>
            <w:shd w:val="clear" w:color="auto" w:fill="FFFFFF"/>
            <w:vAlign w:val="center"/>
          </w:tcPr>
          <w:p w14:paraId="080D69E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2697" w:type="dxa"/>
            <w:shd w:val="clear" w:color="auto" w:fill="FFFFFF"/>
            <w:vAlign w:val="center"/>
          </w:tcPr>
          <w:p w14:paraId="5A09F55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r>
      <w:tr w14:paraId="2230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722621C9">
            <w:pPr>
              <w:keepNext w:val="0"/>
              <w:keepLines w:val="0"/>
              <w:widowControl/>
              <w:suppressLineNumbers w:val="0"/>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2.1</w:t>
            </w:r>
          </w:p>
        </w:tc>
        <w:tc>
          <w:tcPr>
            <w:tcW w:w="1933" w:type="dxa"/>
            <w:shd w:val="clear" w:color="auto" w:fill="FFFFFF"/>
            <w:vAlign w:val="center"/>
          </w:tcPr>
          <w:p w14:paraId="602F1D7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勘察设计文件</w:t>
            </w:r>
          </w:p>
        </w:tc>
        <w:tc>
          <w:tcPr>
            <w:tcW w:w="2560" w:type="dxa"/>
            <w:shd w:val="clear" w:color="auto" w:fill="FFFFFF"/>
            <w:vAlign w:val="center"/>
          </w:tcPr>
          <w:p w14:paraId="6D7BDD5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岩土工程勘察报告、全套施工图设计文件的完整性和深度。</w:t>
            </w:r>
          </w:p>
        </w:tc>
        <w:tc>
          <w:tcPr>
            <w:tcW w:w="1654" w:type="dxa"/>
            <w:shd w:val="clear" w:color="auto" w:fill="FFFFFF"/>
            <w:vAlign w:val="center"/>
          </w:tcPr>
          <w:p w14:paraId="68B4BC8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查阅图纸目录，核对报告和图纸。</w:t>
            </w:r>
          </w:p>
        </w:tc>
        <w:tc>
          <w:tcPr>
            <w:tcW w:w="2697" w:type="dxa"/>
            <w:shd w:val="clear" w:color="auto" w:fill="FFFFFF"/>
            <w:vAlign w:val="center"/>
          </w:tcPr>
          <w:p w14:paraId="00DEA54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文件齐全，内容深度符合规定，图纸清晰。</w:t>
            </w:r>
          </w:p>
        </w:tc>
      </w:tr>
      <w:tr w14:paraId="2061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7E7A0627">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2.2</w:t>
            </w:r>
          </w:p>
        </w:tc>
        <w:tc>
          <w:tcPr>
            <w:tcW w:w="1933" w:type="dxa"/>
            <w:shd w:val="clear" w:color="auto" w:fill="FFFFFF"/>
            <w:vAlign w:val="center"/>
          </w:tcPr>
          <w:p w14:paraId="454C1B8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图纸会审与设计交底</w:t>
            </w:r>
          </w:p>
        </w:tc>
        <w:tc>
          <w:tcPr>
            <w:tcW w:w="2560" w:type="dxa"/>
            <w:shd w:val="clear" w:color="auto" w:fill="FFFFFF"/>
            <w:vAlign w:val="center"/>
          </w:tcPr>
          <w:p w14:paraId="16D94D7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图纸会审记录、设计交底纪要是否形成，对问题的处理意见是否明确。</w:t>
            </w:r>
          </w:p>
        </w:tc>
        <w:tc>
          <w:tcPr>
            <w:tcW w:w="1654" w:type="dxa"/>
            <w:shd w:val="clear" w:color="auto" w:fill="FFFFFF"/>
            <w:vAlign w:val="center"/>
          </w:tcPr>
          <w:p w14:paraId="0A6790A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查阅会审纪要、交底记录文件。</w:t>
            </w:r>
          </w:p>
        </w:tc>
        <w:tc>
          <w:tcPr>
            <w:tcW w:w="2697" w:type="dxa"/>
            <w:shd w:val="clear" w:color="auto" w:fill="FFFFFF"/>
            <w:vAlign w:val="center"/>
          </w:tcPr>
          <w:p w14:paraId="3E35995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记录完整，各方签章齐全，问题已闭环处理。</w:t>
            </w:r>
          </w:p>
        </w:tc>
      </w:tr>
      <w:tr w14:paraId="05C2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3F892378">
            <w:pPr>
              <w:adjustRightInd w:val="0"/>
              <w:snapToGrid w:val="0"/>
              <w:spacing w:line="400" w:lineRule="exact"/>
              <w:ind w:left="0" w:leftChars="0" w:right="0" w:rightChars="0" w:firstLine="0" w:firstLineChars="0"/>
              <w:jc w:val="center"/>
              <w:rPr>
                <w:rFonts w:hint="eastAsia" w:ascii="宋体" w:hAnsi="宋体" w:eastAsia="宋体" w:cs="宋体"/>
                <w:b/>
                <w:bCs/>
                <w:i w:val="0"/>
                <w:iCs w:val="0"/>
                <w:caps w:val="0"/>
                <w:color w:val="0F1115"/>
                <w:spacing w:val="0"/>
                <w:kern w:val="2"/>
                <w:sz w:val="21"/>
                <w:szCs w:val="21"/>
                <w:lang w:val="en-US" w:eastAsia="zh-CN" w:bidi="ar-SA"/>
              </w:rPr>
            </w:pPr>
            <w:r>
              <w:rPr>
                <w:rFonts w:hint="eastAsia" w:ascii="宋体" w:hAnsi="宋体" w:eastAsia="宋体" w:cs="宋体"/>
                <w:b/>
                <w:bCs/>
                <w:i w:val="0"/>
                <w:iCs w:val="0"/>
                <w:caps w:val="0"/>
                <w:color w:val="0F1115"/>
                <w:spacing w:val="0"/>
                <w:sz w:val="21"/>
                <w:szCs w:val="21"/>
                <w:lang w:val="en-US" w:eastAsia="zh-CN"/>
              </w:rPr>
              <w:t>3</w:t>
            </w:r>
          </w:p>
        </w:tc>
        <w:tc>
          <w:tcPr>
            <w:tcW w:w="1933" w:type="dxa"/>
            <w:shd w:val="clear" w:color="auto" w:fill="FFFFFF"/>
            <w:vAlign w:val="center"/>
          </w:tcPr>
          <w:p w14:paraId="1D8AE4D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建筑材料资料</w:t>
            </w:r>
          </w:p>
        </w:tc>
        <w:tc>
          <w:tcPr>
            <w:tcW w:w="2560" w:type="dxa"/>
            <w:shd w:val="clear" w:color="auto" w:fill="FFFFFF"/>
            <w:vAlign w:val="center"/>
          </w:tcPr>
          <w:p w14:paraId="5D9E3C6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1654" w:type="dxa"/>
            <w:shd w:val="clear" w:color="auto" w:fill="FFFFFF"/>
            <w:vAlign w:val="center"/>
          </w:tcPr>
          <w:p w14:paraId="75ACBF6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2697" w:type="dxa"/>
            <w:shd w:val="clear" w:color="auto" w:fill="FFFFFF"/>
            <w:vAlign w:val="center"/>
          </w:tcPr>
          <w:p w14:paraId="14F91B5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r>
      <w:tr w14:paraId="4EEE8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138DA522">
            <w:pPr>
              <w:keepNext w:val="0"/>
              <w:keepLines w:val="0"/>
              <w:widowControl/>
              <w:suppressLineNumbers w:val="0"/>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3.1</w:t>
            </w:r>
          </w:p>
        </w:tc>
        <w:tc>
          <w:tcPr>
            <w:tcW w:w="1933" w:type="dxa"/>
            <w:shd w:val="clear" w:color="auto" w:fill="FFFFFF"/>
            <w:vAlign w:val="center"/>
          </w:tcPr>
          <w:p w14:paraId="37D892B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质量证明文件</w:t>
            </w:r>
          </w:p>
        </w:tc>
        <w:tc>
          <w:tcPr>
            <w:tcW w:w="2560" w:type="dxa"/>
            <w:shd w:val="clear" w:color="auto" w:fill="FFFFFF"/>
            <w:vAlign w:val="center"/>
          </w:tcPr>
          <w:p w14:paraId="6DAFF47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主要材料、构配件、设备的出厂合格证、型式检验报告、商检报告（如适用）。</w:t>
            </w:r>
          </w:p>
        </w:tc>
        <w:tc>
          <w:tcPr>
            <w:tcW w:w="1654" w:type="dxa"/>
            <w:shd w:val="clear" w:color="auto" w:fill="FFFFFF"/>
            <w:vAlign w:val="center"/>
          </w:tcPr>
          <w:p w14:paraId="1520E6E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核对证明文件的原件或抄件。</w:t>
            </w:r>
          </w:p>
        </w:tc>
        <w:tc>
          <w:tcPr>
            <w:tcW w:w="2697" w:type="dxa"/>
            <w:shd w:val="clear" w:color="auto" w:fill="FFFFFF"/>
            <w:vAlign w:val="center"/>
          </w:tcPr>
          <w:p w14:paraId="5ECF789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证明文件齐全、真实有效，与进场批次对应。</w:t>
            </w:r>
          </w:p>
        </w:tc>
      </w:tr>
      <w:tr w14:paraId="49AC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26A22A5F">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3.2</w:t>
            </w:r>
          </w:p>
        </w:tc>
        <w:tc>
          <w:tcPr>
            <w:tcW w:w="1933" w:type="dxa"/>
            <w:shd w:val="clear" w:color="auto" w:fill="FFFFFF"/>
            <w:vAlign w:val="center"/>
          </w:tcPr>
          <w:p w14:paraId="39CA7A2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进场复试报告</w:t>
            </w:r>
          </w:p>
        </w:tc>
        <w:tc>
          <w:tcPr>
            <w:tcW w:w="2560" w:type="dxa"/>
            <w:shd w:val="clear" w:color="auto" w:fill="FFFFFF"/>
            <w:vAlign w:val="center"/>
          </w:tcPr>
          <w:p w14:paraId="5DBA268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按规定需抽样复验的材料（如钢筋、水泥、防水材料等）的复试报告及结论。</w:t>
            </w:r>
          </w:p>
        </w:tc>
        <w:tc>
          <w:tcPr>
            <w:tcW w:w="1654" w:type="dxa"/>
            <w:shd w:val="clear" w:color="auto" w:fill="FFFFFF"/>
            <w:vAlign w:val="center"/>
          </w:tcPr>
          <w:p w14:paraId="43046A1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核查第三方检测机构出具的复试报告。</w:t>
            </w:r>
          </w:p>
        </w:tc>
        <w:tc>
          <w:tcPr>
            <w:tcW w:w="2697" w:type="dxa"/>
            <w:shd w:val="clear" w:color="auto" w:fill="FFFFFF"/>
            <w:vAlign w:val="center"/>
          </w:tcPr>
          <w:p w14:paraId="3A419BE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复试批次、数量符合规范，检测项目齐全，结论合格。</w:t>
            </w:r>
          </w:p>
        </w:tc>
      </w:tr>
      <w:tr w14:paraId="6443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03BB6B91">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3.3</w:t>
            </w:r>
          </w:p>
        </w:tc>
        <w:tc>
          <w:tcPr>
            <w:tcW w:w="1933" w:type="dxa"/>
            <w:shd w:val="clear" w:color="auto" w:fill="FFFFFF"/>
            <w:vAlign w:val="center"/>
          </w:tcPr>
          <w:p w14:paraId="74DFF25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见证取样记录</w:t>
            </w:r>
          </w:p>
        </w:tc>
        <w:tc>
          <w:tcPr>
            <w:tcW w:w="2560" w:type="dxa"/>
            <w:shd w:val="clear" w:color="auto" w:fill="FFFFFF"/>
            <w:vAlign w:val="center"/>
          </w:tcPr>
          <w:p w14:paraId="66AF92F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见证取样和送检的记录是否完整，见证人资格证书及授权书是否有效。</w:t>
            </w:r>
          </w:p>
        </w:tc>
        <w:tc>
          <w:tcPr>
            <w:tcW w:w="1654" w:type="dxa"/>
            <w:shd w:val="clear" w:color="auto" w:fill="FFFFFF"/>
            <w:vAlign w:val="center"/>
          </w:tcPr>
          <w:p w14:paraId="0C586A0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查阅见证取样台账及对应报告。</w:t>
            </w:r>
          </w:p>
        </w:tc>
        <w:tc>
          <w:tcPr>
            <w:tcW w:w="2697" w:type="dxa"/>
            <w:shd w:val="clear" w:color="auto" w:fill="FFFFFF"/>
            <w:vAlign w:val="center"/>
          </w:tcPr>
          <w:p w14:paraId="55F96A4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记录完整、可追溯，见证人员符合要求。</w:t>
            </w:r>
          </w:p>
        </w:tc>
      </w:tr>
      <w:tr w14:paraId="6998E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52F4637E">
            <w:pPr>
              <w:adjustRightInd w:val="0"/>
              <w:snapToGrid w:val="0"/>
              <w:spacing w:line="400" w:lineRule="exact"/>
              <w:ind w:left="0" w:leftChars="0" w:right="0" w:rightChars="0" w:firstLine="0" w:firstLineChars="0"/>
              <w:jc w:val="center"/>
              <w:rPr>
                <w:rFonts w:hint="eastAsia" w:ascii="宋体" w:hAnsi="宋体" w:eastAsia="宋体" w:cs="宋体"/>
                <w:b/>
                <w:bCs/>
                <w:i w:val="0"/>
                <w:iCs w:val="0"/>
                <w:caps w:val="0"/>
                <w:color w:val="0F1115"/>
                <w:spacing w:val="0"/>
                <w:kern w:val="2"/>
                <w:sz w:val="21"/>
                <w:szCs w:val="21"/>
                <w:lang w:val="en-US" w:eastAsia="zh-CN" w:bidi="ar-SA"/>
              </w:rPr>
            </w:pPr>
            <w:r>
              <w:rPr>
                <w:rFonts w:hint="eastAsia" w:ascii="宋体" w:hAnsi="宋体" w:eastAsia="宋体" w:cs="宋体"/>
                <w:b/>
                <w:bCs/>
                <w:i w:val="0"/>
                <w:iCs w:val="0"/>
                <w:caps w:val="0"/>
                <w:color w:val="0F1115"/>
                <w:spacing w:val="0"/>
                <w:kern w:val="0"/>
                <w:sz w:val="21"/>
                <w:szCs w:val="21"/>
                <w:lang w:val="en-US" w:eastAsia="zh-CN" w:bidi="ar"/>
              </w:rPr>
              <w:t>4</w:t>
            </w:r>
          </w:p>
        </w:tc>
        <w:tc>
          <w:tcPr>
            <w:tcW w:w="1933" w:type="dxa"/>
            <w:shd w:val="clear" w:color="auto" w:fill="FFFFFF"/>
            <w:vAlign w:val="center"/>
          </w:tcPr>
          <w:p w14:paraId="74829F5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施工过程记录</w:t>
            </w:r>
          </w:p>
        </w:tc>
        <w:tc>
          <w:tcPr>
            <w:tcW w:w="2560" w:type="dxa"/>
            <w:shd w:val="clear" w:color="auto" w:fill="FFFFFF"/>
            <w:vAlign w:val="center"/>
          </w:tcPr>
          <w:p w14:paraId="1EB1573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1654" w:type="dxa"/>
            <w:shd w:val="clear" w:color="auto" w:fill="FFFFFF"/>
            <w:vAlign w:val="center"/>
          </w:tcPr>
          <w:p w14:paraId="10799FE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2697" w:type="dxa"/>
            <w:shd w:val="clear" w:color="auto" w:fill="FFFFFF"/>
            <w:vAlign w:val="center"/>
          </w:tcPr>
          <w:p w14:paraId="5540095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r>
      <w:tr w14:paraId="149D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6D2528F3">
            <w:pPr>
              <w:keepNext w:val="0"/>
              <w:keepLines w:val="0"/>
              <w:widowControl/>
              <w:suppressLineNumbers w:val="0"/>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4.1</w:t>
            </w:r>
          </w:p>
        </w:tc>
        <w:tc>
          <w:tcPr>
            <w:tcW w:w="1933" w:type="dxa"/>
            <w:shd w:val="clear" w:color="auto" w:fill="FFFFFF"/>
            <w:vAlign w:val="center"/>
          </w:tcPr>
          <w:p w14:paraId="00E02B5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测量记录</w:t>
            </w:r>
          </w:p>
        </w:tc>
        <w:tc>
          <w:tcPr>
            <w:tcW w:w="2560" w:type="dxa"/>
            <w:shd w:val="clear" w:color="auto" w:fill="FFFFFF"/>
            <w:vAlign w:val="center"/>
          </w:tcPr>
          <w:p w14:paraId="43C6C64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工程定位放线、标高引测、垂直度观测等测量记录。</w:t>
            </w:r>
          </w:p>
        </w:tc>
        <w:tc>
          <w:tcPr>
            <w:tcW w:w="1654" w:type="dxa"/>
            <w:shd w:val="clear" w:color="auto" w:fill="FFFFFF"/>
            <w:vAlign w:val="center"/>
          </w:tcPr>
          <w:p w14:paraId="34E8F2D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核对测量记录原始数据及复核签字。</w:t>
            </w:r>
          </w:p>
        </w:tc>
        <w:tc>
          <w:tcPr>
            <w:tcW w:w="2697" w:type="dxa"/>
            <w:shd w:val="clear" w:color="auto" w:fill="FFFFFF"/>
            <w:vAlign w:val="center"/>
          </w:tcPr>
          <w:p w14:paraId="346ABC2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记录及时、数据准确，有复测复核，签字齐全。</w:t>
            </w:r>
          </w:p>
        </w:tc>
      </w:tr>
      <w:tr w14:paraId="3883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5F063309">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4.2</w:t>
            </w:r>
          </w:p>
        </w:tc>
        <w:tc>
          <w:tcPr>
            <w:tcW w:w="1933" w:type="dxa"/>
            <w:shd w:val="clear" w:color="auto" w:fill="FFFFFF"/>
            <w:vAlign w:val="center"/>
          </w:tcPr>
          <w:p w14:paraId="569DC0B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隐蔽工程验收记录</w:t>
            </w:r>
          </w:p>
        </w:tc>
        <w:tc>
          <w:tcPr>
            <w:tcW w:w="2560" w:type="dxa"/>
            <w:shd w:val="clear" w:color="auto" w:fill="FFFFFF"/>
            <w:vAlign w:val="center"/>
          </w:tcPr>
          <w:p w14:paraId="0E55415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所有隐蔽工程（如地基槽、钢筋、管线预埋等）的验收记录和影像资料。</w:t>
            </w:r>
          </w:p>
        </w:tc>
        <w:tc>
          <w:tcPr>
            <w:tcW w:w="1654" w:type="dxa"/>
            <w:shd w:val="clear" w:color="auto" w:fill="FFFFFF"/>
            <w:vAlign w:val="center"/>
          </w:tcPr>
          <w:p w14:paraId="6FB9D30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对照施工日志和验收规范查阅记录。</w:t>
            </w:r>
          </w:p>
        </w:tc>
        <w:tc>
          <w:tcPr>
            <w:tcW w:w="2697" w:type="dxa"/>
            <w:shd w:val="clear" w:color="auto" w:fill="FFFFFF"/>
            <w:vAlign w:val="center"/>
          </w:tcPr>
          <w:p w14:paraId="1F2E033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记录完整、描述清晰，验收意见明确，签章齐全，与进度同步。</w:t>
            </w:r>
          </w:p>
        </w:tc>
      </w:tr>
      <w:tr w14:paraId="7CA7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26" w:type="dxa"/>
            <w:shd w:val="clear" w:color="auto" w:fill="FFFFFF"/>
            <w:vAlign w:val="center"/>
          </w:tcPr>
          <w:p w14:paraId="331E2DAC">
            <w:pPr>
              <w:adjustRightInd w:val="0"/>
              <w:snapToGrid w:val="0"/>
              <w:spacing w:line="400" w:lineRule="exact"/>
              <w:ind w:left="0" w:leftChars="0" w:right="0" w:rightChars="0" w:firstLine="0" w:firstLineChars="0"/>
              <w:jc w:val="center"/>
              <w:rPr>
                <w:rFonts w:hint="eastAsia" w:ascii="宋体" w:hAnsi="宋体" w:eastAsia="宋体" w:cs="宋体"/>
                <w:b/>
                <w:bCs/>
                <w:i w:val="0"/>
                <w:iCs w:val="0"/>
                <w:caps w:val="0"/>
                <w:color w:val="0F1115"/>
                <w:spacing w:val="0"/>
                <w:kern w:val="2"/>
                <w:sz w:val="21"/>
                <w:szCs w:val="21"/>
                <w:lang w:val="en-US" w:eastAsia="zh-CN" w:bidi="ar-SA"/>
              </w:rPr>
            </w:pPr>
            <w:r>
              <w:rPr>
                <w:rFonts w:hint="eastAsia" w:ascii="宋体" w:hAnsi="宋体" w:eastAsia="宋体" w:cs="宋体"/>
                <w:b/>
                <w:bCs/>
                <w:i w:val="0"/>
                <w:iCs w:val="0"/>
                <w:caps w:val="0"/>
                <w:color w:val="0F1115"/>
                <w:spacing w:val="0"/>
                <w:kern w:val="0"/>
                <w:sz w:val="21"/>
                <w:szCs w:val="21"/>
                <w:lang w:val="en-US" w:eastAsia="zh-CN" w:bidi="ar"/>
              </w:rPr>
              <w:t>5</w:t>
            </w:r>
          </w:p>
        </w:tc>
        <w:tc>
          <w:tcPr>
            <w:tcW w:w="1933" w:type="dxa"/>
            <w:shd w:val="clear" w:color="auto" w:fill="FFFFFF"/>
            <w:vAlign w:val="center"/>
          </w:tcPr>
          <w:p w14:paraId="51F53AF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施工试验与检测资料</w:t>
            </w:r>
          </w:p>
        </w:tc>
        <w:tc>
          <w:tcPr>
            <w:tcW w:w="2560" w:type="dxa"/>
            <w:shd w:val="clear" w:color="auto" w:fill="FFFFFF"/>
            <w:vAlign w:val="center"/>
          </w:tcPr>
          <w:p w14:paraId="40C79CE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1654" w:type="dxa"/>
            <w:shd w:val="clear" w:color="auto" w:fill="FFFFFF"/>
            <w:vAlign w:val="center"/>
          </w:tcPr>
          <w:p w14:paraId="7FEE852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2697" w:type="dxa"/>
            <w:shd w:val="clear" w:color="auto" w:fill="FFFFFF"/>
            <w:vAlign w:val="center"/>
          </w:tcPr>
          <w:p w14:paraId="0E5E77A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r>
      <w:tr w14:paraId="2473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1D26C2FA">
            <w:pPr>
              <w:keepNext w:val="0"/>
              <w:keepLines w:val="0"/>
              <w:widowControl/>
              <w:suppressLineNumbers w:val="0"/>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5.1</w:t>
            </w:r>
          </w:p>
        </w:tc>
        <w:tc>
          <w:tcPr>
            <w:tcW w:w="1933" w:type="dxa"/>
            <w:shd w:val="clear" w:color="auto" w:fill="FFFFFF"/>
            <w:vAlign w:val="center"/>
          </w:tcPr>
          <w:p w14:paraId="3E28BE3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地基与基础检测</w:t>
            </w:r>
          </w:p>
        </w:tc>
        <w:tc>
          <w:tcPr>
            <w:tcW w:w="2560" w:type="dxa"/>
            <w:shd w:val="clear" w:color="auto" w:fill="FFFFFF"/>
            <w:vAlign w:val="center"/>
          </w:tcPr>
          <w:p w14:paraId="7E36479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地基承载力、桩基完整性、地基土密实度等检测报告。</w:t>
            </w:r>
          </w:p>
        </w:tc>
        <w:tc>
          <w:tcPr>
            <w:tcW w:w="1654" w:type="dxa"/>
            <w:shd w:val="clear" w:color="auto" w:fill="FFFFFF"/>
            <w:vAlign w:val="center"/>
          </w:tcPr>
          <w:p w14:paraId="32D82ED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核查第三方检测报告。</w:t>
            </w:r>
          </w:p>
        </w:tc>
        <w:tc>
          <w:tcPr>
            <w:tcW w:w="2697" w:type="dxa"/>
            <w:shd w:val="clear" w:color="auto" w:fill="FFFFFF"/>
            <w:vAlign w:val="center"/>
          </w:tcPr>
          <w:p w14:paraId="7D058343">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检测方法正确，报告齐全，结论满足设计要求。</w:t>
            </w:r>
          </w:p>
        </w:tc>
      </w:tr>
      <w:tr w14:paraId="5785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7643CD48">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5.2</w:t>
            </w:r>
          </w:p>
        </w:tc>
        <w:tc>
          <w:tcPr>
            <w:tcW w:w="1933" w:type="dxa"/>
            <w:shd w:val="clear" w:color="auto" w:fill="FFFFFF"/>
            <w:vAlign w:val="center"/>
          </w:tcPr>
          <w:p w14:paraId="72A0A6E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结构实体检验</w:t>
            </w:r>
          </w:p>
        </w:tc>
        <w:tc>
          <w:tcPr>
            <w:tcW w:w="2560" w:type="dxa"/>
            <w:shd w:val="clear" w:color="auto" w:fill="FFFFFF"/>
            <w:vAlign w:val="center"/>
          </w:tcPr>
          <w:p w14:paraId="0D775D9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混凝土强度（同养/标养试块）、钢筋保护层厚度等实体检验报告。</w:t>
            </w:r>
          </w:p>
        </w:tc>
        <w:tc>
          <w:tcPr>
            <w:tcW w:w="1654" w:type="dxa"/>
            <w:shd w:val="clear" w:color="auto" w:fill="FFFFFF"/>
            <w:vAlign w:val="center"/>
          </w:tcPr>
          <w:p w14:paraId="1398FA1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核查试验报告及统计评定结果。</w:t>
            </w:r>
          </w:p>
        </w:tc>
        <w:tc>
          <w:tcPr>
            <w:tcW w:w="2697" w:type="dxa"/>
            <w:shd w:val="clear" w:color="auto" w:fill="FFFFFF"/>
            <w:vAlign w:val="center"/>
          </w:tcPr>
          <w:p w14:paraId="55FC2F3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试块留置规范，评定合格，不合格项已按规定处理。</w:t>
            </w:r>
          </w:p>
        </w:tc>
      </w:tr>
      <w:tr w14:paraId="7E1A7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36A23DA2">
            <w:pPr>
              <w:adjustRightInd w:val="0"/>
              <w:snapToGrid w:val="0"/>
              <w:spacing w:line="400" w:lineRule="exact"/>
              <w:ind w:left="0" w:leftChars="0" w:right="0" w:rightChars="0" w:firstLine="0" w:firstLineChars="0"/>
              <w:jc w:val="center"/>
              <w:rPr>
                <w:rFonts w:hint="eastAsia" w:ascii="宋体" w:hAnsi="宋体" w:eastAsia="宋体" w:cs="宋体"/>
                <w:b/>
                <w:bCs/>
                <w:i w:val="0"/>
                <w:iCs w:val="0"/>
                <w:caps w:val="0"/>
                <w:color w:val="0F1115"/>
                <w:spacing w:val="0"/>
                <w:kern w:val="2"/>
                <w:sz w:val="21"/>
                <w:szCs w:val="21"/>
                <w:lang w:val="en-US" w:eastAsia="zh-CN" w:bidi="ar-SA"/>
              </w:rPr>
            </w:pPr>
            <w:r>
              <w:rPr>
                <w:rFonts w:hint="eastAsia" w:ascii="宋体" w:hAnsi="宋体" w:eastAsia="宋体" w:cs="宋体"/>
                <w:b/>
                <w:bCs/>
                <w:i w:val="0"/>
                <w:iCs w:val="0"/>
                <w:caps w:val="0"/>
                <w:color w:val="0F1115"/>
                <w:spacing w:val="0"/>
                <w:kern w:val="0"/>
                <w:sz w:val="21"/>
                <w:szCs w:val="21"/>
                <w:lang w:val="en-US" w:eastAsia="zh-CN" w:bidi="ar"/>
              </w:rPr>
              <w:t>6</w:t>
            </w:r>
          </w:p>
        </w:tc>
        <w:tc>
          <w:tcPr>
            <w:tcW w:w="1933" w:type="dxa"/>
            <w:shd w:val="clear" w:color="auto" w:fill="FFFFFF"/>
            <w:vAlign w:val="center"/>
          </w:tcPr>
          <w:p w14:paraId="5AF09B2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质量验收资料</w:t>
            </w:r>
          </w:p>
        </w:tc>
        <w:tc>
          <w:tcPr>
            <w:tcW w:w="2560" w:type="dxa"/>
            <w:shd w:val="clear" w:color="auto" w:fill="FFFFFF"/>
            <w:vAlign w:val="center"/>
          </w:tcPr>
          <w:p w14:paraId="28D0B70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1654" w:type="dxa"/>
            <w:shd w:val="clear" w:color="auto" w:fill="FFFFFF"/>
            <w:vAlign w:val="center"/>
          </w:tcPr>
          <w:p w14:paraId="76D6239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2697" w:type="dxa"/>
            <w:shd w:val="clear" w:color="auto" w:fill="FFFFFF"/>
            <w:vAlign w:val="center"/>
          </w:tcPr>
          <w:p w14:paraId="19D0F8E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r>
      <w:tr w14:paraId="2193B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0363C476">
            <w:pPr>
              <w:keepNext w:val="0"/>
              <w:keepLines w:val="0"/>
              <w:widowControl/>
              <w:suppressLineNumbers w:val="0"/>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6.1</w:t>
            </w:r>
          </w:p>
        </w:tc>
        <w:tc>
          <w:tcPr>
            <w:tcW w:w="1933" w:type="dxa"/>
            <w:shd w:val="clear" w:color="auto" w:fill="FFFFFF"/>
            <w:vAlign w:val="center"/>
          </w:tcPr>
          <w:p w14:paraId="5AE9C66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检验批与分项工程验收</w:t>
            </w:r>
          </w:p>
        </w:tc>
        <w:tc>
          <w:tcPr>
            <w:tcW w:w="2560" w:type="dxa"/>
            <w:shd w:val="clear" w:color="auto" w:fill="FFFFFF"/>
            <w:vAlign w:val="center"/>
          </w:tcPr>
          <w:p w14:paraId="599C784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各检验批、分项工程质量验收记录的填写和签字。</w:t>
            </w:r>
          </w:p>
        </w:tc>
        <w:tc>
          <w:tcPr>
            <w:tcW w:w="1654" w:type="dxa"/>
            <w:shd w:val="clear" w:color="auto" w:fill="FFFFFF"/>
            <w:vAlign w:val="center"/>
          </w:tcPr>
          <w:p w14:paraId="4190F8A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抽查不同工序的验收记录表。</w:t>
            </w:r>
          </w:p>
        </w:tc>
        <w:tc>
          <w:tcPr>
            <w:tcW w:w="2697" w:type="dxa"/>
            <w:shd w:val="clear" w:color="auto" w:fill="FFFFFF"/>
            <w:vAlign w:val="center"/>
          </w:tcPr>
          <w:p w14:paraId="7E3C517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划分正确，记录填写规范，验收结论明确，签字齐全。</w:t>
            </w:r>
          </w:p>
        </w:tc>
      </w:tr>
      <w:tr w14:paraId="6D93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3F59ED2B">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6.2</w:t>
            </w:r>
          </w:p>
        </w:tc>
        <w:tc>
          <w:tcPr>
            <w:tcW w:w="1933" w:type="dxa"/>
            <w:shd w:val="clear" w:color="auto" w:fill="FFFFFF"/>
            <w:vAlign w:val="center"/>
          </w:tcPr>
          <w:p w14:paraId="445181F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分部（子分部）工程验收</w:t>
            </w:r>
          </w:p>
        </w:tc>
        <w:tc>
          <w:tcPr>
            <w:tcW w:w="2560" w:type="dxa"/>
            <w:shd w:val="clear" w:color="auto" w:fill="FFFFFF"/>
            <w:vAlign w:val="center"/>
          </w:tcPr>
          <w:p w14:paraId="45C74A7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地基与基础、主体结构等分部工程的验收记录及相关资料。</w:t>
            </w:r>
          </w:p>
        </w:tc>
        <w:tc>
          <w:tcPr>
            <w:tcW w:w="1654" w:type="dxa"/>
            <w:shd w:val="clear" w:color="auto" w:fill="FFFFFF"/>
            <w:vAlign w:val="center"/>
          </w:tcPr>
          <w:p w14:paraId="7779BE0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查阅分部工程验收会议纪要和验收记录。</w:t>
            </w:r>
          </w:p>
        </w:tc>
        <w:tc>
          <w:tcPr>
            <w:tcW w:w="2697" w:type="dxa"/>
            <w:shd w:val="clear" w:color="auto" w:fill="FFFFFF"/>
            <w:vAlign w:val="center"/>
          </w:tcPr>
          <w:p w14:paraId="16AB986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所含分项工程验收合格，质量控制资料完整，安全功能检测合格。</w:t>
            </w:r>
          </w:p>
        </w:tc>
      </w:tr>
      <w:tr w14:paraId="43EF7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4DA7D6F9">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b/>
                <w:bCs/>
                <w:i w:val="0"/>
                <w:iCs w:val="0"/>
                <w:caps w:val="0"/>
                <w:color w:val="0F1115"/>
                <w:spacing w:val="0"/>
                <w:kern w:val="0"/>
                <w:sz w:val="21"/>
                <w:szCs w:val="21"/>
                <w:lang w:val="en-US" w:eastAsia="zh-CN" w:bidi="ar"/>
              </w:rPr>
              <w:t>7</w:t>
            </w:r>
          </w:p>
        </w:tc>
        <w:tc>
          <w:tcPr>
            <w:tcW w:w="1933" w:type="dxa"/>
            <w:shd w:val="clear" w:color="auto" w:fill="FFFFFF"/>
            <w:vAlign w:val="center"/>
          </w:tcPr>
          <w:p w14:paraId="43EE34A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安全管理资料</w:t>
            </w:r>
          </w:p>
        </w:tc>
        <w:tc>
          <w:tcPr>
            <w:tcW w:w="2560" w:type="dxa"/>
            <w:shd w:val="clear" w:color="auto" w:fill="FFFFFF"/>
            <w:vAlign w:val="center"/>
          </w:tcPr>
          <w:p w14:paraId="12E27A0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1654" w:type="dxa"/>
            <w:shd w:val="clear" w:color="auto" w:fill="FFFFFF"/>
            <w:vAlign w:val="center"/>
          </w:tcPr>
          <w:p w14:paraId="673184A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c>
          <w:tcPr>
            <w:tcW w:w="2697" w:type="dxa"/>
            <w:shd w:val="clear" w:color="auto" w:fill="FFFFFF"/>
            <w:vAlign w:val="center"/>
          </w:tcPr>
          <w:p w14:paraId="1B641AB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p>
        </w:tc>
      </w:tr>
      <w:tr w14:paraId="38CC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4AE6D17A">
            <w:pPr>
              <w:keepNext w:val="0"/>
              <w:keepLines w:val="0"/>
              <w:widowControl/>
              <w:suppressLineNumbers w:val="0"/>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7.1</w:t>
            </w:r>
          </w:p>
        </w:tc>
        <w:tc>
          <w:tcPr>
            <w:tcW w:w="1933" w:type="dxa"/>
            <w:shd w:val="clear" w:color="auto" w:fill="FFFFFF"/>
            <w:vAlign w:val="center"/>
          </w:tcPr>
          <w:p w14:paraId="07E007F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危险性较大工程资料</w:t>
            </w:r>
          </w:p>
        </w:tc>
        <w:tc>
          <w:tcPr>
            <w:tcW w:w="2560" w:type="dxa"/>
            <w:shd w:val="clear" w:color="auto" w:fill="FFFFFF"/>
            <w:vAlign w:val="center"/>
          </w:tcPr>
          <w:p w14:paraId="393BF92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深基坑、高大模板等专项方案的论证、验收及监测记录。</w:t>
            </w:r>
          </w:p>
        </w:tc>
        <w:tc>
          <w:tcPr>
            <w:tcW w:w="1654" w:type="dxa"/>
            <w:shd w:val="clear" w:color="auto" w:fill="FFFFFF"/>
            <w:vAlign w:val="center"/>
          </w:tcPr>
          <w:p w14:paraId="72669A5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查阅专项方案、论证意见书及验收表。</w:t>
            </w:r>
          </w:p>
        </w:tc>
        <w:tc>
          <w:tcPr>
            <w:tcW w:w="2697" w:type="dxa"/>
            <w:shd w:val="clear" w:color="auto" w:fill="FFFFFF"/>
            <w:vAlign w:val="center"/>
          </w:tcPr>
          <w:p w14:paraId="3779F47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方案经过专家论证，施工过程有监测，验收手续完备。</w:t>
            </w:r>
          </w:p>
        </w:tc>
      </w:tr>
      <w:tr w14:paraId="6F93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26" w:type="dxa"/>
            <w:shd w:val="clear" w:color="auto" w:fill="FFFFFF"/>
            <w:vAlign w:val="center"/>
          </w:tcPr>
          <w:p w14:paraId="3E6B5FFF">
            <w:pPr>
              <w:adjustRightInd w:val="0"/>
              <w:snapToGrid w:val="0"/>
              <w:spacing w:line="400" w:lineRule="exact"/>
              <w:ind w:left="0" w:leftChars="0" w:right="0" w:rightChars="0" w:firstLine="0" w:firstLineChars="0"/>
              <w:jc w:val="center"/>
              <w:rPr>
                <w:rFonts w:hint="eastAsia" w:ascii="宋体" w:hAnsi="宋体" w:eastAsia="宋体" w:cs="宋体"/>
                <w:i w:val="0"/>
                <w:iCs w:val="0"/>
                <w:caps w:val="0"/>
                <w:color w:val="0F1115"/>
                <w:spacing w:val="0"/>
                <w:kern w:val="2"/>
                <w:sz w:val="21"/>
                <w:szCs w:val="21"/>
                <w:lang w:val="en-US" w:eastAsia="zh-CN" w:bidi="ar-SA"/>
              </w:rPr>
            </w:pPr>
            <w:r>
              <w:rPr>
                <w:rFonts w:hint="eastAsia" w:ascii="宋体" w:hAnsi="宋体" w:eastAsia="宋体" w:cs="宋体"/>
                <w:i w:val="0"/>
                <w:iCs w:val="0"/>
                <w:caps w:val="0"/>
                <w:color w:val="0F1115"/>
                <w:spacing w:val="0"/>
                <w:kern w:val="0"/>
                <w:sz w:val="21"/>
                <w:szCs w:val="21"/>
                <w:lang w:val="en-US" w:eastAsia="zh-CN" w:bidi="ar"/>
              </w:rPr>
              <w:t>7.2</w:t>
            </w:r>
          </w:p>
        </w:tc>
        <w:tc>
          <w:tcPr>
            <w:tcW w:w="1933" w:type="dxa"/>
            <w:shd w:val="clear" w:color="auto" w:fill="FFFFFF"/>
            <w:vAlign w:val="center"/>
          </w:tcPr>
          <w:p w14:paraId="233A5C8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安全技术交底</w:t>
            </w:r>
          </w:p>
        </w:tc>
        <w:tc>
          <w:tcPr>
            <w:tcW w:w="2560" w:type="dxa"/>
            <w:shd w:val="clear" w:color="auto" w:fill="FFFFFF"/>
            <w:vAlign w:val="center"/>
          </w:tcPr>
          <w:p w14:paraId="50945D3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各工种、分部分项工程的安全技术交底记录。</w:t>
            </w:r>
          </w:p>
        </w:tc>
        <w:tc>
          <w:tcPr>
            <w:tcW w:w="1654" w:type="dxa"/>
            <w:shd w:val="clear" w:color="auto" w:fill="FFFFFF"/>
            <w:vAlign w:val="center"/>
          </w:tcPr>
          <w:p w14:paraId="6A8E8CA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抽查交底记录的针对性和签字情况。</w:t>
            </w:r>
          </w:p>
        </w:tc>
        <w:tc>
          <w:tcPr>
            <w:tcW w:w="2697" w:type="dxa"/>
            <w:shd w:val="clear" w:color="auto" w:fill="FFFFFF"/>
            <w:vAlign w:val="center"/>
          </w:tcPr>
          <w:p w14:paraId="08ACE7F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交底内容具体、有针对性，交底至作业人员，签字齐全。</w:t>
            </w:r>
          </w:p>
        </w:tc>
      </w:tr>
    </w:tbl>
    <w:p w14:paraId="17E722B3">
      <w:pPr>
        <w:adjustRightInd w:val="0"/>
        <w:spacing w:line="400" w:lineRule="exact"/>
        <w:rPr>
          <w:rFonts w:eastAsia="宋体" w:cs="Times New Roman"/>
          <w:szCs w:val="21"/>
        </w:rPr>
      </w:pPr>
      <w:r>
        <w:rPr>
          <w:rFonts w:eastAsia="宋体" w:cs="Times New Roman"/>
          <w:szCs w:val="21"/>
        </w:rPr>
        <w:br w:type="page"/>
      </w:r>
    </w:p>
    <w:p w14:paraId="69E957DB">
      <w:pPr>
        <w:keepNext w:val="0"/>
        <w:keepLines w:val="0"/>
        <w:pageBreakBefore w:val="0"/>
        <w:widowControl w:val="0"/>
        <w:kinsoku/>
        <w:wordWrap/>
        <w:overflowPunct/>
        <w:topLinePunct w:val="0"/>
        <w:autoSpaceDE/>
        <w:autoSpaceDN/>
        <w:bidi w:val="0"/>
        <w:adjustRightInd w:val="0"/>
        <w:snapToGrid/>
        <w:spacing w:line="312" w:lineRule="exact"/>
        <w:ind w:left="0" w:leftChars="0" w:firstLine="0" w:firstLineChars="0"/>
        <w:jc w:val="center"/>
        <w:textAlignment w:val="auto"/>
        <w:outlineLvl w:val="0"/>
        <w:rPr>
          <w:rFonts w:hint="eastAsia" w:ascii="Calibri" w:hAnsi="Calibri" w:eastAsia="宋体" w:cs="Times New Roman"/>
          <w:kern w:val="2"/>
          <w:sz w:val="21"/>
          <w:szCs w:val="21"/>
          <w:lang w:val="en-US" w:eastAsia="zh-CN" w:bidi="ar-SA"/>
        </w:rPr>
      </w:pPr>
      <w:bookmarkStart w:id="112" w:name="_Toc11683"/>
      <w:bookmarkStart w:id="113" w:name="_Toc141598562"/>
      <w:bookmarkStart w:id="114" w:name="_Toc4439"/>
      <w:bookmarkStart w:id="115" w:name="_Toc22348"/>
      <w:r>
        <w:rPr>
          <w:rFonts w:hint="eastAsia" w:ascii="黑体" w:hAnsi="Times New Roman" w:eastAsia="黑体" w:cs="Times New Roman"/>
          <w:kern w:val="2"/>
          <w:sz w:val="21"/>
          <w:szCs w:val="21"/>
          <w:lang w:val="en-US" w:eastAsia="zh-CN" w:bidi="ar-SA"/>
        </w:rPr>
        <w:t>附　录　B</w:t>
      </w:r>
      <w:bookmarkStart w:id="116" w:name="_Toc67578470"/>
      <w:bookmarkStart w:id="117" w:name="_Toc105185544"/>
      <w:bookmarkStart w:id="118" w:name="_Toc67578703"/>
      <w:bookmarkStart w:id="119" w:name="_Toc67647509"/>
      <w:r>
        <w:rPr>
          <w:rFonts w:hint="eastAsia" w:ascii="黑体" w:hAnsi="Times New Roman" w:eastAsia="黑体" w:cs="Times New Roman"/>
          <w:kern w:val="2"/>
          <w:sz w:val="21"/>
          <w:szCs w:val="21"/>
          <w:lang w:val="en-US" w:eastAsia="zh-CN" w:bidi="ar-SA"/>
        </w:rPr>
        <w:br w:type="textWrapping"/>
      </w:r>
      <w:r>
        <w:rPr>
          <w:rFonts w:hint="eastAsia" w:ascii="黑体" w:hAnsi="Times New Roman" w:eastAsia="黑体" w:cs="Times New Roman"/>
          <w:kern w:val="2"/>
          <w:sz w:val="21"/>
          <w:szCs w:val="21"/>
          <w:lang w:val="en-US" w:eastAsia="zh-CN" w:bidi="ar-SA"/>
        </w:rPr>
        <w:t>（规范性）</w:t>
      </w:r>
      <w:bookmarkEnd w:id="112"/>
      <w:bookmarkEnd w:id="116"/>
      <w:bookmarkEnd w:id="117"/>
      <w:bookmarkEnd w:id="118"/>
      <w:bookmarkEnd w:id="119"/>
      <w:bookmarkStart w:id="120" w:name="_Toc67647510"/>
      <w:bookmarkStart w:id="121" w:name="_Toc67578471"/>
      <w:bookmarkStart w:id="122" w:name="_Toc67578704"/>
      <w:bookmarkStart w:id="123" w:name="_Toc105185545"/>
      <w:r>
        <w:rPr>
          <w:rFonts w:hint="eastAsia" w:ascii="Calibri" w:hAnsi="Calibri" w:eastAsia="宋体" w:cs="Times New Roman"/>
          <w:kern w:val="2"/>
          <w:sz w:val="21"/>
          <w:szCs w:val="21"/>
          <w:lang w:val="en-US" w:eastAsia="zh-CN" w:bidi="ar-SA"/>
        </w:rPr>
        <w:br w:type="textWrapping"/>
      </w:r>
      <w:bookmarkEnd w:id="113"/>
      <w:bookmarkEnd w:id="120"/>
      <w:bookmarkEnd w:id="121"/>
      <w:bookmarkEnd w:id="122"/>
      <w:bookmarkEnd w:id="123"/>
      <w:r>
        <w:rPr>
          <w:rFonts w:hint="eastAsia" w:ascii="黑体" w:hAnsi="Times New Roman" w:eastAsia="黑体" w:cs="Times New Roman"/>
          <w:kern w:val="21"/>
          <w:sz w:val="21"/>
          <w:szCs w:val="21"/>
          <w:lang w:val="en-US" w:eastAsia="zh-CN" w:bidi="ar-SA"/>
        </w:rPr>
        <w:t>施工建设期建构筑物结构情况检查表</w:t>
      </w:r>
      <w:bookmarkEnd w:id="114"/>
      <w:bookmarkEnd w:id="115"/>
    </w:p>
    <w:tbl>
      <w:tblPr>
        <w:tblStyle w:val="15"/>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607"/>
        <w:gridCol w:w="3017"/>
        <w:gridCol w:w="1213"/>
        <w:gridCol w:w="3019"/>
      </w:tblGrid>
      <w:tr w14:paraId="7E66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8" w:type="pct"/>
            <w:vAlign w:val="center"/>
          </w:tcPr>
          <w:p w14:paraId="00BC4A89">
            <w:pPr>
              <w:widowControl/>
              <w:adjustRightInd w:val="0"/>
              <w:snapToGrid w:val="0"/>
              <w:spacing w:line="240" w:lineRule="auto"/>
              <w:jc w:val="center"/>
              <w:textAlignment w:val="bottom"/>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序号</w:t>
            </w:r>
          </w:p>
        </w:tc>
        <w:tc>
          <w:tcPr>
            <w:tcW w:w="840" w:type="pct"/>
            <w:vAlign w:val="center"/>
          </w:tcPr>
          <w:p w14:paraId="52123143">
            <w:pPr>
              <w:widowControl/>
              <w:adjustRightInd w:val="0"/>
              <w:snapToGrid w:val="0"/>
              <w:spacing w:line="240" w:lineRule="auto"/>
              <w:jc w:val="center"/>
              <w:textAlignment w:val="bottom"/>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检查项目</w:t>
            </w:r>
          </w:p>
        </w:tc>
        <w:tc>
          <w:tcPr>
            <w:tcW w:w="1577" w:type="pct"/>
            <w:vAlign w:val="center"/>
          </w:tcPr>
          <w:p w14:paraId="4C5B089E">
            <w:pPr>
              <w:widowControl/>
              <w:adjustRightInd w:val="0"/>
              <w:snapToGrid w:val="0"/>
              <w:spacing w:line="240" w:lineRule="auto"/>
              <w:jc w:val="center"/>
              <w:textAlignment w:val="bottom"/>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检查内容</w:t>
            </w:r>
          </w:p>
        </w:tc>
        <w:tc>
          <w:tcPr>
            <w:tcW w:w="634" w:type="pct"/>
            <w:vAlign w:val="center"/>
          </w:tcPr>
          <w:p w14:paraId="11D968C7">
            <w:pPr>
              <w:widowControl/>
              <w:adjustRightInd w:val="0"/>
              <w:snapToGrid w:val="0"/>
              <w:spacing w:line="240" w:lineRule="auto"/>
              <w:jc w:val="center"/>
              <w:textAlignment w:val="bottom"/>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检查方法</w:t>
            </w:r>
          </w:p>
        </w:tc>
        <w:tc>
          <w:tcPr>
            <w:tcW w:w="1578" w:type="pct"/>
            <w:vAlign w:val="center"/>
          </w:tcPr>
          <w:p w14:paraId="40C45FE0">
            <w:pPr>
              <w:widowControl/>
              <w:adjustRightInd w:val="0"/>
              <w:snapToGrid w:val="0"/>
              <w:spacing w:line="240" w:lineRule="auto"/>
              <w:jc w:val="center"/>
              <w:textAlignment w:val="bottom"/>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评价标准</w:t>
            </w:r>
          </w:p>
        </w:tc>
      </w:tr>
      <w:tr w14:paraId="3834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0013B0D0">
            <w:pPr>
              <w:widowControl/>
              <w:adjustRightInd w:val="0"/>
              <w:snapToGrid w:val="0"/>
              <w:spacing w:line="240" w:lineRule="auto"/>
              <w:jc w:val="center"/>
              <w:textAlignment w:val="top"/>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1</w:t>
            </w:r>
          </w:p>
        </w:tc>
        <w:tc>
          <w:tcPr>
            <w:tcW w:w="840" w:type="pct"/>
            <w:vAlign w:val="center"/>
          </w:tcPr>
          <w:p w14:paraId="7C7A72F0">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钢筋工程</w:t>
            </w:r>
          </w:p>
        </w:tc>
        <w:tc>
          <w:tcPr>
            <w:tcW w:w="1577" w:type="pct"/>
            <w:vAlign w:val="center"/>
          </w:tcPr>
          <w:p w14:paraId="5FB85BFD">
            <w:pPr>
              <w:adjustRightInd w:val="0"/>
              <w:snapToGrid w:val="0"/>
              <w:spacing w:line="240" w:lineRule="auto"/>
              <w:jc w:val="left"/>
              <w:rPr>
                <w:rFonts w:hint="eastAsia" w:ascii="宋体" w:hAnsi="宋体" w:eastAsia="宋体" w:cs="宋体"/>
                <w:color w:val="000000"/>
                <w:szCs w:val="21"/>
              </w:rPr>
            </w:pPr>
          </w:p>
        </w:tc>
        <w:tc>
          <w:tcPr>
            <w:tcW w:w="634" w:type="pct"/>
            <w:vAlign w:val="center"/>
          </w:tcPr>
          <w:p w14:paraId="14BDA9F7">
            <w:pPr>
              <w:adjustRightInd w:val="0"/>
              <w:snapToGrid w:val="0"/>
              <w:spacing w:line="240" w:lineRule="auto"/>
              <w:jc w:val="left"/>
              <w:rPr>
                <w:rFonts w:hint="eastAsia" w:ascii="宋体" w:hAnsi="宋体" w:eastAsia="宋体" w:cs="宋体"/>
                <w:color w:val="000000"/>
                <w:szCs w:val="21"/>
              </w:rPr>
            </w:pPr>
          </w:p>
        </w:tc>
        <w:tc>
          <w:tcPr>
            <w:tcW w:w="1578" w:type="pct"/>
            <w:vAlign w:val="center"/>
          </w:tcPr>
          <w:p w14:paraId="0A39E300">
            <w:pPr>
              <w:adjustRightInd w:val="0"/>
              <w:snapToGrid w:val="0"/>
              <w:spacing w:line="240" w:lineRule="auto"/>
              <w:jc w:val="left"/>
              <w:rPr>
                <w:rFonts w:hint="eastAsia" w:ascii="宋体" w:hAnsi="宋体" w:eastAsia="宋体" w:cs="宋体"/>
                <w:color w:val="000000"/>
                <w:szCs w:val="21"/>
              </w:rPr>
            </w:pPr>
          </w:p>
        </w:tc>
      </w:tr>
      <w:tr w14:paraId="6659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5E1ED71D">
            <w:pPr>
              <w:widowControl/>
              <w:adjustRightInd w:val="0"/>
              <w:snapToGrid w:val="0"/>
              <w:spacing w:line="240" w:lineRule="auto"/>
              <w:jc w:val="center"/>
              <w:textAlignment w:val="bottom"/>
              <w:rPr>
                <w:rFonts w:hint="eastAsia" w:ascii="宋体" w:hAnsi="宋体" w:eastAsia="宋体" w:cs="宋体"/>
                <w:color w:val="000000"/>
                <w:szCs w:val="21"/>
              </w:rPr>
            </w:pPr>
            <w:r>
              <w:rPr>
                <w:rFonts w:hint="eastAsia" w:ascii="宋体" w:hAnsi="宋体" w:eastAsia="宋体" w:cs="宋体"/>
                <w:color w:val="000000"/>
                <w:kern w:val="0"/>
                <w:szCs w:val="22"/>
                <w:lang w:bidi="ar"/>
              </w:rPr>
              <w:t>1.1</w:t>
            </w:r>
          </w:p>
        </w:tc>
        <w:tc>
          <w:tcPr>
            <w:tcW w:w="840" w:type="pct"/>
            <w:shd w:val="clear" w:color="auto" w:fill="auto"/>
            <w:vAlign w:val="center"/>
          </w:tcPr>
          <w:p w14:paraId="66295D52">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b w:val="0"/>
                <w:bCs w:val="0"/>
                <w:color w:val="0F1115"/>
                <w:kern w:val="0"/>
                <w:szCs w:val="21"/>
                <w:lang w:bidi="ar"/>
              </w:rPr>
              <w:t>加工与制作</w:t>
            </w:r>
          </w:p>
        </w:tc>
        <w:tc>
          <w:tcPr>
            <w:tcW w:w="1577" w:type="pct"/>
            <w:shd w:val="clear" w:color="auto" w:fill="auto"/>
            <w:vAlign w:val="center"/>
          </w:tcPr>
          <w:p w14:paraId="51945D2F">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F1115"/>
                <w:kern w:val="0"/>
                <w:szCs w:val="21"/>
                <w:lang w:bidi="ar"/>
              </w:rPr>
              <w:t>钢筋弯折、下料尺寸、丝头加工质量（如适用）。</w:t>
            </w:r>
          </w:p>
        </w:tc>
        <w:tc>
          <w:tcPr>
            <w:tcW w:w="634" w:type="pct"/>
            <w:shd w:val="clear" w:color="auto" w:fill="auto"/>
            <w:vAlign w:val="center"/>
          </w:tcPr>
          <w:p w14:paraId="40A93603">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等线" w:eastAsia="宋体" w:cs="等线"/>
                <w:color w:val="000000"/>
                <w:kern w:val="0"/>
                <w:szCs w:val="22"/>
                <w:lang w:bidi="ar"/>
              </w:rPr>
              <w:t>现场检查</w:t>
            </w:r>
          </w:p>
        </w:tc>
        <w:tc>
          <w:tcPr>
            <w:tcW w:w="1578" w:type="pct"/>
            <w:shd w:val="clear" w:color="auto" w:fill="auto"/>
            <w:vAlign w:val="center"/>
          </w:tcPr>
          <w:p w14:paraId="599AFFA1">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F1115"/>
                <w:kern w:val="0"/>
                <w:szCs w:val="21"/>
                <w:lang w:bidi="ar"/>
              </w:rPr>
              <w:t>加工尺寸准确，弯钩角度与平直段长度符合规范要求。</w:t>
            </w:r>
          </w:p>
        </w:tc>
      </w:tr>
      <w:tr w14:paraId="1180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1F7CBB7D">
            <w:pPr>
              <w:widowControl/>
              <w:adjustRightInd w:val="0"/>
              <w:snapToGrid w:val="0"/>
              <w:spacing w:line="240" w:lineRule="auto"/>
              <w:jc w:val="center"/>
              <w:textAlignment w:val="bottom"/>
              <w:rPr>
                <w:rFonts w:hint="eastAsia" w:ascii="宋体" w:hAnsi="宋体" w:eastAsia="宋体" w:cs="宋体"/>
                <w:color w:val="000000"/>
                <w:szCs w:val="21"/>
              </w:rPr>
            </w:pPr>
            <w:r>
              <w:rPr>
                <w:rFonts w:hint="eastAsia" w:ascii="宋体" w:hAnsi="宋体" w:eastAsia="宋体" w:cs="宋体"/>
                <w:color w:val="000000"/>
                <w:kern w:val="0"/>
                <w:szCs w:val="22"/>
                <w:lang w:bidi="ar"/>
              </w:rPr>
              <w:t>1.2</w:t>
            </w:r>
          </w:p>
        </w:tc>
        <w:tc>
          <w:tcPr>
            <w:tcW w:w="840" w:type="pct"/>
            <w:shd w:val="clear" w:color="auto" w:fill="auto"/>
            <w:vAlign w:val="center"/>
          </w:tcPr>
          <w:p w14:paraId="150AE8F2">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b w:val="0"/>
                <w:bCs w:val="0"/>
                <w:color w:val="0F1115"/>
                <w:kern w:val="0"/>
                <w:szCs w:val="21"/>
                <w:lang w:bidi="ar"/>
              </w:rPr>
              <w:t>安装与绑扎</w:t>
            </w:r>
          </w:p>
        </w:tc>
        <w:tc>
          <w:tcPr>
            <w:tcW w:w="1577" w:type="pct"/>
            <w:shd w:val="clear" w:color="auto" w:fill="auto"/>
            <w:vAlign w:val="center"/>
          </w:tcPr>
          <w:p w14:paraId="7DD2EF1E">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F1115"/>
                <w:kern w:val="0"/>
                <w:szCs w:val="21"/>
                <w:lang w:bidi="ar"/>
              </w:rPr>
              <w:t>钢筋间距、保护层厚度、搭接长度与位置、锚固长度、节点构造。</w:t>
            </w:r>
          </w:p>
        </w:tc>
        <w:tc>
          <w:tcPr>
            <w:tcW w:w="634" w:type="pct"/>
            <w:shd w:val="clear" w:color="auto" w:fill="auto"/>
            <w:vAlign w:val="center"/>
          </w:tcPr>
          <w:p w14:paraId="67288439">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等线" w:eastAsia="宋体" w:cs="等线"/>
                <w:color w:val="000000"/>
                <w:kern w:val="0"/>
                <w:szCs w:val="22"/>
                <w:lang w:bidi="ar"/>
              </w:rPr>
              <w:t>现场检查</w:t>
            </w:r>
          </w:p>
        </w:tc>
        <w:tc>
          <w:tcPr>
            <w:tcW w:w="1578" w:type="pct"/>
            <w:shd w:val="clear" w:color="auto" w:fill="auto"/>
            <w:vAlign w:val="center"/>
          </w:tcPr>
          <w:p w14:paraId="2BF1E143">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F1115"/>
                <w:kern w:val="0"/>
                <w:szCs w:val="21"/>
                <w:lang w:bidi="ar"/>
              </w:rPr>
              <w:t>排布均匀，间距符合设计，保护层垫块有效，绑扎牢固，连接可靠。</w:t>
            </w:r>
          </w:p>
        </w:tc>
      </w:tr>
      <w:tr w14:paraId="1AFB8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4576347A">
            <w:pPr>
              <w:widowControl/>
              <w:adjustRightInd w:val="0"/>
              <w:snapToGrid w:val="0"/>
              <w:spacing w:line="240" w:lineRule="auto"/>
              <w:jc w:val="center"/>
              <w:textAlignment w:val="bottom"/>
              <w:rPr>
                <w:rFonts w:hint="eastAsia" w:ascii="宋体" w:hAnsi="宋体" w:eastAsia="宋体" w:cs="宋体"/>
                <w:color w:val="000000"/>
                <w:szCs w:val="21"/>
              </w:rPr>
            </w:pPr>
            <w:r>
              <w:rPr>
                <w:rFonts w:hint="eastAsia" w:ascii="宋体" w:hAnsi="宋体" w:eastAsia="宋体" w:cs="宋体"/>
                <w:color w:val="000000"/>
                <w:kern w:val="0"/>
                <w:szCs w:val="22"/>
                <w:lang w:bidi="ar"/>
              </w:rPr>
              <w:t>1.3</w:t>
            </w:r>
          </w:p>
        </w:tc>
        <w:tc>
          <w:tcPr>
            <w:tcW w:w="840" w:type="pct"/>
            <w:shd w:val="clear" w:color="auto" w:fill="auto"/>
            <w:vAlign w:val="center"/>
          </w:tcPr>
          <w:p w14:paraId="50DB494C">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b w:val="0"/>
                <w:bCs w:val="0"/>
                <w:color w:val="0F1115"/>
                <w:kern w:val="0"/>
                <w:szCs w:val="21"/>
                <w:lang w:bidi="ar"/>
              </w:rPr>
              <w:t>预埋件</w:t>
            </w:r>
          </w:p>
        </w:tc>
        <w:tc>
          <w:tcPr>
            <w:tcW w:w="1577" w:type="pct"/>
            <w:shd w:val="clear" w:color="auto" w:fill="auto"/>
            <w:vAlign w:val="center"/>
          </w:tcPr>
          <w:p w14:paraId="5D43503B">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F1115"/>
                <w:kern w:val="0"/>
                <w:szCs w:val="21"/>
                <w:lang w:bidi="ar"/>
              </w:rPr>
              <w:t>预埋件规格、位置、固定牢固度。</w:t>
            </w:r>
          </w:p>
        </w:tc>
        <w:tc>
          <w:tcPr>
            <w:tcW w:w="634" w:type="pct"/>
            <w:shd w:val="clear" w:color="auto" w:fill="auto"/>
            <w:vAlign w:val="center"/>
          </w:tcPr>
          <w:p w14:paraId="524DC0BA">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等线" w:eastAsia="宋体" w:cs="等线"/>
                <w:color w:val="000000"/>
                <w:kern w:val="0"/>
                <w:szCs w:val="22"/>
                <w:lang w:bidi="ar"/>
              </w:rPr>
              <w:t>现场检查</w:t>
            </w:r>
          </w:p>
        </w:tc>
        <w:tc>
          <w:tcPr>
            <w:tcW w:w="1578" w:type="pct"/>
            <w:shd w:val="clear" w:color="auto" w:fill="auto"/>
            <w:vAlign w:val="center"/>
          </w:tcPr>
          <w:p w14:paraId="76122B82">
            <w:pPr>
              <w:widowControl/>
              <w:adjustRightInd w:val="0"/>
              <w:snapToGrid w:val="0"/>
              <w:spacing w:line="240" w:lineRule="auto"/>
              <w:jc w:val="left"/>
              <w:rPr>
                <w:rFonts w:hint="eastAsia" w:ascii="宋体" w:hAnsi="宋体" w:eastAsia="宋体" w:cs="宋体"/>
                <w:color w:val="000000"/>
                <w:kern w:val="2"/>
                <w:sz w:val="21"/>
                <w:szCs w:val="21"/>
                <w:lang w:val="en-US" w:eastAsia="zh-CN" w:bidi="ar-SA"/>
              </w:rPr>
            </w:pPr>
            <w:r>
              <w:rPr>
                <w:rFonts w:hint="eastAsia" w:ascii="宋体" w:hAnsi="宋体" w:eastAsia="宋体" w:cs="宋体"/>
                <w:color w:val="0F1115"/>
                <w:kern w:val="0"/>
                <w:szCs w:val="21"/>
                <w:lang w:bidi="ar"/>
              </w:rPr>
              <w:t>位置准确，安装牢固，无遗漏。</w:t>
            </w:r>
          </w:p>
        </w:tc>
      </w:tr>
      <w:tr w14:paraId="4FAF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4E8B84D1">
            <w:pPr>
              <w:widowControl/>
              <w:adjustRightInd w:val="0"/>
              <w:snapToGrid w:val="0"/>
              <w:spacing w:line="240" w:lineRule="auto"/>
              <w:jc w:val="center"/>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2</w:t>
            </w:r>
          </w:p>
        </w:tc>
        <w:tc>
          <w:tcPr>
            <w:tcW w:w="840" w:type="pct"/>
            <w:vAlign w:val="center"/>
          </w:tcPr>
          <w:p w14:paraId="2625BB55">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模板工程</w:t>
            </w:r>
          </w:p>
        </w:tc>
        <w:tc>
          <w:tcPr>
            <w:tcW w:w="1577" w:type="pct"/>
            <w:vAlign w:val="center"/>
          </w:tcPr>
          <w:p w14:paraId="05F57EBB">
            <w:pPr>
              <w:widowControl/>
              <w:adjustRightInd w:val="0"/>
              <w:snapToGrid w:val="0"/>
              <w:spacing w:line="240" w:lineRule="auto"/>
              <w:jc w:val="left"/>
              <w:textAlignment w:val="bottom"/>
              <w:rPr>
                <w:rFonts w:hint="default" w:eastAsia="宋体" w:cs="Times New Roman"/>
                <w:szCs w:val="21"/>
                <w:lang w:bidi="ar"/>
              </w:rPr>
            </w:pPr>
          </w:p>
        </w:tc>
        <w:tc>
          <w:tcPr>
            <w:tcW w:w="634" w:type="pct"/>
            <w:vAlign w:val="center"/>
          </w:tcPr>
          <w:p w14:paraId="6AED129F">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1B692D5D">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0518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C579551">
            <w:pPr>
              <w:widowControl/>
              <w:adjustRightInd w:val="0"/>
              <w:snapToGrid w:val="0"/>
              <w:spacing w:line="240" w:lineRule="auto"/>
              <w:jc w:val="center"/>
              <w:textAlignment w:val="bottom"/>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2.1</w:t>
            </w:r>
          </w:p>
        </w:tc>
        <w:tc>
          <w:tcPr>
            <w:tcW w:w="840" w:type="pct"/>
            <w:vAlign w:val="center"/>
          </w:tcPr>
          <w:p w14:paraId="28AE3DD3">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模板体系</w:t>
            </w:r>
          </w:p>
        </w:tc>
        <w:tc>
          <w:tcPr>
            <w:tcW w:w="1577" w:type="pct"/>
            <w:vAlign w:val="center"/>
          </w:tcPr>
          <w:p w14:paraId="082E4C11">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模板强度、刚度和稳定性，支撑系统牢固性。</w:t>
            </w:r>
          </w:p>
        </w:tc>
        <w:tc>
          <w:tcPr>
            <w:tcW w:w="634" w:type="pct"/>
            <w:vAlign w:val="center"/>
          </w:tcPr>
          <w:p w14:paraId="1FA9BA79">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49C5BBD1">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体系具有足够承载力、刚度和稳定性，能保证结构形状尺寸。</w:t>
            </w:r>
          </w:p>
        </w:tc>
      </w:tr>
      <w:tr w14:paraId="238D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7F650490">
            <w:pPr>
              <w:widowControl/>
              <w:adjustRightInd w:val="0"/>
              <w:snapToGrid w:val="0"/>
              <w:spacing w:line="240" w:lineRule="auto"/>
              <w:jc w:val="center"/>
              <w:textAlignment w:val="bottom"/>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2.2</w:t>
            </w:r>
          </w:p>
        </w:tc>
        <w:tc>
          <w:tcPr>
            <w:tcW w:w="840" w:type="pct"/>
            <w:vAlign w:val="center"/>
          </w:tcPr>
          <w:p w14:paraId="4AEEE918">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安装质量</w:t>
            </w:r>
          </w:p>
        </w:tc>
        <w:tc>
          <w:tcPr>
            <w:tcW w:w="1577" w:type="pct"/>
            <w:vAlign w:val="center"/>
          </w:tcPr>
          <w:p w14:paraId="38848FA2">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模板轴线位置、截面尺寸、标高、接缝严密性。</w:t>
            </w:r>
          </w:p>
        </w:tc>
        <w:tc>
          <w:tcPr>
            <w:tcW w:w="634" w:type="pct"/>
            <w:vAlign w:val="center"/>
          </w:tcPr>
          <w:p w14:paraId="3B7C1BCE">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25E01AA1">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位置、尺寸准确，接缝严密不漏浆，内部清理干净。</w:t>
            </w:r>
          </w:p>
        </w:tc>
      </w:tr>
      <w:tr w14:paraId="5C94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1193A21">
            <w:pPr>
              <w:widowControl/>
              <w:adjustRightInd w:val="0"/>
              <w:snapToGrid w:val="0"/>
              <w:spacing w:line="240" w:lineRule="auto"/>
              <w:jc w:val="center"/>
              <w:textAlignment w:val="bottom"/>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2.3</w:t>
            </w:r>
          </w:p>
        </w:tc>
        <w:tc>
          <w:tcPr>
            <w:tcW w:w="840" w:type="pct"/>
            <w:vAlign w:val="center"/>
          </w:tcPr>
          <w:p w14:paraId="478A6B5B">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脱模剂与隔离剂</w:t>
            </w:r>
          </w:p>
        </w:tc>
        <w:tc>
          <w:tcPr>
            <w:tcW w:w="1577" w:type="pct"/>
            <w:vAlign w:val="center"/>
          </w:tcPr>
          <w:p w14:paraId="41D7D01A">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涂刷情况、是否影响结构面层。</w:t>
            </w:r>
          </w:p>
        </w:tc>
        <w:tc>
          <w:tcPr>
            <w:tcW w:w="634" w:type="pct"/>
            <w:vAlign w:val="center"/>
          </w:tcPr>
          <w:p w14:paraId="25AC35ED">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4BD4874D">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涂刷均匀，无漏刷，不影响装饰效果或与混凝土粘结。</w:t>
            </w:r>
          </w:p>
        </w:tc>
      </w:tr>
      <w:tr w14:paraId="626C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7E426E9">
            <w:pPr>
              <w:widowControl/>
              <w:adjustRightInd w:val="0"/>
              <w:snapToGrid w:val="0"/>
              <w:spacing w:line="240" w:lineRule="auto"/>
              <w:jc w:val="center"/>
              <w:textAlignment w:val="bottom"/>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2.4</w:t>
            </w:r>
          </w:p>
        </w:tc>
        <w:tc>
          <w:tcPr>
            <w:tcW w:w="840" w:type="pct"/>
            <w:vAlign w:val="center"/>
          </w:tcPr>
          <w:p w14:paraId="6C202018">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拆除</w:t>
            </w:r>
          </w:p>
        </w:tc>
        <w:tc>
          <w:tcPr>
            <w:tcW w:w="1577" w:type="pct"/>
            <w:vAlign w:val="center"/>
          </w:tcPr>
          <w:p w14:paraId="11839CBA">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拆除时间、顺序及对混凝土表面的保护。</w:t>
            </w:r>
          </w:p>
        </w:tc>
        <w:tc>
          <w:tcPr>
            <w:tcW w:w="634" w:type="pct"/>
            <w:vAlign w:val="center"/>
          </w:tcPr>
          <w:p w14:paraId="2F8CAE8A">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6E18A4DC">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拆除时机符合规范，未损伤结构棱角及表面。</w:t>
            </w:r>
          </w:p>
        </w:tc>
      </w:tr>
      <w:tr w14:paraId="310D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A8B63A1">
            <w:pPr>
              <w:widowControl/>
              <w:adjustRightInd w:val="0"/>
              <w:snapToGrid w:val="0"/>
              <w:spacing w:line="240" w:lineRule="auto"/>
              <w:jc w:val="center"/>
              <w:textAlignment w:val="top"/>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3</w:t>
            </w:r>
          </w:p>
        </w:tc>
        <w:tc>
          <w:tcPr>
            <w:tcW w:w="840" w:type="pct"/>
            <w:vAlign w:val="center"/>
          </w:tcPr>
          <w:p w14:paraId="38F0246D">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混凝土工程</w:t>
            </w:r>
          </w:p>
        </w:tc>
        <w:tc>
          <w:tcPr>
            <w:tcW w:w="1577" w:type="pct"/>
            <w:vAlign w:val="center"/>
          </w:tcPr>
          <w:p w14:paraId="58EDC6A1">
            <w:pPr>
              <w:widowControl/>
              <w:adjustRightInd w:val="0"/>
              <w:snapToGrid w:val="0"/>
              <w:spacing w:line="240" w:lineRule="auto"/>
              <w:jc w:val="left"/>
              <w:textAlignment w:val="bottom"/>
              <w:rPr>
                <w:rFonts w:hint="default" w:eastAsia="宋体" w:cs="Times New Roman"/>
                <w:szCs w:val="21"/>
                <w:lang w:bidi="ar"/>
              </w:rPr>
            </w:pPr>
          </w:p>
        </w:tc>
        <w:tc>
          <w:tcPr>
            <w:tcW w:w="634" w:type="pct"/>
            <w:vAlign w:val="center"/>
          </w:tcPr>
          <w:p w14:paraId="228D48C7">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3DF7233D">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1421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436E8FC">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3.1</w:t>
            </w:r>
          </w:p>
        </w:tc>
        <w:tc>
          <w:tcPr>
            <w:tcW w:w="840" w:type="pct"/>
            <w:vAlign w:val="center"/>
          </w:tcPr>
          <w:p w14:paraId="7A12F764">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配合比与浇筑</w:t>
            </w:r>
          </w:p>
        </w:tc>
        <w:tc>
          <w:tcPr>
            <w:tcW w:w="1577" w:type="pct"/>
            <w:vAlign w:val="center"/>
          </w:tcPr>
          <w:p w14:paraId="5C2E55C0">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坍落度现场检查、浇筑顺序与振捣。</w:t>
            </w:r>
          </w:p>
        </w:tc>
        <w:tc>
          <w:tcPr>
            <w:tcW w:w="634" w:type="pct"/>
            <w:vAlign w:val="center"/>
          </w:tcPr>
          <w:p w14:paraId="47B0332F">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69721FBA">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配合比符合设计要求，浇筑连续，振捣密实，无离析。</w:t>
            </w:r>
          </w:p>
        </w:tc>
      </w:tr>
      <w:tr w14:paraId="6832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89A2091">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3.2</w:t>
            </w:r>
          </w:p>
        </w:tc>
        <w:tc>
          <w:tcPr>
            <w:tcW w:w="840" w:type="pct"/>
            <w:vAlign w:val="center"/>
          </w:tcPr>
          <w:p w14:paraId="571DB893">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养护与成品保护</w:t>
            </w:r>
          </w:p>
        </w:tc>
        <w:tc>
          <w:tcPr>
            <w:tcW w:w="1577" w:type="pct"/>
            <w:vAlign w:val="center"/>
          </w:tcPr>
          <w:p w14:paraId="35035839">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养护方法、养护时间及早期成品保护。</w:t>
            </w:r>
          </w:p>
        </w:tc>
        <w:tc>
          <w:tcPr>
            <w:tcW w:w="634" w:type="pct"/>
            <w:vAlign w:val="center"/>
          </w:tcPr>
          <w:p w14:paraId="6B04C295">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175066F5">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养护及时、方法得当、期限足够，强度增长正常。</w:t>
            </w:r>
          </w:p>
        </w:tc>
      </w:tr>
      <w:tr w14:paraId="7F1B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C758C17">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3.3</w:t>
            </w:r>
          </w:p>
        </w:tc>
        <w:tc>
          <w:tcPr>
            <w:tcW w:w="840" w:type="pct"/>
            <w:vAlign w:val="center"/>
          </w:tcPr>
          <w:p w14:paraId="31FA87B5">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实体质量</w:t>
            </w:r>
          </w:p>
        </w:tc>
        <w:tc>
          <w:tcPr>
            <w:tcW w:w="1577" w:type="pct"/>
            <w:vAlign w:val="center"/>
          </w:tcPr>
          <w:p w14:paraId="3BAA4222">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混凝土强度、外观质量、有无裂缝及缺陷。</w:t>
            </w:r>
          </w:p>
        </w:tc>
        <w:tc>
          <w:tcPr>
            <w:tcW w:w="634" w:type="pct"/>
            <w:vAlign w:val="center"/>
          </w:tcPr>
          <w:p w14:paraId="61894D1F">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4B2A6B79">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强度满足设计要求，外观平整密实，无严重缺陷，裂缝受控。</w:t>
            </w:r>
          </w:p>
        </w:tc>
      </w:tr>
      <w:tr w14:paraId="4A56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6BDDA32">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3.4</w:t>
            </w:r>
          </w:p>
        </w:tc>
        <w:tc>
          <w:tcPr>
            <w:tcW w:w="840" w:type="pct"/>
            <w:vAlign w:val="center"/>
          </w:tcPr>
          <w:p w14:paraId="3E54E3C0">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施工缝与后浇带</w:t>
            </w:r>
          </w:p>
        </w:tc>
        <w:tc>
          <w:tcPr>
            <w:tcW w:w="1577" w:type="pct"/>
            <w:vAlign w:val="center"/>
          </w:tcPr>
          <w:p w14:paraId="25BBFEC2">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留设位置与处理。</w:t>
            </w:r>
          </w:p>
        </w:tc>
        <w:tc>
          <w:tcPr>
            <w:tcW w:w="634" w:type="pct"/>
            <w:vAlign w:val="center"/>
          </w:tcPr>
          <w:p w14:paraId="3A57395B">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21AEA88F">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位置正确，处理符合设计和规范要求。</w:t>
            </w:r>
          </w:p>
        </w:tc>
      </w:tr>
      <w:tr w14:paraId="6250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DE1F500">
            <w:pPr>
              <w:widowControl/>
              <w:adjustRightInd w:val="0"/>
              <w:snapToGrid w:val="0"/>
              <w:spacing w:line="240" w:lineRule="auto"/>
              <w:jc w:val="center"/>
              <w:textAlignment w:val="top"/>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4</w:t>
            </w:r>
          </w:p>
        </w:tc>
        <w:tc>
          <w:tcPr>
            <w:tcW w:w="840" w:type="pct"/>
            <w:vAlign w:val="center"/>
          </w:tcPr>
          <w:p w14:paraId="1B4D9582">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钢结构工程</w:t>
            </w:r>
          </w:p>
        </w:tc>
        <w:tc>
          <w:tcPr>
            <w:tcW w:w="1577" w:type="pct"/>
            <w:vAlign w:val="center"/>
          </w:tcPr>
          <w:p w14:paraId="1BA7CEEC">
            <w:pPr>
              <w:widowControl/>
              <w:adjustRightInd w:val="0"/>
              <w:snapToGrid w:val="0"/>
              <w:spacing w:line="240" w:lineRule="auto"/>
              <w:jc w:val="left"/>
              <w:textAlignment w:val="top"/>
              <w:rPr>
                <w:rFonts w:hint="eastAsia" w:ascii="宋体" w:hAnsi="宋体" w:eastAsia="宋体" w:cs="宋体"/>
                <w:color w:val="000000"/>
                <w:szCs w:val="21"/>
              </w:rPr>
            </w:pPr>
          </w:p>
        </w:tc>
        <w:tc>
          <w:tcPr>
            <w:tcW w:w="634" w:type="pct"/>
            <w:vAlign w:val="center"/>
          </w:tcPr>
          <w:p w14:paraId="7B5C6CBC">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7EF5E18A">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05C2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AB6DADF">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4.1</w:t>
            </w:r>
          </w:p>
        </w:tc>
        <w:tc>
          <w:tcPr>
            <w:tcW w:w="840" w:type="pct"/>
            <w:vAlign w:val="center"/>
          </w:tcPr>
          <w:p w14:paraId="7DAD8545">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构件与材料</w:t>
            </w:r>
          </w:p>
        </w:tc>
        <w:tc>
          <w:tcPr>
            <w:tcW w:w="1577" w:type="pct"/>
            <w:vAlign w:val="center"/>
          </w:tcPr>
          <w:p w14:paraId="3E8AF940">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钢材、焊材、高强螺栓的外观。</w:t>
            </w:r>
          </w:p>
        </w:tc>
        <w:tc>
          <w:tcPr>
            <w:tcW w:w="634" w:type="pct"/>
            <w:vAlign w:val="center"/>
          </w:tcPr>
          <w:p w14:paraId="031212FA">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35A5D61F">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材料规格、性能符合设计，无损伤变形。</w:t>
            </w:r>
          </w:p>
        </w:tc>
      </w:tr>
      <w:tr w14:paraId="03C35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5F6D8D7">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4.2</w:t>
            </w:r>
          </w:p>
        </w:tc>
        <w:tc>
          <w:tcPr>
            <w:tcW w:w="840" w:type="pct"/>
            <w:vAlign w:val="center"/>
          </w:tcPr>
          <w:p w14:paraId="5D0E4D43">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连接与安装</w:t>
            </w:r>
          </w:p>
        </w:tc>
        <w:tc>
          <w:tcPr>
            <w:tcW w:w="1577" w:type="pct"/>
            <w:vAlign w:val="center"/>
          </w:tcPr>
          <w:p w14:paraId="6D193D9C">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焊接质量、高强螺栓施拧、安装轴线与标高、垂直度。</w:t>
            </w:r>
          </w:p>
        </w:tc>
        <w:tc>
          <w:tcPr>
            <w:tcW w:w="634" w:type="pct"/>
            <w:vAlign w:val="center"/>
          </w:tcPr>
          <w:p w14:paraId="5F915B6F">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0338DF0C">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焊缝外观均匀，螺栓紧固到位，安装位置准确，稳定可靠。</w:t>
            </w:r>
          </w:p>
        </w:tc>
      </w:tr>
      <w:tr w14:paraId="12F3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9435EA8">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4.3</w:t>
            </w:r>
          </w:p>
        </w:tc>
        <w:tc>
          <w:tcPr>
            <w:tcW w:w="840" w:type="pct"/>
            <w:vAlign w:val="center"/>
          </w:tcPr>
          <w:p w14:paraId="01FC2A22">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涂装与防火</w:t>
            </w:r>
          </w:p>
        </w:tc>
        <w:tc>
          <w:tcPr>
            <w:tcW w:w="1577" w:type="pct"/>
            <w:vAlign w:val="center"/>
          </w:tcPr>
          <w:p w14:paraId="3B94FFB7">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防腐涂层厚度、均匀性，防火涂料施工质量。</w:t>
            </w:r>
          </w:p>
        </w:tc>
        <w:tc>
          <w:tcPr>
            <w:tcW w:w="634" w:type="pct"/>
            <w:vAlign w:val="center"/>
          </w:tcPr>
          <w:p w14:paraId="40EE8262">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31FB326A">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涂层均匀无漏涂，厚度符合设计，附着良好。</w:t>
            </w:r>
          </w:p>
        </w:tc>
      </w:tr>
      <w:tr w14:paraId="24E36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41692CFB">
            <w:pPr>
              <w:widowControl/>
              <w:adjustRightInd w:val="0"/>
              <w:snapToGrid w:val="0"/>
              <w:spacing w:line="240" w:lineRule="auto"/>
              <w:jc w:val="center"/>
              <w:textAlignment w:val="top"/>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5</w:t>
            </w:r>
          </w:p>
        </w:tc>
        <w:tc>
          <w:tcPr>
            <w:tcW w:w="840" w:type="pct"/>
            <w:vAlign w:val="center"/>
          </w:tcPr>
          <w:p w14:paraId="14D75DEA">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砌体工程</w:t>
            </w:r>
          </w:p>
        </w:tc>
        <w:tc>
          <w:tcPr>
            <w:tcW w:w="1577" w:type="pct"/>
            <w:vAlign w:val="center"/>
          </w:tcPr>
          <w:p w14:paraId="198E9B52">
            <w:pPr>
              <w:widowControl/>
              <w:adjustRightInd w:val="0"/>
              <w:snapToGrid w:val="0"/>
              <w:spacing w:line="240" w:lineRule="auto"/>
              <w:jc w:val="left"/>
              <w:textAlignment w:val="top"/>
              <w:rPr>
                <w:rFonts w:hint="eastAsia" w:ascii="宋体" w:hAnsi="宋体" w:eastAsia="宋体" w:cs="宋体"/>
                <w:color w:val="000000"/>
                <w:szCs w:val="21"/>
              </w:rPr>
            </w:pPr>
          </w:p>
        </w:tc>
        <w:tc>
          <w:tcPr>
            <w:tcW w:w="634" w:type="pct"/>
            <w:vAlign w:val="center"/>
          </w:tcPr>
          <w:p w14:paraId="31E75DDD">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1BB34D0C">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5F3D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07A02C52">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5.1</w:t>
            </w:r>
          </w:p>
        </w:tc>
        <w:tc>
          <w:tcPr>
            <w:tcW w:w="840" w:type="pct"/>
            <w:vAlign w:val="center"/>
          </w:tcPr>
          <w:p w14:paraId="66B266B8">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砌块与砂浆</w:t>
            </w:r>
          </w:p>
        </w:tc>
        <w:tc>
          <w:tcPr>
            <w:tcW w:w="1577" w:type="pct"/>
            <w:vAlign w:val="center"/>
          </w:tcPr>
          <w:p w14:paraId="359BEF6A">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砌块外观、强度，砂浆配合比与饱满度。</w:t>
            </w:r>
          </w:p>
        </w:tc>
        <w:tc>
          <w:tcPr>
            <w:tcW w:w="634" w:type="pct"/>
            <w:vAlign w:val="center"/>
          </w:tcPr>
          <w:p w14:paraId="1109E6AE">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1E777902">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材料强度符合要求，砂浆饱满，灰缝均匀。</w:t>
            </w:r>
          </w:p>
        </w:tc>
      </w:tr>
      <w:tr w14:paraId="639D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7A325902">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5.2</w:t>
            </w:r>
          </w:p>
        </w:tc>
        <w:tc>
          <w:tcPr>
            <w:tcW w:w="840" w:type="pct"/>
            <w:vAlign w:val="center"/>
          </w:tcPr>
          <w:p w14:paraId="14701763">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砌筑质量</w:t>
            </w:r>
          </w:p>
        </w:tc>
        <w:tc>
          <w:tcPr>
            <w:tcW w:w="1577" w:type="pct"/>
            <w:vAlign w:val="center"/>
          </w:tcPr>
          <w:p w14:paraId="554A4EF0">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砌体平整度、垂直度、灰缝厚度、错缝搭接。</w:t>
            </w:r>
          </w:p>
        </w:tc>
        <w:tc>
          <w:tcPr>
            <w:tcW w:w="634" w:type="pct"/>
            <w:vAlign w:val="center"/>
          </w:tcPr>
          <w:p w14:paraId="7EFDD7D1">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458A9A71">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砌体横平竖直，灰缝厚度均匀，搭接正确，无通缝。</w:t>
            </w:r>
          </w:p>
        </w:tc>
      </w:tr>
      <w:tr w14:paraId="0E59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1416FA18">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5.3</w:t>
            </w:r>
          </w:p>
        </w:tc>
        <w:tc>
          <w:tcPr>
            <w:tcW w:w="840" w:type="pct"/>
            <w:vAlign w:val="center"/>
          </w:tcPr>
          <w:p w14:paraId="42ECE428">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构造措施</w:t>
            </w:r>
          </w:p>
        </w:tc>
        <w:tc>
          <w:tcPr>
            <w:tcW w:w="1577" w:type="pct"/>
            <w:vAlign w:val="center"/>
          </w:tcPr>
          <w:p w14:paraId="0220F232">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拉结筋设置、构造柱、圈梁等抗震构造措施。</w:t>
            </w:r>
          </w:p>
        </w:tc>
        <w:tc>
          <w:tcPr>
            <w:tcW w:w="634" w:type="pct"/>
            <w:vAlign w:val="center"/>
          </w:tcPr>
          <w:p w14:paraId="2084100D">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600D75DF">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按设计设置拉结筋、构造柱等，保证整体稳定性。</w:t>
            </w:r>
          </w:p>
        </w:tc>
      </w:tr>
      <w:tr w14:paraId="3DAC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F9A41CE">
            <w:pPr>
              <w:widowControl/>
              <w:adjustRightInd w:val="0"/>
              <w:snapToGrid w:val="0"/>
              <w:spacing w:line="240" w:lineRule="auto"/>
              <w:jc w:val="center"/>
              <w:textAlignment w:val="top"/>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6</w:t>
            </w:r>
          </w:p>
        </w:tc>
        <w:tc>
          <w:tcPr>
            <w:tcW w:w="840" w:type="pct"/>
            <w:vAlign w:val="center"/>
          </w:tcPr>
          <w:p w14:paraId="419E1FE6">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屋面工程</w:t>
            </w:r>
          </w:p>
        </w:tc>
        <w:tc>
          <w:tcPr>
            <w:tcW w:w="1577" w:type="pct"/>
            <w:vAlign w:val="center"/>
          </w:tcPr>
          <w:p w14:paraId="3B8E20F8">
            <w:pPr>
              <w:widowControl/>
              <w:adjustRightInd w:val="0"/>
              <w:snapToGrid w:val="0"/>
              <w:spacing w:line="240" w:lineRule="auto"/>
              <w:jc w:val="left"/>
              <w:textAlignment w:val="top"/>
              <w:rPr>
                <w:rFonts w:hint="eastAsia" w:ascii="宋体" w:hAnsi="宋体" w:eastAsia="宋体" w:cs="宋体"/>
                <w:color w:val="000000"/>
                <w:szCs w:val="21"/>
              </w:rPr>
            </w:pPr>
          </w:p>
        </w:tc>
        <w:tc>
          <w:tcPr>
            <w:tcW w:w="634" w:type="pct"/>
            <w:vAlign w:val="center"/>
          </w:tcPr>
          <w:p w14:paraId="6454E44F">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626244B5">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3052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C3AD565">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6.1</w:t>
            </w:r>
          </w:p>
        </w:tc>
        <w:tc>
          <w:tcPr>
            <w:tcW w:w="840" w:type="pct"/>
            <w:vAlign w:val="center"/>
          </w:tcPr>
          <w:p w14:paraId="054084F2">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找坡层与找平层</w:t>
            </w:r>
          </w:p>
        </w:tc>
        <w:tc>
          <w:tcPr>
            <w:tcW w:w="1577" w:type="pct"/>
            <w:vAlign w:val="center"/>
          </w:tcPr>
          <w:p w14:paraId="317A1F6F">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坡度设置、表面平整度、坚实度、无空鼓裂缝。</w:t>
            </w:r>
          </w:p>
        </w:tc>
        <w:tc>
          <w:tcPr>
            <w:tcW w:w="634" w:type="pct"/>
            <w:vAlign w:val="center"/>
          </w:tcPr>
          <w:p w14:paraId="64809D0B">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445D7048">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坡度符合排水要求，表面平整坚实，无缺陷。</w:t>
            </w:r>
          </w:p>
        </w:tc>
      </w:tr>
      <w:tr w14:paraId="5284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F05B384">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6.2</w:t>
            </w:r>
          </w:p>
        </w:tc>
        <w:tc>
          <w:tcPr>
            <w:tcW w:w="840" w:type="pct"/>
            <w:vAlign w:val="center"/>
          </w:tcPr>
          <w:p w14:paraId="5C749B99">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防水层与保温层</w:t>
            </w:r>
          </w:p>
        </w:tc>
        <w:tc>
          <w:tcPr>
            <w:tcW w:w="1577" w:type="pct"/>
            <w:vAlign w:val="center"/>
          </w:tcPr>
          <w:p w14:paraId="5304E793">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防水材料及做法、搭接与收头密封、保温材料铺设与厚度。</w:t>
            </w:r>
          </w:p>
        </w:tc>
        <w:tc>
          <w:tcPr>
            <w:tcW w:w="634" w:type="pct"/>
            <w:vAlign w:val="center"/>
          </w:tcPr>
          <w:p w14:paraId="795A4FCD">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5D8E80A8">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材料与工艺符合设计，铺设规范、接缝严密、固定牢固。</w:t>
            </w:r>
          </w:p>
        </w:tc>
      </w:tr>
      <w:tr w14:paraId="7B81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D22E0D3">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6.3</w:t>
            </w:r>
          </w:p>
        </w:tc>
        <w:tc>
          <w:tcPr>
            <w:tcW w:w="840" w:type="pct"/>
            <w:vAlign w:val="center"/>
          </w:tcPr>
          <w:p w14:paraId="1F8DF941">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细部构造</w:t>
            </w:r>
          </w:p>
        </w:tc>
        <w:tc>
          <w:tcPr>
            <w:tcW w:w="1577" w:type="pct"/>
            <w:vAlign w:val="center"/>
          </w:tcPr>
          <w:p w14:paraId="400EA2D9">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天沟、檐口、水落口、伸出屋面管道、变形缝等节点处理。</w:t>
            </w:r>
          </w:p>
        </w:tc>
        <w:tc>
          <w:tcPr>
            <w:tcW w:w="634" w:type="pct"/>
            <w:vAlign w:val="center"/>
          </w:tcPr>
          <w:p w14:paraId="0CF7A368">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0C9F51DA">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构造正确、处理到位、密封严密、排水通畅。</w:t>
            </w:r>
          </w:p>
        </w:tc>
      </w:tr>
      <w:tr w14:paraId="09A6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6EA02B4">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6.4</w:t>
            </w:r>
          </w:p>
        </w:tc>
        <w:tc>
          <w:tcPr>
            <w:tcW w:w="840" w:type="pct"/>
            <w:vAlign w:val="center"/>
          </w:tcPr>
          <w:p w14:paraId="713555CB">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面层与保护层</w:t>
            </w:r>
          </w:p>
        </w:tc>
        <w:tc>
          <w:tcPr>
            <w:tcW w:w="1577" w:type="pct"/>
            <w:vAlign w:val="center"/>
          </w:tcPr>
          <w:p w14:paraId="19A9FBE8">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保护层完整性、瓦片或板材铺设、伸缩缝设置。</w:t>
            </w:r>
          </w:p>
        </w:tc>
        <w:tc>
          <w:tcPr>
            <w:tcW w:w="634" w:type="pct"/>
            <w:vAlign w:val="center"/>
          </w:tcPr>
          <w:p w14:paraId="7C6E5980">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406683D0">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铺设牢固、拼缝整齐、保护有效、无破损。</w:t>
            </w:r>
          </w:p>
        </w:tc>
      </w:tr>
      <w:tr w14:paraId="74B20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1F979CC2">
            <w:pPr>
              <w:widowControl/>
              <w:adjustRightInd w:val="0"/>
              <w:snapToGrid w:val="0"/>
              <w:spacing w:line="240" w:lineRule="auto"/>
              <w:jc w:val="center"/>
              <w:textAlignment w:val="top"/>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7</w:t>
            </w:r>
          </w:p>
        </w:tc>
        <w:tc>
          <w:tcPr>
            <w:tcW w:w="840" w:type="pct"/>
            <w:vAlign w:val="center"/>
          </w:tcPr>
          <w:p w14:paraId="008BBFD3">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地下工程</w:t>
            </w:r>
          </w:p>
        </w:tc>
        <w:tc>
          <w:tcPr>
            <w:tcW w:w="1577" w:type="pct"/>
            <w:vAlign w:val="center"/>
          </w:tcPr>
          <w:p w14:paraId="1F7F6714">
            <w:pPr>
              <w:widowControl/>
              <w:adjustRightInd w:val="0"/>
              <w:snapToGrid w:val="0"/>
              <w:spacing w:line="240" w:lineRule="auto"/>
              <w:jc w:val="left"/>
              <w:textAlignment w:val="bottom"/>
              <w:rPr>
                <w:rFonts w:hint="default" w:eastAsia="宋体" w:cs="Times New Roman"/>
                <w:szCs w:val="21"/>
                <w:lang w:bidi="ar"/>
              </w:rPr>
            </w:pPr>
          </w:p>
        </w:tc>
        <w:tc>
          <w:tcPr>
            <w:tcW w:w="634" w:type="pct"/>
            <w:vAlign w:val="center"/>
          </w:tcPr>
          <w:p w14:paraId="06467521">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3636905C">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729E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BCC7009">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7.1</w:t>
            </w:r>
          </w:p>
        </w:tc>
        <w:tc>
          <w:tcPr>
            <w:tcW w:w="840" w:type="pct"/>
            <w:vAlign w:val="center"/>
          </w:tcPr>
          <w:p w14:paraId="2CDE1F3B">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防水工程</w:t>
            </w:r>
          </w:p>
        </w:tc>
        <w:tc>
          <w:tcPr>
            <w:tcW w:w="1577" w:type="pct"/>
            <w:vAlign w:val="center"/>
          </w:tcPr>
          <w:p w14:paraId="7301D2E8">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混凝土自防水性能、施工缝与后浇带处理、外包防水层施工质量。</w:t>
            </w:r>
          </w:p>
        </w:tc>
        <w:tc>
          <w:tcPr>
            <w:tcW w:w="634" w:type="pct"/>
            <w:vAlign w:val="center"/>
          </w:tcPr>
          <w:p w14:paraId="6F1F01E7">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09ADA43D">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混凝土密实无渗漏，施工缝处理规范，防水层完整有效。</w:t>
            </w:r>
          </w:p>
        </w:tc>
      </w:tr>
      <w:tr w14:paraId="7B0E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BC7824A">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7.2</w:t>
            </w:r>
          </w:p>
        </w:tc>
        <w:tc>
          <w:tcPr>
            <w:tcW w:w="840" w:type="pct"/>
            <w:vAlign w:val="center"/>
          </w:tcPr>
          <w:p w14:paraId="6FA25F9F">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基坑与回填</w:t>
            </w:r>
          </w:p>
        </w:tc>
        <w:tc>
          <w:tcPr>
            <w:tcW w:w="1577" w:type="pct"/>
            <w:vAlign w:val="center"/>
          </w:tcPr>
          <w:p w14:paraId="3C6C1598">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基坑支护稳定性、回填土分层压实度、回填后沉降控制。</w:t>
            </w:r>
          </w:p>
        </w:tc>
        <w:tc>
          <w:tcPr>
            <w:tcW w:w="634" w:type="pct"/>
            <w:vAlign w:val="center"/>
          </w:tcPr>
          <w:p w14:paraId="2E3A06C8">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7B48808E">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支护安全可靠，回填密实均匀，无异常沉降。</w:t>
            </w:r>
          </w:p>
        </w:tc>
      </w:tr>
      <w:tr w14:paraId="1A27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992DF5C">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7.3</w:t>
            </w:r>
          </w:p>
        </w:tc>
        <w:tc>
          <w:tcPr>
            <w:tcW w:w="840" w:type="pct"/>
            <w:vAlign w:val="center"/>
          </w:tcPr>
          <w:p w14:paraId="37579C3C">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结构实体</w:t>
            </w:r>
          </w:p>
        </w:tc>
        <w:tc>
          <w:tcPr>
            <w:tcW w:w="1577" w:type="pct"/>
            <w:vAlign w:val="center"/>
          </w:tcPr>
          <w:p w14:paraId="0F7E7469">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混凝土强度与外观、墙体与底板有无裂缝、预埋管件位置。</w:t>
            </w:r>
          </w:p>
        </w:tc>
        <w:tc>
          <w:tcPr>
            <w:tcW w:w="634" w:type="pct"/>
            <w:vAlign w:val="center"/>
          </w:tcPr>
          <w:p w14:paraId="581C78B5">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6A21D8FF">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结构强度达标，外观无严重缺陷，裂缝宽度受控，预埋准确。</w:t>
            </w:r>
          </w:p>
        </w:tc>
      </w:tr>
      <w:tr w14:paraId="2CB7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01F7435">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7.4</w:t>
            </w:r>
          </w:p>
        </w:tc>
        <w:tc>
          <w:tcPr>
            <w:tcW w:w="840" w:type="pct"/>
            <w:vAlign w:val="center"/>
          </w:tcPr>
          <w:p w14:paraId="7B6BFED1">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抗浮措施</w:t>
            </w:r>
          </w:p>
        </w:tc>
        <w:tc>
          <w:tcPr>
            <w:tcW w:w="1577" w:type="pct"/>
            <w:vAlign w:val="center"/>
          </w:tcPr>
          <w:p w14:paraId="1D088F23">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抗浮锚杆或抗拔桩的施工质量及验收。</w:t>
            </w:r>
          </w:p>
        </w:tc>
        <w:tc>
          <w:tcPr>
            <w:tcW w:w="634" w:type="pct"/>
            <w:vAlign w:val="center"/>
          </w:tcPr>
          <w:p w14:paraId="5B3C1255">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36BFB21D">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抗浮措施按图施工，质量合格，满足设计要求。</w:t>
            </w:r>
          </w:p>
        </w:tc>
      </w:tr>
      <w:tr w14:paraId="097C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2C48279">
            <w:pPr>
              <w:widowControl/>
              <w:adjustRightInd w:val="0"/>
              <w:snapToGrid w:val="0"/>
              <w:spacing w:line="240" w:lineRule="auto"/>
              <w:jc w:val="center"/>
              <w:textAlignment w:val="top"/>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8</w:t>
            </w:r>
          </w:p>
        </w:tc>
        <w:tc>
          <w:tcPr>
            <w:tcW w:w="840" w:type="pct"/>
            <w:vAlign w:val="center"/>
          </w:tcPr>
          <w:p w14:paraId="12900414">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装饰装修工程</w:t>
            </w:r>
          </w:p>
        </w:tc>
        <w:tc>
          <w:tcPr>
            <w:tcW w:w="1577" w:type="pct"/>
            <w:vAlign w:val="center"/>
          </w:tcPr>
          <w:p w14:paraId="6A88F3BA">
            <w:pPr>
              <w:widowControl/>
              <w:adjustRightInd w:val="0"/>
              <w:snapToGrid w:val="0"/>
              <w:spacing w:line="240" w:lineRule="auto"/>
              <w:jc w:val="left"/>
              <w:textAlignment w:val="bottom"/>
              <w:rPr>
                <w:rFonts w:hint="default" w:eastAsia="宋体" w:cs="Times New Roman"/>
                <w:szCs w:val="21"/>
                <w:lang w:bidi="ar"/>
              </w:rPr>
            </w:pPr>
          </w:p>
        </w:tc>
        <w:tc>
          <w:tcPr>
            <w:tcW w:w="634" w:type="pct"/>
            <w:vAlign w:val="center"/>
          </w:tcPr>
          <w:p w14:paraId="21201246">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025D1E0F">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15CF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7674E541">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8.1</w:t>
            </w:r>
          </w:p>
        </w:tc>
        <w:tc>
          <w:tcPr>
            <w:tcW w:w="840" w:type="pct"/>
            <w:vAlign w:val="center"/>
          </w:tcPr>
          <w:p w14:paraId="0244AE3F">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抹灰与饰面板</w:t>
            </w:r>
          </w:p>
        </w:tc>
        <w:tc>
          <w:tcPr>
            <w:tcW w:w="1577" w:type="pct"/>
            <w:vAlign w:val="center"/>
          </w:tcPr>
          <w:p w14:paraId="7A60B6AA">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基层处理、墙面平整垂直度、空鼓、接缝与色差。</w:t>
            </w:r>
          </w:p>
        </w:tc>
        <w:tc>
          <w:tcPr>
            <w:tcW w:w="634" w:type="pct"/>
            <w:vAlign w:val="center"/>
          </w:tcPr>
          <w:p w14:paraId="48CA422B">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587B1903">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基层牢固，表面平整，粘结牢固，无空鼓裂缝，观感均匀。</w:t>
            </w:r>
          </w:p>
        </w:tc>
      </w:tr>
      <w:tr w14:paraId="170B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7100B917">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8.2</w:t>
            </w:r>
          </w:p>
        </w:tc>
        <w:tc>
          <w:tcPr>
            <w:tcW w:w="840" w:type="pct"/>
            <w:vAlign w:val="center"/>
          </w:tcPr>
          <w:p w14:paraId="0120164C">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门窗安装</w:t>
            </w:r>
          </w:p>
        </w:tc>
        <w:tc>
          <w:tcPr>
            <w:tcW w:w="1577" w:type="pct"/>
            <w:vAlign w:val="center"/>
          </w:tcPr>
          <w:p w14:paraId="277CFE11">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安装牢固性、开启灵活性、密封性能、五金配件。</w:t>
            </w:r>
          </w:p>
        </w:tc>
        <w:tc>
          <w:tcPr>
            <w:tcW w:w="634" w:type="pct"/>
            <w:vAlign w:val="center"/>
          </w:tcPr>
          <w:p w14:paraId="40906C2C">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45445688">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安装牢固，开启灵活，关闭严密，配件齐全有效。</w:t>
            </w:r>
          </w:p>
        </w:tc>
      </w:tr>
      <w:tr w14:paraId="4826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5D5D2B7A">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8.3</w:t>
            </w:r>
          </w:p>
        </w:tc>
        <w:tc>
          <w:tcPr>
            <w:tcW w:w="840" w:type="pct"/>
            <w:vAlign w:val="center"/>
          </w:tcPr>
          <w:p w14:paraId="31495BC0">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吊顶与隔墙</w:t>
            </w:r>
          </w:p>
        </w:tc>
        <w:tc>
          <w:tcPr>
            <w:tcW w:w="1577" w:type="pct"/>
            <w:vAlign w:val="center"/>
          </w:tcPr>
          <w:p w14:paraId="21472DFF">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龙骨安装牢固度、面板平整度、防火防腐处理。</w:t>
            </w:r>
          </w:p>
        </w:tc>
        <w:tc>
          <w:tcPr>
            <w:tcW w:w="634" w:type="pct"/>
            <w:vAlign w:val="center"/>
          </w:tcPr>
          <w:p w14:paraId="12E28553">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09222690">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龙骨稳固，面板平整，安装规范，防火防腐到位。</w:t>
            </w:r>
          </w:p>
        </w:tc>
      </w:tr>
      <w:tr w14:paraId="69639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41C9196B">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8.4</w:t>
            </w:r>
          </w:p>
        </w:tc>
        <w:tc>
          <w:tcPr>
            <w:tcW w:w="840" w:type="pct"/>
            <w:vAlign w:val="center"/>
          </w:tcPr>
          <w:p w14:paraId="40284A24">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地面工程</w:t>
            </w:r>
          </w:p>
        </w:tc>
        <w:tc>
          <w:tcPr>
            <w:tcW w:w="1577" w:type="pct"/>
            <w:vAlign w:val="center"/>
          </w:tcPr>
          <w:p w14:paraId="1FC583C9">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color w:val="0F1115"/>
                <w:kern w:val="0"/>
                <w:szCs w:val="21"/>
                <w:lang w:bidi="ar"/>
              </w:rPr>
              <w:t>地面平整度、无空鼓开裂、地面坡度（如有要求）。</w:t>
            </w:r>
          </w:p>
        </w:tc>
        <w:tc>
          <w:tcPr>
            <w:tcW w:w="634" w:type="pct"/>
            <w:vAlign w:val="center"/>
          </w:tcPr>
          <w:p w14:paraId="19AC82E6">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1480EA91">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表面平整，粘结牢固，无空鼓裂缝，坡度正确。</w:t>
            </w:r>
          </w:p>
        </w:tc>
      </w:tr>
      <w:tr w14:paraId="3FBF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274DEB18">
            <w:pPr>
              <w:widowControl/>
              <w:adjustRightInd w:val="0"/>
              <w:snapToGrid w:val="0"/>
              <w:spacing w:line="240" w:lineRule="auto"/>
              <w:jc w:val="center"/>
              <w:textAlignment w:val="top"/>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9</w:t>
            </w:r>
          </w:p>
        </w:tc>
        <w:tc>
          <w:tcPr>
            <w:tcW w:w="840" w:type="pct"/>
            <w:vAlign w:val="center"/>
          </w:tcPr>
          <w:p w14:paraId="40B91FC1">
            <w:pPr>
              <w:widowControl/>
              <w:adjustRightInd w:val="0"/>
              <w:snapToGrid w:val="0"/>
              <w:spacing w:line="240" w:lineRule="auto"/>
              <w:jc w:val="left"/>
              <w:textAlignment w:val="top"/>
              <w:rPr>
                <w:rFonts w:hint="eastAsia" w:ascii="宋体" w:hAnsi="宋体" w:eastAsia="宋体" w:cs="宋体"/>
                <w:b/>
                <w:bCs/>
                <w:color w:val="000000"/>
                <w:szCs w:val="21"/>
              </w:rPr>
            </w:pPr>
            <w:r>
              <w:rPr>
                <w:rFonts w:hint="eastAsia" w:ascii="宋体" w:hAnsi="宋体" w:eastAsia="宋体" w:cs="宋体"/>
                <w:b/>
                <w:bCs/>
                <w:color w:val="000000"/>
                <w:szCs w:val="21"/>
              </w:rPr>
              <w:t>道路、厂区、围墙</w:t>
            </w:r>
          </w:p>
        </w:tc>
        <w:tc>
          <w:tcPr>
            <w:tcW w:w="1577" w:type="pct"/>
            <w:vAlign w:val="center"/>
          </w:tcPr>
          <w:p w14:paraId="3229B811">
            <w:pPr>
              <w:widowControl/>
              <w:adjustRightInd w:val="0"/>
              <w:snapToGrid w:val="0"/>
              <w:spacing w:line="240" w:lineRule="auto"/>
              <w:jc w:val="left"/>
              <w:textAlignment w:val="bottom"/>
              <w:rPr>
                <w:rFonts w:hint="default" w:eastAsia="宋体" w:cs="Times New Roman"/>
                <w:szCs w:val="21"/>
                <w:lang w:bidi="ar"/>
              </w:rPr>
            </w:pPr>
          </w:p>
        </w:tc>
        <w:tc>
          <w:tcPr>
            <w:tcW w:w="634" w:type="pct"/>
            <w:vAlign w:val="center"/>
          </w:tcPr>
          <w:p w14:paraId="0055C21D">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c>
          <w:tcPr>
            <w:tcW w:w="1578" w:type="pct"/>
            <w:vAlign w:val="center"/>
          </w:tcPr>
          <w:p w14:paraId="68E4EA4D">
            <w:pPr>
              <w:widowControl/>
              <w:adjustRightInd w:val="0"/>
              <w:snapToGrid w:val="0"/>
              <w:spacing w:line="240" w:lineRule="auto"/>
              <w:jc w:val="left"/>
              <w:textAlignment w:val="bottom"/>
              <w:rPr>
                <w:rFonts w:hint="eastAsia" w:ascii="宋体" w:hAnsi="宋体" w:eastAsia="宋体" w:cs="宋体"/>
                <w:color w:val="000000"/>
                <w:kern w:val="0"/>
                <w:szCs w:val="21"/>
                <w:lang w:bidi="ar"/>
              </w:rPr>
            </w:pPr>
          </w:p>
        </w:tc>
      </w:tr>
      <w:tr w14:paraId="06CC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321DF85">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9.1</w:t>
            </w:r>
          </w:p>
        </w:tc>
        <w:tc>
          <w:tcPr>
            <w:tcW w:w="840" w:type="pct"/>
            <w:vAlign w:val="center"/>
          </w:tcPr>
          <w:p w14:paraId="06BAD809">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围墙基础与墙体</w:t>
            </w:r>
          </w:p>
        </w:tc>
        <w:tc>
          <w:tcPr>
            <w:tcW w:w="1577" w:type="pct"/>
            <w:vAlign w:val="center"/>
          </w:tcPr>
          <w:p w14:paraId="66A43FF3">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基础埋深与尺寸、砌体或板材安装质量、墙身垂直度与稳定性。</w:t>
            </w:r>
          </w:p>
        </w:tc>
        <w:tc>
          <w:tcPr>
            <w:tcW w:w="634" w:type="pct"/>
            <w:vAlign w:val="center"/>
          </w:tcPr>
          <w:p w14:paraId="1D73E547">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30315D4A">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基础牢固，砌筑规范，墙身稳定垂直，无倾斜裂缝。</w:t>
            </w:r>
          </w:p>
        </w:tc>
      </w:tr>
      <w:tr w14:paraId="7223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34697E7D">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9.2</w:t>
            </w:r>
          </w:p>
        </w:tc>
        <w:tc>
          <w:tcPr>
            <w:tcW w:w="840" w:type="pct"/>
            <w:vAlign w:val="center"/>
          </w:tcPr>
          <w:p w14:paraId="6EC32EF1">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道路路基与基层</w:t>
            </w:r>
          </w:p>
        </w:tc>
        <w:tc>
          <w:tcPr>
            <w:tcW w:w="1577" w:type="pct"/>
            <w:vAlign w:val="center"/>
          </w:tcPr>
          <w:p w14:paraId="19586260">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路基压实度、基层材料与厚度、承载力。</w:t>
            </w:r>
          </w:p>
        </w:tc>
        <w:tc>
          <w:tcPr>
            <w:tcW w:w="634" w:type="pct"/>
            <w:vAlign w:val="center"/>
          </w:tcPr>
          <w:p w14:paraId="153E3CCE">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1C30BE70">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路基密实，基层厚度与强度符合设计，承载力满足要求。</w:t>
            </w:r>
          </w:p>
        </w:tc>
      </w:tr>
      <w:tr w14:paraId="6BB07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6669B2E5">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9.3</w:t>
            </w:r>
          </w:p>
        </w:tc>
        <w:tc>
          <w:tcPr>
            <w:tcW w:w="840" w:type="pct"/>
            <w:vAlign w:val="center"/>
          </w:tcPr>
          <w:p w14:paraId="79F65389">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路面面层</w:t>
            </w:r>
          </w:p>
        </w:tc>
        <w:tc>
          <w:tcPr>
            <w:tcW w:w="1577" w:type="pct"/>
            <w:vAlign w:val="center"/>
          </w:tcPr>
          <w:p w14:paraId="76E64521">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混凝土路面强度与伸缩缝，或沥青路面平整度与压实度。</w:t>
            </w:r>
          </w:p>
        </w:tc>
        <w:tc>
          <w:tcPr>
            <w:tcW w:w="634" w:type="pct"/>
            <w:vAlign w:val="center"/>
          </w:tcPr>
          <w:p w14:paraId="2867F53D">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5166E7D1">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路面平整，强度达标，接缝规范，无松散破损。</w:t>
            </w:r>
          </w:p>
        </w:tc>
      </w:tr>
      <w:tr w14:paraId="7E847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 w:type="pct"/>
            <w:vAlign w:val="center"/>
          </w:tcPr>
          <w:p w14:paraId="4ADD768D">
            <w:pPr>
              <w:widowControl/>
              <w:adjustRightInd w:val="0"/>
              <w:snapToGrid w:val="0"/>
              <w:spacing w:line="240"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2"/>
                <w:lang w:bidi="ar"/>
              </w:rPr>
              <w:t>9.4</w:t>
            </w:r>
          </w:p>
        </w:tc>
        <w:tc>
          <w:tcPr>
            <w:tcW w:w="840" w:type="pct"/>
            <w:vAlign w:val="center"/>
          </w:tcPr>
          <w:p w14:paraId="1F148F0E">
            <w:pPr>
              <w:widowControl/>
              <w:adjustRightInd w:val="0"/>
              <w:snapToGrid w:val="0"/>
              <w:spacing w:line="240" w:lineRule="auto"/>
              <w:jc w:val="left"/>
              <w:rPr>
                <w:rFonts w:hint="eastAsia" w:ascii="宋体" w:hAnsi="宋体" w:eastAsia="宋体" w:cs="宋体"/>
                <w:color w:val="000000"/>
                <w:szCs w:val="21"/>
              </w:rPr>
            </w:pPr>
            <w:r>
              <w:rPr>
                <w:rFonts w:hint="eastAsia" w:ascii="宋体" w:hAnsi="宋体" w:eastAsia="宋体" w:cs="宋体"/>
                <w:b w:val="0"/>
                <w:bCs w:val="0"/>
                <w:color w:val="0F1115"/>
                <w:kern w:val="0"/>
                <w:szCs w:val="21"/>
                <w:lang w:bidi="ar"/>
              </w:rPr>
              <w:t>排水与附属设施</w:t>
            </w:r>
          </w:p>
        </w:tc>
        <w:tc>
          <w:tcPr>
            <w:tcW w:w="1577" w:type="pct"/>
            <w:vAlign w:val="center"/>
          </w:tcPr>
          <w:p w14:paraId="49AF19D2">
            <w:pPr>
              <w:widowControl/>
              <w:adjustRightInd w:val="0"/>
              <w:snapToGrid w:val="0"/>
              <w:spacing w:line="240" w:lineRule="auto"/>
              <w:jc w:val="left"/>
              <w:rPr>
                <w:rFonts w:hint="default" w:eastAsia="宋体" w:cs="Times New Roman"/>
                <w:szCs w:val="21"/>
                <w:lang w:bidi="ar"/>
              </w:rPr>
            </w:pPr>
            <w:r>
              <w:rPr>
                <w:rFonts w:hint="eastAsia" w:ascii="宋体" w:hAnsi="宋体" w:eastAsia="宋体" w:cs="宋体"/>
                <w:color w:val="0F1115"/>
                <w:kern w:val="0"/>
                <w:szCs w:val="21"/>
                <w:lang w:bidi="ar"/>
              </w:rPr>
              <w:t>道路横坡、路边排水沟、围墙变形缝与抹灰。</w:t>
            </w:r>
          </w:p>
        </w:tc>
        <w:tc>
          <w:tcPr>
            <w:tcW w:w="634" w:type="pct"/>
            <w:vAlign w:val="center"/>
          </w:tcPr>
          <w:p w14:paraId="5A080139">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等线" w:eastAsia="宋体" w:cs="等线"/>
                <w:color w:val="000000"/>
                <w:kern w:val="0"/>
                <w:szCs w:val="22"/>
                <w:lang w:bidi="ar"/>
              </w:rPr>
              <w:t>现场检查</w:t>
            </w:r>
          </w:p>
        </w:tc>
        <w:tc>
          <w:tcPr>
            <w:tcW w:w="1578" w:type="pct"/>
            <w:vAlign w:val="center"/>
          </w:tcPr>
          <w:p w14:paraId="50F34C55">
            <w:pPr>
              <w:widowControl/>
              <w:adjustRightInd w:val="0"/>
              <w:snapToGrid w:val="0"/>
              <w:spacing w:line="240" w:lineRule="auto"/>
              <w:jc w:val="left"/>
              <w:rPr>
                <w:rFonts w:hint="eastAsia" w:ascii="宋体" w:hAnsi="宋体" w:eastAsia="宋体" w:cs="宋体"/>
                <w:color w:val="000000"/>
                <w:kern w:val="0"/>
                <w:szCs w:val="21"/>
                <w:lang w:bidi="ar"/>
              </w:rPr>
            </w:pPr>
            <w:r>
              <w:rPr>
                <w:rFonts w:hint="eastAsia" w:ascii="宋体" w:hAnsi="宋体" w:eastAsia="宋体" w:cs="宋体"/>
                <w:color w:val="0F1115"/>
                <w:kern w:val="0"/>
                <w:szCs w:val="21"/>
                <w:lang w:bidi="ar"/>
              </w:rPr>
              <w:t>排水顺畅，附属设施齐全，功能完好。</w:t>
            </w:r>
          </w:p>
        </w:tc>
      </w:tr>
    </w:tbl>
    <w:p w14:paraId="040299FF">
      <w:pPr>
        <w:adjustRightInd w:val="0"/>
        <w:spacing w:line="400" w:lineRule="exact"/>
        <w:rPr>
          <w:rFonts w:eastAsia="宋体" w:cs="Times New Roman"/>
          <w:szCs w:val="21"/>
        </w:rPr>
      </w:pPr>
      <w:r>
        <w:rPr>
          <w:rFonts w:eastAsia="宋体" w:cs="Times New Roman"/>
          <w:szCs w:val="21"/>
        </w:rPr>
        <w:br w:type="page"/>
      </w:r>
    </w:p>
    <w:p w14:paraId="59B8BC8D">
      <w:pPr>
        <w:keepNext w:val="0"/>
        <w:keepLines w:val="0"/>
        <w:pageBreakBefore w:val="0"/>
        <w:widowControl w:val="0"/>
        <w:kinsoku/>
        <w:wordWrap/>
        <w:overflowPunct/>
        <w:topLinePunct w:val="0"/>
        <w:autoSpaceDE/>
        <w:autoSpaceDN/>
        <w:bidi w:val="0"/>
        <w:adjustRightInd w:val="0"/>
        <w:snapToGrid/>
        <w:spacing w:line="312" w:lineRule="exact"/>
        <w:ind w:left="0" w:leftChars="0" w:firstLine="0" w:firstLineChars="0"/>
        <w:jc w:val="center"/>
        <w:textAlignment w:val="auto"/>
        <w:outlineLvl w:val="0"/>
        <w:rPr>
          <w:rFonts w:hint="eastAsia" w:ascii="Calibri" w:hAnsi="Calibri" w:eastAsia="宋体" w:cs="Times New Roman"/>
          <w:kern w:val="2"/>
          <w:sz w:val="21"/>
          <w:szCs w:val="21"/>
          <w:lang w:val="en-US" w:eastAsia="zh-CN" w:bidi="ar-SA"/>
        </w:rPr>
      </w:pPr>
      <w:bookmarkStart w:id="124" w:name="_Toc13913"/>
      <w:bookmarkStart w:id="125" w:name="_Toc14882"/>
      <w:r>
        <w:rPr>
          <w:rFonts w:hint="eastAsia" w:ascii="黑体" w:hAnsi="Times New Roman" w:eastAsia="黑体" w:cs="Times New Roman"/>
          <w:kern w:val="2"/>
          <w:sz w:val="21"/>
          <w:szCs w:val="21"/>
          <w:lang w:val="en-US" w:eastAsia="zh-CN" w:bidi="ar-SA"/>
        </w:rPr>
        <w:t>附　录　C</w:t>
      </w:r>
      <w:r>
        <w:rPr>
          <w:rFonts w:hint="eastAsia" w:ascii="黑体" w:hAnsi="Times New Roman" w:eastAsia="黑体" w:cs="Times New Roman"/>
          <w:kern w:val="2"/>
          <w:sz w:val="21"/>
          <w:szCs w:val="21"/>
          <w:lang w:val="en-US" w:eastAsia="zh-CN" w:bidi="ar-SA"/>
        </w:rPr>
        <w:br w:type="textWrapping"/>
      </w:r>
      <w:r>
        <w:rPr>
          <w:rFonts w:hint="eastAsia" w:ascii="黑体" w:hAnsi="Times New Roman" w:eastAsia="黑体" w:cs="Times New Roman"/>
          <w:kern w:val="2"/>
          <w:sz w:val="21"/>
          <w:szCs w:val="21"/>
          <w:lang w:val="en-US" w:eastAsia="zh-CN" w:bidi="ar-SA"/>
        </w:rPr>
        <w:t>（规范性）</w:t>
      </w:r>
      <w:bookmarkEnd w:id="124"/>
      <w:r>
        <w:rPr>
          <w:rFonts w:hint="eastAsia" w:ascii="Calibri" w:hAnsi="Calibri" w:eastAsia="宋体" w:cs="Times New Roman"/>
          <w:kern w:val="2"/>
          <w:sz w:val="21"/>
          <w:szCs w:val="21"/>
          <w:lang w:val="en-US" w:eastAsia="zh-CN" w:bidi="ar-SA"/>
        </w:rPr>
        <w:br w:type="textWrapping"/>
      </w:r>
      <w:r>
        <w:rPr>
          <w:rFonts w:hint="eastAsia" w:ascii="黑体" w:hAnsi="Times New Roman" w:eastAsia="黑体" w:cs="Times New Roman"/>
          <w:kern w:val="21"/>
          <w:sz w:val="21"/>
          <w:szCs w:val="21"/>
          <w:lang w:val="en-US" w:eastAsia="zh-CN" w:bidi="ar-SA"/>
        </w:rPr>
        <w:t>运维检修期技术评价检查表</w:t>
      </w:r>
      <w:bookmarkEnd w:id="125"/>
    </w:p>
    <w:tbl>
      <w:tblPr>
        <w:tblStyle w:val="15"/>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7"/>
        <w:gridCol w:w="2305"/>
        <w:gridCol w:w="2402"/>
        <w:gridCol w:w="1329"/>
        <w:gridCol w:w="2756"/>
      </w:tblGrid>
      <w:tr w14:paraId="56C6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401" w:type="pct"/>
            <w:shd w:val="clear" w:color="auto" w:fill="auto"/>
            <w:vAlign w:val="center"/>
          </w:tcPr>
          <w:p w14:paraId="7A1C61C6">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05" w:type="pct"/>
            <w:shd w:val="clear" w:color="auto" w:fill="auto"/>
            <w:vAlign w:val="center"/>
          </w:tcPr>
          <w:p w14:paraId="5E0E8A96">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检查项目</w:t>
            </w:r>
          </w:p>
        </w:tc>
        <w:tc>
          <w:tcPr>
            <w:tcW w:w="1256" w:type="pct"/>
            <w:shd w:val="clear" w:color="auto" w:fill="auto"/>
            <w:vAlign w:val="center"/>
          </w:tcPr>
          <w:p w14:paraId="0D51C7EA">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检查内容</w:t>
            </w:r>
          </w:p>
        </w:tc>
        <w:tc>
          <w:tcPr>
            <w:tcW w:w="695" w:type="pct"/>
            <w:shd w:val="clear" w:color="auto" w:fill="auto"/>
            <w:vAlign w:val="center"/>
          </w:tcPr>
          <w:p w14:paraId="16F86EAA">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检查方法</w:t>
            </w:r>
          </w:p>
        </w:tc>
        <w:tc>
          <w:tcPr>
            <w:tcW w:w="1441" w:type="pct"/>
            <w:shd w:val="clear" w:color="auto" w:fill="auto"/>
            <w:vAlign w:val="center"/>
          </w:tcPr>
          <w:p w14:paraId="54E6C075">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评价标准</w:t>
            </w:r>
          </w:p>
        </w:tc>
      </w:tr>
      <w:tr w14:paraId="13BB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184EBD5B">
            <w:pPr>
              <w:keepNext w:val="0"/>
              <w:keepLines w:val="0"/>
              <w:widowControl/>
              <w:suppressLineNumbers w:val="0"/>
              <w:adjustRightInd w:val="0"/>
              <w:snapToGrid w:val="0"/>
              <w:spacing w:line="240" w:lineRule="auto"/>
              <w:ind w:left="0" w:leftChars="0" w:right="0" w:rightChars="0" w:firstLine="0" w:firstLineChars="0"/>
              <w:jc w:val="center"/>
              <w:textAlignment w:val="top"/>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bCs/>
                <w:i w:val="0"/>
                <w:iCs w:val="0"/>
                <w:color w:val="000000"/>
                <w:kern w:val="0"/>
                <w:sz w:val="21"/>
                <w:szCs w:val="21"/>
                <w:u w:val="none"/>
                <w:lang w:val="en-US" w:eastAsia="zh-CN" w:bidi="ar"/>
              </w:rPr>
              <w:t>1</w:t>
            </w:r>
          </w:p>
        </w:tc>
        <w:tc>
          <w:tcPr>
            <w:tcW w:w="1205" w:type="pct"/>
            <w:shd w:val="clear" w:color="auto" w:fill="auto"/>
            <w:vAlign w:val="center"/>
          </w:tcPr>
          <w:p w14:paraId="244AE826">
            <w:pPr>
              <w:keepNext w:val="0"/>
              <w:keepLines w:val="0"/>
              <w:widowControl/>
              <w:suppressLineNumbers w:val="0"/>
              <w:adjustRightInd w:val="0"/>
              <w:snapToGrid w:val="0"/>
              <w:spacing w:line="240" w:lineRule="auto"/>
              <w:ind w:left="0" w:leftChars="0" w:right="0" w:rightChars="0" w:firstLine="0" w:firstLineChars="0"/>
              <w:jc w:val="left"/>
              <w:textAlignment w:val="top"/>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建（构）筑物</w:t>
            </w:r>
            <w:r>
              <w:rPr>
                <w:rFonts w:hint="eastAsia" w:ascii="宋体" w:hAnsi="宋体" w:cs="宋体"/>
                <w:b/>
                <w:bCs/>
                <w:i w:val="0"/>
                <w:iCs w:val="0"/>
                <w:color w:val="000000"/>
                <w:kern w:val="0"/>
                <w:sz w:val="21"/>
                <w:szCs w:val="21"/>
                <w:u w:val="none"/>
                <w:lang w:val="en-US" w:eastAsia="zh-CN" w:bidi="ar"/>
              </w:rPr>
              <w:t>评价</w:t>
            </w:r>
            <w:r>
              <w:rPr>
                <w:rFonts w:hint="eastAsia" w:ascii="宋体" w:hAnsi="宋体" w:eastAsia="宋体" w:cs="宋体"/>
                <w:b/>
                <w:bCs/>
                <w:i w:val="0"/>
                <w:iCs w:val="0"/>
                <w:color w:val="000000"/>
                <w:kern w:val="0"/>
                <w:sz w:val="21"/>
                <w:szCs w:val="21"/>
                <w:u w:val="none"/>
                <w:lang w:val="en-US" w:eastAsia="zh-CN" w:bidi="ar"/>
              </w:rPr>
              <w:t>管理</w:t>
            </w:r>
          </w:p>
        </w:tc>
        <w:tc>
          <w:tcPr>
            <w:tcW w:w="1256" w:type="pct"/>
            <w:shd w:val="clear" w:color="auto" w:fill="auto"/>
            <w:vAlign w:val="center"/>
          </w:tcPr>
          <w:p w14:paraId="5B05B250">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c>
          <w:tcPr>
            <w:tcW w:w="695" w:type="pct"/>
            <w:shd w:val="clear" w:color="auto" w:fill="auto"/>
            <w:vAlign w:val="center"/>
          </w:tcPr>
          <w:p w14:paraId="75EA0770">
            <w:pPr>
              <w:adjustRightInd w:val="0"/>
              <w:snapToGrid w:val="0"/>
              <w:spacing w:line="240" w:lineRule="auto"/>
              <w:ind w:left="0" w:leftChars="0" w:right="0" w:rightChars="0" w:firstLine="0" w:firstLineChars="0"/>
              <w:jc w:val="left"/>
              <w:rPr>
                <w:rFonts w:hint="eastAsia" w:ascii="宋体" w:hAnsi="等线" w:eastAsia="宋体" w:cs="等线"/>
                <w:i w:val="0"/>
                <w:iCs w:val="0"/>
                <w:color w:val="000000"/>
                <w:sz w:val="21"/>
                <w:szCs w:val="22"/>
                <w:u w:val="none"/>
              </w:rPr>
            </w:pPr>
          </w:p>
        </w:tc>
        <w:tc>
          <w:tcPr>
            <w:tcW w:w="1441" w:type="pct"/>
            <w:shd w:val="clear" w:color="auto" w:fill="auto"/>
            <w:vAlign w:val="center"/>
          </w:tcPr>
          <w:p w14:paraId="3EE8A10F">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r>
      <w:tr w14:paraId="1BFC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5E65ACE7">
            <w:pPr>
              <w:keepNext w:val="0"/>
              <w:keepLines w:val="0"/>
              <w:widowControl/>
              <w:suppressLineNumbers w:val="0"/>
              <w:adjustRightInd w:val="0"/>
              <w:snapToGrid w:val="0"/>
              <w:spacing w:line="240" w:lineRule="auto"/>
              <w:ind w:left="0" w:leftChars="0" w:right="0" w:rightChars="0" w:firstLine="0" w:firstLineChars="0"/>
              <w:jc w:val="center"/>
              <w:textAlignment w:val="top"/>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bCs/>
                <w:i w:val="0"/>
                <w:iCs w:val="0"/>
                <w:color w:val="000000"/>
                <w:kern w:val="0"/>
                <w:sz w:val="21"/>
                <w:szCs w:val="21"/>
                <w:u w:val="none"/>
                <w:lang w:val="en-US" w:eastAsia="zh-CN" w:bidi="ar"/>
              </w:rPr>
              <w:t>1.1</w:t>
            </w:r>
          </w:p>
        </w:tc>
        <w:tc>
          <w:tcPr>
            <w:tcW w:w="1205" w:type="pct"/>
            <w:shd w:val="clear" w:color="auto" w:fill="auto"/>
            <w:vAlign w:val="center"/>
          </w:tcPr>
          <w:p w14:paraId="7F98EB03">
            <w:pPr>
              <w:keepNext w:val="0"/>
              <w:keepLines w:val="0"/>
              <w:widowControl/>
              <w:suppressLineNumbers w:val="0"/>
              <w:adjustRightInd w:val="0"/>
              <w:snapToGrid w:val="0"/>
              <w:spacing w:line="240" w:lineRule="auto"/>
              <w:ind w:left="0" w:leftChars="0" w:right="0" w:rightChars="0" w:firstLine="0" w:firstLineChars="0"/>
              <w:jc w:val="left"/>
              <w:textAlignment w:val="top"/>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应具备的专业技术资料</w:t>
            </w:r>
          </w:p>
        </w:tc>
        <w:tc>
          <w:tcPr>
            <w:tcW w:w="1256" w:type="pct"/>
            <w:shd w:val="clear" w:color="auto" w:fill="auto"/>
            <w:vAlign w:val="center"/>
          </w:tcPr>
          <w:p w14:paraId="6AABF3E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施工期转运营期后，问询专业技术人员发电企业专业技术资料统一管理情况，现场出现问题随时可查阅施工期原始设计资料、施工验收资料、原材料质量证明书、第三方检测数据报告</w:t>
            </w:r>
          </w:p>
        </w:tc>
        <w:tc>
          <w:tcPr>
            <w:tcW w:w="695" w:type="pct"/>
            <w:shd w:val="clear" w:color="auto" w:fill="auto"/>
            <w:vAlign w:val="center"/>
          </w:tcPr>
          <w:p w14:paraId="1DBD946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7B3FE4A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档案室资料是否存在缺失</w:t>
            </w:r>
          </w:p>
        </w:tc>
      </w:tr>
      <w:tr w14:paraId="07DC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161E8BF5">
            <w:pPr>
              <w:keepNext w:val="0"/>
              <w:keepLines w:val="0"/>
              <w:widowControl/>
              <w:suppressLineNumbers w:val="0"/>
              <w:adjustRightInd w:val="0"/>
              <w:snapToGrid w:val="0"/>
              <w:spacing w:line="240" w:lineRule="auto"/>
              <w:ind w:left="0" w:leftChars="0" w:right="0" w:rightChars="0" w:firstLine="0" w:firstLineChars="0"/>
              <w:jc w:val="center"/>
              <w:textAlignment w:val="top"/>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1.1.1</w:t>
            </w:r>
          </w:p>
        </w:tc>
        <w:tc>
          <w:tcPr>
            <w:tcW w:w="1205" w:type="pct"/>
            <w:shd w:val="clear" w:color="auto" w:fill="auto"/>
            <w:vAlign w:val="center"/>
          </w:tcPr>
          <w:p w14:paraId="36B897E0">
            <w:pPr>
              <w:keepNext w:val="0"/>
              <w:keepLines w:val="0"/>
              <w:widowControl/>
              <w:suppressLineNumbers w:val="0"/>
              <w:adjustRightInd w:val="0"/>
              <w:snapToGrid w:val="0"/>
              <w:spacing w:line="240" w:lineRule="auto"/>
              <w:ind w:left="0" w:leftChars="0" w:right="0" w:rightChars="0" w:firstLine="0" w:firstLineChars="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建设期专业设计文件及图纸资料。</w:t>
            </w:r>
          </w:p>
        </w:tc>
        <w:tc>
          <w:tcPr>
            <w:tcW w:w="1256" w:type="pct"/>
            <w:shd w:val="clear" w:color="auto" w:fill="auto"/>
            <w:vAlign w:val="center"/>
          </w:tcPr>
          <w:p w14:paraId="473FAC7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检查建构筑物图纸目录清单，随机抽查</w:t>
            </w:r>
            <w:r>
              <w:rPr>
                <w:rFonts w:hint="default" w:ascii="宋体" w:hAnsi="Times New Roman" w:eastAsia="宋体" w:cs="Times New Roman"/>
                <w:color w:val="000000"/>
                <w:sz w:val="21"/>
                <w:szCs w:val="21"/>
                <w:u w:val="none"/>
                <w:lang w:val="en-US" w:eastAsia="zh-CN" w:bidi="ar"/>
              </w:rPr>
              <w:t>10</w:t>
            </w:r>
            <w:r>
              <w:rPr>
                <w:rFonts w:hint="eastAsia" w:ascii="宋体" w:hAnsi="宋体" w:eastAsia="宋体" w:cs="宋体"/>
                <w:color w:val="000000"/>
                <w:sz w:val="21"/>
                <w:szCs w:val="21"/>
                <w:u w:val="none"/>
                <w:lang w:val="en-US" w:eastAsia="zh-CN" w:bidi="ar"/>
              </w:rPr>
              <w:t>份建构筑物专业图纸、设计年限</w:t>
            </w:r>
          </w:p>
        </w:tc>
        <w:tc>
          <w:tcPr>
            <w:tcW w:w="695" w:type="pct"/>
            <w:shd w:val="clear" w:color="auto" w:fill="auto"/>
            <w:vAlign w:val="center"/>
          </w:tcPr>
          <w:p w14:paraId="7859AAA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3D1F0F6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档案室资料是否存在缺失</w:t>
            </w:r>
          </w:p>
        </w:tc>
      </w:tr>
      <w:tr w14:paraId="2076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59352375">
            <w:pPr>
              <w:keepNext w:val="0"/>
              <w:keepLines w:val="0"/>
              <w:widowControl/>
              <w:suppressLineNumbers w:val="0"/>
              <w:adjustRightInd w:val="0"/>
              <w:snapToGrid w:val="0"/>
              <w:spacing w:line="240" w:lineRule="auto"/>
              <w:ind w:left="0" w:leftChars="0" w:right="0" w:rightChars="0" w:firstLine="0" w:firstLineChars="0"/>
              <w:jc w:val="center"/>
              <w:textAlignment w:val="top"/>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1.1.2</w:t>
            </w:r>
          </w:p>
        </w:tc>
        <w:tc>
          <w:tcPr>
            <w:tcW w:w="1205" w:type="pct"/>
            <w:shd w:val="clear" w:color="auto" w:fill="auto"/>
            <w:vAlign w:val="center"/>
          </w:tcPr>
          <w:p w14:paraId="66F27A90">
            <w:pPr>
              <w:keepNext w:val="0"/>
              <w:keepLines w:val="0"/>
              <w:widowControl/>
              <w:suppressLineNumbers w:val="0"/>
              <w:adjustRightInd w:val="0"/>
              <w:snapToGrid w:val="0"/>
              <w:spacing w:line="240" w:lineRule="auto"/>
              <w:ind w:left="0" w:leftChars="0" w:right="0" w:rightChars="0" w:firstLine="0" w:firstLineChars="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建设期的施工质量验收技术资料。</w:t>
            </w:r>
          </w:p>
        </w:tc>
        <w:tc>
          <w:tcPr>
            <w:tcW w:w="1256" w:type="pct"/>
            <w:shd w:val="clear" w:color="auto" w:fill="auto"/>
            <w:vAlign w:val="center"/>
          </w:tcPr>
          <w:p w14:paraId="7B52014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检查建构筑物图纸目录清单，随机抽查</w:t>
            </w:r>
            <w:r>
              <w:rPr>
                <w:rFonts w:hint="default" w:ascii="宋体" w:hAnsi="Times New Roman" w:eastAsia="宋体" w:cs="Times New Roman"/>
                <w:color w:val="000000"/>
                <w:sz w:val="21"/>
                <w:szCs w:val="21"/>
                <w:u w:val="none"/>
                <w:lang w:val="en-US" w:eastAsia="zh-CN" w:bidi="ar"/>
              </w:rPr>
              <w:t>10</w:t>
            </w:r>
            <w:r>
              <w:rPr>
                <w:rFonts w:hint="eastAsia" w:ascii="宋体" w:hAnsi="宋体" w:eastAsia="宋体" w:cs="宋体"/>
                <w:color w:val="000000"/>
                <w:sz w:val="21"/>
                <w:szCs w:val="21"/>
                <w:u w:val="none"/>
                <w:lang w:val="en-US" w:eastAsia="zh-CN" w:bidi="ar"/>
              </w:rPr>
              <w:t>份建构筑物施工验收资料，包括：资料类别、资料内容、资料组织</w:t>
            </w:r>
          </w:p>
        </w:tc>
        <w:tc>
          <w:tcPr>
            <w:tcW w:w="695" w:type="pct"/>
            <w:shd w:val="clear" w:color="auto" w:fill="auto"/>
            <w:vAlign w:val="center"/>
          </w:tcPr>
          <w:p w14:paraId="44A62C9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5BFD3BF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档案室资料是否存在缺失</w:t>
            </w:r>
          </w:p>
        </w:tc>
      </w:tr>
      <w:tr w14:paraId="5655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72BBE533">
            <w:pPr>
              <w:keepNext w:val="0"/>
              <w:keepLines w:val="0"/>
              <w:widowControl/>
              <w:suppressLineNumbers w:val="0"/>
              <w:adjustRightInd w:val="0"/>
              <w:snapToGrid w:val="0"/>
              <w:spacing w:line="240" w:lineRule="auto"/>
              <w:ind w:left="0" w:leftChars="0" w:right="0" w:rightChars="0" w:firstLine="0" w:firstLineChars="0"/>
              <w:jc w:val="center"/>
              <w:textAlignment w:val="top"/>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1.1.3</w:t>
            </w:r>
          </w:p>
        </w:tc>
        <w:tc>
          <w:tcPr>
            <w:tcW w:w="1205" w:type="pct"/>
            <w:shd w:val="clear" w:color="auto" w:fill="auto"/>
            <w:vAlign w:val="center"/>
          </w:tcPr>
          <w:p w14:paraId="6C3E66E0">
            <w:pPr>
              <w:keepNext w:val="0"/>
              <w:keepLines w:val="0"/>
              <w:widowControl/>
              <w:suppressLineNumbers w:val="0"/>
              <w:adjustRightInd w:val="0"/>
              <w:snapToGrid w:val="0"/>
              <w:spacing w:line="240" w:lineRule="auto"/>
              <w:ind w:left="0" w:leftChars="0" w:right="0" w:rightChars="0" w:firstLine="0" w:firstLineChars="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建设期的原材料质量验收技术资料。</w:t>
            </w:r>
          </w:p>
        </w:tc>
        <w:tc>
          <w:tcPr>
            <w:tcW w:w="1256" w:type="pct"/>
            <w:shd w:val="clear" w:color="auto" w:fill="auto"/>
            <w:vAlign w:val="center"/>
          </w:tcPr>
          <w:p w14:paraId="5053B02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检查建构筑物图纸目录清单，随机抽查</w:t>
            </w:r>
            <w:r>
              <w:rPr>
                <w:rFonts w:hint="default" w:ascii="宋体" w:hAnsi="Times New Roman" w:eastAsia="宋体" w:cs="Times New Roman"/>
                <w:color w:val="000000"/>
                <w:sz w:val="21"/>
                <w:szCs w:val="21"/>
                <w:u w:val="none"/>
                <w:lang w:val="en-US" w:eastAsia="zh-CN" w:bidi="ar"/>
              </w:rPr>
              <w:t>10</w:t>
            </w:r>
            <w:r>
              <w:rPr>
                <w:rFonts w:hint="eastAsia" w:ascii="宋体" w:hAnsi="宋体" w:eastAsia="宋体" w:cs="宋体"/>
                <w:color w:val="000000"/>
                <w:sz w:val="21"/>
                <w:szCs w:val="21"/>
                <w:u w:val="none"/>
                <w:lang w:val="en-US" w:eastAsia="zh-CN" w:bidi="ar"/>
              </w:rPr>
              <w:t>份建构筑物原材料验收资料</w:t>
            </w:r>
          </w:p>
        </w:tc>
        <w:tc>
          <w:tcPr>
            <w:tcW w:w="695" w:type="pct"/>
            <w:shd w:val="clear" w:color="auto" w:fill="auto"/>
            <w:vAlign w:val="center"/>
          </w:tcPr>
          <w:p w14:paraId="3C66CB53">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564EE00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档案室资料是否存在缺失</w:t>
            </w:r>
          </w:p>
        </w:tc>
      </w:tr>
      <w:tr w14:paraId="65DB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1C5514E8">
            <w:pPr>
              <w:keepNext w:val="0"/>
              <w:keepLines w:val="0"/>
              <w:widowControl/>
              <w:suppressLineNumbers w:val="0"/>
              <w:adjustRightInd w:val="0"/>
              <w:snapToGrid w:val="0"/>
              <w:spacing w:line="240" w:lineRule="auto"/>
              <w:ind w:left="0" w:leftChars="0" w:right="0" w:rightChars="0" w:firstLine="0" w:firstLineChars="0"/>
              <w:jc w:val="center"/>
              <w:textAlignment w:val="top"/>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1.1.4</w:t>
            </w:r>
          </w:p>
        </w:tc>
        <w:tc>
          <w:tcPr>
            <w:tcW w:w="1205" w:type="pct"/>
            <w:shd w:val="clear" w:color="auto" w:fill="auto"/>
            <w:vAlign w:val="center"/>
          </w:tcPr>
          <w:p w14:paraId="19BAC644">
            <w:pPr>
              <w:keepNext w:val="0"/>
              <w:keepLines w:val="0"/>
              <w:widowControl/>
              <w:suppressLineNumbers w:val="0"/>
              <w:adjustRightInd w:val="0"/>
              <w:snapToGrid w:val="0"/>
              <w:spacing w:line="240" w:lineRule="auto"/>
              <w:ind w:left="0" w:leftChars="0" w:right="0" w:rightChars="0" w:firstLine="0" w:firstLineChars="0"/>
              <w:jc w:val="left"/>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建设期的安全监测技术资料。</w:t>
            </w:r>
          </w:p>
        </w:tc>
        <w:tc>
          <w:tcPr>
            <w:tcW w:w="1256" w:type="pct"/>
            <w:shd w:val="clear" w:color="auto" w:fill="auto"/>
            <w:vAlign w:val="center"/>
          </w:tcPr>
          <w:p w14:paraId="0410451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检查建构筑物图纸目录清单，随机抽查</w:t>
            </w:r>
            <w:r>
              <w:rPr>
                <w:rFonts w:hint="default" w:ascii="宋体" w:hAnsi="Times New Roman" w:eastAsia="宋体" w:cs="Times New Roman"/>
                <w:color w:val="000000"/>
                <w:sz w:val="21"/>
                <w:szCs w:val="21"/>
                <w:u w:val="none"/>
                <w:lang w:val="en-US" w:eastAsia="zh-CN" w:bidi="ar"/>
              </w:rPr>
              <w:t>10</w:t>
            </w:r>
            <w:r>
              <w:rPr>
                <w:rFonts w:hint="eastAsia" w:ascii="宋体" w:hAnsi="宋体" w:eastAsia="宋体" w:cs="宋体"/>
                <w:color w:val="000000"/>
                <w:sz w:val="21"/>
                <w:szCs w:val="21"/>
                <w:u w:val="none"/>
                <w:lang w:val="en-US" w:eastAsia="zh-CN" w:bidi="ar"/>
              </w:rPr>
              <w:t>份建构筑物符合设计要求的安全监测技术资料</w:t>
            </w:r>
          </w:p>
        </w:tc>
        <w:tc>
          <w:tcPr>
            <w:tcW w:w="695" w:type="pct"/>
            <w:shd w:val="clear" w:color="auto" w:fill="auto"/>
            <w:vAlign w:val="center"/>
          </w:tcPr>
          <w:p w14:paraId="5177737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7BB59F1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档案室资料是否存在缺失</w:t>
            </w:r>
          </w:p>
        </w:tc>
      </w:tr>
      <w:tr w14:paraId="4A41D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0E768607">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bCs/>
                <w:i w:val="0"/>
                <w:iCs w:val="0"/>
                <w:color w:val="000000"/>
                <w:kern w:val="0"/>
                <w:sz w:val="21"/>
                <w:szCs w:val="21"/>
                <w:u w:val="none"/>
                <w:lang w:val="en-US" w:eastAsia="zh-CN" w:bidi="ar"/>
              </w:rPr>
              <w:t>1.2</w:t>
            </w:r>
          </w:p>
        </w:tc>
        <w:tc>
          <w:tcPr>
            <w:tcW w:w="1205" w:type="pct"/>
            <w:shd w:val="clear" w:color="auto" w:fill="auto"/>
            <w:vAlign w:val="center"/>
          </w:tcPr>
          <w:p w14:paraId="6BEEEEA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color w:val="000000"/>
                <w:sz w:val="21"/>
                <w:szCs w:val="21"/>
                <w:u w:val="none"/>
                <w:lang w:val="en-US" w:eastAsia="zh-CN" w:bidi="ar"/>
              </w:rPr>
              <w:t>运营期专业日常管理应具备的各种记录</w:t>
            </w:r>
          </w:p>
        </w:tc>
        <w:tc>
          <w:tcPr>
            <w:tcW w:w="1256" w:type="pct"/>
            <w:shd w:val="clear" w:color="auto" w:fill="auto"/>
            <w:vAlign w:val="center"/>
          </w:tcPr>
          <w:p w14:paraId="443CF56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通过识别确定缺陷的各类记录</w:t>
            </w:r>
          </w:p>
        </w:tc>
        <w:tc>
          <w:tcPr>
            <w:tcW w:w="695" w:type="pct"/>
            <w:shd w:val="clear" w:color="auto" w:fill="auto"/>
            <w:vAlign w:val="center"/>
          </w:tcPr>
          <w:p w14:paraId="1AEB35D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79175042">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r>
      <w:tr w14:paraId="207B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68FBAD73">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1.2.1</w:t>
            </w:r>
          </w:p>
        </w:tc>
        <w:tc>
          <w:tcPr>
            <w:tcW w:w="1205" w:type="pct"/>
            <w:shd w:val="clear" w:color="auto" w:fill="auto"/>
            <w:vAlign w:val="center"/>
          </w:tcPr>
          <w:p w14:paraId="66E0653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建构筑物日常巡查记录</w:t>
            </w:r>
          </w:p>
        </w:tc>
        <w:tc>
          <w:tcPr>
            <w:tcW w:w="1256" w:type="pct"/>
            <w:shd w:val="clear" w:color="auto" w:fill="auto"/>
            <w:vAlign w:val="center"/>
          </w:tcPr>
          <w:p w14:paraId="1407040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核查签字、状态识别（完好、观察、需要维修、严重受损）</w:t>
            </w:r>
          </w:p>
        </w:tc>
        <w:tc>
          <w:tcPr>
            <w:tcW w:w="695" w:type="pct"/>
            <w:shd w:val="clear" w:color="auto" w:fill="auto"/>
            <w:vAlign w:val="center"/>
          </w:tcPr>
          <w:p w14:paraId="5F68597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69E54DB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1、是否存在记录缺失；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2、是否进行签字确认；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3、已形成记录，记录内容状态识别、结果分析是否完整、全面。</w:t>
            </w:r>
          </w:p>
        </w:tc>
      </w:tr>
      <w:tr w14:paraId="4F40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4836FFC0">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1.2.2</w:t>
            </w:r>
          </w:p>
        </w:tc>
        <w:tc>
          <w:tcPr>
            <w:tcW w:w="1205" w:type="pct"/>
            <w:shd w:val="clear" w:color="auto" w:fill="auto"/>
            <w:vAlign w:val="center"/>
          </w:tcPr>
          <w:p w14:paraId="755E90E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建构筑物定期检查记录</w:t>
            </w:r>
          </w:p>
        </w:tc>
        <w:tc>
          <w:tcPr>
            <w:tcW w:w="1256" w:type="pct"/>
            <w:shd w:val="clear" w:color="auto" w:fill="auto"/>
            <w:vAlign w:val="center"/>
          </w:tcPr>
          <w:p w14:paraId="799B53A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核查计划、检查记录，状态识别为需要维修，查看维修记录</w:t>
            </w:r>
          </w:p>
        </w:tc>
        <w:tc>
          <w:tcPr>
            <w:tcW w:w="695" w:type="pct"/>
            <w:shd w:val="clear" w:color="auto" w:fill="auto"/>
            <w:vAlign w:val="center"/>
          </w:tcPr>
          <w:p w14:paraId="22ED860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751C377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1、是否存在记录缺失；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2、是否进行签字确认；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3、已形成记录，记录内容状态识别、结果分析是否完整、全面。</w:t>
            </w:r>
          </w:p>
        </w:tc>
      </w:tr>
      <w:tr w14:paraId="244F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78619412">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1.2.3</w:t>
            </w:r>
          </w:p>
        </w:tc>
        <w:tc>
          <w:tcPr>
            <w:tcW w:w="1205" w:type="pct"/>
            <w:shd w:val="clear" w:color="auto" w:fill="auto"/>
            <w:vAlign w:val="center"/>
          </w:tcPr>
          <w:p w14:paraId="51A8B76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建构筑物应急检查记录</w:t>
            </w:r>
          </w:p>
        </w:tc>
        <w:tc>
          <w:tcPr>
            <w:tcW w:w="1256" w:type="pct"/>
            <w:shd w:val="clear" w:color="auto" w:fill="auto"/>
            <w:vAlign w:val="center"/>
          </w:tcPr>
          <w:p w14:paraId="5EA70863">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核查当年度发电企业应急检查结果</w:t>
            </w:r>
          </w:p>
        </w:tc>
        <w:tc>
          <w:tcPr>
            <w:tcW w:w="695" w:type="pct"/>
            <w:shd w:val="clear" w:color="auto" w:fill="auto"/>
            <w:vAlign w:val="center"/>
          </w:tcPr>
          <w:p w14:paraId="3F6E490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516EE0A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1、是否存在记录缺失；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2、是否进行签字确认；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3、已形成记录，记录内容状态识别、结果分析是否完整、全面。</w:t>
            </w:r>
          </w:p>
        </w:tc>
      </w:tr>
      <w:tr w14:paraId="433A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77E9B797">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1.2.4</w:t>
            </w:r>
          </w:p>
        </w:tc>
        <w:tc>
          <w:tcPr>
            <w:tcW w:w="1205" w:type="pct"/>
            <w:shd w:val="clear" w:color="auto" w:fill="auto"/>
            <w:vAlign w:val="center"/>
          </w:tcPr>
          <w:p w14:paraId="023D4A5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建构筑物专业检查资料</w:t>
            </w:r>
          </w:p>
        </w:tc>
        <w:tc>
          <w:tcPr>
            <w:tcW w:w="1256" w:type="pct"/>
            <w:shd w:val="clear" w:color="auto" w:fill="auto"/>
            <w:vAlign w:val="center"/>
          </w:tcPr>
          <w:p w14:paraId="2C0F30F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核查当年度检测鉴定资料</w:t>
            </w:r>
          </w:p>
        </w:tc>
        <w:tc>
          <w:tcPr>
            <w:tcW w:w="695" w:type="pct"/>
            <w:shd w:val="clear" w:color="auto" w:fill="auto"/>
            <w:vAlign w:val="center"/>
          </w:tcPr>
          <w:p w14:paraId="399EF11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41C5AF2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1、是否存在记录缺失；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2、是否进行签字确认；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3、已形成记录，记录内容状态识别、结果分析是否完整、全面。</w:t>
            </w:r>
          </w:p>
        </w:tc>
      </w:tr>
      <w:tr w14:paraId="3B6DB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5CD84DB1">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1.2.5</w:t>
            </w:r>
          </w:p>
        </w:tc>
        <w:tc>
          <w:tcPr>
            <w:tcW w:w="1205" w:type="pct"/>
            <w:shd w:val="clear" w:color="auto" w:fill="auto"/>
            <w:vAlign w:val="center"/>
          </w:tcPr>
          <w:p w14:paraId="7886F6D3">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运营期安全监测技术资料</w:t>
            </w:r>
          </w:p>
        </w:tc>
        <w:tc>
          <w:tcPr>
            <w:tcW w:w="1256" w:type="pct"/>
            <w:shd w:val="clear" w:color="auto" w:fill="auto"/>
            <w:vAlign w:val="center"/>
          </w:tcPr>
          <w:p w14:paraId="2D2BBC2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规范要求的构件沉降观测；有技术要求的构件变形观测</w:t>
            </w:r>
          </w:p>
        </w:tc>
        <w:tc>
          <w:tcPr>
            <w:tcW w:w="695" w:type="pct"/>
            <w:shd w:val="clear" w:color="auto" w:fill="auto"/>
            <w:vAlign w:val="center"/>
          </w:tcPr>
          <w:p w14:paraId="0A8E346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225BA92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1、完整的运营期监测报告；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2、运营期监测报告的结论分析；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3、监测项目的频次、周期</w:t>
            </w:r>
          </w:p>
        </w:tc>
      </w:tr>
      <w:tr w14:paraId="588E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628B10A6">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bCs/>
                <w:i w:val="0"/>
                <w:iCs w:val="0"/>
                <w:color w:val="000000"/>
                <w:kern w:val="0"/>
                <w:sz w:val="21"/>
                <w:szCs w:val="21"/>
                <w:u w:val="none"/>
                <w:lang w:val="en-US" w:eastAsia="zh-CN" w:bidi="ar"/>
              </w:rPr>
              <w:t>1.3</w:t>
            </w:r>
          </w:p>
        </w:tc>
        <w:tc>
          <w:tcPr>
            <w:tcW w:w="1205" w:type="pct"/>
            <w:shd w:val="clear" w:color="auto" w:fill="auto"/>
            <w:vAlign w:val="center"/>
          </w:tcPr>
          <w:p w14:paraId="6CE01BF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建构筑物应急管理工作</w:t>
            </w:r>
          </w:p>
        </w:tc>
        <w:tc>
          <w:tcPr>
            <w:tcW w:w="1256" w:type="pct"/>
            <w:shd w:val="clear" w:color="auto" w:fill="auto"/>
            <w:vAlign w:val="center"/>
          </w:tcPr>
          <w:p w14:paraId="22983F2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查阅类应急预案资料、物资</w:t>
            </w:r>
          </w:p>
        </w:tc>
        <w:tc>
          <w:tcPr>
            <w:tcW w:w="695" w:type="pct"/>
            <w:shd w:val="clear" w:color="auto" w:fill="auto"/>
            <w:vAlign w:val="center"/>
          </w:tcPr>
          <w:p w14:paraId="1C8638A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42C7CAA7">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r>
      <w:tr w14:paraId="563B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4AF4C20C">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1.3.1</w:t>
            </w:r>
          </w:p>
        </w:tc>
        <w:tc>
          <w:tcPr>
            <w:tcW w:w="1205" w:type="pct"/>
            <w:shd w:val="clear" w:color="auto" w:fill="auto"/>
            <w:vAlign w:val="center"/>
          </w:tcPr>
          <w:p w14:paraId="14574C8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制定各类应急预案，各类应急预案组织、计划、措施、维护制度的落实。</w:t>
            </w:r>
          </w:p>
        </w:tc>
        <w:tc>
          <w:tcPr>
            <w:tcW w:w="1256" w:type="pct"/>
            <w:shd w:val="clear" w:color="auto" w:fill="auto"/>
            <w:vAlign w:val="center"/>
          </w:tcPr>
          <w:p w14:paraId="134D081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查阅各类应急预案程序文件，现场检查各类应急物资发放、摆放。</w:t>
            </w:r>
          </w:p>
        </w:tc>
        <w:tc>
          <w:tcPr>
            <w:tcW w:w="695" w:type="pct"/>
            <w:shd w:val="clear" w:color="auto" w:fill="auto"/>
            <w:vAlign w:val="center"/>
          </w:tcPr>
          <w:p w14:paraId="7624B00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查阅资料结合现场检查</w:t>
            </w:r>
          </w:p>
        </w:tc>
        <w:tc>
          <w:tcPr>
            <w:tcW w:w="1441" w:type="pct"/>
            <w:shd w:val="clear" w:color="auto" w:fill="auto"/>
            <w:vAlign w:val="center"/>
          </w:tcPr>
          <w:p w14:paraId="14DD5E4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1、火电企业是否组织各个分厂、生产、运维部门单位制定各类应急预案程序文件；</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2、程序文件内容是否落实各个部门、分厂的职责、权限；</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3、各类物资的贮备情况；</w:t>
            </w:r>
          </w:p>
        </w:tc>
      </w:tr>
      <w:tr w14:paraId="40139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375F9466">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1.3.2</w:t>
            </w:r>
          </w:p>
        </w:tc>
        <w:tc>
          <w:tcPr>
            <w:tcW w:w="1205" w:type="pct"/>
            <w:shd w:val="clear" w:color="auto" w:fill="auto"/>
            <w:vAlign w:val="center"/>
          </w:tcPr>
          <w:p w14:paraId="195669D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各类应急预案结合实际开展预案演练工作。山区电厂重点检查防止滑坡、泥石流应急预案演练；沿海地区电厂重点检查应对台风等应急预案演练；其它电厂重点检查应对洪涝灾害的应急预案演练。</w:t>
            </w:r>
          </w:p>
        </w:tc>
        <w:tc>
          <w:tcPr>
            <w:tcW w:w="1256" w:type="pct"/>
            <w:shd w:val="clear" w:color="auto" w:fill="auto"/>
            <w:vAlign w:val="center"/>
          </w:tcPr>
          <w:p w14:paraId="63BB7AF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查看各类应急预案演练方案、实施、结果、评价。</w:t>
            </w:r>
          </w:p>
        </w:tc>
        <w:tc>
          <w:tcPr>
            <w:tcW w:w="695" w:type="pct"/>
            <w:shd w:val="clear" w:color="auto" w:fill="auto"/>
            <w:vAlign w:val="center"/>
          </w:tcPr>
          <w:p w14:paraId="61D39F0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170AD16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1、火电企业是否组织各个分厂、生产、运维部门单位按计划开展各类应急预案演练；</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2、各个部门、分厂是否实际开展的相关应急预案演练；</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3、各类应急演练方案、实施、结果、评价的资料</w:t>
            </w:r>
          </w:p>
        </w:tc>
      </w:tr>
      <w:tr w14:paraId="15E3B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216C84B3">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1.3.3</w:t>
            </w:r>
          </w:p>
        </w:tc>
        <w:tc>
          <w:tcPr>
            <w:tcW w:w="1205" w:type="pct"/>
            <w:shd w:val="clear" w:color="auto" w:fill="auto"/>
            <w:vAlign w:val="center"/>
          </w:tcPr>
          <w:p w14:paraId="6DA0CBC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汛后组织建构筑物防汛安全检查，建立隐患、缺陷台账，对水毁部位制定整改计划，明确责任人和整改期限。</w:t>
            </w:r>
          </w:p>
        </w:tc>
        <w:tc>
          <w:tcPr>
            <w:tcW w:w="1256" w:type="pct"/>
            <w:shd w:val="clear" w:color="auto" w:fill="auto"/>
            <w:vAlign w:val="center"/>
          </w:tcPr>
          <w:p w14:paraId="532DDC5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查看汛后建构筑物防汛安全检查记录、整改计划，落实整改责任人、期限</w:t>
            </w:r>
          </w:p>
        </w:tc>
        <w:tc>
          <w:tcPr>
            <w:tcW w:w="695" w:type="pct"/>
            <w:shd w:val="clear" w:color="auto" w:fill="auto"/>
            <w:vAlign w:val="center"/>
          </w:tcPr>
          <w:p w14:paraId="4DA0675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5044516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1、是否开展汛期后检查；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2、是否制定整改计划；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3、是否落实整改责任人及整改期限</w:t>
            </w:r>
          </w:p>
        </w:tc>
      </w:tr>
      <w:tr w14:paraId="2CE4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1E7B01D0">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bCs/>
                <w:i w:val="0"/>
                <w:iCs w:val="0"/>
                <w:color w:val="000000"/>
                <w:kern w:val="0"/>
                <w:sz w:val="21"/>
                <w:szCs w:val="21"/>
                <w:u w:val="none"/>
                <w:lang w:val="en-US" w:eastAsia="zh-CN" w:bidi="ar"/>
              </w:rPr>
              <w:t>1.4</w:t>
            </w:r>
          </w:p>
        </w:tc>
        <w:tc>
          <w:tcPr>
            <w:tcW w:w="1205" w:type="pct"/>
            <w:shd w:val="clear" w:color="auto" w:fill="auto"/>
            <w:vAlign w:val="center"/>
          </w:tcPr>
          <w:p w14:paraId="14936E1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专业管理组织工作</w:t>
            </w:r>
          </w:p>
        </w:tc>
        <w:tc>
          <w:tcPr>
            <w:tcW w:w="1256" w:type="pct"/>
            <w:shd w:val="clear" w:color="auto" w:fill="auto"/>
            <w:vAlign w:val="center"/>
          </w:tcPr>
          <w:p w14:paraId="360DF443">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c>
          <w:tcPr>
            <w:tcW w:w="695" w:type="pct"/>
            <w:shd w:val="clear" w:color="auto" w:fill="auto"/>
            <w:vAlign w:val="center"/>
          </w:tcPr>
          <w:p w14:paraId="64819C3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3F2A0E96">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r>
      <w:tr w14:paraId="7DEA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19BA1CD2">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1.4.1</w:t>
            </w:r>
          </w:p>
        </w:tc>
        <w:tc>
          <w:tcPr>
            <w:tcW w:w="1205" w:type="pct"/>
            <w:shd w:val="clear" w:color="auto" w:fill="auto"/>
            <w:vAlign w:val="center"/>
          </w:tcPr>
          <w:p w14:paraId="360E73A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建构筑物</w:t>
            </w:r>
            <w:r>
              <w:rPr>
                <w:rFonts w:hint="eastAsia" w:ascii="宋体" w:hAnsi="宋体" w:cs="宋体"/>
                <w:i w:val="0"/>
                <w:iCs w:val="0"/>
                <w:color w:val="000000"/>
                <w:kern w:val="0"/>
                <w:sz w:val="21"/>
                <w:szCs w:val="21"/>
                <w:u w:val="none"/>
                <w:lang w:val="en-US" w:eastAsia="zh-CN" w:bidi="ar"/>
              </w:rPr>
              <w:t>评价</w:t>
            </w:r>
            <w:r>
              <w:rPr>
                <w:rFonts w:hint="eastAsia" w:ascii="宋体" w:hAnsi="宋体" w:eastAsia="宋体" w:cs="宋体"/>
                <w:i w:val="0"/>
                <w:iCs w:val="0"/>
                <w:color w:val="000000"/>
                <w:kern w:val="0"/>
                <w:sz w:val="21"/>
                <w:szCs w:val="21"/>
                <w:u w:val="none"/>
                <w:lang w:val="en-US" w:eastAsia="zh-CN" w:bidi="ar"/>
              </w:rPr>
              <w:t>检查、安全监测、维护、修缮、改造规章制度。</w:t>
            </w:r>
          </w:p>
        </w:tc>
        <w:tc>
          <w:tcPr>
            <w:tcW w:w="1256" w:type="pct"/>
            <w:shd w:val="clear" w:color="auto" w:fill="auto"/>
            <w:vAlign w:val="center"/>
          </w:tcPr>
          <w:p w14:paraId="20F9DA2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核查专业各类规章制度是否健全、完善，制度执行是否严格。</w:t>
            </w:r>
          </w:p>
        </w:tc>
        <w:tc>
          <w:tcPr>
            <w:tcW w:w="695" w:type="pct"/>
            <w:shd w:val="clear" w:color="auto" w:fill="auto"/>
            <w:vAlign w:val="center"/>
          </w:tcPr>
          <w:p w14:paraId="208E8B9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6079DAF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1、建立建构筑物</w:t>
            </w:r>
            <w:r>
              <w:rPr>
                <w:rFonts w:hint="eastAsia" w:ascii="宋体" w:hAnsi="宋体" w:cs="宋体"/>
                <w:color w:val="000000"/>
                <w:sz w:val="21"/>
                <w:szCs w:val="21"/>
                <w:u w:val="none"/>
                <w:lang w:val="en-US" w:eastAsia="zh-CN" w:bidi="ar"/>
              </w:rPr>
              <w:t>评价</w:t>
            </w:r>
            <w:r>
              <w:rPr>
                <w:rFonts w:hint="eastAsia" w:ascii="宋体" w:hAnsi="宋体" w:eastAsia="宋体" w:cs="宋体"/>
                <w:color w:val="000000"/>
                <w:sz w:val="21"/>
                <w:szCs w:val="21"/>
                <w:u w:val="none"/>
                <w:lang w:val="en-US" w:eastAsia="zh-CN" w:bidi="ar"/>
              </w:rPr>
              <w:t>检查、安全监测、维护、维修规章制度；</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2、规章制度内容、职责、权限是否完善；</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3、规章制度执行程序是否形成闭环。</w:t>
            </w:r>
          </w:p>
        </w:tc>
      </w:tr>
      <w:tr w14:paraId="14542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37429A80">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1.4.2</w:t>
            </w:r>
          </w:p>
        </w:tc>
        <w:tc>
          <w:tcPr>
            <w:tcW w:w="1205" w:type="pct"/>
            <w:shd w:val="clear" w:color="auto" w:fill="auto"/>
            <w:vAlign w:val="center"/>
          </w:tcPr>
          <w:p w14:paraId="35C90B2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建构筑物企业、集团现行有效的专业规程、程序文件，建构筑物专业国家标准、行业标准、企业标准清单。</w:t>
            </w:r>
          </w:p>
        </w:tc>
        <w:tc>
          <w:tcPr>
            <w:tcW w:w="1256" w:type="pct"/>
            <w:shd w:val="clear" w:color="auto" w:fill="auto"/>
            <w:vAlign w:val="center"/>
          </w:tcPr>
          <w:p w14:paraId="35E9C618">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核查专业规程、程序文件、标准清单有效性、适用性。</w:t>
            </w:r>
          </w:p>
        </w:tc>
        <w:tc>
          <w:tcPr>
            <w:tcW w:w="695" w:type="pct"/>
            <w:shd w:val="clear" w:color="auto" w:fill="auto"/>
            <w:vAlign w:val="center"/>
          </w:tcPr>
          <w:p w14:paraId="4654369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0AF921E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1、是否建立建构筑物专业规程、程序文件、标准清单台账；</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2、专业规程内容、职责、权限是否完善；</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3、标准清单有效性、适用性是否及时更新。</w:t>
            </w:r>
          </w:p>
        </w:tc>
      </w:tr>
      <w:tr w14:paraId="08BE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2A783CAB">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1.4.3</w:t>
            </w:r>
          </w:p>
        </w:tc>
        <w:tc>
          <w:tcPr>
            <w:tcW w:w="1205" w:type="pct"/>
            <w:shd w:val="clear" w:color="auto" w:fill="auto"/>
            <w:vAlign w:val="center"/>
          </w:tcPr>
          <w:p w14:paraId="692589A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专业人员岗前上岗培训、在职专业技术考试。</w:t>
            </w:r>
          </w:p>
        </w:tc>
        <w:tc>
          <w:tcPr>
            <w:tcW w:w="1256" w:type="pct"/>
            <w:shd w:val="clear" w:color="auto" w:fill="auto"/>
            <w:vAlign w:val="center"/>
          </w:tcPr>
          <w:p w14:paraId="60118B9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核查对从业人员培训教育，每年至少进行一次专业技术考试；转岗人员或新到岗人员应通过上岗培训，并考试合格方能上岗。</w:t>
            </w:r>
          </w:p>
        </w:tc>
        <w:tc>
          <w:tcPr>
            <w:tcW w:w="695" w:type="pct"/>
            <w:shd w:val="clear" w:color="auto" w:fill="auto"/>
            <w:vAlign w:val="center"/>
          </w:tcPr>
          <w:p w14:paraId="358F9A5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w:t>
            </w:r>
          </w:p>
        </w:tc>
        <w:tc>
          <w:tcPr>
            <w:tcW w:w="1441" w:type="pct"/>
            <w:shd w:val="clear" w:color="auto" w:fill="auto"/>
            <w:vAlign w:val="center"/>
          </w:tcPr>
          <w:p w14:paraId="7A38FB0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1、转岗人员或新到岗人员是否进行岗前专业培训教育；</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2、专业技术培训的时效性，每年至少进行一次专业技术培训、考试。</w:t>
            </w:r>
          </w:p>
        </w:tc>
      </w:tr>
      <w:tr w14:paraId="1169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168FCEB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bCs/>
                <w:i w:val="0"/>
                <w:iCs w:val="0"/>
                <w:color w:val="000000"/>
                <w:kern w:val="0"/>
                <w:sz w:val="21"/>
                <w:szCs w:val="21"/>
                <w:u w:val="none"/>
                <w:lang w:val="en-US" w:eastAsia="zh-CN" w:bidi="ar"/>
              </w:rPr>
              <w:t>2</w:t>
            </w:r>
          </w:p>
        </w:tc>
        <w:tc>
          <w:tcPr>
            <w:tcW w:w="1205" w:type="pct"/>
            <w:shd w:val="clear" w:color="auto" w:fill="auto"/>
            <w:vAlign w:val="center"/>
          </w:tcPr>
          <w:p w14:paraId="606AD20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建构筑物安全监测指标</w:t>
            </w:r>
          </w:p>
        </w:tc>
        <w:tc>
          <w:tcPr>
            <w:tcW w:w="1256" w:type="pct"/>
            <w:shd w:val="clear" w:color="auto" w:fill="auto"/>
            <w:vAlign w:val="center"/>
          </w:tcPr>
          <w:p w14:paraId="6DE074E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各项抽查不少于</w:t>
            </w:r>
            <w:r>
              <w:rPr>
                <w:rFonts w:hint="default" w:ascii="宋体" w:hAnsi="Times New Roman" w:eastAsia="宋体" w:cs="Times New Roman"/>
                <w:color w:val="000000"/>
                <w:sz w:val="21"/>
                <w:szCs w:val="21"/>
                <w:u w:val="none"/>
                <w:lang w:val="en-US" w:eastAsia="zh-CN" w:bidi="ar"/>
              </w:rPr>
              <w:t>10</w:t>
            </w:r>
            <w:r>
              <w:rPr>
                <w:rFonts w:hint="eastAsia" w:ascii="宋体" w:hAnsi="宋体" w:eastAsia="宋体" w:cs="宋体"/>
                <w:color w:val="000000"/>
                <w:sz w:val="21"/>
                <w:szCs w:val="21"/>
                <w:u w:val="none"/>
                <w:lang w:val="en-US" w:eastAsia="zh-CN" w:bidi="ar"/>
              </w:rPr>
              <w:t>处</w:t>
            </w:r>
          </w:p>
        </w:tc>
        <w:tc>
          <w:tcPr>
            <w:tcW w:w="695" w:type="pct"/>
            <w:shd w:val="clear" w:color="auto" w:fill="auto"/>
            <w:vAlign w:val="center"/>
          </w:tcPr>
          <w:p w14:paraId="7ED20E9B">
            <w:pPr>
              <w:adjustRightInd w:val="0"/>
              <w:snapToGrid w:val="0"/>
              <w:spacing w:line="240" w:lineRule="auto"/>
              <w:ind w:left="0" w:leftChars="0" w:right="0" w:rightChars="0" w:firstLine="0" w:firstLineChars="0"/>
              <w:jc w:val="left"/>
              <w:rPr>
                <w:rFonts w:hint="eastAsia" w:ascii="宋体" w:hAnsi="等线" w:eastAsia="宋体" w:cs="等线"/>
                <w:i w:val="0"/>
                <w:iCs w:val="0"/>
                <w:color w:val="000000"/>
                <w:sz w:val="21"/>
                <w:szCs w:val="22"/>
                <w:u w:val="none"/>
              </w:rPr>
            </w:pPr>
          </w:p>
        </w:tc>
        <w:tc>
          <w:tcPr>
            <w:tcW w:w="1441" w:type="pct"/>
            <w:shd w:val="clear" w:color="auto" w:fill="auto"/>
            <w:vAlign w:val="center"/>
          </w:tcPr>
          <w:p w14:paraId="6F2EBAF4">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r>
      <w:tr w14:paraId="7F752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165AF8BF">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val="0"/>
                <w:bCs w:val="0"/>
                <w:i w:val="0"/>
                <w:iCs w:val="0"/>
                <w:color w:val="000000"/>
                <w:kern w:val="0"/>
                <w:sz w:val="21"/>
                <w:szCs w:val="21"/>
                <w:u w:val="none"/>
                <w:lang w:val="en-US" w:eastAsia="zh-CN" w:bidi="ar"/>
              </w:rPr>
              <w:t>2.1</w:t>
            </w:r>
          </w:p>
        </w:tc>
        <w:tc>
          <w:tcPr>
            <w:tcW w:w="1205" w:type="pct"/>
            <w:shd w:val="clear" w:color="auto" w:fill="auto"/>
            <w:vAlign w:val="center"/>
          </w:tcPr>
          <w:p w14:paraId="549CAB9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安全监测设施完好率</w:t>
            </w:r>
            <w:r>
              <w:rPr>
                <w:rFonts w:hint="default" w:ascii="宋体" w:hAnsi="Times New Roman" w:eastAsia="宋体" w:cs="Times New Roman"/>
                <w:color w:val="000000"/>
                <w:sz w:val="21"/>
                <w:szCs w:val="21"/>
                <w:u w:val="none"/>
                <w:lang w:val="en-US" w:eastAsia="zh-CN" w:bidi="ar"/>
              </w:rPr>
              <w:t>≥95%</w:t>
            </w:r>
          </w:p>
        </w:tc>
        <w:tc>
          <w:tcPr>
            <w:tcW w:w="1256" w:type="pct"/>
            <w:shd w:val="clear" w:color="auto" w:fill="auto"/>
            <w:vAlign w:val="center"/>
          </w:tcPr>
          <w:p w14:paraId="727AA273">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结合监测设施清单及监测报告，现场检查沉降观测点是否完善，抽查</w:t>
            </w:r>
            <w:r>
              <w:rPr>
                <w:rFonts w:hint="default" w:ascii="宋体" w:hAnsi="Times New Roman" w:eastAsia="宋体" w:cs="Times New Roman"/>
                <w:color w:val="000000"/>
                <w:sz w:val="21"/>
                <w:szCs w:val="21"/>
                <w:u w:val="none"/>
                <w:lang w:val="en-US" w:eastAsia="zh-CN" w:bidi="ar"/>
              </w:rPr>
              <w:t>20</w:t>
            </w:r>
            <w:r>
              <w:rPr>
                <w:rFonts w:hint="eastAsia" w:ascii="宋体" w:hAnsi="宋体" w:eastAsia="宋体" w:cs="宋体"/>
                <w:color w:val="000000"/>
                <w:sz w:val="21"/>
                <w:szCs w:val="21"/>
                <w:u w:val="none"/>
                <w:lang w:val="en-US" w:eastAsia="zh-CN" w:bidi="ar"/>
              </w:rPr>
              <w:t>处</w:t>
            </w:r>
          </w:p>
        </w:tc>
        <w:tc>
          <w:tcPr>
            <w:tcW w:w="695" w:type="pct"/>
            <w:shd w:val="clear" w:color="auto" w:fill="auto"/>
            <w:vAlign w:val="center"/>
          </w:tcPr>
          <w:p w14:paraId="19A7E70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查阅资料结合现场检查</w:t>
            </w:r>
          </w:p>
        </w:tc>
        <w:tc>
          <w:tcPr>
            <w:tcW w:w="1441" w:type="pct"/>
            <w:shd w:val="clear" w:color="auto" w:fill="auto"/>
            <w:vAlign w:val="center"/>
          </w:tcPr>
          <w:p w14:paraId="0EC7EE5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1、现场抽查沉降观测点、基准点设施是否存在损坏；</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2、是否按标准、设计图纸要求设置；</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3、现场抽查是否存在无效观测点；</w:t>
            </w:r>
            <w:r>
              <w:rPr>
                <w:rFonts w:hint="eastAsia" w:ascii="宋体" w:hAnsi="宋体" w:eastAsia="宋体" w:cs="宋体"/>
                <w:color w:val="000000"/>
                <w:sz w:val="21"/>
                <w:szCs w:val="21"/>
                <w:u w:val="none"/>
                <w:lang w:val="en-US" w:eastAsia="zh-CN" w:bidi="ar"/>
              </w:rPr>
              <w:br w:type="textWrapping"/>
            </w:r>
            <w:r>
              <w:rPr>
                <w:rFonts w:hint="eastAsia" w:ascii="宋体" w:hAnsi="宋体" w:eastAsia="宋体" w:cs="宋体"/>
                <w:color w:val="000000"/>
                <w:sz w:val="21"/>
                <w:szCs w:val="21"/>
                <w:u w:val="none"/>
                <w:lang w:val="en-US" w:eastAsia="zh-CN" w:bidi="ar"/>
              </w:rPr>
              <w:t>4、是否对观测点、基准点进行保护、保养。</w:t>
            </w:r>
          </w:p>
        </w:tc>
      </w:tr>
      <w:tr w14:paraId="2EC3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2D40A5B3">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2.2</w:t>
            </w:r>
          </w:p>
        </w:tc>
        <w:tc>
          <w:tcPr>
            <w:tcW w:w="1205" w:type="pct"/>
            <w:shd w:val="clear" w:color="auto" w:fill="auto"/>
            <w:vAlign w:val="center"/>
          </w:tcPr>
          <w:p w14:paraId="59B5568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安全监测测次完成率</w:t>
            </w:r>
            <w:r>
              <w:rPr>
                <w:rFonts w:hint="default" w:ascii="宋体" w:hAnsi="Times New Roman" w:eastAsia="宋体" w:cs="Times New Roman"/>
                <w:color w:val="000000"/>
                <w:sz w:val="21"/>
                <w:szCs w:val="21"/>
                <w:u w:val="none"/>
                <w:lang w:val="en-US" w:eastAsia="zh-CN" w:bidi="ar"/>
              </w:rPr>
              <w:t>100%</w:t>
            </w:r>
          </w:p>
        </w:tc>
        <w:tc>
          <w:tcPr>
            <w:tcW w:w="1256" w:type="pct"/>
            <w:shd w:val="clear" w:color="auto" w:fill="auto"/>
            <w:vAlign w:val="center"/>
          </w:tcPr>
          <w:p w14:paraId="6BC6927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查阅沉降观测监测计划对应沉降观测监测报告，抽查报告观测部位</w:t>
            </w:r>
            <w:r>
              <w:rPr>
                <w:rFonts w:hint="default" w:ascii="宋体" w:hAnsi="Times New Roman" w:eastAsia="宋体" w:cs="Times New Roman"/>
                <w:color w:val="000000"/>
                <w:sz w:val="21"/>
                <w:szCs w:val="21"/>
                <w:u w:val="none"/>
                <w:lang w:val="en-US" w:eastAsia="zh-CN" w:bidi="ar"/>
              </w:rPr>
              <w:t>10</w:t>
            </w:r>
            <w:r>
              <w:rPr>
                <w:rFonts w:hint="eastAsia" w:ascii="宋体" w:hAnsi="宋体" w:eastAsia="宋体" w:cs="宋体"/>
                <w:color w:val="000000"/>
                <w:sz w:val="21"/>
                <w:szCs w:val="21"/>
                <w:u w:val="none"/>
                <w:lang w:val="en-US" w:eastAsia="zh-CN" w:bidi="ar"/>
              </w:rPr>
              <w:t>处。运营期每个部位测次不少于</w:t>
            </w:r>
            <w:r>
              <w:rPr>
                <w:rFonts w:hint="default" w:ascii="宋体" w:hAnsi="Times New Roman" w:eastAsia="宋体" w:cs="Times New Roman"/>
                <w:color w:val="000000"/>
                <w:sz w:val="21"/>
                <w:szCs w:val="21"/>
                <w:u w:val="none"/>
                <w:lang w:val="en-US" w:eastAsia="zh-CN" w:bidi="ar"/>
              </w:rPr>
              <w:t>6</w:t>
            </w:r>
            <w:r>
              <w:rPr>
                <w:rFonts w:hint="eastAsia" w:ascii="宋体" w:hAnsi="宋体" w:eastAsia="宋体" w:cs="宋体"/>
                <w:color w:val="000000"/>
                <w:sz w:val="21"/>
                <w:szCs w:val="21"/>
                <w:u w:val="none"/>
                <w:lang w:val="en-US" w:eastAsia="zh-CN" w:bidi="ar"/>
              </w:rPr>
              <w:t>次为合格。</w:t>
            </w:r>
          </w:p>
        </w:tc>
        <w:tc>
          <w:tcPr>
            <w:tcW w:w="695" w:type="pct"/>
            <w:shd w:val="clear" w:color="auto" w:fill="auto"/>
            <w:vAlign w:val="center"/>
          </w:tcPr>
          <w:p w14:paraId="5533887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查阅资料结合现场检查</w:t>
            </w:r>
          </w:p>
        </w:tc>
        <w:tc>
          <w:tcPr>
            <w:tcW w:w="1441" w:type="pct"/>
            <w:shd w:val="clear" w:color="auto" w:fill="auto"/>
            <w:vAlign w:val="center"/>
          </w:tcPr>
          <w:p w14:paraId="28FB24A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1、核查运营期沉降观测报告、记录；</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2、核查累计沉降量初始数据累、观测频次；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3、核查第三方检测单位资质证明、设备校准、人员培训等证明材料。</w:t>
            </w:r>
          </w:p>
        </w:tc>
      </w:tr>
      <w:tr w14:paraId="535C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2CB0533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2.3</w:t>
            </w:r>
          </w:p>
        </w:tc>
        <w:tc>
          <w:tcPr>
            <w:tcW w:w="1205" w:type="pct"/>
            <w:shd w:val="clear" w:color="auto" w:fill="auto"/>
            <w:vAlign w:val="center"/>
          </w:tcPr>
          <w:p w14:paraId="092E3BF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建构筑物缺陷消除率</w:t>
            </w:r>
            <w:r>
              <w:rPr>
                <w:rFonts w:hint="default" w:ascii="宋体" w:hAnsi="Times New Roman" w:eastAsia="宋体" w:cs="Times New Roman"/>
                <w:color w:val="000000"/>
                <w:sz w:val="21"/>
                <w:szCs w:val="21"/>
                <w:u w:val="none"/>
                <w:lang w:val="en-US" w:eastAsia="zh-CN" w:bidi="ar"/>
              </w:rPr>
              <w:t>≧90%</w:t>
            </w:r>
          </w:p>
        </w:tc>
        <w:tc>
          <w:tcPr>
            <w:tcW w:w="1256" w:type="pct"/>
            <w:shd w:val="clear" w:color="auto" w:fill="auto"/>
            <w:vAlign w:val="center"/>
          </w:tcPr>
          <w:p w14:paraId="729E795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color w:val="000000"/>
                <w:sz w:val="21"/>
                <w:szCs w:val="21"/>
                <w:u w:val="none"/>
                <w:lang w:val="en-US" w:eastAsia="zh-CN" w:bidi="ar"/>
              </w:rPr>
              <w:t>查阅消缺资料，现场核查</w:t>
            </w:r>
            <w:r>
              <w:rPr>
                <w:rFonts w:hint="default" w:ascii="宋体" w:hAnsi="Times New Roman" w:eastAsia="宋体" w:cs="Times New Roman"/>
                <w:color w:val="000000"/>
                <w:sz w:val="21"/>
                <w:szCs w:val="21"/>
                <w:u w:val="none"/>
                <w:lang w:val="en-US" w:eastAsia="zh-CN" w:bidi="ar"/>
              </w:rPr>
              <w:t>10</w:t>
            </w:r>
            <w:r>
              <w:rPr>
                <w:rFonts w:hint="eastAsia" w:ascii="宋体" w:hAnsi="宋体" w:eastAsia="宋体" w:cs="宋体"/>
                <w:color w:val="000000"/>
                <w:sz w:val="21"/>
                <w:szCs w:val="21"/>
                <w:u w:val="none"/>
                <w:lang w:val="en-US" w:eastAsia="zh-CN" w:bidi="ar"/>
              </w:rPr>
              <w:t>处。</w:t>
            </w:r>
          </w:p>
        </w:tc>
        <w:tc>
          <w:tcPr>
            <w:tcW w:w="695" w:type="pct"/>
            <w:shd w:val="clear" w:color="auto" w:fill="auto"/>
            <w:vAlign w:val="center"/>
          </w:tcPr>
          <w:p w14:paraId="2D5AAF5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查阅资料结合现场检查</w:t>
            </w:r>
          </w:p>
        </w:tc>
        <w:tc>
          <w:tcPr>
            <w:tcW w:w="1441" w:type="pct"/>
            <w:shd w:val="clear" w:color="auto" w:fill="auto"/>
            <w:vAlign w:val="center"/>
          </w:tcPr>
          <w:p w14:paraId="44A0448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1、核查消缺记录台账；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2、现场核查实体整改与消缺记录是否一致。</w:t>
            </w:r>
          </w:p>
        </w:tc>
      </w:tr>
      <w:tr w14:paraId="16FA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01" w:type="pct"/>
            <w:shd w:val="clear" w:color="auto" w:fill="auto"/>
            <w:vAlign w:val="center"/>
          </w:tcPr>
          <w:p w14:paraId="7D6720AB">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b/>
                <w:bCs/>
                <w:i w:val="0"/>
                <w:iCs w:val="0"/>
                <w:color w:val="000000"/>
                <w:sz w:val="21"/>
                <w:szCs w:val="21"/>
                <w:u w:val="none"/>
              </w:rPr>
            </w:pPr>
            <w:r>
              <w:rPr>
                <w:rFonts w:hint="default" w:ascii="宋体" w:hAnsi="Times New Roman" w:eastAsia="宋体" w:cs="Times New Roman"/>
                <w:b/>
                <w:bCs/>
                <w:i w:val="0"/>
                <w:iCs w:val="0"/>
                <w:color w:val="000000"/>
                <w:kern w:val="0"/>
                <w:sz w:val="21"/>
                <w:szCs w:val="21"/>
                <w:u w:val="none"/>
                <w:lang w:val="en-US" w:eastAsia="zh-CN" w:bidi="ar"/>
              </w:rPr>
              <w:t>3</w:t>
            </w:r>
          </w:p>
        </w:tc>
        <w:tc>
          <w:tcPr>
            <w:tcW w:w="1205" w:type="pct"/>
            <w:shd w:val="clear" w:color="auto" w:fill="auto"/>
            <w:vAlign w:val="center"/>
          </w:tcPr>
          <w:p w14:paraId="64504A6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贮灰场专项检查</w:t>
            </w:r>
          </w:p>
        </w:tc>
        <w:tc>
          <w:tcPr>
            <w:tcW w:w="1256" w:type="pct"/>
            <w:shd w:val="clear" w:color="auto" w:fill="auto"/>
            <w:vAlign w:val="center"/>
          </w:tcPr>
          <w:p w14:paraId="07A4D4B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p>
        </w:tc>
        <w:tc>
          <w:tcPr>
            <w:tcW w:w="695" w:type="pct"/>
            <w:shd w:val="clear" w:color="auto" w:fill="auto"/>
            <w:vAlign w:val="center"/>
          </w:tcPr>
          <w:p w14:paraId="09C9C3B1">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p>
        </w:tc>
        <w:tc>
          <w:tcPr>
            <w:tcW w:w="1441" w:type="pct"/>
            <w:shd w:val="clear" w:color="auto" w:fill="auto"/>
            <w:vAlign w:val="center"/>
          </w:tcPr>
          <w:p w14:paraId="46613FBD">
            <w:pPr>
              <w:adjustRightInd w:val="0"/>
              <w:snapToGrid w:val="0"/>
              <w:spacing w:line="240" w:lineRule="auto"/>
              <w:ind w:left="0" w:leftChars="0" w:right="0" w:rightChars="0" w:firstLine="0" w:firstLineChars="0"/>
              <w:jc w:val="left"/>
              <w:rPr>
                <w:rFonts w:hint="default" w:ascii="宋体" w:hAnsi="Times New Roman" w:eastAsia="宋体" w:cs="Times New Roman"/>
                <w:i w:val="0"/>
                <w:iCs w:val="0"/>
                <w:color w:val="000000"/>
                <w:sz w:val="21"/>
                <w:szCs w:val="21"/>
                <w:u w:val="none"/>
              </w:rPr>
            </w:pPr>
          </w:p>
        </w:tc>
      </w:tr>
      <w:tr w14:paraId="3AD5D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401" w:type="pct"/>
            <w:shd w:val="clear" w:color="auto" w:fill="auto"/>
            <w:vAlign w:val="center"/>
          </w:tcPr>
          <w:p w14:paraId="4AD2822B">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default" w:ascii="宋体" w:hAnsi="Times New Roman" w:eastAsia="宋体" w:cs="Times New Roman"/>
                <w:i w:val="0"/>
                <w:iCs w:val="0"/>
                <w:color w:val="000000"/>
                <w:sz w:val="21"/>
                <w:szCs w:val="21"/>
                <w:u w:val="none"/>
              </w:rPr>
            </w:pPr>
            <w:r>
              <w:rPr>
                <w:rFonts w:hint="default" w:ascii="宋体" w:hAnsi="Times New Roman" w:eastAsia="宋体" w:cs="Times New Roman"/>
                <w:i w:val="0"/>
                <w:iCs w:val="0"/>
                <w:color w:val="000000"/>
                <w:kern w:val="0"/>
                <w:sz w:val="21"/>
                <w:szCs w:val="21"/>
                <w:u w:val="none"/>
                <w:lang w:val="en-US" w:eastAsia="zh-CN" w:bidi="ar"/>
              </w:rPr>
              <w:t xml:space="preserve">3.1 </w:t>
            </w:r>
          </w:p>
        </w:tc>
        <w:tc>
          <w:tcPr>
            <w:tcW w:w="1205" w:type="pct"/>
            <w:shd w:val="clear" w:color="auto" w:fill="auto"/>
            <w:vAlign w:val="center"/>
          </w:tcPr>
          <w:p w14:paraId="25B8D2A7">
            <w:pPr>
              <w:keepNext w:val="0"/>
              <w:keepLines w:val="0"/>
              <w:widowControl/>
              <w:suppressLineNumbers w:val="0"/>
              <w:tabs>
                <w:tab w:val="left" w:pos="1261"/>
              </w:tabs>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贮灰场运行专项</w:t>
            </w:r>
            <w:r>
              <w:rPr>
                <w:rFonts w:hint="eastAsia" w:ascii="宋体" w:hAnsi="宋体" w:cs="宋体"/>
                <w:i w:val="0"/>
                <w:iCs w:val="0"/>
                <w:color w:val="000000"/>
                <w:sz w:val="21"/>
                <w:szCs w:val="21"/>
                <w:u w:val="none"/>
                <w:lang w:eastAsia="zh-CN"/>
              </w:rPr>
              <w:t>评价</w:t>
            </w:r>
            <w:r>
              <w:rPr>
                <w:rFonts w:hint="eastAsia" w:ascii="宋体" w:hAnsi="宋体" w:eastAsia="宋体" w:cs="宋体"/>
                <w:i w:val="0"/>
                <w:iCs w:val="0"/>
                <w:color w:val="000000"/>
                <w:sz w:val="21"/>
                <w:szCs w:val="21"/>
                <w:u w:val="none"/>
                <w:lang w:eastAsia="zh-CN"/>
              </w:rPr>
              <w:t>：</w:t>
            </w:r>
          </w:p>
          <w:p w14:paraId="6316EE10">
            <w:pPr>
              <w:keepNext w:val="0"/>
              <w:keepLines w:val="0"/>
              <w:widowControl/>
              <w:numPr>
                <w:ilvl w:val="0"/>
                <w:numId w:val="10"/>
              </w:numPr>
              <w:suppressLineNumbers w:val="0"/>
              <w:tabs>
                <w:tab w:val="left" w:pos="1261"/>
              </w:tabs>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水雨情测报系统、气象信息获取满足贮灰场运行要求；</w:t>
            </w:r>
          </w:p>
          <w:p w14:paraId="7E0036A1">
            <w:pPr>
              <w:keepNext w:val="0"/>
              <w:keepLines w:val="0"/>
              <w:widowControl/>
              <w:numPr>
                <w:ilvl w:val="0"/>
                <w:numId w:val="10"/>
              </w:numPr>
              <w:suppressLineNumbers w:val="0"/>
              <w:tabs>
                <w:tab w:val="left" w:pos="1261"/>
              </w:tabs>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按要求开展干灰的碾压试验，确定铺设厚度、含水率、碾压遍数、压实度等参数，确保碾压效果符合要求；</w:t>
            </w:r>
          </w:p>
          <w:p w14:paraId="35DA1153">
            <w:pPr>
              <w:keepNext w:val="0"/>
              <w:keepLines w:val="0"/>
              <w:widowControl/>
              <w:numPr>
                <w:ilvl w:val="0"/>
                <w:numId w:val="10"/>
              </w:numPr>
              <w:suppressLineNumbers w:val="0"/>
              <w:tabs>
                <w:tab w:val="left" w:pos="1261"/>
              </w:tabs>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针对输灰管道应定期开展相应的检测工作；</w:t>
            </w:r>
          </w:p>
          <w:p w14:paraId="4B8C0BB7">
            <w:pPr>
              <w:keepNext w:val="0"/>
              <w:keepLines w:val="0"/>
              <w:widowControl/>
              <w:numPr>
                <w:ilvl w:val="0"/>
                <w:numId w:val="10"/>
              </w:numPr>
              <w:suppressLineNumbers w:val="0"/>
              <w:tabs>
                <w:tab w:val="left" w:pos="1261"/>
              </w:tabs>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水灰场应编制灰场水位调度方案，汛期依据气象信息进行调度作业；干式贮灰场应编制堆灰作业方案；</w:t>
            </w:r>
          </w:p>
          <w:p w14:paraId="012AA899">
            <w:pPr>
              <w:keepNext w:val="0"/>
              <w:keepLines w:val="0"/>
              <w:widowControl/>
              <w:numPr>
                <w:ilvl w:val="0"/>
                <w:numId w:val="10"/>
              </w:numPr>
              <w:suppressLineNumbers w:val="0"/>
              <w:tabs>
                <w:tab w:val="left" w:pos="1261"/>
              </w:tabs>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泄洪设施进水口有完善的防淤、拦污措施；</w:t>
            </w:r>
          </w:p>
          <w:p w14:paraId="5EFBF7BC">
            <w:pPr>
              <w:keepNext w:val="0"/>
              <w:keepLines w:val="0"/>
              <w:widowControl/>
              <w:numPr>
                <w:ilvl w:val="0"/>
                <w:numId w:val="10"/>
              </w:numPr>
              <w:suppressLineNumbers w:val="0"/>
              <w:tabs>
                <w:tab w:val="left" w:pos="1261"/>
              </w:tabs>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定期对贮灰场巡回检查、坝体安全监测。</w:t>
            </w:r>
          </w:p>
        </w:tc>
        <w:tc>
          <w:tcPr>
            <w:tcW w:w="1256" w:type="pct"/>
            <w:shd w:val="clear" w:color="auto" w:fill="auto"/>
            <w:vAlign w:val="center"/>
          </w:tcPr>
          <w:p w14:paraId="42EA291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现场检查，若设计无贮灰场发电企业，此项不查。有设计瞒报一经发现，上报电力</w:t>
            </w:r>
            <w:r>
              <w:rPr>
                <w:rFonts w:hint="eastAsia" w:ascii="宋体" w:hAnsi="宋体" w:cs="宋体"/>
                <w:i w:val="0"/>
                <w:iCs w:val="0"/>
                <w:color w:val="000000"/>
                <w:kern w:val="0"/>
                <w:sz w:val="21"/>
                <w:szCs w:val="21"/>
                <w:u w:val="none"/>
                <w:lang w:val="en-US" w:eastAsia="zh-CN" w:bidi="ar"/>
              </w:rPr>
              <w:t>评价</w:t>
            </w:r>
            <w:r>
              <w:rPr>
                <w:rFonts w:hint="eastAsia" w:ascii="宋体" w:hAnsi="宋体" w:eastAsia="宋体" w:cs="宋体"/>
                <w:i w:val="0"/>
                <w:iCs w:val="0"/>
                <w:color w:val="000000"/>
                <w:kern w:val="0"/>
                <w:sz w:val="21"/>
                <w:szCs w:val="21"/>
                <w:u w:val="none"/>
                <w:lang w:val="en-US" w:eastAsia="zh-CN" w:bidi="ar"/>
              </w:rPr>
              <w:t>中心申请专项</w:t>
            </w:r>
            <w:r>
              <w:rPr>
                <w:rFonts w:hint="eastAsia" w:ascii="宋体" w:hAnsi="宋体" w:cs="宋体"/>
                <w:i w:val="0"/>
                <w:iCs w:val="0"/>
                <w:color w:val="000000"/>
                <w:kern w:val="0"/>
                <w:sz w:val="21"/>
                <w:szCs w:val="21"/>
                <w:u w:val="none"/>
                <w:lang w:val="en-US" w:eastAsia="zh-CN" w:bidi="ar"/>
              </w:rPr>
              <w:t>评价</w:t>
            </w:r>
            <w:r>
              <w:rPr>
                <w:rFonts w:hint="eastAsia" w:ascii="宋体" w:hAnsi="宋体" w:eastAsia="宋体" w:cs="宋体"/>
                <w:i w:val="0"/>
                <w:iCs w:val="0"/>
                <w:color w:val="000000"/>
                <w:kern w:val="0"/>
                <w:sz w:val="21"/>
                <w:szCs w:val="21"/>
                <w:u w:val="none"/>
                <w:lang w:val="en-US" w:eastAsia="zh-CN" w:bidi="ar"/>
              </w:rPr>
              <w:t>核查。</w:t>
            </w:r>
          </w:p>
        </w:tc>
        <w:tc>
          <w:tcPr>
            <w:tcW w:w="695" w:type="pct"/>
            <w:shd w:val="clear" w:color="auto" w:fill="auto"/>
            <w:vAlign w:val="center"/>
          </w:tcPr>
          <w:p w14:paraId="438594C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等线" w:eastAsia="宋体" w:cs="等线"/>
                <w:i w:val="0"/>
                <w:iCs w:val="0"/>
                <w:color w:val="000000"/>
                <w:sz w:val="21"/>
                <w:szCs w:val="22"/>
                <w:u w:val="none"/>
              </w:rPr>
            </w:pPr>
            <w:r>
              <w:rPr>
                <w:rFonts w:hint="eastAsia" w:ascii="宋体" w:hAnsi="等线" w:eastAsia="宋体" w:cs="等线"/>
                <w:i w:val="0"/>
                <w:iCs w:val="0"/>
                <w:color w:val="000000"/>
                <w:kern w:val="0"/>
                <w:sz w:val="21"/>
                <w:szCs w:val="22"/>
                <w:u w:val="none"/>
                <w:lang w:val="en-US" w:eastAsia="zh-CN" w:bidi="ar"/>
              </w:rPr>
              <w:t>查阅资料结合现场检查</w:t>
            </w:r>
          </w:p>
        </w:tc>
        <w:tc>
          <w:tcPr>
            <w:tcW w:w="1441" w:type="pct"/>
            <w:shd w:val="clear" w:color="auto" w:fill="auto"/>
            <w:vAlign w:val="center"/>
          </w:tcPr>
          <w:p w14:paraId="035D6FF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资料检查结合现场检查，发现问题做为问题项提出，并责令发电企业限期整改。</w:t>
            </w:r>
          </w:p>
        </w:tc>
      </w:tr>
    </w:tbl>
    <w:p w14:paraId="0A85C1DC">
      <w:pPr>
        <w:adjustRightInd w:val="0"/>
        <w:spacing w:line="400" w:lineRule="exact"/>
        <w:rPr>
          <w:rFonts w:eastAsia="宋体" w:cs="Times New Roman"/>
          <w:szCs w:val="21"/>
        </w:rPr>
      </w:pPr>
      <w:r>
        <w:rPr>
          <w:rFonts w:eastAsia="宋体" w:cs="Times New Roman"/>
          <w:szCs w:val="21"/>
        </w:rPr>
        <w:br w:type="page"/>
      </w:r>
    </w:p>
    <w:p w14:paraId="2D73577F">
      <w:pPr>
        <w:keepNext w:val="0"/>
        <w:keepLines w:val="0"/>
        <w:pageBreakBefore w:val="0"/>
        <w:widowControl w:val="0"/>
        <w:kinsoku/>
        <w:wordWrap/>
        <w:overflowPunct/>
        <w:topLinePunct w:val="0"/>
        <w:autoSpaceDE/>
        <w:autoSpaceDN/>
        <w:bidi w:val="0"/>
        <w:adjustRightInd w:val="0"/>
        <w:snapToGrid/>
        <w:spacing w:line="312" w:lineRule="exact"/>
        <w:ind w:left="0" w:leftChars="0" w:firstLine="0" w:firstLineChars="0"/>
        <w:jc w:val="center"/>
        <w:textAlignment w:val="auto"/>
        <w:outlineLvl w:val="0"/>
        <w:rPr>
          <w:rFonts w:hint="eastAsia" w:ascii="Calibri" w:hAnsi="Calibri" w:eastAsia="宋体" w:cs="Times New Roman"/>
          <w:kern w:val="2"/>
          <w:sz w:val="21"/>
          <w:szCs w:val="21"/>
          <w:lang w:val="en-US" w:eastAsia="zh-CN" w:bidi="ar-SA"/>
        </w:rPr>
      </w:pPr>
      <w:bookmarkStart w:id="126" w:name="_Toc4515"/>
      <w:bookmarkStart w:id="127" w:name="_Toc27411"/>
      <w:bookmarkStart w:id="128" w:name="_Toc8476"/>
      <w:r>
        <w:rPr>
          <w:rFonts w:hint="eastAsia" w:ascii="黑体" w:hAnsi="Times New Roman" w:eastAsia="黑体" w:cs="Times New Roman"/>
          <w:kern w:val="2"/>
          <w:sz w:val="21"/>
          <w:szCs w:val="21"/>
          <w:lang w:val="en-US" w:eastAsia="zh-CN" w:bidi="ar-SA"/>
        </w:rPr>
        <w:t>附　录　D</w:t>
      </w:r>
      <w:r>
        <w:rPr>
          <w:rFonts w:hint="eastAsia" w:ascii="黑体" w:hAnsi="Times New Roman" w:eastAsia="黑体" w:cs="Times New Roman"/>
          <w:kern w:val="2"/>
          <w:sz w:val="21"/>
          <w:szCs w:val="21"/>
          <w:lang w:val="en-US" w:eastAsia="zh-CN" w:bidi="ar-SA"/>
        </w:rPr>
        <w:br w:type="textWrapping"/>
      </w:r>
      <w:r>
        <w:rPr>
          <w:rFonts w:hint="eastAsia" w:ascii="黑体" w:hAnsi="Times New Roman" w:eastAsia="黑体" w:cs="Times New Roman"/>
          <w:kern w:val="2"/>
          <w:sz w:val="21"/>
          <w:szCs w:val="21"/>
          <w:lang w:val="en-US" w:eastAsia="zh-CN" w:bidi="ar-SA"/>
        </w:rPr>
        <w:t>（规范性）</w:t>
      </w:r>
      <w:bookmarkEnd w:id="126"/>
      <w:r>
        <w:rPr>
          <w:rFonts w:hint="eastAsia" w:ascii="Calibri" w:hAnsi="Calibri" w:eastAsia="宋体" w:cs="Times New Roman"/>
          <w:kern w:val="2"/>
          <w:sz w:val="21"/>
          <w:szCs w:val="21"/>
          <w:lang w:val="en-US" w:eastAsia="zh-CN" w:bidi="ar-SA"/>
        </w:rPr>
        <w:br w:type="textWrapping"/>
      </w:r>
      <w:r>
        <w:rPr>
          <w:rFonts w:hint="eastAsia" w:ascii="黑体" w:hAnsi="Times New Roman" w:eastAsia="黑体" w:cs="Times New Roman"/>
          <w:kern w:val="21"/>
          <w:sz w:val="21"/>
          <w:szCs w:val="21"/>
          <w:lang w:val="en-US" w:eastAsia="zh-CN" w:bidi="ar-SA"/>
        </w:rPr>
        <w:t>运维检修期建构筑物结构情况检查表</w:t>
      </w:r>
      <w:bookmarkEnd w:id="127"/>
      <w:bookmarkEnd w:id="128"/>
    </w:p>
    <w:tbl>
      <w:tblPr>
        <w:tblStyle w:val="15"/>
        <w:tblW w:w="95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3"/>
        <w:gridCol w:w="1367"/>
        <w:gridCol w:w="1195"/>
        <w:gridCol w:w="1513"/>
        <w:gridCol w:w="4165"/>
      </w:tblGrid>
      <w:tr w14:paraId="400F3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149B">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结构名称</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297B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检查项目</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9EA9F">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检查内容</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E77C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检查方法</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17A8">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评价标准</w:t>
            </w:r>
          </w:p>
        </w:tc>
      </w:tr>
      <w:tr w14:paraId="7252D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6D28">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地基基础</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9A61">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变形、倾斜</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839B">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定期检查、定期沉降观测测试</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72E93">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目测、水准仪测试</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C85EA">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工业建筑：</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当地基变形大于现行国家标准《建筑地基基础设计规范》GB 50007规定的允许值，沉降速率大于0.05mm/天，建（构）筑物的沉降裂缝有进一步发展趋势，沉降已影响到吊车等机械设备的正常运行</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承重构件中出现以上情况的比例超过20%时应进行专业检查</w:t>
            </w:r>
          </w:p>
        </w:tc>
      </w:tr>
      <w:tr w14:paraId="090D9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BC97D">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主体承重结构</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21C63">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变形、倾斜</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3E1A">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定期检查、定期变形观测测试</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E3AF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目测、水准仪测试、经纬仪测试、裂缝宽度测定仪，材料塑变、抗拉力学性能检测</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6836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工业建筑：</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当预埋件的构造有缺陷，锚板有变形或锚板、锚筋与混凝土之间有滑移、拔脱现象时</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当节点焊缝或螺栓连接方式不当，有局部拉脱、剪断、破损或滑移时</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混凝土有较大范围的缺陷和损伤，或者局部有严重缺陷损伤，深度大于保护层厚度的，外观有沿钢筋方向裂缝或明显锈迹及腐蚀损伤的</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钢筋混凝土构件室内正常环境下、露天或室内高湿度环境，干湿交替环境下裂缝宽度大于0.3mm（预应力混凝土构件裂缝宽度大于0.1mm）</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混凝土构件变形（挠度），单层厂房屋架、手动吊车梁大于l0/ 450,多层框架主梁大于l0/ 350（l0为构件计算跨度）</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结构构件侧向位移，有吊车单层厂房柱位移影响吊车使用，无吊车单层厂房柱倾斜大于H/ 750或H大于10m时，倾斜大于30mm</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多层厂房柱倾斜大于H/ 750或H大于10m时，倾斜大于40mm</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承重构件中出现以上情况的比例超过20%时应进行专业检查</w:t>
            </w:r>
          </w:p>
        </w:tc>
      </w:tr>
      <w:tr w14:paraId="192F4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F685">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围护结构</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79C5D">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变形、倾斜</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D517A">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定期检查、定期变形观测测试</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EC2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目测、水准仪测试、经纬仪测试、裂缝宽度测定仪，材料力学性能检测</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940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工业建筑：</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围护构件连接方式不当，连接构造有缺陷或有严重缺陷，已有明显变形、松动、局部脱落、裂缝或损坏</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围护结构中出现以上情况的比例超过25%时应进行专业检查</w:t>
            </w:r>
          </w:p>
        </w:tc>
      </w:tr>
      <w:tr w14:paraId="6A08D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F3F8F">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混凝土结构缺陷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2A21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裂缝、挠度变形、倾斜、钢筋锈蚀、保护层脱落、腐蚀、露筋、外观缺陷、外表缺陷</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C467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D2F2B">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目测检查实际缺陷，依据GB/T50784相关检测方法确认破损程度</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0A1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现场检查目测状态识别，单体构件结构是否存在使用性功能安全隐患，构件的构造与连接、裂缝、变形、缺陷、损伤、腐蚀做出安全性、使用性评价，评定依据GB50144</w:t>
            </w:r>
          </w:p>
        </w:tc>
      </w:tr>
      <w:tr w14:paraId="7DE58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25E8F">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砌体结构缺陷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1F82">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裂缝、分层、脱落、腐蚀</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D25E8">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162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目测检查实际缺陷，依据GB/T50344相关检测方法确认破损程度</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F129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现场检查目测状态识别，单体构件结构是否存在使用性功能安全隐患，构件的构造与连接、裂缝、缺陷和损伤、老化做出安全性、使用性评价，评定依据GB50144</w:t>
            </w:r>
          </w:p>
        </w:tc>
      </w:tr>
      <w:tr w14:paraId="19730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E2CD1">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钢结构结构缺陷 </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948E0">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涂层粉化、锈蚀、挠度变形、开裂、松动、倾斜</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8124F">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A9FF">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目测检查实际缺陷，依据GB/T50344相关检测方法确认破损程度</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0F7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现场检查目测状态识别，单体构件结构是否存在使用性功能安全隐患，构件的构造、变形、偏差、腐蚀和防腐做出安全性、使用性评价，评定依据GB50144</w:t>
            </w:r>
          </w:p>
        </w:tc>
      </w:tr>
      <w:tr w14:paraId="67F13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6F9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边坡结构缺陷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DE3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裂缝、坡度变形、外观缺陷、外表缺陷、淤堵</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3F6A">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CCF0">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目测检查实际缺陷，依据GB/T50344相关检测方法确认破损程度</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C7826">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现场检查目测状态识别，地基基础结构是否存在使用性功能安全隐患，对结构的变形、承载力做出安全性、使用性评价，评定依据GB50144</w:t>
            </w:r>
          </w:p>
        </w:tc>
      </w:tr>
      <w:tr w14:paraId="3905B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CC6F3">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道路、沟道结构缺陷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87D59">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裂缝、坡度变形、外观缺陷、外表缺陷、淤堵</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E51F1">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CF61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B2727">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现场检查目测状态识别，地基基础结构是否存在使用性功能安全隐患，对结构的变形、承载力做出安全性、使用性评价，评定依据GB50144</w:t>
            </w:r>
          </w:p>
        </w:tc>
      </w:tr>
      <w:tr w14:paraId="503C6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CED4">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屋面防水结构缺陷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85091">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渗漏、老化、断裂、缺失、淤堵</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A0805">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6F1FE">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DC6B5">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现场检查目测状态识别，围护结构是否存在使用性功能安全隐患，结构的构造、连接、对主体结构的安全影响、系统使用功能做出安全性、使用性评价，评定依据GB50144</w:t>
            </w:r>
          </w:p>
        </w:tc>
      </w:tr>
      <w:tr w14:paraId="431C5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A09A8">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压型金属板结构缺陷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F85E9">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锈蚀、开裂、大面积脱落、抗风揭能力失效</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DCE15">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A7A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FC5D">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现场检查目测状态识别，围护结构是否存在使用性功能安全隐患，结构的构造、连接、对主体结构的安全影响、系统使用功能做出安全性、使用性评价，评定依据GB50144</w:t>
            </w:r>
          </w:p>
        </w:tc>
      </w:tr>
      <w:tr w14:paraId="0D2B7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EA75">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防雷接地装置缺陷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E1B8">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锈蚀、开焊、连接松动、断裂</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69462">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1FD9">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E214">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现场检查目测状态识别，围护结构是否存在使用性功能安全隐患，结构的构造、连接、对主体结构的安全影响、系统使用功能做出安全性、使用性评价，评定依据GB50144</w:t>
            </w:r>
          </w:p>
        </w:tc>
      </w:tr>
      <w:tr w14:paraId="432DF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5CC0D">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室内外地面结构缺陷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14D5">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裂缝、坡度变形、外观缺陷、不均匀沉降</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93F0">
            <w:pPr>
              <w:keepNext w:val="0"/>
              <w:keepLines w:val="0"/>
              <w:widowControl/>
              <w:suppressLineNumbers w:val="0"/>
              <w:adjustRightInd w:val="0"/>
              <w:snapToGrid w:val="0"/>
              <w:spacing w:line="240" w:lineRule="auto"/>
              <w:ind w:left="0" w:leftChars="0" w:right="0" w:rightChars="0" w:firstLine="0" w:firstLineChars="0"/>
              <w:jc w:val="center"/>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定期检查</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D47C">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目测检查实际缺陷</w:t>
            </w:r>
          </w:p>
        </w:tc>
        <w:tc>
          <w:tcPr>
            <w:tcW w:w="4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EF572">
            <w:pPr>
              <w:keepNext w:val="0"/>
              <w:keepLines w:val="0"/>
              <w:widowControl/>
              <w:suppressLineNumbers w:val="0"/>
              <w:adjustRightInd w:val="0"/>
              <w:snapToGrid w:val="0"/>
              <w:spacing w:line="240" w:lineRule="auto"/>
              <w:ind w:left="0" w:leftChars="0" w:right="0" w:rightChars="0" w:firstLine="0" w:firstLineChars="0"/>
              <w:jc w:val="left"/>
              <w:textAlignment w:val="bottom"/>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现场检查目测状态识别，围护结构是否存在使用性功能安全隐患，结构的构造、连接、对主体结构的安全影响、系统使用功能做出安全性、使用性评价，评定依据GB50144</w:t>
            </w:r>
          </w:p>
        </w:tc>
      </w:tr>
    </w:tbl>
    <w:p w14:paraId="49C8AFC1">
      <w:pPr>
        <w:jc w:val="center"/>
        <w:rPr>
          <w:rFonts w:hint="default" w:eastAsia="宋体"/>
          <w:sz w:val="22"/>
          <w:szCs w:val="28"/>
          <w:lang w:val="en-US" w:eastAsia="zh-CN"/>
        </w:rPr>
      </w:pPr>
    </w:p>
    <w:sectPr>
      <w:footerReference r:id="rId8" w:type="default"/>
      <w:headerReference r:id="rId7" w:type="even"/>
      <w:pgSz w:w="11906" w:h="16838"/>
      <w:pgMar w:top="567" w:right="1134" w:bottom="1134" w:left="1418" w:header="1418" w:footer="1134" w:gutter="0"/>
      <w:pgNumType w:fmt="decimal"/>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方正仿宋_GBK">
    <w:altName w:val="微软雅黑"/>
    <w:panose1 w:val="02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67D6C">
    <w:pPr>
      <w:pStyle w:val="3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171D5">
                          <w:pPr>
                            <w:pStyle w:val="32"/>
                            <w:jc w:val="both"/>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44B171D5">
                    <w:pPr>
                      <w:pStyle w:val="32"/>
                      <w:jc w:val="both"/>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C39D">
    <w:pPr>
      <w:pStyle w:val="9"/>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BA52E">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E0BA52E">
                    <w:pPr>
                      <w:pStyle w:val="9"/>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6EA0B">
    <w:pPr>
      <w:pStyle w:val="9"/>
      <w:tabs>
        <w:tab w:val="center" w:pos="4153"/>
        <w:tab w:val="right" w:pos="8306"/>
      </w:tabs>
      <w:ind w:firstLine="36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329B8F">
                          <w:pPr>
                            <w:pStyle w:val="9"/>
                            <w:tabs>
                              <w:tab w:val="center" w:pos="4153"/>
                              <w:tab w:val="right" w:pos="8306"/>
                            </w:tabs>
                            <w:ind w:firstLine="360"/>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A329B8F">
                    <w:pPr>
                      <w:pStyle w:val="9"/>
                      <w:tabs>
                        <w:tab w:val="center" w:pos="4153"/>
                        <w:tab w:val="right" w:pos="8306"/>
                      </w:tabs>
                      <w:ind w:firstLine="360"/>
                    </w:pPr>
                    <w:r>
                      <w:fldChar w:fldCharType="begin"/>
                    </w:r>
                    <w:r>
                      <w:instrText xml:space="preserve"> PAGE  \* MERGEFORMAT </w:instrText>
                    </w:r>
                    <w:r>
                      <w:fldChar w:fldCharType="separate"/>
                    </w:r>
                    <w:r>
                      <w:t>49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7D51B">
    <w:pPr>
      <w:pStyle w:val="25"/>
      <w:rPr>
        <w:rFonts w:hint="eastAsia" w:eastAsia="宋体"/>
        <w:lang w:eastAsia="zh-CN"/>
      </w:rPr>
    </w:pPr>
    <w:r>
      <w:rPr>
        <w:rFonts w:hint="eastAsia"/>
      </w:rPr>
      <w:t>T</w:t>
    </w:r>
    <w:r>
      <w:t>/</w:t>
    </w:r>
    <w:r>
      <w:rPr>
        <w:rFonts w:hint="eastAsia"/>
      </w:rPr>
      <w:t xml:space="preserve">CEPCA </w:t>
    </w:r>
    <w:r>
      <w:rPr>
        <w:rFonts w:hint="eastAsia"/>
        <w:lang w:val="en-US" w:eastAsia="zh-CN"/>
      </w:rPr>
      <w:t xml:space="preserve"> xxxx</w:t>
    </w:r>
    <w:r>
      <w:t>—20</w:t>
    </w:r>
    <w:r>
      <w:rPr>
        <w:rFonts w:hint="eastAsia"/>
      </w:rPr>
      <w:t>2</w:t>
    </w:r>
    <w:r>
      <w:rPr>
        <w:rFonts w:hint="eastAsia"/>
        <w:lang w:val="en-US" w:eastAsia="zh-CN"/>
      </w:rP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B0D92">
    <w:pPr>
      <w:pStyle w:val="25"/>
      <w:tabs>
        <w:tab w:val="center" w:pos="4153"/>
        <w:tab w:val="clear" w:pos="4154"/>
        <w:tab w:val="clear" w:pos="8306"/>
      </w:tabs>
    </w:pPr>
    <w:r>
      <w:rPr>
        <w:rFonts w:hint="eastAsia"/>
      </w:rPr>
      <w:t>T</w:t>
    </w:r>
    <w:r>
      <w:t>/</w:t>
    </w:r>
    <w:r>
      <w:rPr>
        <w:rFonts w:hint="eastAsia"/>
      </w:rPr>
      <w:t>CEPCA xxxxx</w:t>
    </w:r>
    <w:r>
      <w:t>—</w:t>
    </w:r>
    <w:r>
      <w:rPr>
        <w:rFonts w:hint="eastAsia"/>
      </w:rPr>
      <w:t>20</w:t>
    </w:r>
    <w:r>
      <w:t>2</w:t>
    </w:r>
    <w:r>
      <w:rPr>
        <w:rFonts w:hint="eastAsia"/>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FED1C">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45429"/>
    <w:multiLevelType w:val="multilevel"/>
    <w:tmpl w:val="B7245429"/>
    <w:lvl w:ilvl="0" w:tentative="0">
      <w:start w:val="1"/>
      <w:numFmt w:val="none"/>
      <w:suff w:val="nothing"/>
      <w:lvlText w:val="%1"/>
      <w:lvlJc w:val="left"/>
      <w:pPr>
        <w:ind w:left="0" w:firstLine="0"/>
      </w:pPr>
      <w:rPr>
        <w:rFonts w:hint="eastAsia"/>
      </w:rPr>
    </w:lvl>
    <w:lvl w:ilvl="1" w:tentative="0">
      <w:start w:val="5"/>
      <w:numFmt w:val="decimal"/>
      <w:suff w:val="nothing"/>
      <w:lvlText w:val="%1%2　"/>
      <w:lvlJc w:val="left"/>
      <w:pPr>
        <w:ind w:left="0" w:firstLine="0"/>
      </w:pPr>
      <w:rPr>
        <w:rFonts w:hint="default" w:ascii="黑体" w:eastAsia="黑体"/>
        <w:b w:val="0"/>
        <w:i w:val="0"/>
        <w:sz w:val="21"/>
      </w:rPr>
    </w:lvl>
    <w:lvl w:ilvl="2" w:tentative="0">
      <w:start w:val="1"/>
      <w:numFmt w:val="decimal"/>
      <w:pStyle w:val="51"/>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55"/>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DC43E664"/>
    <w:multiLevelType w:val="singleLevel"/>
    <w:tmpl w:val="DC43E664"/>
    <w:lvl w:ilvl="0" w:tentative="0">
      <w:start w:val="1"/>
      <w:numFmt w:val="decimal"/>
      <w:suff w:val="nothing"/>
      <w:lvlText w:val="%1、"/>
      <w:lvlJc w:val="left"/>
    </w:lvl>
  </w:abstractNum>
  <w:abstractNum w:abstractNumId="2">
    <w:nsid w:val="E0180D18"/>
    <w:multiLevelType w:val="multilevel"/>
    <w:tmpl w:val="E0180D18"/>
    <w:lvl w:ilvl="0" w:tentative="0">
      <w:start w:val="1"/>
      <w:numFmt w:val="decimal"/>
      <w:suff w:val="nothing"/>
      <w:lvlText w:val="%1　"/>
      <w:lvlJc w:val="left"/>
      <w:pPr>
        <w:tabs>
          <w:tab w:val="left" w:pos="0"/>
        </w:tabs>
        <w:ind w:left="0" w:firstLine="0"/>
      </w:pPr>
      <w:rPr>
        <w:rFonts w:hint="default" w:ascii="黑体" w:hAnsi="黑体" w:eastAsia="黑体" w:cs="黑体"/>
        <w:b w:val="0"/>
        <w:bCs/>
        <w:i w:val="0"/>
        <w:caps w:val="0"/>
        <w:strike w:val="0"/>
        <w:dstrike w:val="0"/>
        <w:vanish w:val="0"/>
        <w:sz w:val="21"/>
        <w:szCs w:val="21"/>
        <w:vertAlign w:val="baseline"/>
      </w:rPr>
    </w:lvl>
    <w:lvl w:ilvl="1" w:tentative="0">
      <w:start w:val="1"/>
      <w:numFmt w:val="decimal"/>
      <w:pStyle w:val="34"/>
      <w:suff w:val="nothing"/>
      <w:lvlText w:val="%1.%2　"/>
      <w:lvlJc w:val="left"/>
      <w:pPr>
        <w:tabs>
          <w:tab w:val="left" w:pos="0"/>
        </w:tabs>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35"/>
      <w:suff w:val="nothing"/>
      <w:lvlText w:val="%1.%2.%3　"/>
      <w:lvlJc w:val="left"/>
      <w:pPr>
        <w:tabs>
          <w:tab w:val="left" w:pos="0"/>
        </w:tabs>
        <w:ind w:left="0" w:firstLine="0"/>
      </w:pPr>
      <w:rPr>
        <w:rFonts w:hint="default" w:ascii="黑体" w:hAnsi="黑体" w:eastAsia="黑体" w:cs="黑体"/>
        <w:b w:val="0"/>
        <w:bCs w:val="0"/>
        <w:i w:val="0"/>
        <w:iCs w:val="0"/>
        <w:caps w:val="0"/>
        <w:smallCaps w:val="0"/>
        <w:strike w:val="0"/>
        <w:dstrike w:val="0"/>
        <w:vanish w:val="0"/>
        <w:color w:val="000000"/>
        <w:spacing w:val="0"/>
        <w:w w:val="100"/>
        <w:position w:val="0"/>
        <w:sz w:val="21"/>
        <w:szCs w:val="21"/>
        <w:u w:val="none"/>
        <w:vertAlign w:val="baseline"/>
      </w:rPr>
    </w:lvl>
    <w:lvl w:ilvl="3" w:tentative="0">
      <w:start w:val="1"/>
      <w:numFmt w:val="decimal"/>
      <w:suff w:val="nothing"/>
      <w:lvlText w:val="%1.%2.%3.%4　"/>
      <w:lvlJc w:val="left"/>
      <w:pPr>
        <w:ind w:left="0" w:firstLine="0"/>
      </w:pPr>
      <w:rPr>
        <w:rFonts w:hint="default" w:ascii="Times New Roman" w:hAnsi="Times New Roman" w:eastAsia="新宋体" w:cs="Times New Roman"/>
        <w:b/>
        <w:bCs w:val="0"/>
        <w:i w:val="0"/>
        <w:iCs w:val="0"/>
        <w:caps w:val="0"/>
        <w:smallCaps w:val="0"/>
        <w:strike w:val="0"/>
        <w:dstrike w:val="0"/>
        <w:vanish w:val="0"/>
        <w:color w:val="000000"/>
        <w:spacing w:val="0"/>
        <w:w w:val="100"/>
        <w:kern w:val="0"/>
        <w:position w:val="0"/>
        <w:sz w:val="21"/>
        <w:szCs w:val="21"/>
        <w:u w:val="none"/>
        <w:vertAlign w:val="baseline"/>
      </w:rPr>
    </w:lvl>
    <w:lvl w:ilvl="4" w:tentative="0">
      <w:start w:val="1"/>
      <w:numFmt w:val="decimal"/>
      <w:suff w:val="nothing"/>
      <w:lvlText w:val="%1.%2.%3.%4.%5　"/>
      <w:lvlJc w:val="left"/>
      <w:pPr>
        <w:ind w:left="0" w:firstLine="0"/>
      </w:pPr>
      <w:rPr>
        <w:rFonts w:hint="default" w:ascii="Times New Roman" w:hAnsi="Times New Roman" w:cs="Times New Roman"/>
        <w:b/>
        <w:bCs w:val="0"/>
        <w:i w:val="0"/>
        <w:iCs w:val="0"/>
        <w:caps w:val="0"/>
        <w:smallCaps w:val="0"/>
        <w:strike w:val="0"/>
        <w:dstrike w:val="0"/>
        <w:vanish w:val="0"/>
        <w:color w:val="000000"/>
        <w:spacing w:val="0"/>
        <w:w w:val="100"/>
        <w:position w:val="0"/>
        <w:sz w:val="21"/>
        <w:szCs w:val="21"/>
        <w:u w:val="none"/>
        <w:vertAlign w:val="baseline"/>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3">
    <w:nsid w:val="07ED3FEA"/>
    <w:multiLevelType w:val="multilevel"/>
    <w:tmpl w:val="07ED3FEA"/>
    <w:lvl w:ilvl="0" w:tentative="0">
      <w:start w:val="1"/>
      <w:numFmt w:val="none"/>
      <w:pStyle w:val="63"/>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1FC91163"/>
    <w:multiLevelType w:val="multilevel"/>
    <w:tmpl w:val="1FC91163"/>
    <w:lvl w:ilvl="0" w:tentative="0">
      <w:start w:val="1"/>
      <w:numFmt w:val="decimal"/>
      <w:pStyle w:val="2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156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71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3341C77"/>
    <w:multiLevelType w:val="multilevel"/>
    <w:tmpl w:val="23341C77"/>
    <w:lvl w:ilvl="0" w:tentative="0">
      <w:start w:val="1"/>
      <w:numFmt w:val="none"/>
      <w:suff w:val="nothing"/>
      <w:lvlText w:val="%1"/>
      <w:lvlJc w:val="left"/>
      <w:pPr>
        <w:ind w:left="0" w:firstLine="0"/>
      </w:pPr>
      <w:rPr>
        <w:rFonts w:hint="eastAsia"/>
      </w:rPr>
    </w:lvl>
    <w:lvl w:ilvl="1" w:tentative="0">
      <w:start w:val="4"/>
      <w:numFmt w:val="decimal"/>
      <w:pStyle w:val="52"/>
      <w:suff w:val="nothing"/>
      <w:lvlText w:val="%1%2　"/>
      <w:lvlJc w:val="left"/>
      <w:pPr>
        <w:ind w:left="0" w:firstLine="0"/>
      </w:pPr>
      <w:rPr>
        <w:rFonts w:hint="default" w:ascii="黑体" w:eastAsia="黑体"/>
        <w:b w:val="0"/>
        <w:i w:val="0"/>
        <w:sz w:val="21"/>
      </w:rPr>
    </w:lvl>
    <w:lvl w:ilvl="2" w:tentative="0">
      <w:start w:val="1"/>
      <w:numFmt w:val="decimal"/>
      <w:suff w:val="nothing"/>
      <w:lvlText w:val="%1%2.%3　"/>
      <w:lvlJc w:val="left"/>
      <w:pPr>
        <w:tabs>
          <w:tab w:val="left" w:pos="0"/>
        </w:tabs>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44C50F90"/>
    <w:multiLevelType w:val="multilevel"/>
    <w:tmpl w:val="44C50F90"/>
    <w:lvl w:ilvl="0" w:tentative="0">
      <w:start w:val="1"/>
      <w:numFmt w:val="lowerLetter"/>
      <w:pStyle w:val="53"/>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56"/>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657D3FBC"/>
    <w:multiLevelType w:val="multilevel"/>
    <w:tmpl w:val="657D3FBC"/>
    <w:lvl w:ilvl="0" w:tentative="0">
      <w:start w:val="1"/>
      <w:numFmt w:val="upperLetter"/>
      <w:pStyle w:val="67"/>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2"/>
  </w:num>
  <w:num w:numId="3">
    <w:abstractNumId w:val="0"/>
  </w:num>
  <w:num w:numId="4">
    <w:abstractNumId w:val="5"/>
  </w:num>
  <w:num w:numId="5">
    <w:abstractNumId w:val="6"/>
  </w:num>
  <w:num w:numId="6">
    <w:abstractNumId w:val="7"/>
  </w:num>
  <w:num w:numId="7">
    <w:abstractNumId w:val="3"/>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ZlMmE5ZDQxNzBhNWQ1NTkxM2JlMTIzYmE5YWEwYzEifQ=="/>
  </w:docVars>
  <w:rsids>
    <w:rsidRoot w:val="00172A27"/>
    <w:rsid w:val="00034D15"/>
    <w:rsid w:val="00054E7B"/>
    <w:rsid w:val="000A49D7"/>
    <w:rsid w:val="000A63C5"/>
    <w:rsid w:val="000B300F"/>
    <w:rsid w:val="000E28CA"/>
    <w:rsid w:val="000F36D1"/>
    <w:rsid w:val="00100C80"/>
    <w:rsid w:val="00172A27"/>
    <w:rsid w:val="00194DBF"/>
    <w:rsid w:val="001D2F49"/>
    <w:rsid w:val="00226BA0"/>
    <w:rsid w:val="002345D0"/>
    <w:rsid w:val="00235157"/>
    <w:rsid w:val="00242F81"/>
    <w:rsid w:val="002D798F"/>
    <w:rsid w:val="003553CA"/>
    <w:rsid w:val="003D7787"/>
    <w:rsid w:val="00400B02"/>
    <w:rsid w:val="00414B28"/>
    <w:rsid w:val="00450420"/>
    <w:rsid w:val="00463A1C"/>
    <w:rsid w:val="00473614"/>
    <w:rsid w:val="00475EC9"/>
    <w:rsid w:val="00523EAE"/>
    <w:rsid w:val="00544AA8"/>
    <w:rsid w:val="005A77CC"/>
    <w:rsid w:val="00601461"/>
    <w:rsid w:val="00676189"/>
    <w:rsid w:val="006850F6"/>
    <w:rsid w:val="006B1F36"/>
    <w:rsid w:val="006B2E9D"/>
    <w:rsid w:val="006B37FD"/>
    <w:rsid w:val="006D6F43"/>
    <w:rsid w:val="006F3C5C"/>
    <w:rsid w:val="00773BE8"/>
    <w:rsid w:val="007937AB"/>
    <w:rsid w:val="007B3835"/>
    <w:rsid w:val="007D0E26"/>
    <w:rsid w:val="007D599D"/>
    <w:rsid w:val="0080028E"/>
    <w:rsid w:val="00813F8F"/>
    <w:rsid w:val="00897EAD"/>
    <w:rsid w:val="008A0CAF"/>
    <w:rsid w:val="008C5E7B"/>
    <w:rsid w:val="008D10E8"/>
    <w:rsid w:val="008D19C1"/>
    <w:rsid w:val="008D4BB8"/>
    <w:rsid w:val="00957659"/>
    <w:rsid w:val="00993048"/>
    <w:rsid w:val="0099361B"/>
    <w:rsid w:val="009B2C33"/>
    <w:rsid w:val="00A27CD7"/>
    <w:rsid w:val="00A779FF"/>
    <w:rsid w:val="00A9593C"/>
    <w:rsid w:val="00AB31DD"/>
    <w:rsid w:val="00B44723"/>
    <w:rsid w:val="00B45019"/>
    <w:rsid w:val="00B57A39"/>
    <w:rsid w:val="00B62F30"/>
    <w:rsid w:val="00B972A4"/>
    <w:rsid w:val="00BA7B40"/>
    <w:rsid w:val="00BF607A"/>
    <w:rsid w:val="00C0390E"/>
    <w:rsid w:val="00C16C17"/>
    <w:rsid w:val="00CA2C71"/>
    <w:rsid w:val="00CD31EF"/>
    <w:rsid w:val="00CE21AA"/>
    <w:rsid w:val="00CF6C0F"/>
    <w:rsid w:val="00D02DD4"/>
    <w:rsid w:val="00D31F16"/>
    <w:rsid w:val="00D371F5"/>
    <w:rsid w:val="00D57580"/>
    <w:rsid w:val="00D801B2"/>
    <w:rsid w:val="00DA750E"/>
    <w:rsid w:val="00DD74F6"/>
    <w:rsid w:val="00E13CCE"/>
    <w:rsid w:val="00EB587D"/>
    <w:rsid w:val="00ED251F"/>
    <w:rsid w:val="00F21441"/>
    <w:rsid w:val="00F53A1C"/>
    <w:rsid w:val="00FF3FE8"/>
    <w:rsid w:val="01170C55"/>
    <w:rsid w:val="014F2D2A"/>
    <w:rsid w:val="01541EA9"/>
    <w:rsid w:val="01845216"/>
    <w:rsid w:val="018E5A40"/>
    <w:rsid w:val="01C05F2B"/>
    <w:rsid w:val="01CD7B04"/>
    <w:rsid w:val="01ED14A1"/>
    <w:rsid w:val="01FC7EDE"/>
    <w:rsid w:val="024759B9"/>
    <w:rsid w:val="02712908"/>
    <w:rsid w:val="02930631"/>
    <w:rsid w:val="02F96864"/>
    <w:rsid w:val="03156283"/>
    <w:rsid w:val="033811D1"/>
    <w:rsid w:val="03656B0D"/>
    <w:rsid w:val="03822CFE"/>
    <w:rsid w:val="038D3451"/>
    <w:rsid w:val="03982B35"/>
    <w:rsid w:val="03B30CF8"/>
    <w:rsid w:val="03BE185C"/>
    <w:rsid w:val="04221DEB"/>
    <w:rsid w:val="04810941"/>
    <w:rsid w:val="04814A2F"/>
    <w:rsid w:val="048830F0"/>
    <w:rsid w:val="05DE6443"/>
    <w:rsid w:val="064E6EC7"/>
    <w:rsid w:val="065418D1"/>
    <w:rsid w:val="06E8797A"/>
    <w:rsid w:val="07122CD5"/>
    <w:rsid w:val="071E2D3E"/>
    <w:rsid w:val="073F0F06"/>
    <w:rsid w:val="078C1ED2"/>
    <w:rsid w:val="078E1093"/>
    <w:rsid w:val="07BA5C4C"/>
    <w:rsid w:val="07C45635"/>
    <w:rsid w:val="07C92227"/>
    <w:rsid w:val="089051BB"/>
    <w:rsid w:val="09287EA3"/>
    <w:rsid w:val="09304FAA"/>
    <w:rsid w:val="09742FD1"/>
    <w:rsid w:val="0AA87D4B"/>
    <w:rsid w:val="0AC97464"/>
    <w:rsid w:val="0AF60384"/>
    <w:rsid w:val="0B1D59CE"/>
    <w:rsid w:val="0B5A7049"/>
    <w:rsid w:val="0B6B0464"/>
    <w:rsid w:val="0B7E024F"/>
    <w:rsid w:val="0BC639A4"/>
    <w:rsid w:val="0BCA5AAC"/>
    <w:rsid w:val="0C8A1E56"/>
    <w:rsid w:val="0CFF53BF"/>
    <w:rsid w:val="0D0429D6"/>
    <w:rsid w:val="0D441024"/>
    <w:rsid w:val="0D533465"/>
    <w:rsid w:val="0D981B99"/>
    <w:rsid w:val="0E7375F1"/>
    <w:rsid w:val="0E9B4EBD"/>
    <w:rsid w:val="0EB126E9"/>
    <w:rsid w:val="0EDC703A"/>
    <w:rsid w:val="0EF8538B"/>
    <w:rsid w:val="0FA6485E"/>
    <w:rsid w:val="0FD85A54"/>
    <w:rsid w:val="10032317"/>
    <w:rsid w:val="10297193"/>
    <w:rsid w:val="10665AF8"/>
    <w:rsid w:val="1091358C"/>
    <w:rsid w:val="10CD44E6"/>
    <w:rsid w:val="11421D1E"/>
    <w:rsid w:val="11CB225F"/>
    <w:rsid w:val="11F46477"/>
    <w:rsid w:val="122F5109"/>
    <w:rsid w:val="12F06B96"/>
    <w:rsid w:val="13370CE3"/>
    <w:rsid w:val="13465642"/>
    <w:rsid w:val="13803322"/>
    <w:rsid w:val="144F4A71"/>
    <w:rsid w:val="14504752"/>
    <w:rsid w:val="14665D24"/>
    <w:rsid w:val="146F5CE8"/>
    <w:rsid w:val="14706BA3"/>
    <w:rsid w:val="14747F68"/>
    <w:rsid w:val="14977C8B"/>
    <w:rsid w:val="14AF36C2"/>
    <w:rsid w:val="14F74609"/>
    <w:rsid w:val="151E7D54"/>
    <w:rsid w:val="15BA2D46"/>
    <w:rsid w:val="15CB44E0"/>
    <w:rsid w:val="16EA7C00"/>
    <w:rsid w:val="17463BEB"/>
    <w:rsid w:val="17BB23B7"/>
    <w:rsid w:val="17BF6981"/>
    <w:rsid w:val="17C214C3"/>
    <w:rsid w:val="17DD6456"/>
    <w:rsid w:val="17ED018E"/>
    <w:rsid w:val="1857078D"/>
    <w:rsid w:val="187258F4"/>
    <w:rsid w:val="18AA56ED"/>
    <w:rsid w:val="18E90BFA"/>
    <w:rsid w:val="18EA1526"/>
    <w:rsid w:val="19053D5D"/>
    <w:rsid w:val="19A075E2"/>
    <w:rsid w:val="1A1E5068"/>
    <w:rsid w:val="1A3E716F"/>
    <w:rsid w:val="1A6525DA"/>
    <w:rsid w:val="1A65453F"/>
    <w:rsid w:val="1A72632B"/>
    <w:rsid w:val="1A961730"/>
    <w:rsid w:val="1ABD4A08"/>
    <w:rsid w:val="1AD63A16"/>
    <w:rsid w:val="1AF225C5"/>
    <w:rsid w:val="1B563001"/>
    <w:rsid w:val="1BA52E3A"/>
    <w:rsid w:val="1BBF3864"/>
    <w:rsid w:val="1C060EF1"/>
    <w:rsid w:val="1CA76EDA"/>
    <w:rsid w:val="1CBF64EC"/>
    <w:rsid w:val="1CC21C23"/>
    <w:rsid w:val="1CF56F4D"/>
    <w:rsid w:val="1D61177E"/>
    <w:rsid w:val="1DEC65E2"/>
    <w:rsid w:val="1E036392"/>
    <w:rsid w:val="1E075147"/>
    <w:rsid w:val="1E170B2F"/>
    <w:rsid w:val="1E497671"/>
    <w:rsid w:val="1EA43206"/>
    <w:rsid w:val="1EE52F78"/>
    <w:rsid w:val="1FAB5903"/>
    <w:rsid w:val="20344F28"/>
    <w:rsid w:val="20580C17"/>
    <w:rsid w:val="207A7463"/>
    <w:rsid w:val="20A56D0D"/>
    <w:rsid w:val="20B971DB"/>
    <w:rsid w:val="20BD31D8"/>
    <w:rsid w:val="20C6170B"/>
    <w:rsid w:val="20DD55C0"/>
    <w:rsid w:val="21B300CF"/>
    <w:rsid w:val="21B4462E"/>
    <w:rsid w:val="21C53505"/>
    <w:rsid w:val="221C7BCE"/>
    <w:rsid w:val="22784736"/>
    <w:rsid w:val="22E418F0"/>
    <w:rsid w:val="22EC25FF"/>
    <w:rsid w:val="22F4634C"/>
    <w:rsid w:val="22FD3CF7"/>
    <w:rsid w:val="230C54D8"/>
    <w:rsid w:val="23730E9E"/>
    <w:rsid w:val="237E2C29"/>
    <w:rsid w:val="23940660"/>
    <w:rsid w:val="23A42A78"/>
    <w:rsid w:val="23DA1943"/>
    <w:rsid w:val="240B46B9"/>
    <w:rsid w:val="248735D0"/>
    <w:rsid w:val="24D345D7"/>
    <w:rsid w:val="24E318DF"/>
    <w:rsid w:val="24F66C50"/>
    <w:rsid w:val="25121BAC"/>
    <w:rsid w:val="252C0F6A"/>
    <w:rsid w:val="25437031"/>
    <w:rsid w:val="257E7E5F"/>
    <w:rsid w:val="259F1096"/>
    <w:rsid w:val="25EF624A"/>
    <w:rsid w:val="26A45974"/>
    <w:rsid w:val="26B233B0"/>
    <w:rsid w:val="26C8635B"/>
    <w:rsid w:val="26D92385"/>
    <w:rsid w:val="271F4387"/>
    <w:rsid w:val="27C941A8"/>
    <w:rsid w:val="27E93952"/>
    <w:rsid w:val="287509F7"/>
    <w:rsid w:val="28DA3C94"/>
    <w:rsid w:val="29370227"/>
    <w:rsid w:val="29522D04"/>
    <w:rsid w:val="296C2CFA"/>
    <w:rsid w:val="29D82DC8"/>
    <w:rsid w:val="2A2B6C2E"/>
    <w:rsid w:val="2AA42CAA"/>
    <w:rsid w:val="2AB62F3E"/>
    <w:rsid w:val="2ABE1FBE"/>
    <w:rsid w:val="2B692AC9"/>
    <w:rsid w:val="2B6A2E6C"/>
    <w:rsid w:val="2B6B0C28"/>
    <w:rsid w:val="2BAD0B9D"/>
    <w:rsid w:val="2BB005CB"/>
    <w:rsid w:val="2BB577DA"/>
    <w:rsid w:val="2BDA4BD6"/>
    <w:rsid w:val="2BEE0AF7"/>
    <w:rsid w:val="2C230914"/>
    <w:rsid w:val="2C2B699B"/>
    <w:rsid w:val="2C93622E"/>
    <w:rsid w:val="2CE35D0C"/>
    <w:rsid w:val="2D2325AC"/>
    <w:rsid w:val="2D271A20"/>
    <w:rsid w:val="2D9139BA"/>
    <w:rsid w:val="2D9A3BB6"/>
    <w:rsid w:val="2DA01E4F"/>
    <w:rsid w:val="2DD83397"/>
    <w:rsid w:val="2E0F2B31"/>
    <w:rsid w:val="2E3E7E3C"/>
    <w:rsid w:val="2E4427DA"/>
    <w:rsid w:val="2E6C2891"/>
    <w:rsid w:val="2EAF4725"/>
    <w:rsid w:val="2EB4254A"/>
    <w:rsid w:val="2EC906CA"/>
    <w:rsid w:val="2F047A1F"/>
    <w:rsid w:val="2F116ABB"/>
    <w:rsid w:val="2FCD1C26"/>
    <w:rsid w:val="304B6988"/>
    <w:rsid w:val="306B2DF5"/>
    <w:rsid w:val="30824F8F"/>
    <w:rsid w:val="30AA5A5D"/>
    <w:rsid w:val="30B17ECF"/>
    <w:rsid w:val="31687BA1"/>
    <w:rsid w:val="31883AF7"/>
    <w:rsid w:val="31D166A8"/>
    <w:rsid w:val="31F167D5"/>
    <w:rsid w:val="32A970B0"/>
    <w:rsid w:val="32F8506B"/>
    <w:rsid w:val="331D35FA"/>
    <w:rsid w:val="333D4B01"/>
    <w:rsid w:val="335D7E9A"/>
    <w:rsid w:val="33DE722D"/>
    <w:rsid w:val="340A6274"/>
    <w:rsid w:val="3417273F"/>
    <w:rsid w:val="344C4197"/>
    <w:rsid w:val="34963664"/>
    <w:rsid w:val="34D96C3D"/>
    <w:rsid w:val="350852E8"/>
    <w:rsid w:val="357F21C9"/>
    <w:rsid w:val="359978AF"/>
    <w:rsid w:val="35D54660"/>
    <w:rsid w:val="35DC515B"/>
    <w:rsid w:val="35E0728C"/>
    <w:rsid w:val="35F5085E"/>
    <w:rsid w:val="365256CD"/>
    <w:rsid w:val="36D81C0F"/>
    <w:rsid w:val="36F25CB6"/>
    <w:rsid w:val="370B425B"/>
    <w:rsid w:val="374E6478"/>
    <w:rsid w:val="37703A67"/>
    <w:rsid w:val="37735EDE"/>
    <w:rsid w:val="37985D7C"/>
    <w:rsid w:val="37A06E41"/>
    <w:rsid w:val="37B564F7"/>
    <w:rsid w:val="38275C46"/>
    <w:rsid w:val="385F6860"/>
    <w:rsid w:val="388702B0"/>
    <w:rsid w:val="389F71BE"/>
    <w:rsid w:val="390B65C9"/>
    <w:rsid w:val="3A190FBF"/>
    <w:rsid w:val="3B374D4B"/>
    <w:rsid w:val="3B710282"/>
    <w:rsid w:val="3B8F2C3B"/>
    <w:rsid w:val="3BBF363A"/>
    <w:rsid w:val="3C08731B"/>
    <w:rsid w:val="3C2A7345"/>
    <w:rsid w:val="3C4B1C3D"/>
    <w:rsid w:val="3CBA3836"/>
    <w:rsid w:val="3D794937"/>
    <w:rsid w:val="3DB30412"/>
    <w:rsid w:val="3DDC13F2"/>
    <w:rsid w:val="3DE511B8"/>
    <w:rsid w:val="3DF633C5"/>
    <w:rsid w:val="3E3A7756"/>
    <w:rsid w:val="3E627B14"/>
    <w:rsid w:val="3E6C1B1A"/>
    <w:rsid w:val="3EB257C0"/>
    <w:rsid w:val="3ED50C9D"/>
    <w:rsid w:val="3ED93CDE"/>
    <w:rsid w:val="3F2873E0"/>
    <w:rsid w:val="3F397A0D"/>
    <w:rsid w:val="3F521E6F"/>
    <w:rsid w:val="3FEE426F"/>
    <w:rsid w:val="3FF619EC"/>
    <w:rsid w:val="407D2360"/>
    <w:rsid w:val="40925627"/>
    <w:rsid w:val="40B4170F"/>
    <w:rsid w:val="41230975"/>
    <w:rsid w:val="41DB53C9"/>
    <w:rsid w:val="41FC40D5"/>
    <w:rsid w:val="42014301"/>
    <w:rsid w:val="42042555"/>
    <w:rsid w:val="426A7A8D"/>
    <w:rsid w:val="42770F78"/>
    <w:rsid w:val="42B41C5B"/>
    <w:rsid w:val="433D0405"/>
    <w:rsid w:val="438A0837"/>
    <w:rsid w:val="43977A91"/>
    <w:rsid w:val="439E5CBC"/>
    <w:rsid w:val="443F63D9"/>
    <w:rsid w:val="44B6565C"/>
    <w:rsid w:val="44DA759D"/>
    <w:rsid w:val="453F5C1E"/>
    <w:rsid w:val="453F7F9F"/>
    <w:rsid w:val="45400197"/>
    <w:rsid w:val="4543552B"/>
    <w:rsid w:val="455A42EE"/>
    <w:rsid w:val="45691D05"/>
    <w:rsid w:val="463158E2"/>
    <w:rsid w:val="465B341C"/>
    <w:rsid w:val="47084895"/>
    <w:rsid w:val="47154972"/>
    <w:rsid w:val="4727371F"/>
    <w:rsid w:val="47890BC0"/>
    <w:rsid w:val="47D73113"/>
    <w:rsid w:val="47E02E95"/>
    <w:rsid w:val="48233009"/>
    <w:rsid w:val="4890471C"/>
    <w:rsid w:val="48F54A66"/>
    <w:rsid w:val="48F554C3"/>
    <w:rsid w:val="490E1F0B"/>
    <w:rsid w:val="493354CD"/>
    <w:rsid w:val="499773A8"/>
    <w:rsid w:val="4A2B43F6"/>
    <w:rsid w:val="4A491227"/>
    <w:rsid w:val="4AD04F36"/>
    <w:rsid w:val="4AF866B5"/>
    <w:rsid w:val="4B21533E"/>
    <w:rsid w:val="4B5C6F5D"/>
    <w:rsid w:val="4BB27D2C"/>
    <w:rsid w:val="4C4243A5"/>
    <w:rsid w:val="4C4C3A34"/>
    <w:rsid w:val="4C590DF9"/>
    <w:rsid w:val="4C7228A0"/>
    <w:rsid w:val="4EAF55F6"/>
    <w:rsid w:val="4EB1083B"/>
    <w:rsid w:val="4F586FE7"/>
    <w:rsid w:val="4F8A09A4"/>
    <w:rsid w:val="4FD03A76"/>
    <w:rsid w:val="50C958BD"/>
    <w:rsid w:val="510E36AA"/>
    <w:rsid w:val="51864D34"/>
    <w:rsid w:val="51D6733E"/>
    <w:rsid w:val="51F410CD"/>
    <w:rsid w:val="5208399B"/>
    <w:rsid w:val="520A4E02"/>
    <w:rsid w:val="521576E5"/>
    <w:rsid w:val="52391DA6"/>
    <w:rsid w:val="52742C67"/>
    <w:rsid w:val="52914A05"/>
    <w:rsid w:val="52D232FD"/>
    <w:rsid w:val="52F537F4"/>
    <w:rsid w:val="52FE5F3A"/>
    <w:rsid w:val="53227978"/>
    <w:rsid w:val="532766F6"/>
    <w:rsid w:val="535E159C"/>
    <w:rsid w:val="53771CD9"/>
    <w:rsid w:val="5397697C"/>
    <w:rsid w:val="53BD4D4B"/>
    <w:rsid w:val="53BD6A07"/>
    <w:rsid w:val="53FD32A8"/>
    <w:rsid w:val="544662D1"/>
    <w:rsid w:val="548F0716"/>
    <w:rsid w:val="549332C4"/>
    <w:rsid w:val="54A32932"/>
    <w:rsid w:val="54A915C4"/>
    <w:rsid w:val="551F1837"/>
    <w:rsid w:val="55BA4932"/>
    <w:rsid w:val="55C16B84"/>
    <w:rsid w:val="55CE0A58"/>
    <w:rsid w:val="55D01AD3"/>
    <w:rsid w:val="55E5606A"/>
    <w:rsid w:val="565306E5"/>
    <w:rsid w:val="569C7E2B"/>
    <w:rsid w:val="586B6A32"/>
    <w:rsid w:val="58A92D2F"/>
    <w:rsid w:val="58D6521D"/>
    <w:rsid w:val="59192660"/>
    <w:rsid w:val="594B207A"/>
    <w:rsid w:val="59685438"/>
    <w:rsid w:val="59EE791A"/>
    <w:rsid w:val="5A4F3DF7"/>
    <w:rsid w:val="5A736072"/>
    <w:rsid w:val="5A9545B4"/>
    <w:rsid w:val="5AD90E28"/>
    <w:rsid w:val="5AEB1086"/>
    <w:rsid w:val="5B4812AC"/>
    <w:rsid w:val="5B816102"/>
    <w:rsid w:val="5C716E24"/>
    <w:rsid w:val="5C7B2FBB"/>
    <w:rsid w:val="5C7F0CFE"/>
    <w:rsid w:val="5C9D1184"/>
    <w:rsid w:val="5CEE2597"/>
    <w:rsid w:val="5D005F3B"/>
    <w:rsid w:val="5D0B433F"/>
    <w:rsid w:val="5D4A31F6"/>
    <w:rsid w:val="5D794EEA"/>
    <w:rsid w:val="5D900938"/>
    <w:rsid w:val="5D953B1E"/>
    <w:rsid w:val="5DA327CA"/>
    <w:rsid w:val="5DDD16C7"/>
    <w:rsid w:val="5E29604A"/>
    <w:rsid w:val="5EAA7B88"/>
    <w:rsid w:val="5ECE1AC8"/>
    <w:rsid w:val="5ED35331"/>
    <w:rsid w:val="5EE559B2"/>
    <w:rsid w:val="5EE60320"/>
    <w:rsid w:val="5F1D04B1"/>
    <w:rsid w:val="5F2913F5"/>
    <w:rsid w:val="5F2E24D0"/>
    <w:rsid w:val="5F3F2F83"/>
    <w:rsid w:val="5F506981"/>
    <w:rsid w:val="5F907291"/>
    <w:rsid w:val="5FAC54CE"/>
    <w:rsid w:val="60EC4488"/>
    <w:rsid w:val="61311086"/>
    <w:rsid w:val="61504C44"/>
    <w:rsid w:val="61966DF4"/>
    <w:rsid w:val="61A31A03"/>
    <w:rsid w:val="62D86F3F"/>
    <w:rsid w:val="63A177AC"/>
    <w:rsid w:val="6455525E"/>
    <w:rsid w:val="648570CD"/>
    <w:rsid w:val="64AB0579"/>
    <w:rsid w:val="64D175CC"/>
    <w:rsid w:val="65020C2B"/>
    <w:rsid w:val="656F6973"/>
    <w:rsid w:val="65BA2325"/>
    <w:rsid w:val="660E4EA0"/>
    <w:rsid w:val="660E74B9"/>
    <w:rsid w:val="66154451"/>
    <w:rsid w:val="666214AA"/>
    <w:rsid w:val="667016B7"/>
    <w:rsid w:val="66884C53"/>
    <w:rsid w:val="66DC5FF3"/>
    <w:rsid w:val="672F1572"/>
    <w:rsid w:val="67630B2B"/>
    <w:rsid w:val="67AA0313"/>
    <w:rsid w:val="67EB5B7F"/>
    <w:rsid w:val="680D70EE"/>
    <w:rsid w:val="68556F94"/>
    <w:rsid w:val="68A613C0"/>
    <w:rsid w:val="68DD5791"/>
    <w:rsid w:val="69036813"/>
    <w:rsid w:val="690B4B04"/>
    <w:rsid w:val="692C7B17"/>
    <w:rsid w:val="697208DA"/>
    <w:rsid w:val="69C34EB6"/>
    <w:rsid w:val="6AAB143C"/>
    <w:rsid w:val="6AD64AF1"/>
    <w:rsid w:val="6B217262"/>
    <w:rsid w:val="6B4B624F"/>
    <w:rsid w:val="6B6125A5"/>
    <w:rsid w:val="6B623B75"/>
    <w:rsid w:val="6B81211F"/>
    <w:rsid w:val="6B8D4F2F"/>
    <w:rsid w:val="6B906520"/>
    <w:rsid w:val="6BD34BC2"/>
    <w:rsid w:val="6C10294E"/>
    <w:rsid w:val="6C23270B"/>
    <w:rsid w:val="6C896C46"/>
    <w:rsid w:val="6D371181"/>
    <w:rsid w:val="6D5B264F"/>
    <w:rsid w:val="6D5F2CF8"/>
    <w:rsid w:val="6D61460C"/>
    <w:rsid w:val="6D625CB7"/>
    <w:rsid w:val="6D747CDF"/>
    <w:rsid w:val="6DF34CD9"/>
    <w:rsid w:val="6DF57479"/>
    <w:rsid w:val="6E382615"/>
    <w:rsid w:val="6E3C0643"/>
    <w:rsid w:val="6E3C30EB"/>
    <w:rsid w:val="6E7C6608"/>
    <w:rsid w:val="6F15051E"/>
    <w:rsid w:val="6F871F4B"/>
    <w:rsid w:val="6F8A2CFE"/>
    <w:rsid w:val="6F8D32DA"/>
    <w:rsid w:val="70006086"/>
    <w:rsid w:val="700215D2"/>
    <w:rsid w:val="70447E3C"/>
    <w:rsid w:val="70551426"/>
    <w:rsid w:val="70582716"/>
    <w:rsid w:val="70804E40"/>
    <w:rsid w:val="70A063B4"/>
    <w:rsid w:val="70A174FB"/>
    <w:rsid w:val="70BF5F93"/>
    <w:rsid w:val="712E52F8"/>
    <w:rsid w:val="71A072F4"/>
    <w:rsid w:val="7274320D"/>
    <w:rsid w:val="72AB41A3"/>
    <w:rsid w:val="730438B3"/>
    <w:rsid w:val="730A2B2F"/>
    <w:rsid w:val="731E4248"/>
    <w:rsid w:val="739D6D5F"/>
    <w:rsid w:val="74592A22"/>
    <w:rsid w:val="74784DFC"/>
    <w:rsid w:val="74B82BA7"/>
    <w:rsid w:val="754937FF"/>
    <w:rsid w:val="75702F82"/>
    <w:rsid w:val="75F06371"/>
    <w:rsid w:val="763017D1"/>
    <w:rsid w:val="76557A07"/>
    <w:rsid w:val="76962A74"/>
    <w:rsid w:val="769B3FC6"/>
    <w:rsid w:val="76C46349"/>
    <w:rsid w:val="77156723"/>
    <w:rsid w:val="771A18F7"/>
    <w:rsid w:val="77C76C79"/>
    <w:rsid w:val="78140E02"/>
    <w:rsid w:val="783F628E"/>
    <w:rsid w:val="787E0F66"/>
    <w:rsid w:val="789B70F9"/>
    <w:rsid w:val="791D3FBB"/>
    <w:rsid w:val="792273F9"/>
    <w:rsid w:val="798A16BF"/>
    <w:rsid w:val="79F006ED"/>
    <w:rsid w:val="7A460C55"/>
    <w:rsid w:val="7A733303"/>
    <w:rsid w:val="7A813A3B"/>
    <w:rsid w:val="7ADB6A6B"/>
    <w:rsid w:val="7B1D3764"/>
    <w:rsid w:val="7B6A7755"/>
    <w:rsid w:val="7B6D4E1A"/>
    <w:rsid w:val="7B707D38"/>
    <w:rsid w:val="7B886445"/>
    <w:rsid w:val="7B8A4AB6"/>
    <w:rsid w:val="7B8D6BCE"/>
    <w:rsid w:val="7B9C6D7F"/>
    <w:rsid w:val="7BB562E4"/>
    <w:rsid w:val="7BBC53C3"/>
    <w:rsid w:val="7C26052B"/>
    <w:rsid w:val="7C2645C2"/>
    <w:rsid w:val="7C7A6458"/>
    <w:rsid w:val="7CD10CAA"/>
    <w:rsid w:val="7D3B7E11"/>
    <w:rsid w:val="7D8803CB"/>
    <w:rsid w:val="7D9E368C"/>
    <w:rsid w:val="7DE364CD"/>
    <w:rsid w:val="7E1A5010"/>
    <w:rsid w:val="7E9C0E44"/>
    <w:rsid w:val="7EEE1ABA"/>
    <w:rsid w:val="7F313C82"/>
    <w:rsid w:val="7F323556"/>
    <w:rsid w:val="7F4644F9"/>
    <w:rsid w:val="7FC14D1A"/>
    <w:rsid w:val="7FD01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1"/>
    <w:pPr>
      <w:spacing w:before="43"/>
      <w:ind w:left="120"/>
    </w:pPr>
    <w:rPr>
      <w:rFonts w:ascii="宋体" w:hAnsi="宋体"/>
      <w:sz w:val="32"/>
      <w:szCs w:val="32"/>
    </w:rPr>
  </w:style>
  <w:style w:type="paragraph" w:styleId="7">
    <w:name w:val="toc 3"/>
    <w:basedOn w:val="1"/>
    <w:next w:val="1"/>
    <w:qFormat/>
    <w:uiPriority w:val="39"/>
    <w:pPr>
      <w:ind w:left="840" w:leftChars="400"/>
    </w:pPr>
  </w:style>
  <w:style w:type="paragraph" w:styleId="8">
    <w:name w:val="Plain Text"/>
    <w:basedOn w:val="1"/>
    <w:qFormat/>
    <w:uiPriority w:val="0"/>
    <w:pPr>
      <w:tabs>
        <w:tab w:val="left" w:pos="-945"/>
      </w:tabs>
    </w:pPr>
    <w:rPr>
      <w:rFonts w:ascii="宋体" w:hAnsi="Courier New"/>
    </w:rPr>
  </w:style>
  <w:style w:type="paragraph" w:styleId="9">
    <w:name w:val="footer"/>
    <w:basedOn w:val="1"/>
    <w:qFormat/>
    <w:uiPriority w:val="0"/>
    <w:pPr>
      <w:snapToGrid w:val="0"/>
      <w:ind w:right="210" w:rightChars="100"/>
      <w:jc w:val="right"/>
    </w:pPr>
    <w:rPr>
      <w:sz w:val="18"/>
      <w:szCs w:val="18"/>
    </w:rPr>
  </w:style>
  <w:style w:type="paragraph" w:styleId="10">
    <w:name w:val="header"/>
    <w:basedOn w:val="1"/>
    <w:qFormat/>
    <w:uiPriority w:val="0"/>
    <w:pPr>
      <w:snapToGrid w:val="0"/>
      <w:jc w:val="left"/>
    </w:pPr>
    <w:rPr>
      <w:sz w:val="18"/>
      <w:szCs w:val="18"/>
    </w:rPr>
  </w:style>
  <w:style w:type="paragraph" w:styleId="11">
    <w:name w:val="toc 1"/>
    <w:basedOn w:val="1"/>
    <w:next w:val="1"/>
    <w:qFormat/>
    <w:uiPriority w:val="39"/>
  </w:style>
  <w:style w:type="paragraph" w:styleId="12">
    <w:name w:val="toc 2"/>
    <w:basedOn w:val="1"/>
    <w:next w:val="1"/>
    <w:qFormat/>
    <w:uiPriority w:val="39"/>
    <w:pPr>
      <w:jc w:val="center"/>
    </w:pPr>
    <w:rPr>
      <w:rFonts w:ascii="等线" w:hAnsi="等线" w:eastAsia="黑体"/>
      <w:b/>
      <w:bCs/>
      <w:szCs w:val="22"/>
    </w:rPr>
  </w:style>
  <w:style w:type="paragraph" w:styleId="13">
    <w:name w:val="Body Text 2"/>
    <w:basedOn w:val="1"/>
    <w:unhideWhenUsed/>
    <w:qFormat/>
    <w:uiPriority w:val="99"/>
    <w:pPr>
      <w:spacing w:after="120" w:line="480" w:lineRule="auto"/>
    </w:pPr>
  </w:style>
  <w:style w:type="paragraph" w:styleId="14">
    <w:name w:val="Normal (Web)"/>
    <w:basedOn w:val="1"/>
    <w:qFormat/>
    <w:uiPriority w:val="0"/>
    <w:rPr>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paragraph" w:customStyle="1" w:styleId="20">
    <w:name w:val="其他发布日期"/>
    <w:basedOn w:val="21"/>
    <w:qFormat/>
    <w:uiPriority w:val="0"/>
    <w:pPr>
      <w:framePr w:wrap="around" w:vAnchor="page" w:hAnchor="text" w:x="1419" w:y="1"/>
    </w:pPr>
  </w:style>
  <w:style w:type="paragraph" w:customStyle="1" w:styleId="21">
    <w:name w:val="发布日期"/>
    <w:qFormat/>
    <w:uiPriority w:val="0"/>
    <w:rPr>
      <w:rFonts w:ascii="黑体" w:hAnsi="黑体" w:eastAsia="黑体" w:cs="Times New Roman"/>
      <w:sz w:val="28"/>
      <w:lang w:val="en-US" w:eastAsia="zh-CN" w:bidi="ar-SA"/>
    </w:rPr>
  </w:style>
  <w:style w:type="paragraph" w:customStyle="1" w:styleId="22">
    <w:name w:val="封面标准名称"/>
    <w:qFormat/>
    <w:uiPriority w:val="0"/>
    <w:pPr>
      <w:framePr w:w="9639" w:h="6917" w:hRule="exact" w:wrap="around" w:vAnchor="page" w:hAnchor="page" w:xAlign="center" w:y="6408" w:anchorLock="1"/>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其他实施日期"/>
    <w:basedOn w:val="24"/>
    <w:qFormat/>
    <w:uiPriority w:val="0"/>
  </w:style>
  <w:style w:type="paragraph" w:customStyle="1" w:styleId="24">
    <w:name w:val="实施日期"/>
    <w:basedOn w:val="21"/>
    <w:qFormat/>
    <w:uiPriority w:val="0"/>
    <w:pPr>
      <w:jc w:val="right"/>
    </w:pPr>
  </w:style>
  <w:style w:type="paragraph" w:customStyle="1" w:styleId="2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6">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8">
    <w:name w:val="章标题"/>
    <w:next w:val="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9">
    <w:name w:val="一级条标题"/>
    <w:basedOn w:val="28"/>
    <w:next w:val="1"/>
    <w:qFormat/>
    <w:uiPriority w:val="0"/>
    <w:pPr>
      <w:numPr>
        <w:ilvl w:val="1"/>
      </w:numPr>
      <w:spacing w:before="156" w:beforeLines="50" w:after="156" w:afterLines="50"/>
      <w:outlineLvl w:val="2"/>
    </w:pPr>
    <w:rPr>
      <w:szCs w:val="21"/>
    </w:rPr>
  </w:style>
  <w:style w:type="paragraph" w:customStyle="1" w:styleId="30">
    <w:name w:val="二级条标题"/>
    <w:basedOn w:val="29"/>
    <w:next w:val="1"/>
    <w:qFormat/>
    <w:uiPriority w:val="0"/>
    <w:pPr>
      <w:numPr>
        <w:ilvl w:val="2"/>
      </w:numPr>
      <w:spacing w:before="50" w:after="50"/>
      <w:outlineLvl w:val="3"/>
    </w:pPr>
  </w:style>
  <w:style w:type="paragraph" w:customStyle="1" w:styleId="31">
    <w:name w:val="终结线"/>
    <w:basedOn w:val="1"/>
    <w:qFormat/>
    <w:uiPriority w:val="0"/>
    <w:pPr>
      <w:framePr w:hSpace="181" w:vSpace="181" w:wrap="around" w:vAnchor="text" w:hAnchor="margin" w:xAlign="center" w:y="285"/>
    </w:pPr>
  </w:style>
  <w:style w:type="paragraph" w:customStyle="1" w:styleId="3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3">
    <w:name w:val="前言、引言标题"/>
    <w:next w:val="1"/>
    <w:qFormat/>
    <w:uiPriority w:val="0"/>
    <w:pPr>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34">
    <w:name w:val="术语定义二级条标题"/>
    <w:basedOn w:val="30"/>
    <w:next w:val="27"/>
    <w:qFormat/>
    <w:uiPriority w:val="0"/>
    <w:pPr>
      <w:numPr>
        <w:ilvl w:val="1"/>
        <w:numId w:val="2"/>
      </w:numPr>
      <w:outlineLvl w:val="9"/>
    </w:pPr>
  </w:style>
  <w:style w:type="paragraph" w:customStyle="1" w:styleId="35">
    <w:name w:val="术语编号第三层次"/>
    <w:basedOn w:val="4"/>
    <w:qFormat/>
    <w:uiPriority w:val="0"/>
    <w:pPr>
      <w:widowControl/>
      <w:numPr>
        <w:ilvl w:val="2"/>
        <w:numId w:val="2"/>
      </w:numPr>
      <w:tabs>
        <w:tab w:val="left" w:pos="510"/>
        <w:tab w:val="clear" w:pos="0"/>
      </w:tabs>
      <w:spacing w:before="0" w:after="0" w:line="240" w:lineRule="auto"/>
      <w:ind w:right="42"/>
      <w:jc w:val="left"/>
    </w:pPr>
    <w:rPr>
      <w:rFonts w:eastAsia="黑体" w:cs="新宋体"/>
      <w:b w:val="0"/>
      <w:kern w:val="0"/>
      <w:sz w:val="21"/>
      <w:szCs w:val="22"/>
      <w:lang w:eastAsia="en-US"/>
    </w:rPr>
  </w:style>
  <w:style w:type="paragraph" w:customStyle="1" w:styleId="36">
    <w:name w:val="术语名称"/>
    <w:qFormat/>
    <w:uiPriority w:val="0"/>
    <w:pPr>
      <w:ind w:firstLine="420" w:firstLineChars="200"/>
    </w:pPr>
    <w:rPr>
      <w:rFonts w:ascii="Times New Roman" w:hAnsi="Times New Roman" w:eastAsia="黑体" w:cs="Times New Roman"/>
      <w:snapToGrid w:val="0"/>
      <w:sz w:val="21"/>
      <w:szCs w:val="19"/>
      <w:lang w:val="en-US" w:eastAsia="zh-CN" w:bidi="ar-SA"/>
    </w:rPr>
  </w:style>
  <w:style w:type="paragraph" w:customStyle="1" w:styleId="37">
    <w:name w:val="术语解释"/>
    <w:basedOn w:val="1"/>
    <w:qFormat/>
    <w:uiPriority w:val="0"/>
    <w:pPr>
      <w:tabs>
        <w:tab w:val="left" w:pos="1134"/>
      </w:tabs>
      <w:adjustRightInd w:val="0"/>
      <w:ind w:firstLine="420" w:firstLineChars="200"/>
    </w:pPr>
    <w:rPr>
      <w:rFonts w:cs="微软雅黑"/>
      <w:color w:val="000000" w:themeColor="text1"/>
      <w:kern w:val="0"/>
      <w:szCs w:val="19"/>
      <w14:textFill>
        <w14:solidFill>
          <w14:schemeClr w14:val="tx1"/>
        </w14:solidFill>
      </w14:textFill>
    </w:rPr>
  </w:style>
  <w:style w:type="paragraph" w:customStyle="1" w:styleId="38">
    <w:name w:val="WPSOffice手动目录 1"/>
    <w:qFormat/>
    <w:uiPriority w:val="0"/>
    <w:rPr>
      <w:rFonts w:ascii="Times New Roman" w:hAnsi="Times New Roman" w:eastAsia="宋体" w:cs="Times New Roman"/>
      <w:lang w:val="en-US" w:eastAsia="zh-CN" w:bidi="ar-SA"/>
    </w:rPr>
  </w:style>
  <w:style w:type="paragraph" w:customStyle="1" w:styleId="3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0">
    <w:name w:val="二级无"/>
    <w:basedOn w:val="30"/>
    <w:qFormat/>
    <w:uiPriority w:val="0"/>
    <w:pPr>
      <w:spacing w:beforeLines="0" w:afterLines="0"/>
      <w:jc w:val="left"/>
    </w:pPr>
    <w:rPr>
      <w:rFonts w:ascii="宋体" w:eastAsia="宋体"/>
    </w:rPr>
  </w:style>
  <w:style w:type="character" w:customStyle="1" w:styleId="41">
    <w:name w:val="标题 1 字符"/>
    <w:basedOn w:val="17"/>
    <w:link w:val="2"/>
    <w:qFormat/>
    <w:uiPriority w:val="0"/>
    <w:rPr>
      <w:rFonts w:ascii="Calibri" w:hAnsi="Calibri"/>
      <w:b/>
      <w:bCs/>
      <w:kern w:val="44"/>
      <w:sz w:val="44"/>
      <w:szCs w:val="44"/>
    </w:rPr>
  </w:style>
  <w:style w:type="paragraph" w:customStyle="1" w:styleId="4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43">
    <w:name w:val="名称"/>
    <w:basedOn w:val="1"/>
    <w:next w:val="1"/>
    <w:qFormat/>
    <w:uiPriority w:val="0"/>
    <w:pPr>
      <w:widowControl/>
      <w:shd w:val="clear" w:color="FFFFFF" w:fill="FFFFFF"/>
      <w:spacing w:before="640" w:after="560" w:line="460" w:lineRule="exact"/>
      <w:jc w:val="center"/>
    </w:pPr>
    <w:rPr>
      <w:rFonts w:ascii="黑体" w:hAnsi="Times New Roman" w:eastAsia="黑体"/>
      <w:kern w:val="0"/>
      <w:sz w:val="32"/>
      <w:szCs w:val="20"/>
    </w:rPr>
  </w:style>
  <w:style w:type="paragraph" w:customStyle="1" w:styleId="44">
    <w:name w:val="正文格式"/>
    <w:basedOn w:val="1"/>
    <w:qFormat/>
    <w:uiPriority w:val="0"/>
    <w:pPr>
      <w:spacing w:line="360" w:lineRule="auto"/>
      <w:ind w:firstLine="200" w:firstLineChars="200"/>
    </w:pPr>
  </w:style>
  <w:style w:type="paragraph" w:customStyle="1" w:styleId="45">
    <w:name w:val="附录标识"/>
    <w:basedOn w:val="1"/>
    <w:next w:val="27"/>
    <w:qFormat/>
    <w:uiPriority w:val="99"/>
    <w:pPr>
      <w:keepNext/>
      <w:widowControl/>
      <w:shd w:val="clear" w:color="FFFFFF" w:fill="FFFFFF"/>
      <w:tabs>
        <w:tab w:val="left" w:pos="6405"/>
      </w:tabs>
      <w:spacing w:before="640" w:after="280"/>
      <w:jc w:val="center"/>
      <w:outlineLvl w:val="0"/>
    </w:pPr>
    <w:rPr>
      <w:rFonts w:ascii="黑体" w:eastAsia="黑体"/>
      <w:kern w:val="0"/>
      <w:szCs w:val="20"/>
    </w:rPr>
  </w:style>
  <w:style w:type="paragraph" w:styleId="46">
    <w:name w:val="List Paragraph"/>
    <w:basedOn w:val="1"/>
    <w:qFormat/>
    <w:uiPriority w:val="99"/>
    <w:pPr>
      <w:ind w:firstLine="420" w:firstLineChars="200"/>
    </w:pPr>
    <w:rPr>
      <w:rFonts w:cs="Calibri"/>
      <w:szCs w:val="21"/>
    </w:rPr>
  </w:style>
  <w:style w:type="paragraph" w:customStyle="1" w:styleId="47">
    <w:name w:val="附录表标题"/>
    <w:basedOn w:val="1"/>
    <w:next w:val="27"/>
    <w:qFormat/>
    <w:uiPriority w:val="0"/>
    <w:pPr>
      <w:spacing w:beforeLines="50" w:afterLines="50"/>
      <w:jc w:val="center"/>
    </w:pPr>
    <w:rPr>
      <w:rFonts w:ascii="黑体" w:eastAsia="黑体"/>
      <w:szCs w:val="21"/>
    </w:rPr>
  </w:style>
  <w:style w:type="paragraph" w:customStyle="1" w:styleId="4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
    <w:name w:val="标准文件_术语条一"/>
    <w:basedOn w:val="50"/>
    <w:next w:val="48"/>
    <w:qFormat/>
    <w:uiPriority w:val="0"/>
  </w:style>
  <w:style w:type="paragraph" w:customStyle="1" w:styleId="50">
    <w:name w:val="标准文件_一级无标题"/>
    <w:basedOn w:val="51"/>
    <w:qFormat/>
    <w:uiPriority w:val="0"/>
    <w:pPr>
      <w:spacing w:before="0" w:beforeLines="0" w:after="0" w:afterLines="0"/>
      <w:outlineLvl w:val="9"/>
    </w:pPr>
    <w:rPr>
      <w:rFonts w:ascii="宋体" w:eastAsia="宋体"/>
    </w:rPr>
  </w:style>
  <w:style w:type="paragraph" w:customStyle="1" w:styleId="51">
    <w:name w:val="标准文件_一级条标题"/>
    <w:basedOn w:val="52"/>
    <w:next w:val="48"/>
    <w:qFormat/>
    <w:uiPriority w:val="0"/>
    <w:pPr>
      <w:numPr>
        <w:ilvl w:val="2"/>
        <w:numId w:val="3"/>
      </w:numPr>
      <w:spacing w:before="50" w:beforeLines="50" w:after="50" w:afterLines="50"/>
      <w:outlineLvl w:val="1"/>
    </w:pPr>
  </w:style>
  <w:style w:type="paragraph" w:customStyle="1" w:styleId="52">
    <w:name w:val="标准文件_章标题"/>
    <w:next w:val="48"/>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3">
    <w:name w:val="标准文件_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4">
    <w:name w:val="标准文件_二级无标题"/>
    <w:basedOn w:val="55"/>
    <w:qFormat/>
    <w:uiPriority w:val="0"/>
    <w:pPr>
      <w:tabs>
        <w:tab w:val="left" w:pos="0"/>
      </w:tabs>
      <w:spacing w:before="0" w:beforeLines="0" w:after="0" w:afterLines="0"/>
      <w:outlineLvl w:val="9"/>
    </w:pPr>
    <w:rPr>
      <w:rFonts w:ascii="宋体" w:eastAsia="宋体"/>
    </w:rPr>
  </w:style>
  <w:style w:type="paragraph" w:customStyle="1" w:styleId="55">
    <w:name w:val="标准文件_二级条标题"/>
    <w:next w:val="48"/>
    <w:link w:val="65"/>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56">
    <w:name w:val="标准文件_附录表标题"/>
    <w:next w:val="48"/>
    <w:link w:val="69"/>
    <w:qFormat/>
    <w:uiPriority w:val="0"/>
    <w:pPr>
      <w:numPr>
        <w:ilvl w:val="1"/>
        <w:numId w:val="6"/>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57">
    <w:name w:val="样式 宋体 首行缩进:  0.37 厘米 行距: 多倍行距 1.25 字行"/>
    <w:basedOn w:val="1"/>
    <w:qFormat/>
    <w:uiPriority w:val="0"/>
    <w:pPr>
      <w:spacing w:line="300" w:lineRule="auto"/>
      <w:ind w:firstLine="454"/>
    </w:pPr>
    <w:rPr>
      <w:rFonts w:ascii="宋体" w:hAnsi="宋体"/>
    </w:rPr>
  </w:style>
  <w:style w:type="paragraph" w:customStyle="1" w:styleId="58">
    <w:name w:val="正文_0"/>
    <w:qFormat/>
    <w:uiPriority w:val="0"/>
    <w:pPr>
      <w:widowControl w:val="0"/>
      <w:spacing w:line="240" w:lineRule="atLeast"/>
      <w:jc w:val="both"/>
    </w:pPr>
    <w:rPr>
      <w:rFonts w:ascii="方正仿宋_GBK" w:hAnsi="方正仿宋_GBK" w:eastAsia="方正仿宋_GBK" w:cs="Times New Roman"/>
      <w:kern w:val="2"/>
      <w:sz w:val="32"/>
      <w:lang w:val="en-US" w:eastAsia="zh-CN" w:bidi="ar-SA"/>
    </w:rPr>
  </w:style>
  <w:style w:type="character" w:customStyle="1" w:styleId="59">
    <w:name w:val="10"/>
    <w:qFormat/>
    <w:uiPriority w:val="0"/>
    <w:rPr>
      <w:rFonts w:hint="default" w:ascii="Times New Roman" w:hAnsi="Times New Roman" w:cs="Times New Roman"/>
      <w:sz w:val="20"/>
      <w:szCs w:val="20"/>
    </w:rPr>
  </w:style>
  <w:style w:type="paragraph" w:customStyle="1" w:styleId="6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1">
    <w:name w:val="标准文件_页眉偶数页"/>
    <w:basedOn w:val="60"/>
    <w:next w:val="1"/>
    <w:qFormat/>
    <w:uiPriority w:val="0"/>
    <w:pPr>
      <w:jc w:val="left"/>
    </w:pPr>
  </w:style>
  <w:style w:type="paragraph" w:customStyle="1" w:styleId="62">
    <w:name w:val="_标准条文"/>
    <w:basedOn w:val="1"/>
    <w:qFormat/>
    <w:uiPriority w:val="0"/>
    <w:pPr>
      <w:overflowPunct w:val="0"/>
      <w:snapToGrid w:val="0"/>
      <w:spacing w:beforeLines="25" w:afterLines="25" w:line="276" w:lineRule="auto"/>
      <w:ind w:firstLine="200" w:firstLineChars="200"/>
    </w:pPr>
    <w:rPr>
      <w:rFonts w:ascii="Arial" w:hAnsi="Arial" w:eastAsia="宋体" w:cs="宋体"/>
      <w:szCs w:val="20"/>
    </w:rPr>
  </w:style>
  <w:style w:type="paragraph" w:customStyle="1" w:styleId="63">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64">
    <w:name w:val="标准文件_页脚奇数页"/>
    <w:qFormat/>
    <w:uiPriority w:val="0"/>
    <w:pPr>
      <w:ind w:right="227"/>
      <w:jc w:val="right"/>
    </w:pPr>
    <w:rPr>
      <w:rFonts w:ascii="宋体" w:hAnsi="Times New Roman" w:eastAsia="宋体" w:cs="Times New Roman"/>
      <w:sz w:val="18"/>
      <w:lang w:val="en-US" w:eastAsia="zh-CN" w:bidi="ar-SA"/>
    </w:rPr>
  </w:style>
  <w:style w:type="character" w:customStyle="1" w:styleId="65">
    <w:name w:val="标准文件_二级条标题 Char"/>
    <w:link w:val="55"/>
    <w:qFormat/>
    <w:uiPriority w:val="0"/>
    <w:rPr>
      <w:rFonts w:ascii="黑体" w:hAnsi="Times New Roman" w:eastAsia="黑体" w:cs="Times New Roman"/>
      <w:sz w:val="21"/>
      <w:lang w:val="en-US" w:eastAsia="zh-CN" w:bidi="ar-SA"/>
    </w:rPr>
  </w:style>
  <w:style w:type="character" w:customStyle="1" w:styleId="66">
    <w:name w:val="标准文件_附录标识 Char"/>
    <w:link w:val="67"/>
    <w:qFormat/>
    <w:uiPriority w:val="0"/>
    <w:rPr>
      <w:rFonts w:ascii="黑体" w:hAnsi="Times New Roman" w:eastAsia="黑体" w:cs="Times New Roman"/>
      <w:sz w:val="21"/>
      <w:lang w:val="en-US" w:eastAsia="zh-CN" w:bidi="ar-SA"/>
    </w:rPr>
  </w:style>
  <w:style w:type="paragraph" w:customStyle="1" w:styleId="67">
    <w:name w:val="标准文件_附录标识"/>
    <w:next w:val="48"/>
    <w:link w:val="66"/>
    <w:qFormat/>
    <w:uiPriority w:val="0"/>
    <w:pPr>
      <w:numPr>
        <w:ilvl w:val="0"/>
        <w:numId w:val="8"/>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68">
    <w:name w:val="样式1"/>
    <w:basedOn w:val="1"/>
    <w:next w:val="1"/>
    <w:qFormat/>
    <w:uiPriority w:val="0"/>
    <w:pPr>
      <w:adjustRightInd w:val="0"/>
      <w:ind w:firstLine="600" w:firstLineChars="200"/>
    </w:pPr>
  </w:style>
  <w:style w:type="character" w:customStyle="1" w:styleId="69">
    <w:name w:val="标准文件_附录表标题 Char"/>
    <w:link w:val="56"/>
    <w:qFormat/>
    <w:uiPriority w:val="0"/>
    <w:rPr>
      <w:rFonts w:ascii="黑体" w:hAnsi="Times New Roman" w:eastAsia="黑体" w:cs="Times New Roman"/>
      <w:kern w:val="21"/>
      <w:sz w:val="21"/>
      <w:lang w:val="en-US" w:eastAsia="zh-CN" w:bidi="ar-SA"/>
    </w:rPr>
  </w:style>
  <w:style w:type="character" w:customStyle="1" w:styleId="70">
    <w:name w:val="标准文件_附录标题 Char"/>
    <w:link w:val="71"/>
    <w:qFormat/>
    <w:uiPriority w:val="0"/>
  </w:style>
  <w:style w:type="paragraph" w:customStyle="1" w:styleId="71">
    <w:name w:val="标准文件_附录标题"/>
    <w:basedOn w:val="67"/>
    <w:link w:val="70"/>
    <w:qFormat/>
    <w:uiPriority w:val="0"/>
    <w:pPr>
      <w:numPr>
        <w:numId w:val="0"/>
      </w:numPr>
      <w:spacing w:after="280"/>
      <w:outlineLvl w:val="9"/>
    </w:pPr>
  </w:style>
  <w:style w:type="character" w:customStyle="1" w:styleId="72">
    <w:name w:val="font51"/>
    <w:basedOn w:val="17"/>
    <w:qFormat/>
    <w:uiPriority w:val="0"/>
    <w:rPr>
      <w:rFonts w:hint="eastAsia" w:ascii="宋体" w:hAnsi="宋体" w:eastAsia="宋体" w:cs="宋体"/>
      <w:color w:val="000000"/>
      <w:sz w:val="21"/>
      <w:szCs w:val="21"/>
      <w:u w:val="none"/>
    </w:rPr>
  </w:style>
  <w:style w:type="character" w:customStyle="1" w:styleId="73">
    <w:name w:val="font71"/>
    <w:basedOn w:val="17"/>
    <w:qFormat/>
    <w:uiPriority w:val="0"/>
    <w:rPr>
      <w:rFonts w:hint="default" w:ascii="Times New Roman" w:hAnsi="Times New Roman" w:cs="Times New Roman"/>
      <w:color w:val="000000"/>
      <w:sz w:val="21"/>
      <w:szCs w:val="21"/>
      <w:u w:val="none"/>
    </w:rPr>
  </w:style>
  <w:style w:type="character" w:customStyle="1" w:styleId="74">
    <w:name w:val="font31"/>
    <w:basedOn w:val="17"/>
    <w:qFormat/>
    <w:uiPriority w:val="0"/>
    <w:rPr>
      <w:rFonts w:hint="eastAsia" w:ascii="宋体" w:hAnsi="宋体" w:eastAsia="宋体" w:cs="宋体"/>
      <w:b/>
      <w:bCs/>
      <w:color w:val="000000"/>
      <w:sz w:val="21"/>
      <w:szCs w:val="21"/>
      <w:u w:val="none"/>
    </w:rPr>
  </w:style>
  <w:style w:type="character" w:customStyle="1" w:styleId="75">
    <w:name w:val="font61"/>
    <w:basedOn w:val="17"/>
    <w:qFormat/>
    <w:uiPriority w:val="0"/>
    <w:rPr>
      <w:rFonts w:hint="eastAsia" w:ascii="宋体" w:hAnsi="宋体" w:eastAsia="宋体" w:cs="宋体"/>
      <w:color w:val="000000"/>
      <w:sz w:val="21"/>
      <w:szCs w:val="21"/>
      <w:u w:val="none"/>
    </w:rPr>
  </w:style>
  <w:style w:type="paragraph" w:customStyle="1" w:styleId="76">
    <w:name w:val="标准文件_目录标题"/>
    <w:basedOn w:val="1"/>
    <w:qFormat/>
    <w:uiPriority w:val="0"/>
    <w:pPr>
      <w:spacing w:before="480" w:after="150" w:afterLines="150" w:line="240" w:lineRule="auto"/>
      <w:jc w:val="center"/>
    </w:pPr>
    <w:rPr>
      <w:rFonts w:ascii="黑体" w:eastAsia="黑体"/>
      <w:sz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24145b7-c11d-4ef4-acb3-8481bdb69b39}"/>
        <w:style w:val=""/>
        <w:category>
          <w:name w:val="常规"/>
          <w:gallery w:val="placeholder"/>
        </w:category>
        <w:types>
          <w:type w:val="bbPlcHdr"/>
        </w:types>
        <w:behaviors>
          <w:behavior w:val="content"/>
        </w:behaviors>
        <w:description w:val=""/>
        <w:guid w:val="{a24145b7-c11d-4ef4-acb3-8481bdb69b39}"/>
      </w:docPartPr>
      <w:docPartBody>
        <w:p w14:paraId="6ECF33D6">
          <w:pPr>
            <w:pStyle w:val="4"/>
          </w:pPr>
          <w:r>
            <w:rPr>
              <w:rStyle w:val="3"/>
              <w:rFonts w:hint="eastAsia"/>
            </w:rPr>
            <w:t>选择一项。</w:t>
          </w:r>
        </w:p>
      </w:docPartBody>
    </w:docPart>
    <w:docPart>
      <w:docPartPr>
        <w:name w:val="{e8d48387-e3b3-4904-becb-b636d97340a2}"/>
        <w:style w:val=""/>
        <w:category>
          <w:name w:val="常规"/>
          <w:gallery w:val="placeholder"/>
        </w:category>
        <w:types>
          <w:type w:val="bbPlcHdr"/>
        </w:types>
        <w:behaviors>
          <w:behavior w:val="content"/>
        </w:behaviors>
        <w:description w:val=""/>
        <w:guid w:val="{e8d48387-e3b3-4904-becb-b636d97340a2}"/>
      </w:docPartPr>
      <w:docPartBody>
        <w:p w14:paraId="71B90FAA">
          <w:pPr>
            <w:pStyle w:val="5"/>
          </w:pPr>
          <w:r>
            <w:rPr>
              <w:rStyle w:val="3"/>
              <w:rFonts w:hint="eastAsia"/>
            </w:rPr>
            <w:t>选择一项。</w:t>
          </w:r>
        </w:p>
      </w:docPartBody>
    </w:docPart>
    <w:docPart>
      <w:docPartPr>
        <w:name w:val="{ee2fefa9-fdfa-425b-aee0-01e88b1a4a43}"/>
        <w:style w:val=""/>
        <w:category>
          <w:name w:val="常规"/>
          <w:gallery w:val="placeholder"/>
        </w:category>
        <w:types>
          <w:type w:val="bbPlcHdr"/>
        </w:types>
        <w:behaviors>
          <w:behavior w:val="content"/>
        </w:behaviors>
        <w:description w:val=""/>
        <w:guid w:val="{ee2fefa9-fdfa-425b-aee0-01e88b1a4a43}"/>
      </w:docPartPr>
      <w:docPartBody>
        <w:p w14:paraId="3261B355">
          <w:pPr>
            <w:pStyle w:val="2"/>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styleId="3">
    <w:name w:val="Placeholder Text"/>
    <w:basedOn w:val="1"/>
    <w:semiHidden/>
    <w:qFormat/>
    <w:uiPriority w:val="99"/>
    <w:rPr>
      <w:color w:val="808080"/>
    </w:rPr>
  </w:style>
  <w:style w:type="paragraph" w:customStyle="1" w:styleId="4">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5">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083c314e-e2d9-4e15-81e5-a65174173714</errorID>
      <errorWord>(</errorWord>
      <group>L1_Format</group>
      <groupName>格式问题</groupName>
      <ability>L2_HalfPunc</ability>
      <abilityName>全半角检查</abilityName>
      <candidateList>
        <item>（</item>
      </candidateList>
      <explain>文本全半角错误。</explain>
      <paraID>6A0DC7AA</paraID>
      <start>0</start>
      <end>1</end>
      <status>unmodified</status>
      <modifiedWord/>
      <trackRevisions>false</trackRevisions>
    </reviewItem>
    <reviewItem>
      <errorID>2e592697-c7e3-4847-beb7-bb3d0da1711b</errorID>
      <errorWord>)</errorWord>
      <group>L1_Format</group>
      <groupName>格式问题</groupName>
      <ability>L2_HalfPunc</ability>
      <abilityName>全半角检查</abilityName>
      <candidateList>
        <item>）</item>
      </candidateList>
      <explain>文本全半角错误。</explain>
      <paraID>6A0DC7AA</paraID>
      <start>4</start>
      <end>5</end>
      <status>unmodified</status>
      <modifiedWord/>
      <trackRevisions>false</trackRevisions>
    </reviewItem>
    <reviewItem>
      <errorID>4a3c687f-e89f-42ed-a34b-38461d1f9fcd</errorID>
      <errorWord>，</errorWord>
      <group>L1_Word</group>
      <groupName>字词问题</groupName>
      <ability>L2_Typo</ability>
      <abilityName>字词错误</abilityName>
      <candidateList>
        <item>，具</item>
      </candidateList>
      <explain/>
      <paraID>131BF7E7</paraID>
      <start>27</start>
      <end>28</end>
      <status>unmodified</status>
      <modifiedWord/>
      <trackRevisions>false</trackRevisions>
    </reviewItem>
    <reviewItem>
      <errorID>717ae871-dfda-4b13-8c15-161ebf2b5d21</errorID>
      <errorWord>,</errorWord>
      <group>L1_Format</group>
      <groupName>格式问题</groupName>
      <ability>L2_HalfPunc</ability>
      <abilityName>全半角检查</abilityName>
      <candidateList>
        <item>，</item>
      </candidateList>
      <explain>文本全半角错误。</explain>
      <paraID>1060AD38</paraID>
      <start>30</start>
      <end>32</end>
      <status>modified</status>
      <modifiedWord>，</modifiedWord>
      <trackRevisions>true</trackRevisions>
    </reviewItem>
    <reviewItem>
      <errorID>d4c0a6a8-1b91-4888-bb15-1ef58f30eb63</errorID>
      <errorWord>:</errorWord>
      <group>L1_Format</group>
      <groupName>格式问题</groupName>
      <ability>L2_HalfPunc</ability>
      <abilityName>全半角检查</abilityName>
      <candidateList>
        <item>：</item>
      </candidateList>
      <explain>文本全半角错误。</explain>
      <paraID>721707C1</paraID>
      <start>17</start>
      <end>19</end>
      <status>modified</status>
      <modifiedWord>：</modifiedWord>
      <trackRevisions>true</trackRevisions>
    </reviewItem>
    <reviewItem>
      <errorID>c92ed395-e595-4391-8781-eb1b16275968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310925A9</paraID>
      <start>0</start>
      <end>2</end>
      <status>unmodified</status>
      <modifiedWord/>
      <trackRevisions>false</trackRevisions>
    </reviewItem>
    <reviewItem>
      <errorID>46d37679-cca1-4b40-b126-a925bc9dc9a4</errorID>
      <errorWord>时</errorWord>
      <group>L1_Word</group>
      <groupName>字词问题</groupName>
      <ability>L2_Typo</ability>
      <abilityName>字词错误</abilityName>
      <candidateList>
        <item/>
      </candidateList>
      <explain/>
      <paraID>37021B02</paraID>
      <start>29</start>
      <end>30</end>
      <status>unmodified</status>
      <modifiedWord/>
      <trackRevisions>false</trackRevisions>
    </reviewItem>
    <reviewItem>
      <errorID>cecb7136-64c0-413b-88fd-3223a2e83127</errorID>
      <errorWord>法律、法规</errorWord>
      <group>L1_Word</group>
      <groupName>字词问题</groupName>
      <ability>L2_Typo</ability>
      <abilityName>字词错误</abilityName>
      <candidateList>
        <item>法律法规</item>
      </candidateList>
      <explain/>
      <paraID>4FE02B7F</paraID>
      <start>8</start>
      <end>17</end>
      <status>modified</status>
      <modifiedWord>法律法规</modifiedWord>
      <trackRevisions>true</trackRevisions>
    </reviewItem>
    <reviewItem>
      <errorID>cecb7136-64c0-413b-88fd-3223a2e83127</errorID>
      <errorWord>法律、法规</errorWord>
      <group>L1_Word</group>
      <groupName>字词问题</groupName>
      <ability>L2_Typo</ability>
      <abilityName>字词错误</abilityName>
      <candidateList>
        <item>法律法规</item>
      </candidateList>
      <explain/>
      <paraID>66A8FFB3</paraID>
      <start>8</start>
      <end>17</end>
      <status>modified</status>
      <modifiedWord>法律法规</modifiedWord>
      <trackRevisions>true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e0ed39-a6ee-4cca-8fdf-15ab0badd5b4}">
  <ds:schemaRefs/>
</ds:datastoreItem>
</file>

<file path=customXml/itemProps3.xml><?xml version="1.0" encoding="utf-8"?>
<ds:datastoreItem xmlns:ds="http://schemas.openxmlformats.org/officeDocument/2006/customXml" ds:itemID="{70AE4CCA-B3F4-4A9A-A05A-70EF3FDF1000}">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11656</Words>
  <Characters>12066</Characters>
  <Lines>80</Lines>
  <Paragraphs>22</Paragraphs>
  <TotalTime>0</TotalTime>
  <ScaleCrop>false</ScaleCrop>
  <LinksUpToDate>false</LinksUpToDate>
  <CharactersWithSpaces>12331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2025-03-04T15:33:00Z</dcterms:created>
  <dc:creator>dell</dc:creator>
  <cp:lastModifiedBy>汪广涛</cp:lastModifiedBy>
  <cp:lastPrinted>2025-12-09T06:32:00Z</cp:lastPrinted>
  <dcterms:modified xsi:type="dcterms:W3CDTF">2026-03-23T00:46:08Z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ECFDC723AD4A479B8980DA220F1B9E5D_13</vt:lpwstr>
  </property>
  <property fmtid="{D5CDD505-2E9C-101B-9397-08002B2CF9AE}" pid="4" name="KSOTemplateDocerSaveRecord">
    <vt:lpwstr>eyJoZGlkIjoiMjdkNjAwMjc0ZGRhMTE2ODAzODAwNTI2NDI1NzczZmUiLCJ1c2VySWQiOiIxMjEwMTI1MDE1In0=</vt:lpwstr>
  </property>
</Properties>
</file>