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5D94A">
      <w:pPr>
        <w:rPr>
          <w:rFonts w:hint="eastAsia" w:ascii="黑体" w:hAnsi="黑体" w:eastAsia="黑体" w:cs="黑体"/>
          <w:b/>
          <w:bCs/>
          <w:sz w:val="32"/>
          <w:szCs w:val="32"/>
          <w:lang w:val="zh-CN" w:eastAsia="zh-CN"/>
        </w:rPr>
      </w:pPr>
      <w:bookmarkStart w:id="20" w:name="_GoBack"/>
      <w:bookmarkEnd w:id="2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</w:p>
    <w:p w14:paraId="38FB2CF2">
      <w:pPr>
        <w:spacing w:before="240" w:after="12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</w:p>
    <w:p w14:paraId="46C47580">
      <w:pPr>
        <w:spacing w:before="240" w:after="12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</w:p>
    <w:p w14:paraId="1DF4F01D">
      <w:pPr>
        <w:spacing w:before="240" w:after="12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</w:p>
    <w:p w14:paraId="3FB4A1CF">
      <w:pPr>
        <w:spacing w:before="240" w:after="12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bookmarkStart w:id="0" w:name="OLE_LINK1"/>
      <w:r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《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火力发电厂建（构）筑物全过程技术评价导则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》</w:t>
      </w:r>
    </w:p>
    <w:p w14:paraId="7B0FC594">
      <w:pPr>
        <w:spacing w:before="240" w:after="12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编制说明</w:t>
      </w:r>
    </w:p>
    <w:p w14:paraId="30F8DEAD">
      <w:pPr>
        <w:rPr>
          <w:sz w:val="22"/>
          <w:szCs w:val="24"/>
          <w:lang w:val="zh-CN"/>
        </w:rPr>
      </w:pPr>
    </w:p>
    <w:p w14:paraId="568363D8">
      <w:pPr>
        <w:pStyle w:val="11"/>
        <w:spacing w:before="0" w:beforeAutospacing="0" w:after="0" w:afterAutospacing="0"/>
        <w:jc w:val="center"/>
        <w:textAlignment w:val="baseline"/>
        <w:rPr>
          <w:rFonts w:ascii="方正黑体_GBK" w:hAnsi="Times New Roman" w:eastAsia="方正黑体_GBK" w:cs="Times New Roman"/>
          <w:sz w:val="36"/>
          <w:szCs w:val="36"/>
          <w:lang w:val="zh-CN"/>
        </w:rPr>
      </w:pPr>
    </w:p>
    <w:p w14:paraId="7D1E03F6">
      <w:pPr>
        <w:pStyle w:val="11"/>
        <w:spacing w:before="0" w:beforeAutospacing="0" w:after="0" w:afterAutospacing="0"/>
        <w:jc w:val="center"/>
        <w:textAlignment w:val="baseline"/>
        <w:rPr>
          <w:rFonts w:hint="eastAsia"/>
          <w:lang w:val="zh-CN"/>
        </w:rPr>
      </w:pPr>
      <w:r>
        <w:rPr>
          <w:lang w:val="zh-CN"/>
        </w:rPr>
        <w:br w:type="page"/>
      </w:r>
    </w:p>
    <w:p w14:paraId="1AC4B76B">
      <w:pPr>
        <w:spacing w:before="380" w:after="140" w:line="288" w:lineRule="auto"/>
        <w:jc w:val="left"/>
        <w:outlineLvl w:val="0"/>
        <w:rPr>
          <w:rFonts w:ascii="Arial" w:hAnsi="Arial" w:eastAsia="等线" w:cs="Arial"/>
          <w:b/>
          <w:kern w:val="0"/>
          <w:sz w:val="36"/>
        </w:rPr>
      </w:pPr>
      <w:bookmarkStart w:id="1" w:name="_Toc29779"/>
      <w:r>
        <w:rPr>
          <w:rFonts w:hint="eastAsia" w:ascii="Arial" w:hAnsi="Arial" w:eastAsia="等线" w:cs="Arial"/>
          <w:b/>
          <w:kern w:val="0"/>
          <w:sz w:val="36"/>
        </w:rPr>
        <w:t>一、工作简况</w:t>
      </w:r>
      <w:bookmarkEnd w:id="1"/>
    </w:p>
    <w:p w14:paraId="07BD474F">
      <w:pPr>
        <w:spacing w:before="320" w:after="120" w:line="288" w:lineRule="auto"/>
        <w:jc w:val="left"/>
        <w:rPr>
          <w:rFonts w:ascii="Arial" w:hAnsi="Arial" w:eastAsia="等线" w:cs="Arial"/>
          <w:b/>
          <w:kern w:val="0"/>
          <w:sz w:val="32"/>
        </w:rPr>
      </w:pPr>
      <w:bookmarkStart w:id="2" w:name="_Toc7708"/>
      <w:r>
        <w:rPr>
          <w:rFonts w:hint="eastAsia" w:ascii="Arial" w:hAnsi="Arial" w:eastAsia="等线" w:cs="Arial"/>
          <w:b/>
          <w:kern w:val="0"/>
          <w:sz w:val="32"/>
        </w:rPr>
        <w:t>（一）任务来源</w:t>
      </w:r>
      <w:bookmarkEnd w:id="2"/>
    </w:p>
    <w:p w14:paraId="0365677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ascii="方正仿宋_GBK" w:hAnsi="方正仿宋_GBK" w:eastAsia="方正仿宋_GBK" w:cs="方正仿宋_GBK"/>
          <w:sz w:val="24"/>
          <w:szCs w:val="24"/>
        </w:rPr>
        <w:t>本标准根据中国电力建设企业协会《关于印发2025年第一批中国电力建设企业协会团体标准制定计划的通知》（中电建协〔2025〕131号）安排立项，由中国电力建设企业协会标准化管理委员会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负责管辖</w:t>
      </w:r>
      <w:r>
        <w:rPr>
          <w:rFonts w:ascii="方正仿宋_GBK" w:hAnsi="方正仿宋_GBK" w:eastAsia="方正仿宋_GBK" w:cs="方正仿宋_GBK"/>
          <w:sz w:val="24"/>
          <w:szCs w:val="24"/>
        </w:rPr>
        <w:t>，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国网辽宁省电力有限公司电力科学研究院牵头，联合中国能源建设集团辽宁电力勘测设计院有限公司、辽宁省送变电工程有限公司、苏州热工研究院有限公司、国网冀北电力有限公司经济技术研究院等单位共同编制完成。</w:t>
      </w:r>
    </w:p>
    <w:p w14:paraId="643ED176">
      <w:pPr>
        <w:spacing w:before="320" w:after="120" w:line="288" w:lineRule="auto"/>
        <w:jc w:val="left"/>
        <w:rPr>
          <w:rFonts w:ascii="Arial" w:hAnsi="Arial" w:eastAsia="等线" w:cs="Arial"/>
          <w:b/>
          <w:kern w:val="0"/>
          <w:sz w:val="32"/>
        </w:rPr>
      </w:pPr>
      <w:bookmarkStart w:id="3" w:name="_Toc5008"/>
      <w:r>
        <w:rPr>
          <w:rFonts w:hint="eastAsia" w:ascii="Arial" w:hAnsi="Arial" w:eastAsia="等线" w:cs="Arial"/>
          <w:b/>
          <w:kern w:val="0"/>
          <w:sz w:val="32"/>
        </w:rPr>
        <w:t>（二）</w:t>
      </w:r>
      <w:bookmarkEnd w:id="3"/>
      <w:r>
        <w:rPr>
          <w:rFonts w:hint="eastAsia" w:ascii="Arial" w:hAnsi="Arial" w:eastAsia="等线" w:cs="Arial"/>
          <w:b/>
          <w:kern w:val="0"/>
          <w:sz w:val="32"/>
        </w:rPr>
        <w:t>制定背景</w:t>
      </w:r>
    </w:p>
    <w:p w14:paraId="2F3D7F7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火力发电厂建（构）筑物作为发电生产的重要载体，其结构安全与使用功能直接影响电力生产的连续性和人员设备安全。建（构）筑物涵盖主厂房、冷却塔、烟囱、输煤系统、电气建（构）筑物等多种类型，涉及勘察设计、施工建设、运维检修、技术改造等全生命周期各阶段。然而，当前火电厂建（构）筑物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工作缺乏系统化、全过程的技术标准指导，各阶段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内容、程序和要求不统一，导致结构安全隐患难以及时发现和有效处置。</w:t>
      </w:r>
    </w:p>
    <w:p w14:paraId="52B1394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为有效解决上述问题，规范火力发电厂建（构）筑物全过程技术评价工作，保障建（构）筑物在全生命周期内的结构安全、使用功能和耐久性，提升发电企业技术管理水平，亟需制定一部专门的《火力发电厂建（构）筑物全过程技术评价导则》。本标准的制定将填补该领域全过程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标准的空白，为火力发电企业开展建（构）筑物专业技术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工作提供系统的技术依据，对提升火电厂建（构）筑物安全可靠性、延长使用寿命、保障电力安全生产具有重要意义。</w:t>
      </w:r>
    </w:p>
    <w:p w14:paraId="23410746">
      <w:pPr>
        <w:pStyle w:val="2"/>
        <w:rPr>
          <w:rFonts w:hint="eastAsia"/>
        </w:rPr>
      </w:pPr>
    </w:p>
    <w:p w14:paraId="1611FD27">
      <w:pPr>
        <w:spacing w:before="320" w:after="120" w:line="288" w:lineRule="auto"/>
        <w:jc w:val="left"/>
        <w:rPr>
          <w:rFonts w:ascii="Arial" w:hAnsi="Arial" w:eastAsia="等线" w:cs="Arial"/>
          <w:b/>
          <w:kern w:val="0"/>
          <w:sz w:val="32"/>
        </w:rPr>
      </w:pPr>
      <w:bookmarkStart w:id="4" w:name="_Toc223"/>
      <w:r>
        <w:rPr>
          <w:rFonts w:hint="eastAsia" w:ascii="Arial" w:hAnsi="Arial" w:eastAsia="等线" w:cs="Arial"/>
          <w:b/>
          <w:kern w:val="0"/>
          <w:sz w:val="32"/>
        </w:rPr>
        <w:t>（三）起草过程</w:t>
      </w:r>
      <w:bookmarkEnd w:id="4"/>
    </w:p>
    <w:p w14:paraId="2F53163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本文件由中电建协标委会组织，主编单位由国网辽宁省电力有限公司电力科学研究院牵头，参编单位中国能源建设集团辽宁电力勘测设计院有限公司、辽宁省送变电工程有限公司、苏州热工研究院有限公司、国网冀北电力有限公司经济技术研究院共5家单位联合编制完成。</w:t>
      </w:r>
    </w:p>
    <w:p w14:paraId="1443C36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2025年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11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月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日，</w:t>
      </w:r>
      <w:r>
        <w:rPr>
          <w:rFonts w:ascii="方正仿宋_GBK" w:hAnsi="方正仿宋_GBK" w:eastAsia="方正仿宋_GBK" w:cs="方正仿宋_GBK"/>
          <w:sz w:val="24"/>
          <w:szCs w:val="24"/>
        </w:rPr>
        <w:t>中国电力建设企业协会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组织线上</w:t>
      </w:r>
      <w:r>
        <w:rPr>
          <w:rFonts w:ascii="方正仿宋_GBK" w:hAnsi="方正仿宋_GBK" w:eastAsia="方正仿宋_GBK" w:cs="方正仿宋_GBK"/>
          <w:sz w:val="24"/>
          <w:szCs w:val="24"/>
        </w:rPr>
        <w:t>召开标准启动会，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主编单位会同各参编单位进行了初步沟通，明确了标准编制的必要性和基本方向，确定了覆盖勘察设计、施工建设、运维检修、防洪抗震及技术改造全过程的编制思路。</w:t>
      </w:r>
    </w:p>
    <w:p w14:paraId="06AB6A0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2025年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11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月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14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日，中国电力建设企业协会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组织线上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召开了标准初稿讨论会，</w:t>
      </w:r>
      <w:r>
        <w:rPr>
          <w:rFonts w:ascii="方正仿宋_GBK" w:hAnsi="方正仿宋_GBK" w:eastAsia="方正仿宋_GBK" w:cs="方正仿宋_GBK"/>
          <w:sz w:val="24"/>
          <w:szCs w:val="24"/>
        </w:rPr>
        <w:t>集中学习了《中国电力建设企业协会团体标准编制要求》和《团体标准的审查和编写规则》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，确定了标准大纲、编制分工及进度计划，明确了各章节核心内容和编写责任人。</w:t>
      </w:r>
    </w:p>
    <w:p w14:paraId="42F52B6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2025年12月17日-19日， 中国电力建设企业协会在河南洛阳组织召开了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稿讨论会，邀请相关单位专家参会，会上对标准逐条进行讨论，重点针对勘察设计期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、施工建设期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、运维检修期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三大核心章节以及防洪、抗震、技改三个专项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的技术要求进行深入研讨，形成标准修改稿。</w:t>
      </w:r>
    </w:p>
    <w:p w14:paraId="144B802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2026年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月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12日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，中国电力建设企业协会组织线上召开了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征求意见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稿讨论会，对标准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征求意见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稿进行全面审查，会后根据意见完成修改，形成征求意见稿。</w:t>
      </w:r>
    </w:p>
    <w:p w14:paraId="0E0A889C">
      <w:pPr>
        <w:spacing w:before="380" w:after="140" w:line="288" w:lineRule="auto"/>
        <w:jc w:val="left"/>
        <w:outlineLvl w:val="0"/>
        <w:rPr>
          <w:rFonts w:ascii="Arial" w:hAnsi="Arial" w:eastAsia="等线" w:cs="Arial"/>
          <w:b/>
          <w:kern w:val="0"/>
          <w:sz w:val="36"/>
        </w:rPr>
      </w:pPr>
      <w:bookmarkStart w:id="5" w:name="heading_4"/>
      <w:bookmarkStart w:id="6" w:name="_Toc20468"/>
      <w:r>
        <w:rPr>
          <w:rFonts w:ascii="Arial" w:hAnsi="Arial" w:eastAsia="等线" w:cs="Arial"/>
          <w:b/>
          <w:kern w:val="0"/>
          <w:sz w:val="36"/>
        </w:rPr>
        <w:t>二、标准编制原则、主要内容及其确定依据</w:t>
      </w:r>
      <w:bookmarkEnd w:id="5"/>
    </w:p>
    <w:bookmarkEnd w:id="6"/>
    <w:p w14:paraId="63D1E217">
      <w:pPr>
        <w:spacing w:before="320" w:after="120" w:line="288" w:lineRule="auto"/>
        <w:jc w:val="left"/>
        <w:rPr>
          <w:rFonts w:ascii="Arial" w:hAnsi="Arial" w:eastAsia="等线" w:cs="Arial"/>
          <w:b/>
          <w:kern w:val="0"/>
          <w:sz w:val="32"/>
        </w:rPr>
      </w:pPr>
      <w:bookmarkStart w:id="7" w:name="heading_5"/>
      <w:r>
        <w:rPr>
          <w:rFonts w:ascii="Arial" w:hAnsi="Arial" w:eastAsia="等线" w:cs="Arial"/>
          <w:b/>
          <w:kern w:val="0"/>
          <w:sz w:val="32"/>
        </w:rPr>
        <w:t>（一）标准编制原则</w:t>
      </w:r>
      <w:bookmarkEnd w:id="7"/>
    </w:p>
    <w:p w14:paraId="24B2EDF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ascii="方正仿宋_GBK" w:hAnsi="方正仿宋_GBK" w:eastAsia="方正仿宋_GBK" w:cs="方正仿宋_GBK"/>
          <w:sz w:val="24"/>
          <w:szCs w:val="24"/>
        </w:rPr>
        <w:t>1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.</w:t>
      </w:r>
      <w:r>
        <w:rPr>
          <w:rFonts w:ascii="方正仿宋_GBK" w:hAnsi="方正仿宋_GBK" w:eastAsia="方正仿宋_GBK" w:cs="方正仿宋_GBK"/>
          <w:sz w:val="24"/>
          <w:szCs w:val="24"/>
        </w:rPr>
        <w:t xml:space="preserve"> 符合相关规定要求。本标准编制严格遵守《中国电力建设企业协会标准管理办法（试行）》，编写格式执行GB/T 1.1-2020《标准化工作导则 第1部分：标准化文件的结构和起草规则》。</w:t>
      </w:r>
    </w:p>
    <w:p w14:paraId="6E3D8B8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ascii="方正仿宋_GBK" w:hAnsi="方正仿宋_GBK" w:eastAsia="方正仿宋_GBK" w:cs="方正仿宋_GBK"/>
          <w:sz w:val="24"/>
          <w:szCs w:val="24"/>
        </w:rPr>
        <w:t>2.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 xml:space="preserve"> 注重与国家法律法规和相关标准的协调性。 与《中华人民共和国防洪法》《中华人民共和国防汛条例》等法律法规，以及GB 55001《工程结构通用规范》、GB 50144《工业建筑可靠性鉴定标准》、DL/T 1051《电力技术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监督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导则》等相关现行标准协调配套，避免重复与矛盾，确保标准发布实施的可操作性。</w:t>
      </w:r>
    </w:p>
    <w:p w14:paraId="6653EC8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3</w:t>
      </w:r>
      <w:r>
        <w:rPr>
          <w:rFonts w:ascii="方正仿宋_GBK" w:hAnsi="方正仿宋_GBK" w:eastAsia="方正仿宋_GBK" w:cs="方正仿宋_GBK"/>
          <w:sz w:val="24"/>
          <w:szCs w:val="24"/>
        </w:rPr>
        <w:t>.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 xml:space="preserve"> 充分体现全过程技术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理念。 紧密结合火力发电厂建（构）筑物的特点，系统梳理勘察设计、施工建设、运维检修、技术改造等全生命周期的技术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要求，针对动力建（构）筑物、水工建（构）筑物、燃料建（构）筑物、电气建（构）筑物及辅助附属建（构）筑物等不同类型，细化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内容、程序和要求，确保导则内容系统、完整。</w:t>
      </w:r>
    </w:p>
    <w:p w14:paraId="6336627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4</w:t>
      </w:r>
      <w:r>
        <w:rPr>
          <w:rFonts w:ascii="方正仿宋_GBK" w:hAnsi="方正仿宋_GBK" w:eastAsia="方正仿宋_GBK" w:cs="方正仿宋_GBK"/>
          <w:sz w:val="24"/>
          <w:szCs w:val="24"/>
        </w:rPr>
        <w:t>.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 xml:space="preserve"> 突出实用性和可操作性。 针对火电厂建（构）筑物技术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工作的实际需求，明确各阶段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检查的具体内容、方法和评价标准，附录中提供施工建设期、运维检修期的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检查表，便于现场应用和对照执行，确保导则具有可操作性和现场指导性。</w:t>
      </w:r>
    </w:p>
    <w:p w14:paraId="3CA580D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5. 民主协同编制。 充分发扬民主，广泛征求行业主管部门、科研院所、建设单位、设计单位、施工单位、运维单位等多方意见，协调各参编单位达成共识，确保标准内容全面、公正、权威。</w:t>
      </w:r>
    </w:p>
    <w:p w14:paraId="0F96C3B6">
      <w:pPr>
        <w:spacing w:before="320" w:after="120" w:line="288" w:lineRule="auto"/>
        <w:jc w:val="left"/>
        <w:rPr>
          <w:rFonts w:ascii="Arial" w:hAnsi="Arial" w:eastAsia="等线" w:cs="Arial"/>
          <w:b/>
          <w:kern w:val="0"/>
          <w:sz w:val="32"/>
        </w:rPr>
      </w:pPr>
      <w:bookmarkStart w:id="8" w:name="heading_6"/>
      <w:r>
        <w:rPr>
          <w:rFonts w:ascii="Arial" w:hAnsi="Arial" w:eastAsia="等线" w:cs="Arial"/>
          <w:b/>
          <w:kern w:val="0"/>
          <w:sz w:val="32"/>
        </w:rPr>
        <w:t>（二）标准主要内容</w:t>
      </w:r>
      <w:bookmarkEnd w:id="8"/>
    </w:p>
    <w:p w14:paraId="647D20F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本导则共分为10章和4个附录，系统介绍了火力发电厂建（构）筑物全过程技术评价的要求和方法。核心内容包括：</w:t>
      </w:r>
    </w:p>
    <w:p w14:paraId="7AAA356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第1-3章：范围、规范性引用文件、术语和定义。明确了本标准的适用范围、引用标准和关键术语定义，包括动力建（构）筑物、水工建（构）筑物、燃料建（构）筑物、电气建（构）筑物、辅助附属建（构）筑物等五类建（构）筑物的具体定义。</w:t>
      </w:r>
    </w:p>
    <w:p w14:paraId="5CFE0AF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第4章：总则。明确了技术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工作的方针、原则、责任主体、管理体系及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内容，规定发电企业应建立健全建（构）筑物技术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体系，明确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职责，配备专业人员。</w:t>
      </w:r>
    </w:p>
    <w:p w14:paraId="7F9B8FF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第5章：勘察设计期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。涵盖了设计技术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通用要求、工程勘察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、建筑与结构设计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、暖通与冷却系统设计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、给水排水与水工设计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、施工前期设计技术交底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、施工过程设计符合性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及施工验收阶段设计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等内容。</w:t>
      </w:r>
    </w:p>
    <w:p w14:paraId="3B99D3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第6章：施工建设期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。规定了施工建设期各阶段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检查应具备的条件、技术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检查的一般要求、原材料验收、工程质量验收、质量保修与维护、工程测量、地基基础工程施工、混凝土结构工程、钢结构施工、砌筑工程施工、屋面工程施工、装饰装修及附属工程等内容，并附有详细的检查要求。</w:t>
      </w:r>
    </w:p>
    <w:p w14:paraId="079701D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第7章：运维检修期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。涵盖通用要求、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检查（日常巡查、定期检查、应急检查、专业检查）、安全监测、应急管理、结构分析、鉴定评级、实体缺陷检查等内容，明确了运营阶段的技术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管理要求。</w:t>
      </w:r>
    </w:p>
    <w:p w14:paraId="401094D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第8章：防洪专项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。包括一般规定、规划设计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、施工期防洪度汛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、日常运行防洪度汛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（汛前、汛期、汛后），针对防洪防汛工作提出专项技术要求。</w:t>
      </w:r>
    </w:p>
    <w:p w14:paraId="0780AEA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第9章：抗震专项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。明确了建（构）筑物的抗震设防类别划分、抗震设防烈度确定、抗震设计、抗震性能鉴定、抗震加固等要求。</w:t>
      </w:r>
    </w:p>
    <w:p w14:paraId="345C9EB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第10章：技改专项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。规定了技术改造前应进行可靠性鉴定、加固设计、加固施工质量控制、维护与改造要求等内容。</w:t>
      </w:r>
    </w:p>
    <w:p w14:paraId="11B99D4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附录A-D：提供了施工建设期技术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检查表、施工建设期建构筑物结构情况检查表、运维检修期技术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检查表、运维检修期建构筑物结构情况检查表，便于现场应用。</w:t>
      </w:r>
    </w:p>
    <w:p w14:paraId="0A4AC3D9">
      <w:pPr>
        <w:spacing w:before="320" w:after="120" w:line="288" w:lineRule="auto"/>
        <w:jc w:val="left"/>
        <w:rPr>
          <w:rFonts w:ascii="Arial" w:hAnsi="Arial" w:eastAsia="等线" w:cs="Arial"/>
          <w:b/>
          <w:kern w:val="0"/>
          <w:sz w:val="32"/>
        </w:rPr>
      </w:pPr>
      <w:bookmarkStart w:id="9" w:name="heading_7"/>
      <w:r>
        <w:rPr>
          <w:rFonts w:ascii="Arial" w:hAnsi="Arial" w:eastAsia="等线" w:cs="Arial"/>
          <w:b/>
          <w:kern w:val="0"/>
          <w:sz w:val="32"/>
        </w:rPr>
        <w:t>（三）标准主要内容确定依据</w:t>
      </w:r>
      <w:bookmarkEnd w:id="9"/>
    </w:p>
    <w:p w14:paraId="726CD66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本标准参照技术类标准，主要内容按照GB/T 1.1-2020《标准化工作导则 第1部分：标准化文件的结构和起草规则》的规定起草。</w:t>
      </w:r>
    </w:p>
    <w:p w14:paraId="59CD201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核心内容确定主要依据以下几方面：一是国家相关法律法规要求，如《中华人民共和国防洪法》《中华人民共和国防汛条例》等；二是现有相关标准体系，充分借鉴GB 55001《工程结构通用规范》、GB 50144《工业建筑可靠性鉴定标准》、GB 50007《建筑地基基础设计规范》、DL/T 1051《电力技术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监督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导则》等40余项国家及行业标准的先进理念与技术要求；三是行业专家与企业反馈意见，结合火电厂建（构）筑物技术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的实际需求，优化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内容、方法和评价指标，确保标准的科学性与可操作性。</w:t>
      </w:r>
    </w:p>
    <w:p w14:paraId="4442CAFF">
      <w:pPr>
        <w:spacing w:before="380" w:after="140" w:line="288" w:lineRule="auto"/>
        <w:jc w:val="left"/>
        <w:outlineLvl w:val="0"/>
        <w:rPr>
          <w:rFonts w:ascii="Arial" w:hAnsi="Arial" w:eastAsia="等线" w:cs="Arial"/>
          <w:b/>
          <w:kern w:val="0"/>
          <w:sz w:val="36"/>
        </w:rPr>
      </w:pPr>
      <w:bookmarkStart w:id="10" w:name="heading_8"/>
      <w:r>
        <w:rPr>
          <w:rFonts w:ascii="Arial" w:hAnsi="Arial" w:eastAsia="等线" w:cs="Arial"/>
          <w:b/>
          <w:kern w:val="0"/>
          <w:sz w:val="36"/>
        </w:rPr>
        <w:t>三、试验验证的分析、综述报告，技术经济论证，预期的经济效益、社会效益和生态效益</w:t>
      </w:r>
      <w:bookmarkEnd w:id="10"/>
    </w:p>
    <w:p w14:paraId="7157341E">
      <w:pPr>
        <w:spacing w:before="320" w:after="120" w:line="288" w:lineRule="auto"/>
        <w:jc w:val="left"/>
        <w:rPr>
          <w:rFonts w:ascii="Arial" w:hAnsi="Arial" w:eastAsia="等线" w:cs="Arial"/>
          <w:b/>
          <w:kern w:val="0"/>
          <w:sz w:val="32"/>
        </w:rPr>
      </w:pPr>
      <w:r>
        <w:rPr>
          <w:rFonts w:hint="eastAsia" w:ascii="Arial" w:hAnsi="Arial" w:eastAsia="等线" w:cs="Arial"/>
          <w:b/>
          <w:kern w:val="0"/>
          <w:sz w:val="32"/>
        </w:rPr>
        <w:t>（一）试验验证分析与综述</w:t>
      </w:r>
    </w:p>
    <w:p w14:paraId="00481C7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编制过程中，编制工作组选取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辽宁多个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典型火力发电厂开展试点验证，针对动力建（构）筑物（主厂房、锅炉房、烟囱等）、水工建（构）筑物（冷却塔、循环水泵房等）、燃料建（构）筑物（输煤栈桥、碎煤机室等）、电气建（构）筑物（升压站、配电室等）及辅助附属建（构）筑物，对照本标准各章节要求，开展全过程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试点应用。</w:t>
      </w:r>
    </w:p>
    <w:p w14:paraId="739525B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通过将本标准的勘察设计期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要求、施工建设期检查要点、运维检修期巡查与监测要求、防洪抗震专项措施、技改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程序等与试点项目的实际技术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工作进行对标验证，重点验证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内容的全面性、检查方法的适用性、评价标准的合理性以及各阶段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工作的衔接协调性。</w:t>
      </w:r>
    </w:p>
    <w:p w14:paraId="30208E5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试点验证结果表明：</w:t>
      </w:r>
    </w:p>
    <w:p w14:paraId="022DDED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体系的系统性：本标准提出的覆盖勘察设计、施工建设、运维检修、技术改造全过程的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体系，能够系统指导火电厂建（构）筑物技术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工作，有效衔接各阶段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内容，避免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盲区和重复工作。</w:t>
      </w:r>
    </w:p>
    <w:p w14:paraId="07DFE33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检查内容的实用性：附录中提供的施工建设期和运维检修期检查表，涵盖了地基基础、主体结构、围护结构、屋面防水、装饰装修等各部位的关键检查项目，检查内容具体、可操作性强，能够有效指导现场检查工作。</w:t>
      </w:r>
    </w:p>
    <w:p w14:paraId="3233626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专项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的针对性：防洪、抗震、技改三个专项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章节，针对火电厂面临的典型风险和改造需求，提出了专门的技术要求，试点电厂反映这些专项要求切合实际、指导性强。</w:t>
      </w:r>
    </w:p>
    <w:p w14:paraId="3953F60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问题识别的有效性：通过对照本标准开展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检查，识别出各类结构缺陷和安全隐患，包括混凝土结构裂缝、钢结构锈蚀、屋面渗漏、沉降异常等问题。</w:t>
      </w:r>
    </w:p>
    <w:p w14:paraId="34ABA7F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针对试点中发现的部分检查项目评价标准不够细化、个别检测方法表述不够明确等问题，编制工作组已对相关条款进行优化完善，进一步提升了标准与现场实际应用的贴合度。</w:t>
      </w:r>
    </w:p>
    <w:p w14:paraId="385848E9">
      <w:pPr>
        <w:spacing w:before="320" w:after="120" w:line="288" w:lineRule="auto"/>
        <w:jc w:val="left"/>
        <w:rPr>
          <w:rFonts w:ascii="Arial" w:hAnsi="Arial" w:eastAsia="等线" w:cs="Arial"/>
          <w:b/>
          <w:kern w:val="0"/>
          <w:sz w:val="32"/>
        </w:rPr>
      </w:pPr>
      <w:r>
        <w:rPr>
          <w:rFonts w:hint="eastAsia" w:ascii="Arial" w:hAnsi="Arial" w:eastAsia="等线" w:cs="Arial"/>
          <w:b/>
          <w:kern w:val="0"/>
          <w:sz w:val="32"/>
        </w:rPr>
        <w:t>（二）技术经济论证</w:t>
      </w:r>
    </w:p>
    <w:p w14:paraId="12F4EA8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技术层面，本标准作为首次发布的火力发电厂建（构）筑物全过程技术评价团体标准，构建了系统全面、层次清晰的火电厂建（构）筑物技术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体系，明确了勘察设计、施工建设、运维检修、技术改造各阶段的技术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内容、程序和要求，细化了日常巡查、定期检查、应急检查、专业检查的具体内容和方法，规定了安全监测、结构分析、鉴定评级的工作程序，提出了防洪、抗震专项技术要求。标准的实施能够引导发电企业统一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标准，提升建（构）筑物技术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的专业性与系统性，保障建（构）筑物在全生命周期内的结构安全。</w:t>
      </w:r>
    </w:p>
    <w:p w14:paraId="2DF1EEB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经济层面，标准的实施可带来以下经济效益：一是通过规范施工建设期的质量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，减少因施工质量问题导致的返工、加固等费用支出；二是通过规范的运维期巡查、监测和定期检查，及早发现结构缺陷，避免小问题演变为大隐患，降低维修加固成本；三是通过规范的技改前鉴定和加固设计，避免过度加固或加固不足造成的资源浪费；四是有效避免因建（构）筑物结构问题引发的设备损坏、生产中断等事故，减少设备维修更换费用和停电造成的生产损失。</w:t>
      </w:r>
    </w:p>
    <w:p w14:paraId="4B7B065E">
      <w:pPr>
        <w:spacing w:before="320" w:after="120" w:line="288" w:lineRule="auto"/>
        <w:jc w:val="left"/>
        <w:rPr>
          <w:rFonts w:ascii="Arial" w:hAnsi="Arial" w:eastAsia="等线" w:cs="Arial"/>
          <w:b/>
          <w:kern w:val="0"/>
          <w:sz w:val="32"/>
        </w:rPr>
      </w:pPr>
      <w:bookmarkStart w:id="11" w:name="_Toc13419"/>
      <w:r>
        <w:rPr>
          <w:rFonts w:hint="eastAsia" w:ascii="Arial" w:hAnsi="Arial" w:eastAsia="等线" w:cs="Arial"/>
          <w:b/>
          <w:kern w:val="0"/>
          <w:sz w:val="32"/>
        </w:rPr>
        <w:t>（三）预期</w:t>
      </w:r>
      <w:bookmarkEnd w:id="11"/>
      <w:r>
        <w:rPr>
          <w:rFonts w:hint="eastAsia" w:ascii="Arial" w:hAnsi="Arial" w:eastAsia="等线" w:cs="Arial"/>
          <w:b/>
          <w:kern w:val="0"/>
          <w:sz w:val="32"/>
        </w:rPr>
        <w:t>效益</w:t>
      </w:r>
    </w:p>
    <w:p w14:paraId="3EDF339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bookmarkStart w:id="12" w:name="_Toc28218"/>
      <w:r>
        <w:rPr>
          <w:rFonts w:hint="eastAsia" w:ascii="方正仿宋_GBK" w:hAnsi="方正仿宋_GBK" w:eastAsia="方正仿宋_GBK" w:cs="方正仿宋_GBK"/>
          <w:sz w:val="24"/>
          <w:szCs w:val="24"/>
        </w:rPr>
        <w:t>社会效益：本标准的实施将统一火力发电厂建（构）筑物全过程技术评价的技术规范，填补该领域全过程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标准的空白，推动火电厂建（构）筑物技术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工作的标准化、规范化开展，从技术源头提升建（构）筑物的结构安全性和使用可靠性，保障电力生产安全，筑牢电力能源保供的基层防线。</w:t>
      </w:r>
    </w:p>
    <w:p w14:paraId="448FC25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生态效益：本标准通过对建（构）筑物全生命周期的技术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，保障结构耐久性，延长建（构）筑物使用寿命，减少因结构过早失效导致的拆除重建带来的建筑垃圾和资源消耗；通过规范技改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，优化改造方案，避免资源浪费；通过保障结构安全，避免因建（构）筑物倒塌或严重损坏引发的次生环境事故。</w:t>
      </w:r>
    </w:p>
    <w:p w14:paraId="289185B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经济效益：对发电企业而言，标准的实施可统一建（构）筑物技术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依据，规范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程序和方法，提升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工作效率和质量，降低技术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成本；通过规范的巡查、监测和定期检查，及早发现并处理结构缺陷，延长建（构）筑物使用寿命，减少大修和更新改造投入；精准的技术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能有效避免因建（构）筑物结构问题引发的设备损坏、系统停电等事故，减少设备维修更换费用和停电造成的生产损失，提升企业运营效益。</w:t>
      </w:r>
    </w:p>
    <w:bookmarkEnd w:id="12"/>
    <w:p w14:paraId="6D8C0E76">
      <w:pPr>
        <w:spacing w:before="380" w:after="140" w:line="288" w:lineRule="auto"/>
        <w:jc w:val="left"/>
        <w:outlineLvl w:val="0"/>
      </w:pPr>
      <w:bookmarkStart w:id="13" w:name="heading_12"/>
      <w:r>
        <w:rPr>
          <w:rFonts w:ascii="Arial" w:hAnsi="Arial" w:eastAsia="等线" w:cs="Arial"/>
          <w:b/>
          <w:sz w:val="36"/>
        </w:rPr>
        <w:t>四、与国际、国内同类标准技术内容的对比情况</w:t>
      </w:r>
      <w:bookmarkEnd w:id="13"/>
    </w:p>
    <w:p w14:paraId="238AA98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在国际上，如ISO、IEC等组织制定了一系列与建筑物维护管理、结构可靠性相关的标准，但这些标准多为通用性要求，缺乏专门针对火力发电厂建（构）筑物全过程技术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的细致规范。欧美国家虽有电力行业的相关技术标准，但多侧重于发电设备本身，对建（构）筑物的全过程技术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关注不足。</w:t>
      </w:r>
    </w:p>
    <w:p w14:paraId="5259A67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在国内，虽然有《工业建筑可靠性鉴定标准》（GB 50144）、《建筑结构检测技术标准》（GB/T 50344）、《既有建筑鉴定与加固通用规范》（GB 55021）等建（构）筑物鉴定与检测标准，以及《电力技术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监督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导则》（DL/T 1051）等技术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通用标准，但这些标准或侧重于特定阶段的鉴定检测，或为通用性技术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要求，缺乏专门针对火力发电厂建（构）筑物、覆盖勘察设计、施工建设、运维检修、技术改造全过程的系统性技术评价标准。</w:t>
      </w:r>
    </w:p>
    <w:p w14:paraId="4CAF21C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本导则作为国内首部专门针对火力发电厂建（构）筑物全过程技术评价的团体标准，在继承现有建（构）筑物鉴定检测和技术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相关标准的基础上，结合火电厂建（构）筑物的类型特点和运行环境，构建了一套覆盖全生命周期、系统完整的技术评价体系。其全过程性、专业针对性和实用操作性将显著提升火电厂建（构）筑物技术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工作的系统性和规范性，为发电企业提供权威技术依据。</w:t>
      </w:r>
    </w:p>
    <w:p w14:paraId="3F11E8B9">
      <w:pPr>
        <w:spacing w:before="380" w:after="140" w:line="288" w:lineRule="auto"/>
        <w:jc w:val="left"/>
        <w:outlineLvl w:val="0"/>
        <w:rPr>
          <w:rFonts w:ascii="Arial" w:hAnsi="Arial" w:eastAsia="等线" w:cs="Arial"/>
          <w:b/>
          <w:sz w:val="36"/>
        </w:rPr>
      </w:pPr>
      <w:bookmarkStart w:id="14" w:name="heading_13"/>
      <w:r>
        <w:rPr>
          <w:rFonts w:ascii="Arial" w:hAnsi="Arial" w:eastAsia="等线" w:cs="Arial"/>
          <w:b/>
          <w:sz w:val="36"/>
        </w:rPr>
        <w:t>五、以国际、国内标准为基础的起草情况，以及是否合规引用或者采用相关标准，并说明未采用相关标准的原因</w:t>
      </w:r>
      <w:bookmarkEnd w:id="14"/>
    </w:p>
    <w:p w14:paraId="1FCD142C">
      <w:pPr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本标准在起草过程中，以国内现行工程建设领域国家标准、行业标准为核心基础，充分衔接火力发电厂建（构）筑物技术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相关技术规范，精准吸收GB 55001《工程结构通用规范》、GB 50144《工业建筑可靠性鉴定标准》、GB 50007《建筑地基基础设计规范》、DL/T 1051《电力技术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监督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导则》等40余项核心标准的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原则、技术要求及验收规范，确保本标准与国内现有标准体系高度协调、衔接连贯，符合火电厂建（构）筑物技术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的行业技术发展现状与实际应用需求。</w:t>
      </w:r>
    </w:p>
    <w:p w14:paraId="00203827">
      <w:pPr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本标准严格合规引用上述相关国内标准，引用方式完全遵循GB/T 1.1-2020《标准化工作导则 第1部分：标准化文件的结构和起草规则》的规定：对注日期的引用文件，仅标注日期对应的版本适用于本标准；对不注日期的引用文件，其最新版本（包括所有的修改单）适用于本标准，保证了引用标准的规范性、有效性和适用性。</w:t>
      </w:r>
    </w:p>
    <w:p w14:paraId="331B26EC">
      <w:pPr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对于国际相关标准，本编制工作组虽开展了全面的研究与分析，但未直接采用，核心原因如下：一是适用场景与技术体系差异显著，国际相关建筑物维护管理标准多基于欧美国家的建筑结构体系、材料性能、环境条件和维护管理模式编制，与我国火力发电厂建（构）筑物的结构设计、施工工艺、运维体系存在较大区别，难以直接适配我国电厂的实际应用场景；二是我国已建立较为完善的建（构）筑物鉴定检测和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标准体系，本标准立足于国内现有标准基础进行深化和补充，更能满足国内火电厂的实际需求。</w:t>
      </w:r>
    </w:p>
    <w:p w14:paraId="0ABDD2D8">
      <w:pPr>
        <w:spacing w:before="380" w:after="140" w:line="288" w:lineRule="auto"/>
        <w:jc w:val="left"/>
        <w:outlineLvl w:val="0"/>
      </w:pPr>
      <w:bookmarkStart w:id="15" w:name="heading_14"/>
      <w:r>
        <w:rPr>
          <w:rFonts w:ascii="Arial" w:hAnsi="Arial" w:eastAsia="等线" w:cs="Arial"/>
          <w:b/>
          <w:sz w:val="36"/>
        </w:rPr>
        <w:t>六、与现行法律法规、强制性标准及其他标准的关系</w:t>
      </w:r>
      <w:bookmarkEnd w:id="15"/>
    </w:p>
    <w:p w14:paraId="51631B4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本导则严格遵循《中华人民共和国建筑法》《中华人民共和国安全生产法》《中华人民共和国防洪法》等国家法律及《建设工程质量管理条例》《中华人民共和国防汛条例》等行政法规要求，并与《工程结构通用规范》（GB 55001）、《建筑与市政地基基础通用规范》（GB 55003）、《既有建筑鉴定与加固通用规范》（GB 55021）、《工业建筑可靠性鉴定标准》（GB 50144）、《电力技术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val="en-US" w:eastAsia="zh-CN"/>
        </w:rPr>
        <w:t>监督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导则》（DL/T 1051）等现行标准在技术原则、实施逻辑上保持高度协调。其内容作为现有标准体系在火电厂建（构）筑物全过程技术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领域的深化和补充，与相关规范共同构成完整的建（构）筑物技术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标准框架，确保标准的技术一致性、逻辑连贯性和应用层次性。</w:t>
      </w:r>
    </w:p>
    <w:p w14:paraId="00DF6A13">
      <w:pPr>
        <w:spacing w:before="380" w:after="140" w:line="288" w:lineRule="auto"/>
        <w:jc w:val="left"/>
        <w:outlineLvl w:val="0"/>
      </w:pPr>
      <w:bookmarkStart w:id="16" w:name="heading_15"/>
      <w:r>
        <w:rPr>
          <w:rFonts w:ascii="Arial" w:hAnsi="Arial" w:eastAsia="等线" w:cs="Arial"/>
          <w:b/>
          <w:sz w:val="36"/>
        </w:rPr>
        <w:t>七、重大分歧意见的处理经过和依据</w:t>
      </w:r>
      <w:bookmarkEnd w:id="16"/>
    </w:p>
    <w:p w14:paraId="49539D6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ascii="方正仿宋_GBK" w:hAnsi="方正仿宋_GBK" w:eastAsia="方正仿宋_GBK" w:cs="方正仿宋_GBK"/>
          <w:sz w:val="24"/>
          <w:szCs w:val="24"/>
        </w:rPr>
        <w:t>在本规范编制过程的各次讨论会中，编制组内部对主要技术原则和框架认识一致。对于部分具体技术指标和验收方法的细节，通过充分讨论、协商，并参考相关标准和工程实例，均已达成共识。无重大分歧意见需要特别说明。</w:t>
      </w:r>
    </w:p>
    <w:p w14:paraId="7798C65A">
      <w:pPr>
        <w:spacing w:before="380" w:after="140" w:line="288" w:lineRule="auto"/>
        <w:jc w:val="left"/>
        <w:outlineLvl w:val="0"/>
      </w:pPr>
      <w:bookmarkStart w:id="17" w:name="heading_16"/>
      <w:r>
        <w:rPr>
          <w:rFonts w:ascii="Arial" w:hAnsi="Arial" w:eastAsia="等线" w:cs="Arial"/>
          <w:b/>
          <w:sz w:val="36"/>
        </w:rPr>
        <w:t>八、涉及专利的有关说明</w:t>
      </w:r>
      <w:bookmarkEnd w:id="17"/>
    </w:p>
    <w:p w14:paraId="1C7F891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ascii="方正仿宋_GBK" w:hAnsi="方正仿宋_GBK" w:eastAsia="方正仿宋_GBK" w:cs="方正仿宋_GBK"/>
          <w:sz w:val="24"/>
          <w:szCs w:val="24"/>
        </w:rPr>
        <w:t>经编制组核查，本规范内容不涉及已知的专利技术。</w:t>
      </w:r>
    </w:p>
    <w:p w14:paraId="46F7ABB9">
      <w:pPr>
        <w:spacing w:before="380" w:after="140" w:line="288" w:lineRule="auto"/>
        <w:jc w:val="left"/>
        <w:outlineLvl w:val="0"/>
      </w:pPr>
      <w:bookmarkStart w:id="18" w:name="heading_17"/>
      <w:r>
        <w:rPr>
          <w:rFonts w:ascii="Arial" w:hAnsi="Arial" w:eastAsia="等线" w:cs="Arial"/>
          <w:b/>
          <w:sz w:val="36"/>
        </w:rPr>
        <w:t>九、实施标准的要求，以及组织措施、技术措施、过渡期和实施日期等措施建议</w:t>
      </w:r>
      <w:bookmarkEnd w:id="18"/>
    </w:p>
    <w:p w14:paraId="4B80DEA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建议由中国电力建设企业协会组织标准的宣贯培训，面向发电企业、设计单位、施工单位、监理单位、检测机构等，对关键条款和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方法进行详细说明，确保各相关方准确理解和使用本规范。鼓励会员单位在火力发电厂新建、改建、扩建及在役运行项目中应用本规范，总结经验，持续优化。建议本标准批准发布后，设置不少于3个月的过渡期，便于各单位熟悉和准备。</w:t>
      </w:r>
    </w:p>
    <w:p w14:paraId="3C9653E5">
      <w:pPr>
        <w:spacing w:before="380" w:after="140" w:line="288" w:lineRule="auto"/>
        <w:jc w:val="left"/>
        <w:outlineLvl w:val="0"/>
      </w:pPr>
      <w:bookmarkStart w:id="19" w:name="heading_18"/>
      <w:r>
        <w:rPr>
          <w:rFonts w:ascii="Arial" w:hAnsi="Arial" w:eastAsia="等线" w:cs="Arial"/>
          <w:b/>
          <w:sz w:val="36"/>
        </w:rPr>
        <w:t>十、其他应当说明的事项</w:t>
      </w:r>
      <w:bookmarkEnd w:id="19"/>
    </w:p>
    <w:p w14:paraId="36CE0BA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本规范是2025年第一批立项的中国电力建设企业协会团体标准。本规范的制定旨在适应火力发电厂建（构）筑物技术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的需要，规范全过程技术评价行为，提升技术</w:t>
      </w:r>
      <w:r>
        <w:rPr>
          <w:rFonts w:hint="eastAsia" w:ascii="方正仿宋_GBK" w:hAnsi="方正仿宋_GBK" w:eastAsia="方正仿宋_GBK" w:cs="方正仿宋_GBK"/>
          <w:sz w:val="24"/>
          <w:szCs w:val="24"/>
          <w:lang w:eastAsia="zh-CN"/>
        </w:rPr>
        <w:t>评价</w:t>
      </w:r>
      <w:r>
        <w:rPr>
          <w:rFonts w:hint="eastAsia" w:ascii="方正仿宋_GBK" w:hAnsi="方正仿宋_GBK" w:eastAsia="方正仿宋_GBK" w:cs="方正仿宋_GBK"/>
          <w:sz w:val="24"/>
          <w:szCs w:val="24"/>
        </w:rPr>
        <w:t>水平，保障建（构）筑物结构安全。建议批准发布后，在实践中不断完善。</w:t>
      </w:r>
      <w:bookmarkEnd w:id="0"/>
    </w:p>
    <w:sectPr>
      <w:footerReference r:id="rId3" w:type="default"/>
      <w:pgSz w:w="11906" w:h="16838"/>
      <w:pgMar w:top="1440" w:right="1797" w:bottom="1191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ADB7327-C56E-4FAC-9B8F-CFC753E2E0B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917613E-6533-48C6-8800-A3AEF7BDF17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22BE4CAE-FA29-4E19-A00D-22FDA428BE19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A20DE31A-2D5E-4BAD-9CD0-06D367137D2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24B3EC60-D8EB-401A-A3EF-5BE1C3AF3537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6" w:fontKey="{76A1D731-93E8-4A99-84CF-BD41D59267BB}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PSEMBED3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9223212"/>
    </w:sdtPr>
    <w:sdtContent>
      <w:p w14:paraId="3E5D82DC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24721966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013"/>
    <w:rsid w:val="00000AE6"/>
    <w:rsid w:val="00020492"/>
    <w:rsid w:val="00023893"/>
    <w:rsid w:val="00024D98"/>
    <w:rsid w:val="00044269"/>
    <w:rsid w:val="0004459D"/>
    <w:rsid w:val="00057BA3"/>
    <w:rsid w:val="0006530F"/>
    <w:rsid w:val="00074955"/>
    <w:rsid w:val="00086901"/>
    <w:rsid w:val="00091D0F"/>
    <w:rsid w:val="00097897"/>
    <w:rsid w:val="00097DAF"/>
    <w:rsid w:val="000C32EC"/>
    <w:rsid w:val="000D324C"/>
    <w:rsid w:val="000E2618"/>
    <w:rsid w:val="000F2142"/>
    <w:rsid w:val="000F7F48"/>
    <w:rsid w:val="00100153"/>
    <w:rsid w:val="00112F64"/>
    <w:rsid w:val="00116337"/>
    <w:rsid w:val="00117281"/>
    <w:rsid w:val="00117D88"/>
    <w:rsid w:val="00121713"/>
    <w:rsid w:val="0012219B"/>
    <w:rsid w:val="0013750A"/>
    <w:rsid w:val="00145F7C"/>
    <w:rsid w:val="00146DDD"/>
    <w:rsid w:val="001668B0"/>
    <w:rsid w:val="00180FE7"/>
    <w:rsid w:val="00185834"/>
    <w:rsid w:val="0018651D"/>
    <w:rsid w:val="00186BB2"/>
    <w:rsid w:val="00186CAA"/>
    <w:rsid w:val="00192D36"/>
    <w:rsid w:val="0019642B"/>
    <w:rsid w:val="00196676"/>
    <w:rsid w:val="001A441C"/>
    <w:rsid w:val="001C2027"/>
    <w:rsid w:val="001C4FA5"/>
    <w:rsid w:val="001D7E5E"/>
    <w:rsid w:val="001E2BFB"/>
    <w:rsid w:val="001E2CBE"/>
    <w:rsid w:val="001F02D0"/>
    <w:rsid w:val="001F1E2B"/>
    <w:rsid w:val="00206485"/>
    <w:rsid w:val="002119A1"/>
    <w:rsid w:val="00213FE0"/>
    <w:rsid w:val="00230819"/>
    <w:rsid w:val="00246FF2"/>
    <w:rsid w:val="0025153B"/>
    <w:rsid w:val="00253EF1"/>
    <w:rsid w:val="00256185"/>
    <w:rsid w:val="002671F5"/>
    <w:rsid w:val="00282B17"/>
    <w:rsid w:val="002937CE"/>
    <w:rsid w:val="002B0FA5"/>
    <w:rsid w:val="002B3A32"/>
    <w:rsid w:val="002D085F"/>
    <w:rsid w:val="002E79B5"/>
    <w:rsid w:val="002F1A14"/>
    <w:rsid w:val="002F4022"/>
    <w:rsid w:val="00305191"/>
    <w:rsid w:val="00325CC6"/>
    <w:rsid w:val="003268B1"/>
    <w:rsid w:val="00334C3F"/>
    <w:rsid w:val="00335438"/>
    <w:rsid w:val="00335454"/>
    <w:rsid w:val="00340265"/>
    <w:rsid w:val="00343ECA"/>
    <w:rsid w:val="00353224"/>
    <w:rsid w:val="0035355A"/>
    <w:rsid w:val="0036010B"/>
    <w:rsid w:val="00363517"/>
    <w:rsid w:val="00372ED4"/>
    <w:rsid w:val="00380384"/>
    <w:rsid w:val="003833B1"/>
    <w:rsid w:val="0039506C"/>
    <w:rsid w:val="003A68D8"/>
    <w:rsid w:val="003B01A5"/>
    <w:rsid w:val="003B089A"/>
    <w:rsid w:val="003B10A1"/>
    <w:rsid w:val="003B789A"/>
    <w:rsid w:val="003C09A1"/>
    <w:rsid w:val="003D1260"/>
    <w:rsid w:val="003E2ED1"/>
    <w:rsid w:val="003E74AF"/>
    <w:rsid w:val="004039A0"/>
    <w:rsid w:val="004056D5"/>
    <w:rsid w:val="004120FD"/>
    <w:rsid w:val="00412F86"/>
    <w:rsid w:val="00415F1B"/>
    <w:rsid w:val="00424AA8"/>
    <w:rsid w:val="00426E72"/>
    <w:rsid w:val="00427977"/>
    <w:rsid w:val="004369ED"/>
    <w:rsid w:val="004410E2"/>
    <w:rsid w:val="004633EB"/>
    <w:rsid w:val="00464C40"/>
    <w:rsid w:val="00467E0D"/>
    <w:rsid w:val="004811DD"/>
    <w:rsid w:val="00490592"/>
    <w:rsid w:val="00492ED8"/>
    <w:rsid w:val="004A0959"/>
    <w:rsid w:val="004A25E0"/>
    <w:rsid w:val="004A4123"/>
    <w:rsid w:val="004A4A42"/>
    <w:rsid w:val="004B3D02"/>
    <w:rsid w:val="004C5D03"/>
    <w:rsid w:val="004D3E5F"/>
    <w:rsid w:val="004F2E76"/>
    <w:rsid w:val="004F3C7E"/>
    <w:rsid w:val="004F55EF"/>
    <w:rsid w:val="0051132F"/>
    <w:rsid w:val="00515DA6"/>
    <w:rsid w:val="005206A0"/>
    <w:rsid w:val="005226AB"/>
    <w:rsid w:val="005228C6"/>
    <w:rsid w:val="00526013"/>
    <w:rsid w:val="0053090A"/>
    <w:rsid w:val="005322FD"/>
    <w:rsid w:val="005421BA"/>
    <w:rsid w:val="00544642"/>
    <w:rsid w:val="005477B7"/>
    <w:rsid w:val="00572504"/>
    <w:rsid w:val="00573DFE"/>
    <w:rsid w:val="00574B87"/>
    <w:rsid w:val="00577168"/>
    <w:rsid w:val="00577280"/>
    <w:rsid w:val="00577ABF"/>
    <w:rsid w:val="00587462"/>
    <w:rsid w:val="00596742"/>
    <w:rsid w:val="005A0F94"/>
    <w:rsid w:val="005B188D"/>
    <w:rsid w:val="005B189E"/>
    <w:rsid w:val="005C2B31"/>
    <w:rsid w:val="005D4DA3"/>
    <w:rsid w:val="005D50A2"/>
    <w:rsid w:val="005E0488"/>
    <w:rsid w:val="005E0CB0"/>
    <w:rsid w:val="005E21D7"/>
    <w:rsid w:val="005E3FF6"/>
    <w:rsid w:val="005F337B"/>
    <w:rsid w:val="00607D03"/>
    <w:rsid w:val="00625DC7"/>
    <w:rsid w:val="006267DC"/>
    <w:rsid w:val="0063564C"/>
    <w:rsid w:val="00644FC0"/>
    <w:rsid w:val="0067347D"/>
    <w:rsid w:val="00676CBE"/>
    <w:rsid w:val="006800B5"/>
    <w:rsid w:val="00681A08"/>
    <w:rsid w:val="00690768"/>
    <w:rsid w:val="006A6DFD"/>
    <w:rsid w:val="006B0404"/>
    <w:rsid w:val="006C09A6"/>
    <w:rsid w:val="006D084F"/>
    <w:rsid w:val="006D28BD"/>
    <w:rsid w:val="006E1121"/>
    <w:rsid w:val="006E1739"/>
    <w:rsid w:val="006E30FD"/>
    <w:rsid w:val="006F25FC"/>
    <w:rsid w:val="00704B0A"/>
    <w:rsid w:val="0070702E"/>
    <w:rsid w:val="00710CA5"/>
    <w:rsid w:val="00716187"/>
    <w:rsid w:val="007164D5"/>
    <w:rsid w:val="00725C7E"/>
    <w:rsid w:val="00730FD7"/>
    <w:rsid w:val="00733A8E"/>
    <w:rsid w:val="00735C7A"/>
    <w:rsid w:val="007659F3"/>
    <w:rsid w:val="00767A36"/>
    <w:rsid w:val="007717BA"/>
    <w:rsid w:val="00777E0A"/>
    <w:rsid w:val="0078094D"/>
    <w:rsid w:val="007873CD"/>
    <w:rsid w:val="007C0CFB"/>
    <w:rsid w:val="007C460A"/>
    <w:rsid w:val="007D4271"/>
    <w:rsid w:val="007D5844"/>
    <w:rsid w:val="007D669B"/>
    <w:rsid w:val="007E38C5"/>
    <w:rsid w:val="007E3ADE"/>
    <w:rsid w:val="008111EB"/>
    <w:rsid w:val="00821E2D"/>
    <w:rsid w:val="008359C8"/>
    <w:rsid w:val="00841F31"/>
    <w:rsid w:val="008509BD"/>
    <w:rsid w:val="008664E9"/>
    <w:rsid w:val="00895E78"/>
    <w:rsid w:val="008A3B54"/>
    <w:rsid w:val="008B0AD3"/>
    <w:rsid w:val="008B5248"/>
    <w:rsid w:val="008C4E35"/>
    <w:rsid w:val="008D0DA7"/>
    <w:rsid w:val="008D237A"/>
    <w:rsid w:val="008D260F"/>
    <w:rsid w:val="008D2D8C"/>
    <w:rsid w:val="008D5AB5"/>
    <w:rsid w:val="008E3C6E"/>
    <w:rsid w:val="008E64EB"/>
    <w:rsid w:val="009057DF"/>
    <w:rsid w:val="00921751"/>
    <w:rsid w:val="00936916"/>
    <w:rsid w:val="0093696F"/>
    <w:rsid w:val="00940AC0"/>
    <w:rsid w:val="00944970"/>
    <w:rsid w:val="00951CB7"/>
    <w:rsid w:val="00952BF6"/>
    <w:rsid w:val="009534DC"/>
    <w:rsid w:val="00953A07"/>
    <w:rsid w:val="00962C69"/>
    <w:rsid w:val="00964007"/>
    <w:rsid w:val="0096619A"/>
    <w:rsid w:val="0097146A"/>
    <w:rsid w:val="00971722"/>
    <w:rsid w:val="0097564D"/>
    <w:rsid w:val="00992D4A"/>
    <w:rsid w:val="00997568"/>
    <w:rsid w:val="009A161F"/>
    <w:rsid w:val="009B0391"/>
    <w:rsid w:val="009B215B"/>
    <w:rsid w:val="009B6821"/>
    <w:rsid w:val="009C43A2"/>
    <w:rsid w:val="009C62CA"/>
    <w:rsid w:val="009E675F"/>
    <w:rsid w:val="00A03EB1"/>
    <w:rsid w:val="00A04EE7"/>
    <w:rsid w:val="00A07390"/>
    <w:rsid w:val="00A144AD"/>
    <w:rsid w:val="00A152D9"/>
    <w:rsid w:val="00A1602B"/>
    <w:rsid w:val="00A232CF"/>
    <w:rsid w:val="00A33A83"/>
    <w:rsid w:val="00A347F9"/>
    <w:rsid w:val="00A41C49"/>
    <w:rsid w:val="00A421B8"/>
    <w:rsid w:val="00A45489"/>
    <w:rsid w:val="00A539B0"/>
    <w:rsid w:val="00A61290"/>
    <w:rsid w:val="00A64474"/>
    <w:rsid w:val="00A76D53"/>
    <w:rsid w:val="00A81822"/>
    <w:rsid w:val="00A8361C"/>
    <w:rsid w:val="00A97674"/>
    <w:rsid w:val="00A97FEB"/>
    <w:rsid w:val="00AA2650"/>
    <w:rsid w:val="00AA64C3"/>
    <w:rsid w:val="00AA701B"/>
    <w:rsid w:val="00AA731F"/>
    <w:rsid w:val="00AB2094"/>
    <w:rsid w:val="00AC0955"/>
    <w:rsid w:val="00AD3436"/>
    <w:rsid w:val="00AF32B4"/>
    <w:rsid w:val="00AF510C"/>
    <w:rsid w:val="00AF674E"/>
    <w:rsid w:val="00AF7CD3"/>
    <w:rsid w:val="00B12300"/>
    <w:rsid w:val="00B15281"/>
    <w:rsid w:val="00B16299"/>
    <w:rsid w:val="00B17614"/>
    <w:rsid w:val="00B23A3F"/>
    <w:rsid w:val="00B247E3"/>
    <w:rsid w:val="00B35BF4"/>
    <w:rsid w:val="00B446CF"/>
    <w:rsid w:val="00B51DC3"/>
    <w:rsid w:val="00B5328F"/>
    <w:rsid w:val="00B53E6F"/>
    <w:rsid w:val="00B63826"/>
    <w:rsid w:val="00B80F96"/>
    <w:rsid w:val="00B82EB3"/>
    <w:rsid w:val="00B93FD7"/>
    <w:rsid w:val="00B96C36"/>
    <w:rsid w:val="00BA08A0"/>
    <w:rsid w:val="00BA1B38"/>
    <w:rsid w:val="00BA613C"/>
    <w:rsid w:val="00BB6B01"/>
    <w:rsid w:val="00BC7AEB"/>
    <w:rsid w:val="00BD2339"/>
    <w:rsid w:val="00BE5336"/>
    <w:rsid w:val="00BF11EA"/>
    <w:rsid w:val="00C30F8A"/>
    <w:rsid w:val="00C34943"/>
    <w:rsid w:val="00C34A5E"/>
    <w:rsid w:val="00C35867"/>
    <w:rsid w:val="00C5146E"/>
    <w:rsid w:val="00C53A4C"/>
    <w:rsid w:val="00C60471"/>
    <w:rsid w:val="00C63DE3"/>
    <w:rsid w:val="00C65155"/>
    <w:rsid w:val="00C672D5"/>
    <w:rsid w:val="00C72C54"/>
    <w:rsid w:val="00C807DE"/>
    <w:rsid w:val="00C81808"/>
    <w:rsid w:val="00C82E20"/>
    <w:rsid w:val="00C83DA7"/>
    <w:rsid w:val="00CA013F"/>
    <w:rsid w:val="00CA5468"/>
    <w:rsid w:val="00CA7310"/>
    <w:rsid w:val="00CB438F"/>
    <w:rsid w:val="00CB78AB"/>
    <w:rsid w:val="00CC2A18"/>
    <w:rsid w:val="00CC42E3"/>
    <w:rsid w:val="00CE406E"/>
    <w:rsid w:val="00CF2A5D"/>
    <w:rsid w:val="00D06519"/>
    <w:rsid w:val="00D17C1B"/>
    <w:rsid w:val="00D27AD2"/>
    <w:rsid w:val="00D30D51"/>
    <w:rsid w:val="00D43018"/>
    <w:rsid w:val="00D47C06"/>
    <w:rsid w:val="00D50305"/>
    <w:rsid w:val="00D5237E"/>
    <w:rsid w:val="00D56487"/>
    <w:rsid w:val="00D7581E"/>
    <w:rsid w:val="00D77EA4"/>
    <w:rsid w:val="00D80E56"/>
    <w:rsid w:val="00D84CAE"/>
    <w:rsid w:val="00D84CD3"/>
    <w:rsid w:val="00D87471"/>
    <w:rsid w:val="00D977D2"/>
    <w:rsid w:val="00DA7E6B"/>
    <w:rsid w:val="00DB1A00"/>
    <w:rsid w:val="00DB2631"/>
    <w:rsid w:val="00DB6148"/>
    <w:rsid w:val="00DC1E57"/>
    <w:rsid w:val="00DC67AE"/>
    <w:rsid w:val="00DE2A1F"/>
    <w:rsid w:val="00DE43D5"/>
    <w:rsid w:val="00DF570A"/>
    <w:rsid w:val="00E01C56"/>
    <w:rsid w:val="00E1670B"/>
    <w:rsid w:val="00E21284"/>
    <w:rsid w:val="00E23347"/>
    <w:rsid w:val="00E2386C"/>
    <w:rsid w:val="00E257E3"/>
    <w:rsid w:val="00E3561B"/>
    <w:rsid w:val="00E52484"/>
    <w:rsid w:val="00E5625B"/>
    <w:rsid w:val="00E61BDF"/>
    <w:rsid w:val="00E73F8C"/>
    <w:rsid w:val="00E80F87"/>
    <w:rsid w:val="00E82D14"/>
    <w:rsid w:val="00E83186"/>
    <w:rsid w:val="00E92357"/>
    <w:rsid w:val="00E934AB"/>
    <w:rsid w:val="00EA6080"/>
    <w:rsid w:val="00EB3272"/>
    <w:rsid w:val="00EB6FDC"/>
    <w:rsid w:val="00EC6A0A"/>
    <w:rsid w:val="00EE2288"/>
    <w:rsid w:val="00EE2417"/>
    <w:rsid w:val="00EE5EE1"/>
    <w:rsid w:val="00F0299F"/>
    <w:rsid w:val="00F21E34"/>
    <w:rsid w:val="00F24B66"/>
    <w:rsid w:val="00F3377C"/>
    <w:rsid w:val="00F340F7"/>
    <w:rsid w:val="00F36AE1"/>
    <w:rsid w:val="00F375B6"/>
    <w:rsid w:val="00F37ACC"/>
    <w:rsid w:val="00F51009"/>
    <w:rsid w:val="00F51879"/>
    <w:rsid w:val="00F53EB8"/>
    <w:rsid w:val="00F549A8"/>
    <w:rsid w:val="00F613CD"/>
    <w:rsid w:val="00F77377"/>
    <w:rsid w:val="00F87512"/>
    <w:rsid w:val="00F915A1"/>
    <w:rsid w:val="00FA5693"/>
    <w:rsid w:val="00FB1BD2"/>
    <w:rsid w:val="00FC20B3"/>
    <w:rsid w:val="00FC21FF"/>
    <w:rsid w:val="00FC2AFC"/>
    <w:rsid w:val="00FC50D7"/>
    <w:rsid w:val="00FD167A"/>
    <w:rsid w:val="00FD3A7D"/>
    <w:rsid w:val="00FD55D8"/>
    <w:rsid w:val="00FD6ADF"/>
    <w:rsid w:val="00FF267B"/>
    <w:rsid w:val="03010494"/>
    <w:rsid w:val="04C74740"/>
    <w:rsid w:val="05D12513"/>
    <w:rsid w:val="077154AB"/>
    <w:rsid w:val="0D6E096B"/>
    <w:rsid w:val="0EB03F8E"/>
    <w:rsid w:val="0F594976"/>
    <w:rsid w:val="13D774C6"/>
    <w:rsid w:val="14A971A6"/>
    <w:rsid w:val="158D0E46"/>
    <w:rsid w:val="19F67CCD"/>
    <w:rsid w:val="1ADA77D5"/>
    <w:rsid w:val="1C1A5B3B"/>
    <w:rsid w:val="1C7D31DB"/>
    <w:rsid w:val="1FDD1FE2"/>
    <w:rsid w:val="20F876CC"/>
    <w:rsid w:val="28893937"/>
    <w:rsid w:val="2C7F728B"/>
    <w:rsid w:val="2CC82C80"/>
    <w:rsid w:val="2D310A0B"/>
    <w:rsid w:val="2E460579"/>
    <w:rsid w:val="2F424350"/>
    <w:rsid w:val="319C528E"/>
    <w:rsid w:val="34401A8B"/>
    <w:rsid w:val="356C2617"/>
    <w:rsid w:val="3B1654FE"/>
    <w:rsid w:val="3DEE4511"/>
    <w:rsid w:val="3F6B2091"/>
    <w:rsid w:val="3FF61C8B"/>
    <w:rsid w:val="41115E7E"/>
    <w:rsid w:val="439675E4"/>
    <w:rsid w:val="47F86401"/>
    <w:rsid w:val="4A803C6D"/>
    <w:rsid w:val="4D607A39"/>
    <w:rsid w:val="4F1A477E"/>
    <w:rsid w:val="4F6A6B96"/>
    <w:rsid w:val="569024A4"/>
    <w:rsid w:val="571B06CB"/>
    <w:rsid w:val="5B9303FE"/>
    <w:rsid w:val="5F191856"/>
    <w:rsid w:val="60DF60FA"/>
    <w:rsid w:val="61A66D2D"/>
    <w:rsid w:val="635C60A7"/>
    <w:rsid w:val="64B5407E"/>
    <w:rsid w:val="6507080A"/>
    <w:rsid w:val="65546448"/>
    <w:rsid w:val="684F3C7A"/>
    <w:rsid w:val="687F15A9"/>
    <w:rsid w:val="68F62348"/>
    <w:rsid w:val="6A260536"/>
    <w:rsid w:val="6A3767C2"/>
    <w:rsid w:val="6B473663"/>
    <w:rsid w:val="6B91360F"/>
    <w:rsid w:val="6DA00AD4"/>
    <w:rsid w:val="6ED75A3E"/>
    <w:rsid w:val="781F28CB"/>
    <w:rsid w:val="7939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 w:locked="1"/>
    <w:lsdException w:qFormat="1" w:unhideWhenUsed="0" w:uiPriority="39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0"/>
    <w:qFormat/>
    <w:locked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unhideWhenUsed/>
    <w:qFormat/>
    <w:locked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link w:val="21"/>
    <w:qFormat/>
    <w:uiPriority w:val="1"/>
    <w:pPr>
      <w:spacing w:before="43"/>
      <w:ind w:left="120"/>
    </w:pPr>
    <w:rPr>
      <w:rFonts w:ascii="宋体" w:hAnsi="宋体" w:cstheme="minorBidi"/>
      <w:sz w:val="32"/>
      <w:szCs w:val="32"/>
    </w:rPr>
  </w:style>
  <w:style w:type="paragraph" w:styleId="6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locked/>
    <w:uiPriority w:val="39"/>
    <w:pPr>
      <w:tabs>
        <w:tab w:val="right" w:leader="dot" w:pos="9402"/>
      </w:tabs>
      <w:spacing w:line="240" w:lineRule="atLeast"/>
      <w:jc w:val="center"/>
    </w:pPr>
    <w:rPr>
      <w:rFonts w:ascii="Times New Roman" w:hAnsi="Times New Roman"/>
      <w:szCs w:val="24"/>
    </w:rPr>
  </w:style>
  <w:style w:type="paragraph" w:styleId="10">
    <w:name w:val="toc 2"/>
    <w:basedOn w:val="1"/>
    <w:next w:val="1"/>
    <w:qFormat/>
    <w:locked/>
    <w:uiPriority w:val="39"/>
    <w:pPr>
      <w:spacing w:line="240" w:lineRule="atLeast"/>
      <w:ind w:left="420" w:leftChars="200"/>
    </w:pPr>
    <w:rPr>
      <w:rFonts w:ascii="Times New Roman" w:hAnsi="Times New Roman"/>
      <w:szCs w:val="24"/>
    </w:rPr>
  </w:style>
  <w:style w:type="paragraph" w:styleId="11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4">
    <w:name w:val="Hyperlink"/>
    <w:qFormat/>
    <w:uiPriority w:val="99"/>
    <w:rPr>
      <w:rFonts w:ascii="Times New Roman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customStyle="1" w:styleId="15">
    <w:name w:val="页眉 字符"/>
    <w:basedOn w:val="13"/>
    <w:link w:val="8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页脚 字符"/>
    <w:basedOn w:val="13"/>
    <w:link w:val="7"/>
    <w:qFormat/>
    <w:locked/>
    <w:uiPriority w:val="99"/>
    <w:rPr>
      <w:rFonts w:cs="Times New Roman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paragraph" w:customStyle="1" w:styleId="18">
    <w:name w:val="1级标题"/>
    <w:basedOn w:val="3"/>
    <w:link w:val="19"/>
    <w:qFormat/>
    <w:uiPriority w:val="0"/>
    <w:pPr>
      <w:snapToGrid w:val="0"/>
      <w:spacing w:before="0" w:beforeLines="50" w:after="0" w:afterLines="100" w:line="360" w:lineRule="auto"/>
      <w:jc w:val="center"/>
    </w:pPr>
    <w:rPr>
      <w:rFonts w:ascii="黑体" w:hAnsi="黑体" w:eastAsia="黑体"/>
      <w:sz w:val="28"/>
      <w:szCs w:val="28"/>
    </w:rPr>
  </w:style>
  <w:style w:type="character" w:customStyle="1" w:styleId="19">
    <w:name w:val="1级标题 Char"/>
    <w:link w:val="18"/>
    <w:qFormat/>
    <w:uiPriority w:val="0"/>
    <w:rPr>
      <w:rFonts w:ascii="黑体" w:hAnsi="黑体" w:eastAsia="黑体"/>
      <w:b/>
      <w:bCs/>
      <w:kern w:val="44"/>
      <w:sz w:val="28"/>
      <w:szCs w:val="28"/>
    </w:rPr>
  </w:style>
  <w:style w:type="character" w:customStyle="1" w:styleId="20">
    <w:name w:val="标题 1 字符"/>
    <w:basedOn w:val="13"/>
    <w:link w:val="3"/>
    <w:qFormat/>
    <w:uiPriority w:val="0"/>
    <w:rPr>
      <w:b/>
      <w:bCs/>
      <w:kern w:val="44"/>
      <w:sz w:val="44"/>
      <w:szCs w:val="44"/>
    </w:rPr>
  </w:style>
  <w:style w:type="character" w:customStyle="1" w:styleId="21">
    <w:name w:val="正文文本 字符"/>
    <w:basedOn w:val="13"/>
    <w:link w:val="5"/>
    <w:qFormat/>
    <w:uiPriority w:val="1"/>
    <w:rPr>
      <w:rFonts w:ascii="宋体" w:hAnsi="宋体" w:cstheme="minorBidi"/>
      <w:kern w:val="2"/>
      <w:sz w:val="32"/>
      <w:szCs w:val="32"/>
    </w:rPr>
  </w:style>
  <w:style w:type="paragraph" w:customStyle="1" w:styleId="22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TOC 标题1"/>
    <w:basedOn w:val="3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  <w:style w:type="character" w:customStyle="1" w:styleId="24">
    <w:name w:val="日期 字符"/>
    <w:basedOn w:val="13"/>
    <w:link w:val="6"/>
    <w:semiHidden/>
    <w:qFormat/>
    <w:uiPriority w:val="99"/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67495-4DD4-4456-B17E-0D5040A67E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6412</Words>
  <Characters>6597</Characters>
  <Lines>154</Lines>
  <Paragraphs>209</Paragraphs>
  <TotalTime>15</TotalTime>
  <ScaleCrop>false</ScaleCrop>
  <LinksUpToDate>false</LinksUpToDate>
  <CharactersWithSpaces>6633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2026-03-07T02:08:00Z</dcterms:created>
  <dc:creator>os</dc:creator>
  <cp:lastModifiedBy>汪广涛</cp:lastModifiedBy>
  <cp:lastPrinted>2024-03-04T06:17:00Z</cp:lastPrinted>
  <dcterms:modified xsi:type="dcterms:W3CDTF">2026-03-23T00:46:21Z</dcterms:modified>
  <dc:title>火力发电厂热力设备及管道保温防腐施工技术规范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09190809A0B74045838E3290D4374115_13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