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175426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8213F66">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3C4F05DE">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点击此处添加ICS号</w:t>
            </w:r>
            <w:r>
              <w:rPr>
                <w:rFonts w:ascii="黑体" w:hAnsi="黑体" w:eastAsia="黑体"/>
                <w:sz w:val="21"/>
                <w:szCs w:val="21"/>
              </w:rPr>
              <w:fldChar w:fldCharType="end"/>
            </w:r>
            <w:bookmarkEnd w:id="0"/>
          </w:p>
        </w:tc>
      </w:tr>
      <w:tr w14:paraId="623062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4AC8C82">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7"/>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68420DE8">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PrEx>
              <w:trPr>
                <w:trHeight w:val="1021" w:hRule="exact"/>
              </w:trPr>
              <w:tc>
                <w:tcPr>
                  <w:tcW w:w="9242" w:type="dxa"/>
                  <w:vAlign w:val="center"/>
                </w:tcPr>
                <w:p w14:paraId="5BEEAF9B">
                  <w:pPr>
                    <w:pStyle w:val="49"/>
                    <w:framePr w:wrap="notBeside" w:vAnchor="page" w:hAnchor="page" w:x="1372" w:y="568"/>
                    <w:ind w:left="420" w:right="624"/>
                    <w:rPr>
                      <w:rFonts w:ascii="宋体" w:hAnsi="宋体"/>
                      <w:sz w:val="28"/>
                      <w:szCs w:val="28"/>
                    </w:rPr>
                  </w:pPr>
                  <w:r>
                    <w:rPr>
                      <w:rFonts w:hint="eastAsia" w:ascii="Times New Roman" w:hAnsi="Times New Roman"/>
                    </w:rPr>
                    <w:drawing>
                      <wp:anchor distT="0" distB="0" distL="114300" distR="114300" simplePos="0" relativeHeight="251660288" behindDoc="0" locked="0" layoutInCell="1" allowOverlap="1">
                        <wp:simplePos x="0" y="0"/>
                        <wp:positionH relativeFrom="column">
                          <wp:posOffset>23495</wp:posOffset>
                        </wp:positionH>
                        <wp:positionV relativeFrom="paragraph">
                          <wp:posOffset>0</wp:posOffset>
                        </wp:positionV>
                        <wp:extent cx="657225" cy="657225"/>
                        <wp:effectExtent l="0" t="0" r="1270" b="1270"/>
                        <wp:wrapSquare wrapText="bothSides"/>
                        <wp:docPr id="11" name="图片 11" descr="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标1"/>
                                <pic:cNvPicPr>
                                  <a:picLocks noChangeAspect="1"/>
                                </pic:cNvPicPr>
                              </pic:nvPicPr>
                              <pic:blipFill>
                                <a:blip r:embed="rId16"/>
                                <a:stretch>
                                  <a:fillRect/>
                                </a:stretch>
                              </pic:blipFill>
                              <pic:spPr>
                                <a:xfrm>
                                  <a:off x="0" y="0"/>
                                  <a:ext cx="657225" cy="657225"/>
                                </a:xfrm>
                                <a:prstGeom prst="rect">
                                  <a:avLst/>
                                </a:prstGeom>
                              </pic:spPr>
                            </pic:pic>
                          </a:graphicData>
                        </a:graphic>
                      </wp:anchor>
                    </w:drawing>
                  </w:r>
                </w:p>
              </w:tc>
            </w:tr>
          </w:tbl>
          <w:p w14:paraId="384B43EF">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1"/>
          </w:p>
        </w:tc>
      </w:tr>
    </w:tbl>
    <w:p w14:paraId="35BC7DD4">
      <w:pPr>
        <w:pStyle w:val="50"/>
        <w:framePr w:w="9639" w:h="624" w:hRule="exact" w:hSpace="181" w:vSpace="181" w:wrap="around" w:hAnchor="page" w:x="1305" w:y="2269"/>
        <w:rPr>
          <w:rFonts w:ascii="黑体" w:hAnsi="黑体" w:eastAsia="黑体"/>
          <w:b w:val="0"/>
          <w:bCs w:val="0"/>
          <w:w w:val="100"/>
          <w:sz w:val="48"/>
          <w:szCs w:val="48"/>
        </w:rPr>
      </w:pPr>
      <w:bookmarkStart w:id="2" w:name="_Hlk26473981"/>
      <w:r>
        <w:rPr>
          <w:rFonts w:hint="eastAsia" w:ascii="黑体" w:eastAsia="黑体"/>
          <w:b w:val="0"/>
          <w:w w:val="100"/>
          <w:sz w:val="48"/>
        </w:rPr>
        <w:t>团体</w:t>
      </w:r>
      <w:r>
        <w:rPr>
          <w:rFonts w:hint="eastAsia" w:ascii="黑体" w:hAnsi="黑体" w:eastAsia="黑体"/>
          <w:b w:val="0"/>
          <w:bCs w:val="0"/>
          <w:w w:val="100"/>
          <w:sz w:val="48"/>
          <w:szCs w:val="48"/>
        </w:rPr>
        <w:t>标准</w:t>
      </w:r>
    </w:p>
    <w:bookmarkEnd w:id="2"/>
    <w:p w14:paraId="2B25D4F3">
      <w:pPr>
        <w:pStyle w:val="195"/>
      </w:pPr>
      <w:r>
        <w:t>T/</w:t>
      </w:r>
      <w:r>
        <w:fldChar w:fldCharType="begin">
          <w:ffData>
            <w:name w:val="文字1"/>
            <w:enabled/>
            <w:calcOnExit w:val="0"/>
            <w:textInput>
              <w:default w:val="XXX"/>
            </w:textInput>
          </w:ffData>
        </w:fldChar>
      </w:r>
      <w:bookmarkStart w:id="3" w:name="文字1"/>
      <w:r>
        <w:instrText xml:space="preserve"> FORMTEXT </w:instrText>
      </w:r>
      <w:r>
        <w:fldChar w:fldCharType="separate"/>
      </w:r>
      <w:r>
        <w:t>CEPCA</w:t>
      </w:r>
      <w:r>
        <w:fldChar w:fldCharType="end"/>
      </w:r>
      <w:bookmarkEnd w:id="3"/>
      <w:r>
        <w:t xml:space="preserve"> </w:t>
      </w:r>
      <w:r>
        <w:fldChar w:fldCharType="begin">
          <w:ffData>
            <w:name w:val="NSTD_CODE_F"/>
            <w:enabled/>
            <w:calcOnExit w:val="0"/>
            <w:textInput>
              <w:default w:val="XXXX"/>
            </w:textInput>
          </w:ffData>
        </w:fldChar>
      </w:r>
      <w:bookmarkStart w:id="4" w:name="NSTD_CODE_F"/>
      <w:r>
        <w:instrText xml:space="preserve"> FORMTEXT </w:instrText>
      </w:r>
      <w:r>
        <w:fldChar w:fldCharType="separate"/>
      </w:r>
      <w:r>
        <w:t>XXXX</w:t>
      </w:r>
      <w:r>
        <w:fldChar w:fldCharType="end"/>
      </w:r>
      <w:bookmarkEnd w:id="4"/>
      <w:r>
        <w:rPr>
          <w:rFonts w:hAnsi="黑体"/>
        </w:rPr>
        <w:t>—</w:t>
      </w:r>
      <w:r>
        <w:fldChar w:fldCharType="begin">
          <w:ffData>
            <w:name w:val="NSTD_CODE_B"/>
            <w:enabled/>
            <w:calcOnExit w:val="0"/>
            <w:textInput>
              <w:default w:val="XXXX"/>
            </w:textInput>
          </w:ffData>
        </w:fldChar>
      </w:r>
      <w:bookmarkStart w:id="5" w:name="NSTD_CODE_B"/>
      <w:r>
        <w:instrText xml:space="preserve"> FORMTEXT </w:instrText>
      </w:r>
      <w:r>
        <w:fldChar w:fldCharType="separate"/>
      </w:r>
      <w:r>
        <w:t>2025</w:t>
      </w:r>
      <w:r>
        <w:fldChar w:fldCharType="end"/>
      </w:r>
      <w:bookmarkEnd w:id="5"/>
    </w:p>
    <w:p w14:paraId="409453FE">
      <w:pPr>
        <w:pStyle w:val="196"/>
        <w:rPr>
          <w:rFonts w:hAnsi="黑体"/>
        </w:rPr>
      </w:pPr>
      <w:r>
        <w:rPr>
          <w:rFonts w:hAnsi="黑体"/>
        </w:rPr>
        <w:fldChar w:fldCharType="begin">
          <w:ffData>
            <w:name w:val="OSTD_CODE"/>
            <w:enabled/>
            <w:calcOnExit w:val="0"/>
            <w:textInput/>
          </w:ffData>
        </w:fldChar>
      </w:r>
      <w:bookmarkStart w:id="6"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6"/>
    </w:p>
    <w:p w14:paraId="51F5298C">
      <w:pPr>
        <w:pBdr>
          <w:top w:val="none" w:sz="0" w:space="0"/>
          <w:left w:val="none" w:sz="0" w:space="0"/>
          <w:bottom w:val="none" w:sz="0" w:space="0"/>
          <w:right w:val="none" w:sz="0" w:space="0"/>
        </w:pBdr>
        <w:spacing w:line="240" w:lineRule="auto"/>
        <w:rPr>
          <w:rFonts w:ascii="黑体" w:hAnsi="黑体" w:eastAsia="黑体"/>
          <w:kern w:val="0"/>
          <w:sz w:val="10"/>
          <w:szCs w:val="10"/>
        </w:rPr>
      </w:pPr>
      <w:bookmarkStart w:id="197" w:name="_GoBack"/>
      <w:bookmarkEnd w:id="197"/>
      <w:r>
        <w:rPr>
          <w:sz w:val="28"/>
        </w:rPr>
        <mc:AlternateContent>
          <mc:Choice Requires="wps">
            <w:drawing>
              <wp:anchor distT="0" distB="0" distL="114300" distR="114300" simplePos="0" relativeHeight="251661312" behindDoc="0" locked="0" layoutInCell="1" allowOverlap="1">
                <wp:simplePos x="0" y="0"/>
                <wp:positionH relativeFrom="column">
                  <wp:posOffset>-901700</wp:posOffset>
                </wp:positionH>
                <wp:positionV relativeFrom="paragraph">
                  <wp:posOffset>-1405890</wp:posOffset>
                </wp:positionV>
                <wp:extent cx="914400" cy="470535"/>
                <wp:effectExtent l="0" t="0" r="0" b="0"/>
                <wp:wrapNone/>
                <wp:docPr id="9" name="文本框 9"/>
                <wp:cNvGraphicFramePr/>
                <a:graphic xmlns:a="http://schemas.openxmlformats.org/drawingml/2006/main">
                  <a:graphicData uri="http://schemas.microsoft.com/office/word/2010/wordprocessingShape">
                    <wps:wsp>
                      <wps:cNvSpPr txBox="1"/>
                      <wps:spPr>
                        <a:xfrm>
                          <a:off x="0" y="0"/>
                          <a:ext cx="914400" cy="47053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5B6F5C9">
                            <w:pPr>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附件1</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71pt;margin-top:-110.7pt;height:37.05pt;width:72pt;z-index:251661312;mso-width-relative:page;mso-height-relative:page;" filled="f" stroked="f" coordsize="21600,21600" o:gfxdata="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AY0X6M2wAAAAwBAAAPAAAAAAAAAAEAIAAAACIAAABkcnMv&#10;ZG93bnJldi54bWxQSwECFAAUAAAACACHTuJAA8hR6jkCAABlBAAADgAAAAAAAAABACAAAAAqAQAA&#10;ZHJzL2Uyb0RvYy54bWxQSwUGAAAAAAYABgBZAQAA1QUAAAAA&#10;">
                <v:fill on="f" focussize="0,0"/>
                <v:stroke on="f" weight="0.5pt"/>
                <v:imagedata o:title=""/>
                <o:lock v:ext="edit" aspectratio="f"/>
                <v:textbox>
                  <w:txbxContent>
                    <w:p w14:paraId="25B6F5C9">
                      <w:pPr>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附件1</w:t>
                      </w:r>
                    </w:p>
                  </w:txbxContent>
                </v:textbox>
              </v:shape>
            </w:pict>
          </mc:Fallback>
        </mc:AlternateContent>
      </w: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119FFBCA">
      <w:pPr>
        <w:pStyle w:val="50"/>
        <w:framePr w:w="9639" w:h="6976" w:hRule="exact" w:hSpace="0" w:vSpace="0" w:wrap="around" w:hAnchor="page" w:y="6408"/>
        <w:jc w:val="center"/>
        <w:rPr>
          <w:rFonts w:ascii="黑体" w:hAnsi="黑体" w:eastAsia="黑体"/>
          <w:b w:val="0"/>
          <w:bCs w:val="0"/>
          <w:w w:val="100"/>
        </w:rPr>
      </w:pPr>
    </w:p>
    <w:p w14:paraId="1B032C8C">
      <w:pPr>
        <w:pStyle w:val="197"/>
        <w:framePr w:h="6974" w:hRule="exact" w:wrap="around" w:x="1419" w:anchorLock="1"/>
      </w:pPr>
      <w:r>
        <w:fldChar w:fldCharType="begin">
          <w:ffData>
            <w:name w:val="CSTD_NAME"/>
            <w:enabled/>
            <w:calcOnExit w:val="0"/>
            <w:textInput>
              <w:default w:val="点击此处添加标准名称"/>
            </w:textInput>
          </w:ffData>
        </w:fldChar>
      </w:r>
      <w:bookmarkStart w:id="7" w:name="CSTD_NAME"/>
      <w:r>
        <w:instrText xml:space="preserve"> FORMTEXT </w:instrText>
      </w:r>
      <w:r>
        <w:fldChar w:fldCharType="separate"/>
      </w:r>
      <w:r>
        <w:t>变电工程抗台风设计技术规程</w:t>
      </w:r>
      <w:r>
        <w:fldChar w:fldCharType="end"/>
      </w:r>
      <w:bookmarkEnd w:id="7"/>
    </w:p>
    <w:p w14:paraId="788624D1">
      <w:pPr>
        <w:framePr w:w="9639" w:h="6974" w:hRule="exact" w:wrap="around" w:vAnchor="page" w:hAnchor="page" w:x="1419" w:y="6408" w:anchorLock="1"/>
        <w:ind w:left="-1418"/>
      </w:pPr>
    </w:p>
    <w:p w14:paraId="3A9E960E">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8" w:name="ESTD_NAME"/>
      <w:r>
        <w:rPr>
          <w:rFonts w:eastAsia="黑体"/>
          <w:szCs w:val="28"/>
        </w:rPr>
        <w:instrText xml:space="preserve"> FORMTEXT </w:instrText>
      </w:r>
      <w:r>
        <w:rPr>
          <w:rFonts w:eastAsia="黑体"/>
          <w:szCs w:val="28"/>
        </w:rPr>
        <w:fldChar w:fldCharType="separate"/>
      </w:r>
      <w:r>
        <w:rPr>
          <w:rFonts w:eastAsia="黑体"/>
          <w:szCs w:val="28"/>
        </w:rPr>
        <w:t>Code of Practice for Typhoon Resistance Design of Substation Engineering</w:t>
      </w:r>
      <w:r>
        <w:rPr>
          <w:rFonts w:eastAsia="黑体"/>
          <w:szCs w:val="28"/>
        </w:rPr>
        <w:fldChar w:fldCharType="end"/>
      </w:r>
      <w:bookmarkEnd w:id="8"/>
    </w:p>
    <w:p w14:paraId="1A2FADE0">
      <w:pPr>
        <w:framePr w:w="9639" w:h="6974" w:hRule="exact" w:wrap="around" w:vAnchor="page" w:hAnchor="page" w:x="1419" w:y="6408" w:anchorLock="1"/>
        <w:spacing w:line="760" w:lineRule="exact"/>
        <w:ind w:left="-1418"/>
      </w:pPr>
    </w:p>
    <w:p w14:paraId="1E26943E">
      <w:pPr>
        <w:pStyle w:val="125"/>
        <w:framePr w:w="9639" w:h="6974" w:hRule="exact" w:wrap="around" w:vAnchor="page" w:hAnchor="page" w:x="1419" w:y="6408" w:anchorLock="1"/>
        <w:textAlignment w:val="bottom"/>
        <w:rPr>
          <w:rFonts w:eastAsia="黑体"/>
          <w:szCs w:val="28"/>
        </w:rPr>
      </w:pPr>
    </w:p>
    <w:p w14:paraId="2C5FF925">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9" w:name="下拉1"/>
      <w:r>
        <w:rPr>
          <w:sz w:val="24"/>
          <w:szCs w:val="28"/>
        </w:rPr>
        <w:instrText xml:space="preserve"> FORMDROPDOWN </w:instrText>
      </w:r>
      <w:r>
        <w:rPr>
          <w:sz w:val="24"/>
          <w:szCs w:val="28"/>
        </w:rPr>
        <w:fldChar w:fldCharType="separate"/>
      </w:r>
      <w:r>
        <w:rPr>
          <w:sz w:val="24"/>
          <w:szCs w:val="28"/>
        </w:rPr>
        <w:fldChar w:fldCharType="end"/>
      </w:r>
      <w:bookmarkEnd w:id="9"/>
    </w:p>
    <w:p w14:paraId="0B7CBADD">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0" w:name="CMPLSH_DATE"/>
      <w:r>
        <w:rPr>
          <w:sz w:val="21"/>
          <w:szCs w:val="28"/>
        </w:rPr>
        <w:instrText xml:space="preserve"> FORMTEXT </w:instrText>
      </w:r>
      <w:r>
        <w:rPr>
          <w:sz w:val="21"/>
          <w:szCs w:val="28"/>
        </w:rPr>
        <w:fldChar w:fldCharType="separate"/>
      </w:r>
      <w:r>
        <w:rPr>
          <w:rFonts w:hint="eastAsia"/>
          <w:sz w:val="21"/>
          <w:szCs w:val="28"/>
        </w:rPr>
        <w:t>（本草案完成时间：2</w:t>
      </w:r>
      <w:r>
        <w:rPr>
          <w:sz w:val="21"/>
          <w:szCs w:val="28"/>
        </w:rPr>
        <w:t>026.05.06</w:t>
      </w:r>
      <w:r>
        <w:rPr>
          <w:rFonts w:hint="eastAsia"/>
          <w:sz w:val="21"/>
          <w:szCs w:val="28"/>
        </w:rPr>
        <w:t>）</w:t>
      </w:r>
      <w:r>
        <w:rPr>
          <w:sz w:val="21"/>
          <w:szCs w:val="28"/>
        </w:rPr>
        <w:fldChar w:fldCharType="end"/>
      </w:r>
      <w:bookmarkEnd w:id="10"/>
    </w:p>
    <w:p w14:paraId="101F3BA2">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1" w:name="下拉2"/>
      <w:r>
        <w:rPr>
          <w:b/>
          <w:sz w:val="21"/>
          <w:szCs w:val="28"/>
        </w:rPr>
        <w:instrText xml:space="preserve"> FORMDROPDOWN </w:instrText>
      </w:r>
      <w:r>
        <w:rPr>
          <w:b/>
          <w:sz w:val="21"/>
          <w:szCs w:val="28"/>
        </w:rPr>
        <w:fldChar w:fldCharType="separate"/>
      </w:r>
      <w:r>
        <w:rPr>
          <w:b/>
          <w:sz w:val="21"/>
          <w:szCs w:val="28"/>
        </w:rPr>
        <w:fldChar w:fldCharType="end"/>
      </w:r>
      <w:bookmarkEnd w:id="11"/>
    </w:p>
    <w:p w14:paraId="5C624F89">
      <w:pPr>
        <w:pStyle w:val="193"/>
        <w:framePr w:wrap="around" w:y="14176"/>
      </w:pPr>
      <w:r>
        <w:rPr>
          <w:rFonts w:ascii="黑体"/>
        </w:rPr>
        <w:fldChar w:fldCharType="begin">
          <w:ffData>
            <w:name w:val="PLSH_DATE_Y"/>
            <w:enabled/>
            <w:calcOnExit w:val="0"/>
            <w:textInput>
              <w:default w:val="XXXX"/>
              <w:maxLength w:val="4"/>
            </w:textInput>
          </w:ffData>
        </w:fldChar>
      </w:r>
      <w:bookmarkStart w:id="12" w:name="PLSH_DATE_Y"/>
      <w:r>
        <w:rPr>
          <w:rFonts w:ascii="黑体"/>
        </w:rPr>
        <w:instrText xml:space="preserve"> FORMTEXT </w:instrText>
      </w:r>
      <w:r>
        <w:rPr>
          <w:rFonts w:ascii="黑体"/>
        </w:rPr>
        <w:fldChar w:fldCharType="separate"/>
      </w:r>
      <w:r>
        <w:rPr>
          <w:rFonts w:ascii="黑体"/>
        </w:rPr>
        <w:t>2026</w:t>
      </w:r>
      <w:r>
        <w:rPr>
          <w:rFonts w:ascii="黑体"/>
        </w:rPr>
        <w:fldChar w:fldCharType="end"/>
      </w:r>
      <w:bookmarkEnd w:id="12"/>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3"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3"/>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4"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rPr>
          <w:rFonts w:hint="eastAsia"/>
        </w:rPr>
        <w:t>发布</w:t>
      </w:r>
    </w:p>
    <w:p w14:paraId="0DBA168C">
      <w:pPr>
        <w:pStyle w:val="194"/>
        <w:framePr w:wrap="around" w:y="14176"/>
      </w:pPr>
      <w:r>
        <w:rPr>
          <w:rFonts w:ascii="黑体"/>
        </w:rPr>
        <w:fldChar w:fldCharType="begin">
          <w:ffData>
            <w:name w:val="CROT_DATE_Y"/>
            <w:enabled/>
            <w:calcOnExit w:val="0"/>
            <w:textInput>
              <w:default w:val="XXXX"/>
              <w:maxLength w:val="4"/>
            </w:textInput>
          </w:ffData>
        </w:fldChar>
      </w:r>
      <w:bookmarkStart w:id="15" w:name="CROT_DATE_Y"/>
      <w:r>
        <w:rPr>
          <w:rFonts w:ascii="黑体"/>
        </w:rPr>
        <w:instrText xml:space="preserve"> FORMTEXT </w:instrText>
      </w:r>
      <w:r>
        <w:rPr>
          <w:rFonts w:ascii="黑体"/>
        </w:rPr>
        <w:fldChar w:fldCharType="separate"/>
      </w:r>
      <w:r>
        <w:rPr>
          <w:rFonts w:ascii="黑体"/>
        </w:rPr>
        <w:t>2026</w:t>
      </w:r>
      <w:r>
        <w:rPr>
          <w:rFonts w:ascii="黑体"/>
        </w:rPr>
        <w:fldChar w:fldCharType="end"/>
      </w:r>
      <w:bookmarkEnd w:id="15"/>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6"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7"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rPr>
          <w:rFonts w:hint="eastAsia"/>
        </w:rPr>
        <w:t>实施</w:t>
      </w:r>
    </w:p>
    <w:p w14:paraId="1F25C947">
      <w:pPr>
        <w:pStyle w:val="151"/>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8" w:name="fm"/>
      <w:r>
        <w:rPr>
          <w:rFonts w:hAnsi="黑体"/>
          <w:w w:val="100"/>
          <w:sz w:val="28"/>
        </w:rPr>
        <w:instrText xml:space="preserve"> FORMTEXT </w:instrText>
      </w:r>
      <w:r>
        <w:rPr>
          <w:rFonts w:hAnsi="黑体"/>
          <w:w w:val="100"/>
          <w:sz w:val="28"/>
        </w:rPr>
        <w:fldChar w:fldCharType="separate"/>
      </w:r>
      <w:r>
        <w:rPr>
          <w:rFonts w:hint="eastAsia" w:hAnsi="黑体"/>
          <w:w w:val="100"/>
          <w:sz w:val="28"/>
        </w:rPr>
        <w:t>中国电力建设企业协会</w:t>
      </w:r>
      <w:r>
        <w:rPr>
          <w:rFonts w:hAnsi="黑体"/>
          <w:w w:val="100"/>
          <w:sz w:val="28"/>
        </w:rPr>
        <w:fldChar w:fldCharType="end"/>
      </w:r>
      <w:bookmarkEnd w:id="18"/>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1408DA86">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567" w:right="1134" w:bottom="1134" w:left="1134" w:header="1418" w:footer="1134" w:gutter="284"/>
          <w:cols w:space="425" w:num="1"/>
          <w:titlePg/>
          <w:docGrid w:linePitch="312" w:charSpace="0"/>
        </w:sectPr>
      </w:pPr>
    </w:p>
    <w:p w14:paraId="145FBCB8">
      <w:pPr>
        <w:pStyle w:val="91"/>
        <w:bidi w:val="0"/>
        <w:rPr>
          <w:rFonts w:hint="eastAsia"/>
          <w:lang w:eastAsia="zh-CN"/>
        </w:rPr>
      </w:pPr>
      <w:bookmarkStart w:id="19" w:name="BookMark1"/>
      <w:bookmarkStart w:id="20" w:name="_Toc228964637"/>
      <w:bookmarkStart w:id="21" w:name="_Toc1752"/>
      <w:bookmarkStart w:id="22" w:name="_Toc27246"/>
      <w:r>
        <w:rPr>
          <w:rFonts w:hint="eastAsia"/>
          <w:spacing w:val="320"/>
          <w:lang w:eastAsia="zh-CN"/>
        </w:rPr>
        <w:t>目</w:t>
      </w:r>
      <w:r>
        <w:rPr>
          <w:rFonts w:hint="eastAsia"/>
          <w:lang w:eastAsia="zh-CN"/>
        </w:rPr>
        <w:t>次</w:t>
      </w:r>
    </w:p>
    <w:p w14:paraId="422BA669">
      <w:pPr>
        <w:pStyle w:val="19"/>
        <w:tabs>
          <w:tab w:val="right" w:leader="dot" w:pos="9354"/>
        </w:tabs>
        <w:rPr>
          <w:spacing w:val="0"/>
        </w:rPr>
      </w:pPr>
      <w:r>
        <w:rPr>
          <w:rFonts w:hint="eastAsia"/>
          <w:spacing w:val="0"/>
          <w:lang w:eastAsia="zh-CN"/>
        </w:rPr>
        <w:fldChar w:fldCharType="begin"/>
      </w:r>
      <w:r>
        <w:rPr>
          <w:rFonts w:hint="eastAsia"/>
          <w:spacing w:val="0"/>
          <w:lang w:eastAsia="zh-CN"/>
        </w:rPr>
        <w:instrText xml:space="preserve">TOC \o "1-1" \t "标准文件_一级条标题,2,标准文件_附录一级条标题,2," \h</w:instrText>
      </w:r>
      <w:r>
        <w:rPr>
          <w:rFonts w:hint="eastAsia"/>
          <w:spacing w:val="0"/>
          <w:lang w:eastAsia="zh-CN"/>
        </w:rPr>
        <w:fldChar w:fldCharType="separate"/>
      </w:r>
      <w:r>
        <w:rPr>
          <w:rFonts w:hint="eastAsia"/>
          <w:spacing w:val="0"/>
          <w:lang w:eastAsia="zh-CN"/>
        </w:rPr>
        <w:fldChar w:fldCharType="begin"/>
      </w:r>
      <w:r>
        <w:rPr>
          <w:rFonts w:hint="eastAsia"/>
          <w:spacing w:val="0"/>
          <w:lang w:eastAsia="zh-CN"/>
        </w:rPr>
        <w:instrText xml:space="preserve"> HYPERLINK \l _Toc14930 </w:instrText>
      </w:r>
      <w:r>
        <w:rPr>
          <w:rFonts w:hint="eastAsia"/>
          <w:spacing w:val="0"/>
          <w:lang w:eastAsia="zh-CN"/>
        </w:rPr>
        <w:fldChar w:fldCharType="separate"/>
      </w:r>
      <w:r>
        <w:rPr>
          <w:spacing w:val="0"/>
        </w:rPr>
        <w:t>前言</w:t>
      </w:r>
      <w:r>
        <w:rPr>
          <w:spacing w:val="0"/>
        </w:rPr>
        <w:tab/>
      </w:r>
      <w:r>
        <w:rPr>
          <w:spacing w:val="0"/>
        </w:rPr>
        <w:fldChar w:fldCharType="begin"/>
      </w:r>
      <w:r>
        <w:rPr>
          <w:spacing w:val="0"/>
        </w:rPr>
        <w:instrText xml:space="preserve"> PAGEREF _Toc14930 \h </w:instrText>
      </w:r>
      <w:r>
        <w:rPr>
          <w:spacing w:val="0"/>
        </w:rPr>
        <w:fldChar w:fldCharType="separate"/>
      </w:r>
      <w:r>
        <w:rPr>
          <w:spacing w:val="0"/>
        </w:rPr>
        <w:t>II</w:t>
      </w:r>
      <w:r>
        <w:rPr>
          <w:spacing w:val="0"/>
        </w:rPr>
        <w:fldChar w:fldCharType="end"/>
      </w:r>
      <w:r>
        <w:rPr>
          <w:rFonts w:hint="eastAsia"/>
          <w:spacing w:val="0"/>
          <w:lang w:eastAsia="zh-CN"/>
        </w:rPr>
        <w:fldChar w:fldCharType="end"/>
      </w:r>
    </w:p>
    <w:p w14:paraId="73F5500B">
      <w:pPr>
        <w:pStyle w:val="19"/>
        <w:tabs>
          <w:tab w:val="right" w:leader="dot" w:pos="9354"/>
        </w:tabs>
        <w:rPr>
          <w:spacing w:val="0"/>
        </w:rPr>
      </w:pPr>
      <w:r>
        <w:rPr>
          <w:rFonts w:hint="eastAsia"/>
          <w:spacing w:val="0"/>
          <w:lang w:eastAsia="zh-CN"/>
        </w:rPr>
        <w:fldChar w:fldCharType="begin"/>
      </w:r>
      <w:r>
        <w:rPr>
          <w:rFonts w:hint="eastAsia"/>
          <w:spacing w:val="0"/>
          <w:lang w:eastAsia="zh-CN"/>
        </w:rPr>
        <w:instrText xml:space="preserve"> HYPERLINK \l _Toc19317 </w:instrText>
      </w:r>
      <w:r>
        <w:rPr>
          <w:rFonts w:hint="eastAsia"/>
          <w:spacing w:val="0"/>
          <w:lang w:eastAsia="zh-CN"/>
        </w:rPr>
        <w:fldChar w:fldCharType="separate"/>
      </w:r>
      <w:r>
        <w:rPr>
          <w:rFonts w:hint="eastAsia" w:ascii="黑体" w:eastAsia="黑体"/>
          <w:i w:val="0"/>
          <w:spacing w:val="0"/>
        </w:rPr>
        <w:t>1</w:t>
      </w:r>
      <w:r>
        <w:rPr>
          <w:rFonts w:hint="eastAsia" w:ascii="黑体" w:eastAsia="黑体"/>
          <w:i w:val="0"/>
          <w:spacing w:val="0"/>
          <w:lang w:eastAsia="zh-CN"/>
        </w:rPr>
        <w:t xml:space="preserve"> </w:t>
      </w:r>
      <w:r>
        <w:rPr>
          <w:rFonts w:hint="eastAsia" w:ascii="黑体" w:eastAsia="黑体"/>
          <w:i w:val="0"/>
          <w:spacing w:val="0"/>
        </w:rPr>
        <w:t xml:space="preserve"> </w:t>
      </w:r>
      <w:r>
        <w:rPr>
          <w:rFonts w:hint="eastAsia"/>
          <w:spacing w:val="0"/>
        </w:rPr>
        <w:t>范围</w:t>
      </w:r>
      <w:r>
        <w:rPr>
          <w:spacing w:val="0"/>
        </w:rPr>
        <w:tab/>
      </w:r>
      <w:r>
        <w:rPr>
          <w:spacing w:val="0"/>
        </w:rPr>
        <w:fldChar w:fldCharType="begin"/>
      </w:r>
      <w:r>
        <w:rPr>
          <w:spacing w:val="0"/>
        </w:rPr>
        <w:instrText xml:space="preserve"> PAGEREF _Toc19317 \h </w:instrText>
      </w:r>
      <w:r>
        <w:rPr>
          <w:spacing w:val="0"/>
        </w:rPr>
        <w:fldChar w:fldCharType="separate"/>
      </w:r>
      <w:r>
        <w:rPr>
          <w:spacing w:val="0"/>
        </w:rPr>
        <w:t>1</w:t>
      </w:r>
      <w:r>
        <w:rPr>
          <w:spacing w:val="0"/>
        </w:rPr>
        <w:fldChar w:fldCharType="end"/>
      </w:r>
      <w:r>
        <w:rPr>
          <w:rFonts w:hint="eastAsia"/>
          <w:spacing w:val="0"/>
          <w:lang w:eastAsia="zh-CN"/>
        </w:rPr>
        <w:fldChar w:fldCharType="end"/>
      </w:r>
    </w:p>
    <w:p w14:paraId="27B6FF71">
      <w:pPr>
        <w:pStyle w:val="19"/>
        <w:tabs>
          <w:tab w:val="right" w:leader="dot" w:pos="9354"/>
        </w:tabs>
        <w:rPr>
          <w:spacing w:val="0"/>
        </w:rPr>
      </w:pPr>
      <w:r>
        <w:rPr>
          <w:rFonts w:hint="eastAsia"/>
          <w:spacing w:val="0"/>
          <w:lang w:eastAsia="zh-CN"/>
        </w:rPr>
        <w:fldChar w:fldCharType="begin"/>
      </w:r>
      <w:r>
        <w:rPr>
          <w:rFonts w:hint="eastAsia"/>
          <w:spacing w:val="0"/>
          <w:lang w:eastAsia="zh-CN"/>
        </w:rPr>
        <w:instrText xml:space="preserve"> HYPERLINK \l _Toc29988 </w:instrText>
      </w:r>
      <w:r>
        <w:rPr>
          <w:rFonts w:hint="eastAsia"/>
          <w:spacing w:val="0"/>
          <w:lang w:eastAsia="zh-CN"/>
        </w:rPr>
        <w:fldChar w:fldCharType="separate"/>
      </w:r>
      <w:r>
        <w:rPr>
          <w:rFonts w:hint="eastAsia" w:ascii="黑体" w:eastAsia="黑体"/>
          <w:i w:val="0"/>
          <w:spacing w:val="0"/>
        </w:rPr>
        <w:t>2</w:t>
      </w:r>
      <w:r>
        <w:rPr>
          <w:rFonts w:hint="eastAsia" w:ascii="黑体" w:eastAsia="黑体"/>
          <w:i w:val="0"/>
          <w:spacing w:val="0"/>
          <w:lang w:eastAsia="zh-CN"/>
        </w:rPr>
        <w:t xml:space="preserve"> </w:t>
      </w:r>
      <w:r>
        <w:rPr>
          <w:rFonts w:hint="eastAsia" w:ascii="黑体" w:eastAsia="黑体"/>
          <w:i w:val="0"/>
          <w:spacing w:val="0"/>
        </w:rPr>
        <w:t xml:space="preserve"> </w:t>
      </w:r>
      <w:r>
        <w:rPr>
          <w:rFonts w:hint="eastAsia"/>
          <w:spacing w:val="0"/>
        </w:rPr>
        <w:t>规范性引用文件</w:t>
      </w:r>
      <w:r>
        <w:rPr>
          <w:spacing w:val="0"/>
        </w:rPr>
        <w:tab/>
      </w:r>
      <w:r>
        <w:rPr>
          <w:spacing w:val="0"/>
        </w:rPr>
        <w:fldChar w:fldCharType="begin"/>
      </w:r>
      <w:r>
        <w:rPr>
          <w:spacing w:val="0"/>
        </w:rPr>
        <w:instrText xml:space="preserve"> PAGEREF _Toc29988 \h </w:instrText>
      </w:r>
      <w:r>
        <w:rPr>
          <w:spacing w:val="0"/>
        </w:rPr>
        <w:fldChar w:fldCharType="separate"/>
      </w:r>
      <w:r>
        <w:rPr>
          <w:spacing w:val="0"/>
        </w:rPr>
        <w:t>1</w:t>
      </w:r>
      <w:r>
        <w:rPr>
          <w:spacing w:val="0"/>
        </w:rPr>
        <w:fldChar w:fldCharType="end"/>
      </w:r>
      <w:r>
        <w:rPr>
          <w:rFonts w:hint="eastAsia"/>
          <w:spacing w:val="0"/>
          <w:lang w:eastAsia="zh-CN"/>
        </w:rPr>
        <w:fldChar w:fldCharType="end"/>
      </w:r>
    </w:p>
    <w:p w14:paraId="249D1734">
      <w:pPr>
        <w:pStyle w:val="19"/>
        <w:tabs>
          <w:tab w:val="right" w:leader="dot" w:pos="9354"/>
        </w:tabs>
        <w:rPr>
          <w:spacing w:val="0"/>
        </w:rPr>
      </w:pPr>
      <w:r>
        <w:rPr>
          <w:rFonts w:hint="eastAsia"/>
          <w:spacing w:val="0"/>
          <w:lang w:eastAsia="zh-CN"/>
        </w:rPr>
        <w:fldChar w:fldCharType="begin"/>
      </w:r>
      <w:r>
        <w:rPr>
          <w:rFonts w:hint="eastAsia"/>
          <w:spacing w:val="0"/>
          <w:lang w:eastAsia="zh-CN"/>
        </w:rPr>
        <w:instrText xml:space="preserve"> HYPERLINK \l _Toc11261 </w:instrText>
      </w:r>
      <w:r>
        <w:rPr>
          <w:rFonts w:hint="eastAsia"/>
          <w:spacing w:val="0"/>
          <w:lang w:eastAsia="zh-CN"/>
        </w:rPr>
        <w:fldChar w:fldCharType="separate"/>
      </w:r>
      <w:r>
        <w:rPr>
          <w:rFonts w:hint="eastAsia" w:ascii="黑体" w:eastAsia="黑体"/>
          <w:i w:val="0"/>
          <w:spacing w:val="0"/>
        </w:rPr>
        <w:t>3</w:t>
      </w:r>
      <w:r>
        <w:rPr>
          <w:rFonts w:hint="eastAsia" w:ascii="黑体" w:eastAsia="黑体"/>
          <w:i w:val="0"/>
          <w:spacing w:val="0"/>
          <w:lang w:eastAsia="zh-CN"/>
        </w:rPr>
        <w:t xml:space="preserve"> </w:t>
      </w:r>
      <w:r>
        <w:rPr>
          <w:rFonts w:hint="eastAsia" w:ascii="黑体" w:eastAsia="黑体"/>
          <w:i w:val="0"/>
          <w:spacing w:val="0"/>
        </w:rPr>
        <w:t xml:space="preserve"> </w:t>
      </w:r>
      <w:r>
        <w:rPr>
          <w:rFonts w:hint="eastAsia"/>
          <w:spacing w:val="0"/>
          <w:szCs w:val="21"/>
        </w:rPr>
        <w:t>术语和定义</w:t>
      </w:r>
      <w:r>
        <w:rPr>
          <w:spacing w:val="0"/>
        </w:rPr>
        <w:tab/>
      </w:r>
      <w:r>
        <w:rPr>
          <w:spacing w:val="0"/>
        </w:rPr>
        <w:fldChar w:fldCharType="begin"/>
      </w:r>
      <w:r>
        <w:rPr>
          <w:spacing w:val="0"/>
        </w:rPr>
        <w:instrText xml:space="preserve"> PAGEREF _Toc11261 \h </w:instrText>
      </w:r>
      <w:r>
        <w:rPr>
          <w:spacing w:val="0"/>
        </w:rPr>
        <w:fldChar w:fldCharType="separate"/>
      </w:r>
      <w:r>
        <w:rPr>
          <w:spacing w:val="0"/>
        </w:rPr>
        <w:t>2</w:t>
      </w:r>
      <w:r>
        <w:rPr>
          <w:spacing w:val="0"/>
        </w:rPr>
        <w:fldChar w:fldCharType="end"/>
      </w:r>
      <w:r>
        <w:rPr>
          <w:rFonts w:hint="eastAsia"/>
          <w:spacing w:val="0"/>
          <w:lang w:eastAsia="zh-CN"/>
        </w:rPr>
        <w:fldChar w:fldCharType="end"/>
      </w:r>
    </w:p>
    <w:p w14:paraId="0E2CA5DF">
      <w:pPr>
        <w:pStyle w:val="19"/>
        <w:tabs>
          <w:tab w:val="right" w:leader="dot" w:pos="9354"/>
        </w:tabs>
        <w:rPr>
          <w:spacing w:val="0"/>
        </w:rPr>
      </w:pPr>
      <w:r>
        <w:rPr>
          <w:rFonts w:hint="eastAsia"/>
          <w:spacing w:val="0"/>
          <w:lang w:eastAsia="zh-CN"/>
        </w:rPr>
        <w:fldChar w:fldCharType="begin"/>
      </w:r>
      <w:r>
        <w:rPr>
          <w:rFonts w:hint="eastAsia"/>
          <w:spacing w:val="0"/>
          <w:lang w:eastAsia="zh-CN"/>
        </w:rPr>
        <w:instrText xml:space="preserve"> HYPERLINK \l _Toc15483 </w:instrText>
      </w:r>
      <w:r>
        <w:rPr>
          <w:rFonts w:hint="eastAsia"/>
          <w:spacing w:val="0"/>
          <w:lang w:eastAsia="zh-CN"/>
        </w:rPr>
        <w:fldChar w:fldCharType="separate"/>
      </w:r>
      <w:r>
        <w:rPr>
          <w:rFonts w:hint="eastAsia" w:ascii="黑体" w:eastAsia="黑体"/>
          <w:i w:val="0"/>
          <w:spacing w:val="0"/>
        </w:rPr>
        <w:t>4</w:t>
      </w:r>
      <w:r>
        <w:rPr>
          <w:rFonts w:hint="eastAsia" w:ascii="黑体" w:eastAsia="黑体"/>
          <w:i w:val="0"/>
          <w:spacing w:val="0"/>
          <w:lang w:eastAsia="zh-CN"/>
        </w:rPr>
        <w:t xml:space="preserve"> </w:t>
      </w:r>
      <w:r>
        <w:rPr>
          <w:rFonts w:hint="eastAsia" w:ascii="黑体" w:eastAsia="黑体"/>
          <w:i w:val="0"/>
          <w:spacing w:val="0"/>
        </w:rPr>
        <w:t xml:space="preserve"> </w:t>
      </w:r>
      <w:r>
        <w:rPr>
          <w:rFonts w:hint="eastAsia"/>
          <w:spacing w:val="0"/>
        </w:rPr>
        <w:t>基本规定</w:t>
      </w:r>
      <w:r>
        <w:rPr>
          <w:spacing w:val="0"/>
        </w:rPr>
        <w:tab/>
      </w:r>
      <w:r>
        <w:rPr>
          <w:spacing w:val="0"/>
        </w:rPr>
        <w:fldChar w:fldCharType="begin"/>
      </w:r>
      <w:r>
        <w:rPr>
          <w:spacing w:val="0"/>
        </w:rPr>
        <w:instrText xml:space="preserve"> PAGEREF _Toc15483 \h </w:instrText>
      </w:r>
      <w:r>
        <w:rPr>
          <w:spacing w:val="0"/>
        </w:rPr>
        <w:fldChar w:fldCharType="separate"/>
      </w:r>
      <w:r>
        <w:rPr>
          <w:spacing w:val="0"/>
        </w:rPr>
        <w:t>3</w:t>
      </w:r>
      <w:r>
        <w:rPr>
          <w:spacing w:val="0"/>
        </w:rPr>
        <w:fldChar w:fldCharType="end"/>
      </w:r>
      <w:r>
        <w:rPr>
          <w:rFonts w:hint="eastAsia"/>
          <w:spacing w:val="0"/>
          <w:lang w:eastAsia="zh-CN"/>
        </w:rPr>
        <w:fldChar w:fldCharType="end"/>
      </w:r>
    </w:p>
    <w:p w14:paraId="0DBF5582">
      <w:pPr>
        <w:pStyle w:val="19"/>
        <w:tabs>
          <w:tab w:val="right" w:leader="dot" w:pos="9354"/>
        </w:tabs>
        <w:rPr>
          <w:spacing w:val="0"/>
        </w:rPr>
      </w:pPr>
      <w:r>
        <w:rPr>
          <w:rFonts w:hint="eastAsia"/>
          <w:spacing w:val="0"/>
          <w:lang w:eastAsia="zh-CN"/>
        </w:rPr>
        <w:fldChar w:fldCharType="begin"/>
      </w:r>
      <w:r>
        <w:rPr>
          <w:rFonts w:hint="eastAsia"/>
          <w:spacing w:val="0"/>
          <w:lang w:eastAsia="zh-CN"/>
        </w:rPr>
        <w:instrText xml:space="preserve"> HYPERLINK \l _Toc364 </w:instrText>
      </w:r>
      <w:r>
        <w:rPr>
          <w:rFonts w:hint="eastAsia"/>
          <w:spacing w:val="0"/>
          <w:lang w:eastAsia="zh-CN"/>
        </w:rPr>
        <w:fldChar w:fldCharType="separate"/>
      </w:r>
      <w:r>
        <w:rPr>
          <w:rFonts w:hint="eastAsia" w:ascii="黑体" w:eastAsia="黑体"/>
          <w:i w:val="0"/>
          <w:spacing w:val="0"/>
        </w:rPr>
        <w:t>5</w:t>
      </w:r>
      <w:r>
        <w:rPr>
          <w:rFonts w:hint="eastAsia" w:ascii="黑体" w:eastAsia="黑体"/>
          <w:i w:val="0"/>
          <w:spacing w:val="0"/>
          <w:lang w:eastAsia="zh-CN"/>
        </w:rPr>
        <w:t xml:space="preserve"> </w:t>
      </w:r>
      <w:r>
        <w:rPr>
          <w:rFonts w:hint="eastAsia" w:ascii="黑体" w:eastAsia="黑体"/>
          <w:i w:val="0"/>
          <w:spacing w:val="0"/>
        </w:rPr>
        <w:t xml:space="preserve"> </w:t>
      </w:r>
      <w:r>
        <w:rPr>
          <w:rFonts w:hint="eastAsia"/>
          <w:spacing w:val="0"/>
        </w:rPr>
        <w:t>气象条件</w:t>
      </w:r>
      <w:r>
        <w:rPr>
          <w:spacing w:val="0"/>
        </w:rPr>
        <w:tab/>
      </w:r>
      <w:r>
        <w:rPr>
          <w:spacing w:val="0"/>
        </w:rPr>
        <w:fldChar w:fldCharType="begin"/>
      </w:r>
      <w:r>
        <w:rPr>
          <w:spacing w:val="0"/>
        </w:rPr>
        <w:instrText xml:space="preserve"> PAGEREF _Toc364 \h </w:instrText>
      </w:r>
      <w:r>
        <w:rPr>
          <w:spacing w:val="0"/>
        </w:rPr>
        <w:fldChar w:fldCharType="separate"/>
      </w:r>
      <w:r>
        <w:rPr>
          <w:spacing w:val="0"/>
        </w:rPr>
        <w:t>3</w:t>
      </w:r>
      <w:r>
        <w:rPr>
          <w:spacing w:val="0"/>
        </w:rPr>
        <w:fldChar w:fldCharType="end"/>
      </w:r>
      <w:r>
        <w:rPr>
          <w:rFonts w:hint="eastAsia"/>
          <w:spacing w:val="0"/>
          <w:lang w:eastAsia="zh-CN"/>
        </w:rPr>
        <w:fldChar w:fldCharType="end"/>
      </w:r>
    </w:p>
    <w:p w14:paraId="53B66257">
      <w:pPr>
        <w:pStyle w:val="19"/>
        <w:tabs>
          <w:tab w:val="right" w:leader="dot" w:pos="9354"/>
        </w:tabs>
        <w:rPr>
          <w:spacing w:val="0"/>
        </w:rPr>
      </w:pPr>
      <w:r>
        <w:rPr>
          <w:rFonts w:hint="eastAsia"/>
          <w:spacing w:val="0"/>
          <w:lang w:eastAsia="zh-CN"/>
        </w:rPr>
        <w:fldChar w:fldCharType="begin"/>
      </w:r>
      <w:r>
        <w:rPr>
          <w:rFonts w:hint="eastAsia"/>
          <w:spacing w:val="0"/>
          <w:lang w:eastAsia="zh-CN"/>
        </w:rPr>
        <w:instrText xml:space="preserve"> HYPERLINK \l _Toc2607 </w:instrText>
      </w:r>
      <w:r>
        <w:rPr>
          <w:rFonts w:hint="eastAsia"/>
          <w:spacing w:val="0"/>
          <w:lang w:eastAsia="zh-CN"/>
        </w:rPr>
        <w:fldChar w:fldCharType="separate"/>
      </w:r>
      <w:r>
        <w:rPr>
          <w:rFonts w:hint="eastAsia" w:ascii="黑体" w:eastAsia="黑体"/>
          <w:i w:val="0"/>
          <w:spacing w:val="0"/>
        </w:rPr>
        <w:t>6</w:t>
      </w:r>
      <w:r>
        <w:rPr>
          <w:rFonts w:hint="eastAsia" w:ascii="黑体" w:eastAsia="黑体"/>
          <w:i w:val="0"/>
          <w:spacing w:val="0"/>
          <w:lang w:eastAsia="zh-CN"/>
        </w:rPr>
        <w:t xml:space="preserve"> </w:t>
      </w:r>
      <w:r>
        <w:rPr>
          <w:rFonts w:hint="eastAsia" w:ascii="黑体" w:eastAsia="黑体"/>
          <w:i w:val="0"/>
          <w:spacing w:val="0"/>
        </w:rPr>
        <w:t xml:space="preserve"> </w:t>
      </w:r>
      <w:r>
        <w:rPr>
          <w:rFonts w:hint="eastAsia"/>
          <w:spacing w:val="0"/>
        </w:rPr>
        <w:t>风荷载计算</w:t>
      </w:r>
      <w:r>
        <w:rPr>
          <w:spacing w:val="0"/>
        </w:rPr>
        <w:tab/>
      </w:r>
      <w:r>
        <w:rPr>
          <w:spacing w:val="0"/>
        </w:rPr>
        <w:fldChar w:fldCharType="begin"/>
      </w:r>
      <w:r>
        <w:rPr>
          <w:spacing w:val="0"/>
        </w:rPr>
        <w:instrText xml:space="preserve"> PAGEREF _Toc2607 \h </w:instrText>
      </w:r>
      <w:r>
        <w:rPr>
          <w:spacing w:val="0"/>
        </w:rPr>
        <w:fldChar w:fldCharType="separate"/>
      </w:r>
      <w:r>
        <w:rPr>
          <w:spacing w:val="0"/>
        </w:rPr>
        <w:t>4</w:t>
      </w:r>
      <w:r>
        <w:rPr>
          <w:spacing w:val="0"/>
        </w:rPr>
        <w:fldChar w:fldCharType="end"/>
      </w:r>
      <w:r>
        <w:rPr>
          <w:rFonts w:hint="eastAsia"/>
          <w:spacing w:val="0"/>
          <w:lang w:eastAsia="zh-CN"/>
        </w:rPr>
        <w:fldChar w:fldCharType="end"/>
      </w:r>
    </w:p>
    <w:p w14:paraId="3347F583">
      <w:pPr>
        <w:pStyle w:val="19"/>
        <w:tabs>
          <w:tab w:val="right" w:leader="dot" w:pos="9354"/>
        </w:tabs>
        <w:rPr>
          <w:spacing w:val="0"/>
        </w:rPr>
      </w:pPr>
      <w:r>
        <w:rPr>
          <w:rFonts w:hint="eastAsia"/>
          <w:spacing w:val="0"/>
          <w:lang w:eastAsia="zh-CN"/>
        </w:rPr>
        <w:fldChar w:fldCharType="begin"/>
      </w:r>
      <w:r>
        <w:rPr>
          <w:rFonts w:hint="eastAsia"/>
          <w:spacing w:val="0"/>
          <w:lang w:eastAsia="zh-CN"/>
        </w:rPr>
        <w:instrText xml:space="preserve"> HYPERLINK \l _Toc2696 </w:instrText>
      </w:r>
      <w:r>
        <w:rPr>
          <w:rFonts w:hint="eastAsia"/>
          <w:spacing w:val="0"/>
          <w:lang w:eastAsia="zh-CN"/>
        </w:rPr>
        <w:fldChar w:fldCharType="separate"/>
      </w:r>
      <w:r>
        <w:rPr>
          <w:rFonts w:hint="eastAsia" w:ascii="黑体" w:eastAsia="黑体"/>
          <w:i w:val="0"/>
          <w:spacing w:val="0"/>
        </w:rPr>
        <w:t>7</w:t>
      </w:r>
      <w:r>
        <w:rPr>
          <w:rFonts w:hint="eastAsia" w:ascii="黑体" w:eastAsia="黑体"/>
          <w:i w:val="0"/>
          <w:spacing w:val="0"/>
          <w:lang w:eastAsia="zh-CN"/>
        </w:rPr>
        <w:t xml:space="preserve"> </w:t>
      </w:r>
      <w:r>
        <w:rPr>
          <w:rFonts w:hint="eastAsia" w:ascii="黑体" w:eastAsia="黑体"/>
          <w:i w:val="0"/>
          <w:spacing w:val="0"/>
        </w:rPr>
        <w:t xml:space="preserve"> </w:t>
      </w:r>
      <w:r>
        <w:rPr>
          <w:rFonts w:hint="eastAsia"/>
          <w:spacing w:val="0"/>
        </w:rPr>
        <w:t>站址规划及总平面布置</w:t>
      </w:r>
      <w:r>
        <w:rPr>
          <w:spacing w:val="0"/>
        </w:rPr>
        <w:tab/>
      </w:r>
      <w:r>
        <w:rPr>
          <w:spacing w:val="0"/>
        </w:rPr>
        <w:fldChar w:fldCharType="begin"/>
      </w:r>
      <w:r>
        <w:rPr>
          <w:spacing w:val="0"/>
        </w:rPr>
        <w:instrText xml:space="preserve"> PAGEREF _Toc2696 \h </w:instrText>
      </w:r>
      <w:r>
        <w:rPr>
          <w:spacing w:val="0"/>
        </w:rPr>
        <w:fldChar w:fldCharType="separate"/>
      </w:r>
      <w:r>
        <w:rPr>
          <w:spacing w:val="0"/>
        </w:rPr>
        <w:t>6</w:t>
      </w:r>
      <w:r>
        <w:rPr>
          <w:spacing w:val="0"/>
        </w:rPr>
        <w:fldChar w:fldCharType="end"/>
      </w:r>
      <w:r>
        <w:rPr>
          <w:rFonts w:hint="eastAsia"/>
          <w:spacing w:val="0"/>
          <w:lang w:eastAsia="zh-CN"/>
        </w:rPr>
        <w:fldChar w:fldCharType="end"/>
      </w:r>
    </w:p>
    <w:p w14:paraId="1E254B77">
      <w:pPr>
        <w:pStyle w:val="19"/>
        <w:tabs>
          <w:tab w:val="right" w:leader="dot" w:pos="9354"/>
        </w:tabs>
        <w:rPr>
          <w:spacing w:val="0"/>
        </w:rPr>
      </w:pPr>
      <w:r>
        <w:rPr>
          <w:rFonts w:hint="eastAsia"/>
          <w:spacing w:val="0"/>
          <w:lang w:eastAsia="zh-CN"/>
        </w:rPr>
        <w:fldChar w:fldCharType="begin"/>
      </w:r>
      <w:r>
        <w:rPr>
          <w:rFonts w:hint="eastAsia"/>
          <w:spacing w:val="0"/>
          <w:lang w:eastAsia="zh-CN"/>
        </w:rPr>
        <w:instrText xml:space="preserve"> HYPERLINK \l _Toc12905 </w:instrText>
      </w:r>
      <w:r>
        <w:rPr>
          <w:rFonts w:hint="eastAsia"/>
          <w:spacing w:val="0"/>
          <w:lang w:eastAsia="zh-CN"/>
        </w:rPr>
        <w:fldChar w:fldCharType="separate"/>
      </w:r>
      <w:r>
        <w:rPr>
          <w:rFonts w:hint="eastAsia" w:ascii="黑体" w:eastAsia="黑体"/>
          <w:i w:val="0"/>
          <w:spacing w:val="0"/>
        </w:rPr>
        <w:t>8</w:t>
      </w:r>
      <w:r>
        <w:rPr>
          <w:rFonts w:hint="eastAsia" w:ascii="黑体" w:eastAsia="黑体"/>
          <w:i w:val="0"/>
          <w:spacing w:val="0"/>
          <w:lang w:eastAsia="zh-CN"/>
        </w:rPr>
        <w:t xml:space="preserve"> </w:t>
      </w:r>
      <w:r>
        <w:rPr>
          <w:rFonts w:hint="eastAsia" w:ascii="黑体" w:eastAsia="黑体"/>
          <w:i w:val="0"/>
          <w:spacing w:val="0"/>
        </w:rPr>
        <w:t xml:space="preserve"> </w:t>
      </w:r>
      <w:r>
        <w:rPr>
          <w:rFonts w:hint="eastAsia"/>
          <w:spacing w:val="0"/>
        </w:rPr>
        <w:t>电气设计</w:t>
      </w:r>
      <w:r>
        <w:rPr>
          <w:spacing w:val="0"/>
        </w:rPr>
        <w:tab/>
      </w:r>
      <w:r>
        <w:rPr>
          <w:spacing w:val="0"/>
        </w:rPr>
        <w:fldChar w:fldCharType="begin"/>
      </w:r>
      <w:r>
        <w:rPr>
          <w:spacing w:val="0"/>
        </w:rPr>
        <w:instrText xml:space="preserve"> PAGEREF _Toc12905 \h </w:instrText>
      </w:r>
      <w:r>
        <w:rPr>
          <w:spacing w:val="0"/>
        </w:rPr>
        <w:fldChar w:fldCharType="separate"/>
      </w:r>
      <w:r>
        <w:rPr>
          <w:spacing w:val="0"/>
        </w:rPr>
        <w:t>6</w:t>
      </w:r>
      <w:r>
        <w:rPr>
          <w:spacing w:val="0"/>
        </w:rPr>
        <w:fldChar w:fldCharType="end"/>
      </w:r>
      <w:r>
        <w:rPr>
          <w:rFonts w:hint="eastAsia"/>
          <w:spacing w:val="0"/>
          <w:lang w:eastAsia="zh-CN"/>
        </w:rPr>
        <w:fldChar w:fldCharType="end"/>
      </w:r>
    </w:p>
    <w:p w14:paraId="0637E7E8">
      <w:pPr>
        <w:pStyle w:val="19"/>
        <w:tabs>
          <w:tab w:val="right" w:leader="dot" w:pos="9354"/>
        </w:tabs>
        <w:rPr>
          <w:spacing w:val="0"/>
        </w:rPr>
      </w:pPr>
      <w:r>
        <w:rPr>
          <w:rFonts w:hint="eastAsia"/>
          <w:spacing w:val="0"/>
          <w:lang w:eastAsia="zh-CN"/>
        </w:rPr>
        <w:fldChar w:fldCharType="begin"/>
      </w:r>
      <w:r>
        <w:rPr>
          <w:rFonts w:hint="eastAsia"/>
          <w:spacing w:val="0"/>
          <w:lang w:eastAsia="zh-CN"/>
        </w:rPr>
        <w:instrText xml:space="preserve"> HYPERLINK \l _Toc2373 </w:instrText>
      </w:r>
      <w:r>
        <w:rPr>
          <w:rFonts w:hint="eastAsia"/>
          <w:spacing w:val="0"/>
          <w:lang w:eastAsia="zh-CN"/>
        </w:rPr>
        <w:fldChar w:fldCharType="separate"/>
      </w:r>
      <w:r>
        <w:rPr>
          <w:rFonts w:hint="eastAsia" w:ascii="黑体" w:eastAsia="黑体"/>
          <w:i w:val="0"/>
          <w:spacing w:val="0"/>
        </w:rPr>
        <w:t>9</w:t>
      </w:r>
      <w:r>
        <w:rPr>
          <w:rFonts w:hint="eastAsia" w:ascii="黑体" w:eastAsia="黑体"/>
          <w:i w:val="0"/>
          <w:spacing w:val="0"/>
          <w:lang w:eastAsia="zh-CN"/>
        </w:rPr>
        <w:t xml:space="preserve"> </w:t>
      </w:r>
      <w:r>
        <w:rPr>
          <w:rFonts w:hint="eastAsia" w:ascii="黑体" w:eastAsia="黑体"/>
          <w:i w:val="0"/>
          <w:spacing w:val="0"/>
        </w:rPr>
        <w:t xml:space="preserve"> </w:t>
      </w:r>
      <w:r>
        <w:rPr>
          <w:rFonts w:hint="eastAsia"/>
          <w:spacing w:val="0"/>
        </w:rPr>
        <w:t>土建设计</w:t>
      </w:r>
      <w:r>
        <w:rPr>
          <w:spacing w:val="0"/>
        </w:rPr>
        <w:tab/>
      </w:r>
      <w:r>
        <w:rPr>
          <w:spacing w:val="0"/>
        </w:rPr>
        <w:fldChar w:fldCharType="begin"/>
      </w:r>
      <w:r>
        <w:rPr>
          <w:spacing w:val="0"/>
        </w:rPr>
        <w:instrText xml:space="preserve"> PAGEREF _Toc2373 \h </w:instrText>
      </w:r>
      <w:r>
        <w:rPr>
          <w:spacing w:val="0"/>
        </w:rPr>
        <w:fldChar w:fldCharType="separate"/>
      </w:r>
      <w:r>
        <w:rPr>
          <w:spacing w:val="0"/>
        </w:rPr>
        <w:t>8</w:t>
      </w:r>
      <w:r>
        <w:rPr>
          <w:spacing w:val="0"/>
        </w:rPr>
        <w:fldChar w:fldCharType="end"/>
      </w:r>
      <w:r>
        <w:rPr>
          <w:rFonts w:hint="eastAsia"/>
          <w:spacing w:val="0"/>
          <w:lang w:eastAsia="zh-CN"/>
        </w:rPr>
        <w:fldChar w:fldCharType="end"/>
      </w:r>
    </w:p>
    <w:p w14:paraId="2A72B8EF">
      <w:pPr>
        <w:pStyle w:val="19"/>
        <w:tabs>
          <w:tab w:val="right" w:leader="dot" w:pos="9354"/>
        </w:tabs>
        <w:rPr>
          <w:spacing w:val="0"/>
        </w:rPr>
      </w:pPr>
      <w:r>
        <w:rPr>
          <w:rFonts w:hint="eastAsia"/>
          <w:spacing w:val="0"/>
          <w:lang w:eastAsia="zh-CN"/>
        </w:rPr>
        <w:fldChar w:fldCharType="begin"/>
      </w:r>
      <w:r>
        <w:rPr>
          <w:rFonts w:hint="eastAsia"/>
          <w:spacing w:val="0"/>
          <w:lang w:eastAsia="zh-CN"/>
        </w:rPr>
        <w:instrText xml:space="preserve"> HYPERLINK \l _Toc12932 </w:instrText>
      </w:r>
      <w:r>
        <w:rPr>
          <w:rFonts w:hint="eastAsia"/>
          <w:spacing w:val="0"/>
          <w:lang w:eastAsia="zh-CN"/>
        </w:rPr>
        <w:fldChar w:fldCharType="separate"/>
      </w:r>
      <w:r>
        <w:rPr>
          <w:rFonts w:hint="eastAsia" w:ascii="黑体" w:eastAsia="黑体"/>
          <w:i w:val="0"/>
          <w:spacing w:val="0"/>
        </w:rPr>
        <w:t>10</w:t>
      </w:r>
      <w:r>
        <w:rPr>
          <w:rFonts w:hint="eastAsia" w:ascii="黑体" w:eastAsia="黑体"/>
          <w:i w:val="0"/>
          <w:spacing w:val="0"/>
          <w:lang w:eastAsia="zh-CN"/>
        </w:rPr>
        <w:t xml:space="preserve"> </w:t>
      </w:r>
      <w:r>
        <w:rPr>
          <w:rFonts w:hint="eastAsia" w:ascii="黑体" w:eastAsia="黑体"/>
          <w:i w:val="0"/>
          <w:spacing w:val="0"/>
        </w:rPr>
        <w:t xml:space="preserve"> </w:t>
      </w:r>
      <w:r>
        <w:rPr>
          <w:rFonts w:hint="eastAsia"/>
          <w:spacing w:val="0"/>
        </w:rPr>
        <w:t>台风次生灾害防治</w:t>
      </w:r>
      <w:r>
        <w:rPr>
          <w:spacing w:val="0"/>
        </w:rPr>
        <w:tab/>
      </w:r>
      <w:r>
        <w:rPr>
          <w:spacing w:val="0"/>
        </w:rPr>
        <w:fldChar w:fldCharType="begin"/>
      </w:r>
      <w:r>
        <w:rPr>
          <w:spacing w:val="0"/>
        </w:rPr>
        <w:instrText xml:space="preserve"> PAGEREF _Toc12932 \h </w:instrText>
      </w:r>
      <w:r>
        <w:rPr>
          <w:spacing w:val="0"/>
        </w:rPr>
        <w:fldChar w:fldCharType="separate"/>
      </w:r>
      <w:r>
        <w:rPr>
          <w:spacing w:val="0"/>
        </w:rPr>
        <w:t>14</w:t>
      </w:r>
      <w:r>
        <w:rPr>
          <w:spacing w:val="0"/>
        </w:rPr>
        <w:fldChar w:fldCharType="end"/>
      </w:r>
      <w:r>
        <w:rPr>
          <w:rFonts w:hint="eastAsia"/>
          <w:spacing w:val="0"/>
          <w:lang w:eastAsia="zh-CN"/>
        </w:rPr>
        <w:fldChar w:fldCharType="end"/>
      </w:r>
    </w:p>
    <w:p w14:paraId="32E9F555">
      <w:pPr>
        <w:pStyle w:val="19"/>
        <w:tabs>
          <w:tab w:val="right" w:leader="dot" w:pos="9354"/>
        </w:tabs>
        <w:rPr>
          <w:spacing w:val="0"/>
        </w:rPr>
      </w:pPr>
      <w:r>
        <w:rPr>
          <w:rFonts w:hint="eastAsia"/>
          <w:spacing w:val="0"/>
          <w:lang w:eastAsia="zh-CN"/>
        </w:rPr>
        <w:fldChar w:fldCharType="begin"/>
      </w:r>
      <w:r>
        <w:rPr>
          <w:rFonts w:hint="eastAsia"/>
          <w:spacing w:val="0"/>
          <w:lang w:eastAsia="zh-CN"/>
        </w:rPr>
        <w:instrText xml:space="preserve"> HYPERLINK \l _Toc8554 </w:instrText>
      </w:r>
      <w:r>
        <w:rPr>
          <w:rFonts w:hint="eastAsia"/>
          <w:spacing w:val="0"/>
          <w:lang w:eastAsia="zh-CN"/>
        </w:rPr>
        <w:fldChar w:fldCharType="separate"/>
      </w:r>
      <w:r>
        <w:rPr>
          <w:rFonts w:hint="eastAsia" w:ascii="黑体" w:eastAsia="黑体"/>
          <w:i w:val="0"/>
          <w:spacing w:val="0"/>
        </w:rPr>
        <w:t>11</w:t>
      </w:r>
      <w:r>
        <w:rPr>
          <w:rFonts w:hint="eastAsia" w:ascii="黑体" w:eastAsia="黑体"/>
          <w:i w:val="0"/>
          <w:spacing w:val="0"/>
          <w:lang w:eastAsia="zh-CN"/>
        </w:rPr>
        <w:t xml:space="preserve"> </w:t>
      </w:r>
      <w:r>
        <w:rPr>
          <w:rFonts w:hint="eastAsia" w:ascii="黑体" w:eastAsia="黑体"/>
          <w:i w:val="0"/>
          <w:spacing w:val="0"/>
        </w:rPr>
        <w:t xml:space="preserve"> </w:t>
      </w:r>
      <w:r>
        <w:rPr>
          <w:rFonts w:hint="eastAsia"/>
          <w:spacing w:val="0"/>
        </w:rPr>
        <w:t>运行维护及灾后评估与修复</w:t>
      </w:r>
      <w:r>
        <w:rPr>
          <w:spacing w:val="0"/>
        </w:rPr>
        <w:tab/>
      </w:r>
      <w:r>
        <w:rPr>
          <w:spacing w:val="0"/>
        </w:rPr>
        <w:fldChar w:fldCharType="begin"/>
      </w:r>
      <w:r>
        <w:rPr>
          <w:spacing w:val="0"/>
        </w:rPr>
        <w:instrText xml:space="preserve"> PAGEREF _Toc8554 \h </w:instrText>
      </w:r>
      <w:r>
        <w:rPr>
          <w:spacing w:val="0"/>
        </w:rPr>
        <w:fldChar w:fldCharType="separate"/>
      </w:r>
      <w:r>
        <w:rPr>
          <w:spacing w:val="0"/>
        </w:rPr>
        <w:t>15</w:t>
      </w:r>
      <w:r>
        <w:rPr>
          <w:spacing w:val="0"/>
        </w:rPr>
        <w:fldChar w:fldCharType="end"/>
      </w:r>
      <w:r>
        <w:rPr>
          <w:rFonts w:hint="eastAsia"/>
          <w:spacing w:val="0"/>
          <w:lang w:eastAsia="zh-CN"/>
        </w:rPr>
        <w:fldChar w:fldCharType="end"/>
      </w:r>
    </w:p>
    <w:p w14:paraId="55559F69">
      <w:pPr>
        <w:pStyle w:val="19"/>
        <w:tabs>
          <w:tab w:val="right" w:leader="dot" w:pos="9354"/>
        </w:tabs>
        <w:rPr>
          <w:spacing w:val="0"/>
        </w:rPr>
      </w:pPr>
      <w:r>
        <w:rPr>
          <w:rFonts w:hint="eastAsia"/>
          <w:spacing w:val="0"/>
          <w:lang w:eastAsia="zh-CN"/>
        </w:rPr>
        <w:fldChar w:fldCharType="begin"/>
      </w:r>
      <w:r>
        <w:rPr>
          <w:rFonts w:hint="eastAsia"/>
          <w:spacing w:val="0"/>
          <w:lang w:eastAsia="zh-CN"/>
        </w:rPr>
        <w:instrText xml:space="preserve"> HYPERLINK \l _Toc32243 </w:instrText>
      </w:r>
      <w:r>
        <w:rPr>
          <w:rFonts w:hint="eastAsia"/>
          <w:spacing w:val="0"/>
          <w:lang w:eastAsia="zh-CN"/>
        </w:rPr>
        <w:fldChar w:fldCharType="separate"/>
      </w:r>
      <w:r>
        <w:rPr>
          <w:rFonts w:hint="eastAsia"/>
          <w:spacing w:val="0"/>
        </w:rPr>
        <w:t>附录A</w:t>
      </w:r>
      <w:r>
        <w:rPr>
          <w:spacing w:val="0"/>
        </w:rPr>
        <w:t xml:space="preserve"> </w:t>
      </w:r>
      <w:r>
        <w:rPr>
          <w:rFonts w:hint="eastAsia"/>
          <w:spacing w:val="0"/>
        </w:rPr>
        <w:t>（资料性）</w:t>
      </w:r>
      <w:r>
        <w:rPr>
          <w:spacing w:val="0"/>
        </w:rPr>
        <w:t xml:space="preserve"> </w:t>
      </w:r>
      <w:r>
        <w:rPr>
          <w:rFonts w:hint="eastAsia"/>
          <w:spacing w:val="0"/>
        </w:rPr>
        <w:t>变电工程抗台风运维相关事项汇总表</w:t>
      </w:r>
      <w:r>
        <w:rPr>
          <w:spacing w:val="0"/>
        </w:rPr>
        <w:tab/>
      </w:r>
      <w:r>
        <w:rPr>
          <w:spacing w:val="0"/>
        </w:rPr>
        <w:fldChar w:fldCharType="begin"/>
      </w:r>
      <w:r>
        <w:rPr>
          <w:spacing w:val="0"/>
        </w:rPr>
        <w:instrText xml:space="preserve"> PAGEREF _Toc32243 \h </w:instrText>
      </w:r>
      <w:r>
        <w:rPr>
          <w:spacing w:val="0"/>
        </w:rPr>
        <w:fldChar w:fldCharType="separate"/>
      </w:r>
      <w:r>
        <w:rPr>
          <w:spacing w:val="0"/>
        </w:rPr>
        <w:t>17</w:t>
      </w:r>
      <w:r>
        <w:rPr>
          <w:spacing w:val="0"/>
        </w:rPr>
        <w:fldChar w:fldCharType="end"/>
      </w:r>
      <w:r>
        <w:rPr>
          <w:rFonts w:hint="eastAsia"/>
          <w:spacing w:val="0"/>
          <w:lang w:eastAsia="zh-CN"/>
        </w:rPr>
        <w:fldChar w:fldCharType="end"/>
      </w:r>
    </w:p>
    <w:p w14:paraId="5847424F">
      <w:pPr>
        <w:pStyle w:val="91"/>
        <w:bidi w:val="0"/>
        <w:rPr>
          <w:rFonts w:hint="eastAsia"/>
          <w:lang w:eastAsia="zh-CN"/>
        </w:rPr>
        <w:sectPr>
          <w:headerReference r:id="rId9" w:type="default"/>
          <w:footerReference r:id="rId10" w:type="default"/>
          <w:pgSz w:w="11906" w:h="16838"/>
          <w:pgMar w:top="1928" w:right="1134" w:bottom="1134" w:left="1134" w:header="1418" w:footer="1134" w:gutter="284"/>
          <w:pgNumType w:fmt="upperRoman" w:start="1"/>
          <w:cols w:space="425" w:num="1"/>
          <w:formProt w:val="0"/>
          <w:docGrid w:linePitch="312" w:charSpace="0"/>
        </w:sectPr>
      </w:pPr>
      <w:r>
        <w:rPr>
          <w:rFonts w:hint="eastAsia"/>
          <w:lang w:eastAsia="zh-CN"/>
        </w:rPr>
        <w:fldChar w:fldCharType="end"/>
      </w:r>
    </w:p>
    <w:bookmarkEnd w:id="19"/>
    <w:p w14:paraId="4A96C2DA">
      <w:pPr>
        <w:pStyle w:val="89"/>
        <w:spacing w:before="900" w:after="360"/>
      </w:pPr>
      <w:bookmarkStart w:id="23" w:name="_Toc14930"/>
      <w:bookmarkStart w:id="24" w:name="BookMark2"/>
      <w:r>
        <w:rPr>
          <w:spacing w:val="320"/>
        </w:rPr>
        <w:t>前</w:t>
      </w:r>
      <w:r>
        <w:t>言</w:t>
      </w:r>
      <w:bookmarkEnd w:id="20"/>
      <w:bookmarkEnd w:id="21"/>
      <w:bookmarkEnd w:id="22"/>
      <w:bookmarkEnd w:id="23"/>
    </w:p>
    <w:p w14:paraId="5E0C8BD7">
      <w:pPr>
        <w:pStyle w:val="56"/>
        <w:adjustRightInd w:val="0"/>
        <w:snapToGrid w:val="0"/>
        <w:spacing w:line="360" w:lineRule="auto"/>
        <w:ind w:firstLine="420"/>
      </w:pPr>
      <w:r>
        <w:rPr>
          <w:rFonts w:hint="eastAsia"/>
        </w:rPr>
        <w:t>本文件按照GB/T 1.1—2020《标准化工作导则  第1部分：标准化文件的结构和起草规则》的规定起草。</w:t>
      </w:r>
    </w:p>
    <w:p w14:paraId="0CF2DEF9">
      <w:pPr>
        <w:pStyle w:val="56"/>
        <w:adjustRightInd w:val="0"/>
        <w:snapToGrid w:val="0"/>
        <w:spacing w:line="360" w:lineRule="auto"/>
        <w:ind w:firstLine="420"/>
      </w:pPr>
      <w:r>
        <w:rPr>
          <w:rFonts w:hint="eastAsia"/>
        </w:rPr>
        <w:t>请注意本文件的某些内容可能涉及专利。本文件的发布机构不承担识别专利的责任。</w:t>
      </w:r>
    </w:p>
    <w:p w14:paraId="50D2011B">
      <w:pPr>
        <w:pStyle w:val="56"/>
        <w:adjustRightInd w:val="0"/>
        <w:snapToGrid w:val="0"/>
        <w:spacing w:line="360" w:lineRule="auto"/>
        <w:ind w:firstLine="420"/>
      </w:pPr>
      <w:r>
        <w:rPr>
          <w:rFonts w:hint="eastAsia"/>
        </w:rPr>
        <w:t>本文件由中国电力建设企业协会提出并归口。</w:t>
      </w:r>
    </w:p>
    <w:p w14:paraId="0DAE4BC2">
      <w:pPr>
        <w:pStyle w:val="56"/>
        <w:adjustRightInd w:val="0"/>
        <w:snapToGrid w:val="0"/>
        <w:spacing w:line="360" w:lineRule="auto"/>
        <w:ind w:firstLine="420"/>
      </w:pPr>
      <w:r>
        <w:rPr>
          <w:rFonts w:hint="eastAsia"/>
        </w:rPr>
        <w:t>本文件起草单位：</w:t>
      </w:r>
    </w:p>
    <w:p w14:paraId="05D04B3A">
      <w:pPr>
        <w:pStyle w:val="56"/>
        <w:adjustRightInd w:val="0"/>
        <w:snapToGrid w:val="0"/>
        <w:spacing w:line="360" w:lineRule="auto"/>
        <w:ind w:firstLine="420"/>
      </w:pPr>
      <w:r>
        <w:rPr>
          <w:rFonts w:hint="eastAsia"/>
        </w:rPr>
        <w:t>本文件主要起草人：</w:t>
      </w:r>
    </w:p>
    <w:p w14:paraId="4A199235">
      <w:pPr>
        <w:pStyle w:val="56"/>
        <w:adjustRightInd w:val="0"/>
        <w:snapToGrid w:val="0"/>
        <w:spacing w:line="360" w:lineRule="auto"/>
        <w:ind w:firstLine="420"/>
      </w:pPr>
      <w:r>
        <w:rPr>
          <w:rFonts w:hint="eastAsia"/>
        </w:rPr>
        <w:t>本文件主要审查人：</w:t>
      </w:r>
    </w:p>
    <w:p w14:paraId="7ECE7679">
      <w:pPr>
        <w:pStyle w:val="56"/>
        <w:adjustRightInd w:val="0"/>
        <w:snapToGrid w:val="0"/>
        <w:spacing w:line="360" w:lineRule="auto"/>
        <w:ind w:firstLine="420"/>
      </w:pPr>
      <w:r>
        <w:rPr>
          <w:rFonts w:hint="eastAsia"/>
        </w:rPr>
        <w:t>本文件在执行过程中的意见或建议反馈至中国电力建设企业协会（北京市丰台区西四环南路35号中都科技大厦3层）</w:t>
      </w:r>
    </w:p>
    <w:p w14:paraId="46867DEC">
      <w:pPr>
        <w:pStyle w:val="56"/>
        <w:ind w:firstLine="420"/>
        <w:sectPr>
          <w:pgSz w:w="11906" w:h="16838"/>
          <w:pgMar w:top="1928" w:right="1134" w:bottom="1134" w:left="1134" w:header="1418" w:footer="1134" w:gutter="284"/>
          <w:pgNumType w:fmt="upperRoman"/>
          <w:cols w:space="425" w:num="1"/>
          <w:formProt w:val="0"/>
          <w:docGrid w:linePitch="312" w:charSpace="0"/>
        </w:sectPr>
      </w:pPr>
    </w:p>
    <w:bookmarkEnd w:id="24"/>
    <w:p w14:paraId="6C5A3825">
      <w:pPr>
        <w:spacing w:line="20" w:lineRule="exact"/>
        <w:jc w:val="center"/>
        <w:rPr>
          <w:rFonts w:ascii="黑体" w:hAnsi="黑体" w:eastAsia="黑体"/>
          <w:sz w:val="32"/>
          <w:szCs w:val="32"/>
        </w:rPr>
      </w:pPr>
      <w:bookmarkStart w:id="25" w:name="BookMark4"/>
    </w:p>
    <w:p w14:paraId="26322D3C">
      <w:pPr>
        <w:spacing w:line="20" w:lineRule="exact"/>
        <w:jc w:val="center"/>
        <w:rPr>
          <w:rFonts w:ascii="黑体" w:hAnsi="黑体" w:eastAsia="黑体"/>
          <w:sz w:val="32"/>
          <w:szCs w:val="32"/>
        </w:rPr>
      </w:pPr>
    </w:p>
    <w:sdt>
      <w:sdtPr>
        <w:tag w:val="NEW_STAND_NAME"/>
        <w:id w:val="595910757"/>
        <w:lock w:val="sdtLocked"/>
        <w:placeholder>
          <w:docPart w:val="5973E4E77D58426CA22153ABCD81CF52"/>
        </w:placeholder>
      </w:sdtPr>
      <w:sdtContent>
        <w:p w14:paraId="40B38D02">
          <w:pPr>
            <w:pStyle w:val="177"/>
            <w:spacing w:before="240" w:beforeLines="100" w:after="528" w:afterLines="220"/>
          </w:pPr>
          <w:bookmarkStart w:id="26" w:name="NEW_STAND_NAME"/>
          <w:r>
            <w:rPr>
              <w:rFonts w:hint="eastAsia"/>
            </w:rPr>
            <w:t>变电工程抗台风设计技术规程</w:t>
          </w:r>
        </w:p>
      </w:sdtContent>
    </w:sdt>
    <w:bookmarkEnd w:id="26"/>
    <w:p w14:paraId="2C2992E5">
      <w:pPr>
        <w:pStyle w:val="104"/>
        <w:spacing w:before="240" w:after="240"/>
      </w:pPr>
      <w:bookmarkStart w:id="27" w:name="_Toc24884211"/>
      <w:bookmarkStart w:id="28" w:name="_Toc26986771"/>
      <w:bookmarkStart w:id="29" w:name="_Toc17233333"/>
      <w:bookmarkStart w:id="30" w:name="_Toc26986530"/>
      <w:bookmarkStart w:id="31" w:name="_Toc24884218"/>
      <w:bookmarkStart w:id="32" w:name="_Toc26718930"/>
      <w:bookmarkStart w:id="33" w:name="_Toc26648465"/>
      <w:bookmarkStart w:id="34" w:name="_Toc97192964"/>
      <w:bookmarkStart w:id="35" w:name="_Toc32414"/>
      <w:bookmarkStart w:id="36" w:name="_Toc17749"/>
      <w:bookmarkStart w:id="37" w:name="_Toc17233325"/>
      <w:bookmarkStart w:id="38" w:name="_Toc228964638"/>
      <w:bookmarkStart w:id="39" w:name="_Toc228957836"/>
      <w:bookmarkStart w:id="40" w:name="_Toc19317"/>
      <w:r>
        <w:rPr>
          <w:rFonts w:hint="eastAsia"/>
        </w:rPr>
        <w:t>范围</w:t>
      </w:r>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1F51478D">
      <w:pPr>
        <w:pStyle w:val="162"/>
        <w:numPr>
          <w:ilvl w:val="0"/>
          <w:numId w:val="0"/>
        </w:numPr>
        <w:adjustRightInd w:val="0"/>
        <w:snapToGrid w:val="0"/>
        <w:spacing w:line="360" w:lineRule="auto"/>
        <w:ind w:firstLine="420" w:firstLineChars="200"/>
      </w:pPr>
      <w:bookmarkStart w:id="41" w:name="_Toc24884219"/>
      <w:bookmarkStart w:id="42" w:name="_Toc17233326"/>
      <w:bookmarkStart w:id="43" w:name="_Toc17233334"/>
      <w:bookmarkStart w:id="44" w:name="_Toc24884212"/>
      <w:bookmarkStart w:id="45" w:name="_Toc26648466"/>
      <w:r>
        <w:rPr>
          <w:rFonts w:hint="eastAsia"/>
        </w:rPr>
        <w:t>本文件规定了变电工程的抗台风设计技术要求，包括气象条件、风荷载计算、站区规划及总平面布置、电气设计、土建设计、台风次生灾害防治、运行维护及灾后评估与修复方面内容。</w:t>
      </w:r>
    </w:p>
    <w:p w14:paraId="0CD21FE6">
      <w:pPr>
        <w:pStyle w:val="162"/>
        <w:numPr>
          <w:ilvl w:val="0"/>
          <w:numId w:val="0"/>
        </w:numPr>
        <w:adjustRightInd w:val="0"/>
        <w:snapToGrid w:val="0"/>
        <w:spacing w:line="360" w:lineRule="auto"/>
        <w:ind w:firstLine="420" w:firstLineChars="200"/>
      </w:pPr>
      <w:r>
        <w:rPr>
          <w:rFonts w:hint="eastAsia"/>
        </w:rPr>
        <w:t>本文件适用于新建、扩建、改建变电工程的抗台风设计。</w:t>
      </w:r>
    </w:p>
    <w:p w14:paraId="3D71F188">
      <w:pPr>
        <w:pStyle w:val="104"/>
        <w:spacing w:before="240" w:after="240"/>
      </w:pPr>
      <w:bookmarkStart w:id="46" w:name="_Toc29988"/>
      <w:bookmarkStart w:id="47" w:name="_Toc26986772"/>
      <w:bookmarkStart w:id="48" w:name="_Toc26718931"/>
      <w:bookmarkStart w:id="49" w:name="_Toc28429"/>
      <w:bookmarkStart w:id="50" w:name="_Toc97192965"/>
      <w:bookmarkStart w:id="51" w:name="_Toc25931"/>
      <w:bookmarkStart w:id="52" w:name="_Toc26986531"/>
      <w:bookmarkStart w:id="53" w:name="_Toc228957837"/>
      <w:bookmarkStart w:id="54" w:name="_Toc228964639"/>
      <w:r>
        <w:rPr>
          <w:rFonts w:hint="eastAsia"/>
        </w:rPr>
        <w:t>规范性引用文件</w:t>
      </w:r>
      <w:bookmarkEnd w:id="41"/>
      <w:bookmarkEnd w:id="42"/>
      <w:bookmarkEnd w:id="43"/>
      <w:bookmarkEnd w:id="44"/>
      <w:bookmarkEnd w:id="45"/>
      <w:bookmarkEnd w:id="46"/>
      <w:bookmarkEnd w:id="47"/>
      <w:bookmarkEnd w:id="48"/>
      <w:bookmarkEnd w:id="49"/>
      <w:bookmarkEnd w:id="50"/>
      <w:bookmarkEnd w:id="51"/>
      <w:bookmarkEnd w:id="52"/>
      <w:bookmarkEnd w:id="53"/>
      <w:bookmarkEnd w:id="54"/>
    </w:p>
    <w:sdt>
      <w:sdtPr>
        <w:rPr>
          <w:rFonts w:hint="eastAsia"/>
        </w:rPr>
        <w:id w:val="715848253"/>
        <w:placeholder>
          <w:docPart w:val="2E2248B248B84D0DBE4F3700CD0FF82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45D7F621">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4DC49DF5">
      <w:pPr>
        <w:pStyle w:val="56"/>
        <w:adjustRightInd w:val="0"/>
        <w:snapToGrid w:val="0"/>
        <w:spacing w:line="360" w:lineRule="auto"/>
        <w:ind w:firstLine="420"/>
      </w:pPr>
      <w:r>
        <w:rPr>
          <w:rFonts w:hint="eastAsia"/>
        </w:rPr>
        <w:t>GB 50007《建筑地基基础设计规范》</w:t>
      </w:r>
    </w:p>
    <w:p w14:paraId="7B556748">
      <w:pPr>
        <w:pStyle w:val="56"/>
        <w:adjustRightInd w:val="0"/>
        <w:snapToGrid w:val="0"/>
        <w:spacing w:line="360" w:lineRule="auto"/>
        <w:ind w:firstLine="420"/>
      </w:pPr>
      <w:r>
        <w:rPr>
          <w:rFonts w:hint="eastAsia"/>
        </w:rPr>
        <w:t>GB 50009《建筑结构荷载规范》</w:t>
      </w:r>
    </w:p>
    <w:p w14:paraId="13E9EA96">
      <w:pPr>
        <w:pStyle w:val="56"/>
        <w:adjustRightInd w:val="0"/>
        <w:snapToGrid w:val="0"/>
        <w:spacing w:line="360" w:lineRule="auto"/>
        <w:ind w:firstLine="420"/>
      </w:pPr>
      <w:r>
        <w:rPr>
          <w:rFonts w:hint="eastAsia"/>
        </w:rPr>
        <w:t>GB 50014《室外排水设计标准》</w:t>
      </w:r>
    </w:p>
    <w:p w14:paraId="6045E64F">
      <w:pPr>
        <w:pStyle w:val="56"/>
        <w:adjustRightInd w:val="0"/>
        <w:snapToGrid w:val="0"/>
        <w:spacing w:line="360" w:lineRule="auto"/>
        <w:ind w:firstLine="420"/>
      </w:pPr>
      <w:r>
        <w:rPr>
          <w:rFonts w:hint="eastAsia"/>
        </w:rPr>
        <w:t>GB 50017《钢结构设计标准》</w:t>
      </w:r>
    </w:p>
    <w:p w14:paraId="4B6E6FA3">
      <w:pPr>
        <w:pStyle w:val="56"/>
        <w:adjustRightInd w:val="0"/>
        <w:snapToGrid w:val="0"/>
        <w:spacing w:line="360" w:lineRule="auto"/>
        <w:ind w:firstLine="420"/>
      </w:pPr>
      <w:r>
        <w:rPr>
          <w:rFonts w:hint="eastAsia"/>
        </w:rPr>
        <w:t>GB 51022《门式刚架轻型房屋钢结构技术规范》</w:t>
      </w:r>
    </w:p>
    <w:p w14:paraId="12A343BA">
      <w:pPr>
        <w:pStyle w:val="56"/>
        <w:adjustRightInd w:val="0"/>
        <w:snapToGrid w:val="0"/>
        <w:spacing w:line="360" w:lineRule="auto"/>
        <w:ind w:firstLine="420"/>
      </w:pPr>
      <w:r>
        <w:rPr>
          <w:rFonts w:hint="eastAsia"/>
        </w:rPr>
        <w:t>GB 55001《工程结构通用规范》</w:t>
      </w:r>
    </w:p>
    <w:p w14:paraId="0C9AB562">
      <w:pPr>
        <w:pStyle w:val="56"/>
        <w:adjustRightInd w:val="0"/>
        <w:snapToGrid w:val="0"/>
        <w:spacing w:line="360" w:lineRule="auto"/>
        <w:ind w:firstLine="420"/>
      </w:pPr>
      <w:r>
        <w:rPr>
          <w:rFonts w:hint="eastAsia"/>
        </w:rPr>
        <w:t>GB 55030《建筑与市政工程防水通用规范》</w:t>
      </w:r>
    </w:p>
    <w:p w14:paraId="245307E9">
      <w:pPr>
        <w:pStyle w:val="56"/>
        <w:adjustRightInd w:val="0"/>
        <w:snapToGrid w:val="0"/>
        <w:spacing w:line="360" w:lineRule="auto"/>
        <w:ind w:firstLine="420"/>
      </w:pPr>
      <w:r>
        <w:rPr>
          <w:rFonts w:hint="eastAsia"/>
        </w:rPr>
        <w:t>GB/T</w:t>
      </w:r>
      <w:r>
        <w:t xml:space="preserve"> </w:t>
      </w:r>
      <w:r>
        <w:rPr>
          <w:rFonts w:hint="eastAsia"/>
        </w:rPr>
        <w:t>8478《铝合金门窗》</w:t>
      </w:r>
    </w:p>
    <w:p w14:paraId="50EB91D5">
      <w:pPr>
        <w:pStyle w:val="56"/>
        <w:adjustRightInd w:val="0"/>
        <w:snapToGrid w:val="0"/>
        <w:spacing w:line="360" w:lineRule="auto"/>
        <w:ind w:firstLine="420"/>
      </w:pPr>
      <w:r>
        <w:rPr>
          <w:rFonts w:hint="eastAsia"/>
        </w:rPr>
        <w:t>GB/T 19201《热带气旋等级》</w:t>
      </w:r>
    </w:p>
    <w:p w14:paraId="4BC3E304">
      <w:pPr>
        <w:pStyle w:val="56"/>
        <w:adjustRightInd w:val="0"/>
        <w:snapToGrid w:val="0"/>
        <w:spacing w:line="360" w:lineRule="auto"/>
        <w:ind w:firstLine="420"/>
      </w:pPr>
      <w:r>
        <w:rPr>
          <w:rFonts w:hint="eastAsia"/>
        </w:rPr>
        <w:t xml:space="preserve">GB/T 28591《风力等级》 </w:t>
      </w:r>
    </w:p>
    <w:p w14:paraId="3F606DFB">
      <w:pPr>
        <w:pStyle w:val="56"/>
        <w:adjustRightInd w:val="0"/>
        <w:snapToGrid w:val="0"/>
        <w:spacing w:line="360" w:lineRule="auto"/>
        <w:ind w:firstLine="420"/>
      </w:pPr>
      <w:r>
        <w:rPr>
          <w:rFonts w:hint="eastAsia"/>
        </w:rPr>
        <w:t>GB/T31433《建筑幕墙、门窗通用技术条件》</w:t>
      </w:r>
    </w:p>
    <w:p w14:paraId="602C17B9">
      <w:pPr>
        <w:pStyle w:val="56"/>
        <w:adjustRightInd w:val="0"/>
        <w:snapToGrid w:val="0"/>
        <w:spacing w:line="360" w:lineRule="auto"/>
        <w:ind w:firstLine="420"/>
      </w:pPr>
      <w:r>
        <w:rPr>
          <w:rFonts w:hint="eastAsia"/>
        </w:rPr>
        <w:t xml:space="preserve">GB/T 32935《全球热带气旋等级》 </w:t>
      </w:r>
    </w:p>
    <w:p w14:paraId="2DF094B4">
      <w:pPr>
        <w:pStyle w:val="56"/>
        <w:adjustRightInd w:val="0"/>
        <w:snapToGrid w:val="0"/>
        <w:spacing w:line="360" w:lineRule="auto"/>
        <w:ind w:firstLine="420"/>
      </w:pPr>
      <w:r>
        <w:rPr>
          <w:rFonts w:hint="eastAsia"/>
        </w:rPr>
        <w:t>GB/T 36745 《台风涡旋测风数据判别规范》</w:t>
      </w:r>
    </w:p>
    <w:p w14:paraId="01201D2B">
      <w:pPr>
        <w:pStyle w:val="56"/>
        <w:adjustRightInd w:val="0"/>
        <w:snapToGrid w:val="0"/>
        <w:spacing w:line="360" w:lineRule="auto"/>
        <w:ind w:firstLine="420"/>
      </w:pPr>
      <w:r>
        <w:rPr>
          <w:rFonts w:hint="eastAsia"/>
        </w:rPr>
        <w:t>GB/T 50010《混凝土结构设计标准》</w:t>
      </w:r>
    </w:p>
    <w:p w14:paraId="43521D72">
      <w:pPr>
        <w:pStyle w:val="56"/>
        <w:adjustRightInd w:val="0"/>
        <w:snapToGrid w:val="0"/>
        <w:spacing w:line="360" w:lineRule="auto"/>
        <w:ind w:firstLine="420"/>
      </w:pPr>
      <w:r>
        <w:rPr>
          <w:rFonts w:hint="eastAsia"/>
        </w:rPr>
        <w:t>GB/T 50046《工业建筑防腐蚀设计标准》</w:t>
      </w:r>
    </w:p>
    <w:p w14:paraId="5449EEF9">
      <w:pPr>
        <w:pStyle w:val="56"/>
        <w:adjustRightInd w:val="0"/>
        <w:snapToGrid w:val="0"/>
        <w:spacing w:line="360" w:lineRule="auto"/>
        <w:ind w:firstLine="420"/>
      </w:pPr>
      <w:bookmarkStart w:id="55" w:name="OLE_LINK7"/>
      <w:bookmarkStart w:id="56" w:name="OLE_LINK2"/>
      <w:r>
        <w:rPr>
          <w:rFonts w:hint="eastAsia"/>
        </w:rPr>
        <w:t>GB/T 50297《电力工程基本术语标准》</w:t>
      </w:r>
    </w:p>
    <w:bookmarkEnd w:id="55"/>
    <w:bookmarkEnd w:id="56"/>
    <w:p w14:paraId="347BAFC7">
      <w:pPr>
        <w:pStyle w:val="56"/>
        <w:adjustRightInd w:val="0"/>
        <w:snapToGrid w:val="0"/>
        <w:spacing w:line="360" w:lineRule="auto"/>
        <w:ind w:firstLine="420"/>
        <w:rPr>
          <w:rFonts w:hint="eastAsia"/>
        </w:rPr>
      </w:pPr>
      <w:r>
        <w:rPr>
          <w:rFonts w:hint="eastAsia"/>
        </w:rPr>
        <w:t>GB/T 5</w:t>
      </w:r>
      <w:r>
        <w:t>1335</w:t>
      </w:r>
      <w:r>
        <w:rPr>
          <w:rFonts w:hint="eastAsia"/>
        </w:rPr>
        <w:t>《声屏障结构技术标准》</w:t>
      </w:r>
    </w:p>
    <w:p w14:paraId="61053046">
      <w:pPr>
        <w:pStyle w:val="56"/>
        <w:adjustRightInd w:val="0"/>
        <w:snapToGrid w:val="0"/>
        <w:spacing w:line="360" w:lineRule="auto"/>
        <w:ind w:firstLine="420"/>
      </w:pPr>
      <w:r>
        <w:rPr>
          <w:rFonts w:hint="eastAsia"/>
        </w:rPr>
        <w:t>DL/T</w:t>
      </w:r>
      <w:r>
        <w:t xml:space="preserve"> </w:t>
      </w:r>
      <w:r>
        <w:rPr>
          <w:rFonts w:hint="eastAsia"/>
        </w:rPr>
        <w:t>2237《电网风区分布图绘制技术导则》</w:t>
      </w:r>
    </w:p>
    <w:p w14:paraId="4319D8F7">
      <w:pPr>
        <w:pStyle w:val="56"/>
        <w:adjustRightInd w:val="0"/>
        <w:snapToGrid w:val="0"/>
        <w:spacing w:line="360" w:lineRule="auto"/>
        <w:ind w:firstLine="420"/>
      </w:pPr>
      <w:r>
        <w:rPr>
          <w:rFonts w:hint="eastAsia"/>
        </w:rPr>
        <w:t>DL/T 5056《变电工程总布置设计规程》</w:t>
      </w:r>
    </w:p>
    <w:p w14:paraId="7E327677">
      <w:pPr>
        <w:pStyle w:val="56"/>
        <w:adjustRightInd w:val="0"/>
        <w:snapToGrid w:val="0"/>
        <w:spacing w:line="360" w:lineRule="auto"/>
        <w:ind w:firstLine="420"/>
      </w:pPr>
      <w:r>
        <w:rPr>
          <w:rFonts w:hint="eastAsia"/>
        </w:rPr>
        <w:t>DL/T 5143《变电站和换流站给水排水设计规程》</w:t>
      </w:r>
    </w:p>
    <w:p w14:paraId="067937C5">
      <w:pPr>
        <w:pStyle w:val="56"/>
        <w:adjustRightInd w:val="0"/>
        <w:snapToGrid w:val="0"/>
        <w:spacing w:line="360" w:lineRule="auto"/>
        <w:ind w:firstLine="420"/>
      </w:pPr>
      <w:r>
        <w:rPr>
          <w:rFonts w:hint="eastAsia"/>
        </w:rPr>
        <w:t xml:space="preserve">DL/T 5158《电力工程气象勘测技术规程》 </w:t>
      </w:r>
    </w:p>
    <w:p w14:paraId="16A17581">
      <w:pPr>
        <w:pStyle w:val="56"/>
        <w:adjustRightInd w:val="0"/>
        <w:snapToGrid w:val="0"/>
        <w:spacing w:line="360" w:lineRule="auto"/>
        <w:ind w:firstLine="420"/>
      </w:pPr>
      <w:r>
        <w:rPr>
          <w:rFonts w:hint="eastAsia"/>
        </w:rPr>
        <w:t>DL/T 5457《变电工程建筑结构设计技术规程》</w:t>
      </w:r>
    </w:p>
    <w:p w14:paraId="6D076599">
      <w:pPr>
        <w:pStyle w:val="56"/>
        <w:adjustRightInd w:val="0"/>
        <w:snapToGrid w:val="0"/>
        <w:spacing w:line="360" w:lineRule="auto"/>
        <w:ind w:firstLine="420"/>
      </w:pPr>
      <w:r>
        <w:rPr>
          <w:rFonts w:hint="eastAsia"/>
        </w:rPr>
        <w:t>JG 476《建筑工程抗浮技术标准》</w:t>
      </w:r>
    </w:p>
    <w:p w14:paraId="6B47E9C1">
      <w:pPr>
        <w:pStyle w:val="56"/>
        <w:adjustRightInd w:val="0"/>
        <w:snapToGrid w:val="0"/>
        <w:spacing w:line="360" w:lineRule="auto"/>
        <w:ind w:firstLine="420"/>
      </w:pPr>
      <w:r>
        <w:rPr>
          <w:rFonts w:hint="eastAsia"/>
        </w:rPr>
        <w:t>JGJ 3《高层建筑混凝土结构技术规程》</w:t>
      </w:r>
    </w:p>
    <w:p w14:paraId="417E077B">
      <w:pPr>
        <w:pStyle w:val="56"/>
        <w:adjustRightInd w:val="0"/>
        <w:snapToGrid w:val="0"/>
        <w:spacing w:line="360" w:lineRule="auto"/>
        <w:ind w:firstLine="420"/>
      </w:pPr>
      <w:r>
        <w:rPr>
          <w:rFonts w:hint="eastAsia"/>
        </w:rPr>
        <w:t>JGJ 7《空间网格结构技术规程》</w:t>
      </w:r>
    </w:p>
    <w:p w14:paraId="4EED9AC7">
      <w:pPr>
        <w:pStyle w:val="56"/>
        <w:adjustRightInd w:val="0"/>
        <w:snapToGrid w:val="0"/>
        <w:spacing w:line="360" w:lineRule="auto"/>
        <w:ind w:firstLine="420"/>
      </w:pPr>
      <w:r>
        <w:rPr>
          <w:rFonts w:hint="eastAsia"/>
        </w:rPr>
        <w:t>JC/T 2165《防台风玻璃》</w:t>
      </w:r>
    </w:p>
    <w:p w14:paraId="6D7C97D6">
      <w:pPr>
        <w:pStyle w:val="56"/>
        <w:adjustRightInd w:val="0"/>
        <w:snapToGrid w:val="0"/>
        <w:spacing w:line="360" w:lineRule="auto"/>
        <w:ind w:firstLine="420"/>
      </w:pPr>
      <w:r>
        <w:rPr>
          <w:rFonts w:hint="eastAsia"/>
        </w:rPr>
        <w:t>JGJ/T 235《建筑外墙防水工程技术规程》</w:t>
      </w:r>
    </w:p>
    <w:p w14:paraId="3471D58F">
      <w:pPr>
        <w:pStyle w:val="104"/>
        <w:spacing w:before="240" w:after="240"/>
      </w:pPr>
      <w:bookmarkStart w:id="57" w:name="_Toc97192966"/>
      <w:bookmarkStart w:id="58" w:name="_Toc228964640"/>
      <w:bookmarkStart w:id="59" w:name="_Toc228957838"/>
      <w:bookmarkStart w:id="60" w:name="_Toc11261"/>
      <w:bookmarkStart w:id="61" w:name="_Toc11117"/>
      <w:bookmarkStart w:id="62" w:name="_Toc19737"/>
      <w:r>
        <w:rPr>
          <w:rFonts w:hint="eastAsia"/>
          <w:szCs w:val="21"/>
        </w:rPr>
        <w:t>术语和定义</w:t>
      </w:r>
      <w:bookmarkEnd w:id="57"/>
      <w:bookmarkEnd w:id="58"/>
      <w:bookmarkEnd w:id="59"/>
      <w:bookmarkEnd w:id="60"/>
      <w:bookmarkEnd w:id="61"/>
      <w:bookmarkEnd w:id="62"/>
    </w:p>
    <w:sdt>
      <w:sdtPr>
        <w:id w:val="-1909835108"/>
        <w:placeholder>
          <w:docPart w:val="5F86F553DE1D4B6B8D1F89B8289FF4B2"/>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1AD5378C">
          <w:pPr>
            <w:pStyle w:val="56"/>
            <w:ind w:firstLine="420"/>
          </w:pPr>
          <w:bookmarkStart w:id="63" w:name="_Toc26986532"/>
          <w:bookmarkEnd w:id="63"/>
          <w:r>
            <w:t>下列术语和定义适用于本文件。</w:t>
          </w:r>
        </w:p>
      </w:sdtContent>
    </w:sdt>
    <w:p w14:paraId="6764982E">
      <w:pPr>
        <w:pStyle w:val="105"/>
        <w:spacing w:before="120" w:after="120"/>
      </w:pPr>
      <w:bookmarkStart w:id="64" w:name="_Toc29070"/>
      <w:bookmarkStart w:id="65" w:name="_Toc228964641"/>
      <w:bookmarkStart w:id="66" w:name="_Toc18995"/>
      <w:bookmarkStart w:id="67" w:name="_Toc20082"/>
      <w:r>
        <w:rPr>
          <w:rFonts w:hint="eastAsia"/>
        </w:rPr>
        <w:t>底层中心附近 near the bottom center</w:t>
      </w:r>
      <w:bookmarkEnd w:id="64"/>
      <w:bookmarkEnd w:id="65"/>
      <w:bookmarkEnd w:id="66"/>
      <w:bookmarkEnd w:id="67"/>
    </w:p>
    <w:p w14:paraId="1CADD875">
      <w:pPr>
        <w:pStyle w:val="56"/>
        <w:ind w:firstLine="420"/>
      </w:pPr>
      <w:r>
        <w:rPr>
          <w:rFonts w:hint="eastAsia"/>
        </w:rPr>
        <w:t>地面以上10米高处，热带气旋中心向外延伸至最大风速半径的范围。</w:t>
      </w:r>
    </w:p>
    <w:p w14:paraId="41D8794A">
      <w:pPr>
        <w:pStyle w:val="105"/>
        <w:spacing w:before="120" w:after="120"/>
      </w:pPr>
      <w:bookmarkStart w:id="68" w:name="_Toc6501"/>
      <w:bookmarkStart w:id="69" w:name="_Toc6080"/>
      <w:bookmarkStart w:id="70" w:name="_Toc228964642"/>
      <w:bookmarkStart w:id="71" w:name="_Toc19452"/>
      <w:r>
        <w:rPr>
          <w:rFonts w:hint="eastAsia"/>
        </w:rPr>
        <w:t>平均风速 mean wind speed</w:t>
      </w:r>
      <w:bookmarkEnd w:id="68"/>
      <w:bookmarkEnd w:id="69"/>
      <w:bookmarkEnd w:id="70"/>
      <w:bookmarkEnd w:id="71"/>
    </w:p>
    <w:p w14:paraId="055F3B25">
      <w:pPr>
        <w:pStyle w:val="56"/>
        <w:adjustRightInd w:val="0"/>
        <w:snapToGrid w:val="0"/>
        <w:spacing w:line="360" w:lineRule="auto"/>
        <w:ind w:firstLine="420"/>
      </w:pPr>
      <w:r>
        <w:rPr>
          <w:rFonts w:hint="eastAsia"/>
        </w:rPr>
        <w:t>在给定的某一时段内的风速的平均值。</w:t>
      </w:r>
    </w:p>
    <w:p w14:paraId="0F869A5B">
      <w:pPr>
        <w:pStyle w:val="56"/>
        <w:adjustRightInd w:val="0"/>
        <w:snapToGrid w:val="0"/>
        <w:spacing w:line="360" w:lineRule="auto"/>
        <w:ind w:firstLine="420"/>
      </w:pPr>
      <w:r>
        <w:rPr>
          <w:rFonts w:hint="eastAsia"/>
        </w:rPr>
        <w:t>[来源：GB/T19201-2006，2.4]</w:t>
      </w:r>
    </w:p>
    <w:p w14:paraId="3259E684">
      <w:pPr>
        <w:pStyle w:val="105"/>
        <w:spacing w:before="120" w:after="120"/>
      </w:pPr>
      <w:bookmarkStart w:id="72" w:name="_Toc228964643"/>
      <w:bookmarkStart w:id="73" w:name="_Toc10036"/>
      <w:bookmarkStart w:id="74" w:name="_Toc847"/>
      <w:bookmarkStart w:id="75" w:name="_Toc13546"/>
      <w:r>
        <w:rPr>
          <w:rFonts w:hint="eastAsia"/>
        </w:rPr>
        <w:t xml:space="preserve">台风 </w:t>
      </w:r>
      <w:bookmarkStart w:id="76" w:name="OLE_LINK3"/>
      <w:r>
        <w:rPr>
          <w:rFonts w:hint="eastAsia"/>
        </w:rPr>
        <w:t>typhoon</w:t>
      </w:r>
      <w:bookmarkEnd w:id="72"/>
      <w:bookmarkEnd w:id="73"/>
      <w:bookmarkEnd w:id="74"/>
      <w:bookmarkEnd w:id="75"/>
      <w:bookmarkEnd w:id="76"/>
    </w:p>
    <w:p w14:paraId="413D1D1C">
      <w:pPr>
        <w:pStyle w:val="56"/>
        <w:adjustRightInd w:val="0"/>
        <w:snapToGrid w:val="0"/>
        <w:spacing w:line="360" w:lineRule="auto"/>
        <w:ind w:firstLine="420"/>
      </w:pPr>
      <w:r>
        <w:rPr>
          <w:rFonts w:hint="eastAsia"/>
        </w:rPr>
        <w:t>底层中心附近最大平均风速32.7m/s及以上的热带气旋，包括强台风和超强台风等。</w:t>
      </w:r>
    </w:p>
    <w:p w14:paraId="43B7DC2B">
      <w:pPr>
        <w:pStyle w:val="56"/>
        <w:adjustRightInd w:val="0"/>
        <w:snapToGrid w:val="0"/>
        <w:spacing w:line="360" w:lineRule="auto"/>
        <w:ind w:firstLine="420"/>
      </w:pPr>
      <w:bookmarkStart w:id="77" w:name="OLE_LINK5"/>
      <w:bookmarkStart w:id="78" w:name="OLE_LINK6"/>
      <w:r>
        <w:rPr>
          <w:rFonts w:hint="eastAsia"/>
        </w:rPr>
        <w:t>[来源：GB/T19201-2006，4.2。注：此处平均风速时距为2min]</w:t>
      </w:r>
    </w:p>
    <w:bookmarkEnd w:id="77"/>
    <w:bookmarkEnd w:id="78"/>
    <w:p w14:paraId="7C704837">
      <w:pPr>
        <w:pStyle w:val="105"/>
        <w:spacing w:before="120" w:after="120"/>
      </w:pPr>
      <w:bookmarkStart w:id="79" w:name="_Toc20929"/>
      <w:bookmarkStart w:id="80" w:name="_Toc29057"/>
      <w:bookmarkStart w:id="81" w:name="_Toc228964644"/>
      <w:bookmarkStart w:id="82" w:name="_Toc3803"/>
      <w:r>
        <w:rPr>
          <w:rFonts w:hint="eastAsia"/>
        </w:rPr>
        <w:t xml:space="preserve">基本风速 basic </w:t>
      </w:r>
      <w:bookmarkStart w:id="83" w:name="OLE_LINK4"/>
      <w:r>
        <w:rPr>
          <w:rFonts w:hint="eastAsia"/>
        </w:rPr>
        <w:t>wind speed</w:t>
      </w:r>
      <w:bookmarkEnd w:id="79"/>
      <w:bookmarkEnd w:id="80"/>
      <w:bookmarkEnd w:id="81"/>
      <w:bookmarkEnd w:id="82"/>
      <w:bookmarkEnd w:id="83"/>
    </w:p>
    <w:p w14:paraId="30C76EE3">
      <w:pPr>
        <w:pStyle w:val="56"/>
        <w:adjustRightInd w:val="0"/>
        <w:snapToGrid w:val="0"/>
        <w:spacing w:line="360" w:lineRule="auto"/>
        <w:ind w:firstLine="420"/>
      </w:pPr>
      <w:r>
        <w:rPr>
          <w:rFonts w:hint="eastAsia"/>
        </w:rPr>
        <w:t>按当地空旷平坦地面上10m高度处10min平均最大风速观测数据，经概率统计得出相应重现期最大值后确定的风速。</w:t>
      </w:r>
    </w:p>
    <w:p w14:paraId="107193ED">
      <w:pPr>
        <w:pStyle w:val="56"/>
        <w:adjustRightInd w:val="0"/>
        <w:snapToGrid w:val="0"/>
        <w:spacing w:line="360" w:lineRule="auto"/>
        <w:ind w:firstLine="420"/>
      </w:pPr>
      <w:r>
        <w:rPr>
          <w:rFonts w:hint="eastAsia"/>
        </w:rPr>
        <w:t>[来源：GB50009-2012，E.2。注：此处平均风速时距为10min]</w:t>
      </w:r>
    </w:p>
    <w:p w14:paraId="099EA8D1">
      <w:pPr>
        <w:pStyle w:val="105"/>
        <w:spacing w:before="120" w:after="120"/>
      </w:pPr>
      <w:bookmarkStart w:id="84" w:name="_Toc13916"/>
      <w:bookmarkStart w:id="85" w:name="_Toc2730"/>
      <w:bookmarkStart w:id="86" w:name="_Toc228964645"/>
      <w:bookmarkStart w:id="87" w:name="_Toc19421"/>
      <w:r>
        <w:rPr>
          <w:rFonts w:hint="eastAsia"/>
        </w:rPr>
        <w:t xml:space="preserve">台风风速 </w:t>
      </w:r>
      <w:r>
        <w:t>typhoon speed</w:t>
      </w:r>
      <w:bookmarkEnd w:id="84"/>
      <w:bookmarkEnd w:id="85"/>
      <w:bookmarkEnd w:id="86"/>
      <w:bookmarkEnd w:id="87"/>
    </w:p>
    <w:p w14:paraId="260FD90C">
      <w:pPr>
        <w:pStyle w:val="56"/>
        <w:spacing w:line="360" w:lineRule="auto"/>
        <w:ind w:firstLine="420"/>
      </w:pPr>
      <w:r>
        <w:t>底层中心附近</w:t>
      </w:r>
      <w:r>
        <w:rPr>
          <w:rFonts w:hint="eastAsia"/>
        </w:rPr>
        <w:t>最大平均风速32.7m/s及以上的热带气旋，且按当地空旷平坦地面上1</w:t>
      </w:r>
      <w:r>
        <w:t>0m高度处</w:t>
      </w:r>
      <w:r>
        <w:rPr>
          <w:rFonts w:hint="eastAsia"/>
        </w:rPr>
        <w:t>2m</w:t>
      </w:r>
      <w:r>
        <w:t>in平均最大风速观测数据，经概率统计得出相应重现期最大值后确定的风速</w:t>
      </w:r>
      <w:r>
        <w:rPr>
          <w:rFonts w:hint="eastAsia"/>
        </w:rPr>
        <w:t>。</w:t>
      </w:r>
    </w:p>
    <w:p w14:paraId="57E0E689">
      <w:pPr>
        <w:pStyle w:val="56"/>
        <w:adjustRightInd w:val="0"/>
        <w:snapToGrid w:val="0"/>
        <w:spacing w:line="360" w:lineRule="auto"/>
        <w:ind w:firstLine="420"/>
      </w:pPr>
      <w:r>
        <w:rPr>
          <w:rFonts w:hint="eastAsia"/>
        </w:rPr>
        <w:t>[来源：GB/T19201-2006，4.2。注：此处平均风速时距为2min]</w:t>
      </w:r>
    </w:p>
    <w:p w14:paraId="442E7A53">
      <w:pPr>
        <w:pStyle w:val="105"/>
        <w:spacing w:before="120" w:after="120"/>
      </w:pPr>
      <w:bookmarkStart w:id="88" w:name="_Toc31542"/>
      <w:bookmarkStart w:id="89" w:name="_Toc27040"/>
      <w:bookmarkStart w:id="90" w:name="_Toc228964646"/>
      <w:bookmarkStart w:id="91" w:name="_Toc24706"/>
      <w:r>
        <w:rPr>
          <w:rFonts w:hint="eastAsia"/>
        </w:rPr>
        <w:t>基本风压  reference wind pressure</w:t>
      </w:r>
      <w:bookmarkEnd w:id="88"/>
      <w:bookmarkEnd w:id="89"/>
      <w:bookmarkEnd w:id="90"/>
      <w:bookmarkEnd w:id="91"/>
    </w:p>
    <w:p w14:paraId="3A1B9A3D">
      <w:pPr>
        <w:pStyle w:val="56"/>
        <w:adjustRightInd w:val="0"/>
        <w:snapToGrid w:val="0"/>
        <w:spacing w:line="360" w:lineRule="auto"/>
        <w:ind w:firstLine="420"/>
      </w:pPr>
      <w:r>
        <w:rPr>
          <w:rFonts w:hint="eastAsia"/>
        </w:rPr>
        <w:t>基本风压是按基本风速在考虑相应空气密度，按贝努利</w:t>
      </w:r>
      <w:r>
        <w:rPr>
          <w:rFonts w:hint="eastAsia"/>
          <w:lang w:eastAsia="zh-CN"/>
        </w:rPr>
        <w:t>（</w:t>
      </w:r>
      <w:r>
        <w:rPr>
          <w:rFonts w:hint="eastAsia"/>
        </w:rPr>
        <w:t>Bernoulli</w:t>
      </w:r>
      <w:r>
        <w:rPr>
          <w:rFonts w:hint="eastAsia"/>
          <w:lang w:eastAsia="zh-CN"/>
        </w:rPr>
        <w:t>）</w:t>
      </w:r>
      <w:r>
        <w:rPr>
          <w:rFonts w:hint="eastAsia"/>
        </w:rPr>
        <w:t>公式确定的风压，但不得小于0.3kN/m</w:t>
      </w:r>
      <w:r>
        <w:rPr>
          <w:rFonts w:hint="eastAsia"/>
          <w:vertAlign w:val="superscript"/>
        </w:rPr>
        <w:t>2</w:t>
      </w:r>
      <w:r>
        <w:rPr>
          <w:rFonts w:hint="eastAsia"/>
        </w:rPr>
        <w:t>。对于高耸结构以及对风荷载比较敏感的其他结构，基本风压的取值应适当提高，并应符合有关结构设计规范的规定。</w:t>
      </w:r>
    </w:p>
    <w:p w14:paraId="72B7121D">
      <w:pPr>
        <w:pStyle w:val="56"/>
        <w:adjustRightInd w:val="0"/>
        <w:snapToGrid w:val="0"/>
        <w:spacing w:line="360" w:lineRule="auto"/>
        <w:ind w:firstLine="420"/>
      </w:pPr>
      <w:r>
        <w:rPr>
          <w:rFonts w:hint="eastAsia"/>
        </w:rPr>
        <w:t>[来源：GB5009-2012，2.1.22和GB/T50297，2.8.16]</w:t>
      </w:r>
    </w:p>
    <w:p w14:paraId="2311574C">
      <w:pPr>
        <w:pStyle w:val="105"/>
        <w:spacing w:before="120" w:after="120"/>
      </w:pPr>
      <w:bookmarkStart w:id="92" w:name="_Toc228964647"/>
      <w:bookmarkStart w:id="93" w:name="_Toc4253"/>
      <w:bookmarkStart w:id="94" w:name="_Toc30404"/>
      <w:bookmarkStart w:id="95" w:name="_Toc13906"/>
      <w:r>
        <w:rPr>
          <w:rFonts w:hint="eastAsia"/>
        </w:rPr>
        <w:t>风区分布图  distribution map of wind region</w:t>
      </w:r>
      <w:bookmarkEnd w:id="92"/>
      <w:bookmarkEnd w:id="93"/>
      <w:bookmarkEnd w:id="94"/>
      <w:bookmarkEnd w:id="95"/>
    </w:p>
    <w:p w14:paraId="198639CF">
      <w:pPr>
        <w:pStyle w:val="56"/>
        <w:adjustRightInd w:val="0"/>
        <w:snapToGrid w:val="0"/>
        <w:spacing w:line="360" w:lineRule="auto"/>
        <w:ind w:firstLine="420"/>
      </w:pPr>
      <w:r>
        <w:rPr>
          <w:rFonts w:hint="eastAsia"/>
        </w:rPr>
        <w:t>基本风速及风灾事件等信息在电子地图上的分布。</w:t>
      </w:r>
    </w:p>
    <w:p w14:paraId="65EA9B4F">
      <w:pPr>
        <w:pStyle w:val="56"/>
        <w:adjustRightInd w:val="0"/>
        <w:snapToGrid w:val="0"/>
        <w:spacing w:line="360" w:lineRule="auto"/>
        <w:ind w:firstLine="420"/>
      </w:pPr>
      <w:r>
        <w:rPr>
          <w:rFonts w:hint="eastAsia"/>
        </w:rPr>
        <w:t>[来源：DL/T2237-2021，3.10]</w:t>
      </w:r>
    </w:p>
    <w:p w14:paraId="1FAE6DB4">
      <w:pPr>
        <w:pStyle w:val="105"/>
        <w:spacing w:before="120" w:after="120"/>
      </w:pPr>
      <w:bookmarkStart w:id="96" w:name="_Toc5441"/>
      <w:bookmarkStart w:id="97" w:name="_Toc228964648"/>
      <w:bookmarkStart w:id="98" w:name="_Toc753"/>
      <w:bookmarkStart w:id="99" w:name="_Toc790"/>
      <w:r>
        <w:rPr>
          <w:rFonts w:hint="eastAsia"/>
        </w:rPr>
        <w:t>地面粗糙度 terrain roughness</w:t>
      </w:r>
      <w:bookmarkEnd w:id="96"/>
      <w:bookmarkEnd w:id="97"/>
      <w:bookmarkEnd w:id="98"/>
      <w:bookmarkEnd w:id="99"/>
    </w:p>
    <w:p w14:paraId="0E44369B">
      <w:pPr>
        <w:pStyle w:val="56"/>
        <w:adjustRightInd w:val="0"/>
        <w:snapToGrid w:val="0"/>
        <w:spacing w:line="360" w:lineRule="auto"/>
        <w:ind w:firstLine="420"/>
      </w:pPr>
      <w:r>
        <w:rPr>
          <w:rFonts w:hint="eastAsia"/>
        </w:rPr>
        <w:t>风在到达结构物以前吹越过2km范围内的地面时，描述该地面上不规则障碍物分布状况的等级。</w:t>
      </w:r>
    </w:p>
    <w:p w14:paraId="1C80E871">
      <w:pPr>
        <w:pStyle w:val="56"/>
        <w:adjustRightInd w:val="0"/>
        <w:snapToGrid w:val="0"/>
        <w:spacing w:line="360" w:lineRule="auto"/>
        <w:ind w:firstLine="420"/>
      </w:pPr>
      <w:r>
        <w:rPr>
          <w:rFonts w:hint="eastAsia"/>
        </w:rPr>
        <w:t>[来源：GB50009-2012，2.1.23]</w:t>
      </w:r>
    </w:p>
    <w:p w14:paraId="0E4E66DC">
      <w:pPr>
        <w:pStyle w:val="104"/>
        <w:spacing w:before="240" w:after="240"/>
      </w:pPr>
      <w:bookmarkStart w:id="100" w:name="_Toc4719"/>
      <w:bookmarkStart w:id="101" w:name="_Toc7230"/>
      <w:bookmarkStart w:id="102" w:name="_Toc15483"/>
      <w:bookmarkStart w:id="103" w:name="_Toc228964649"/>
      <w:r>
        <w:rPr>
          <w:rFonts w:hint="eastAsia"/>
        </w:rPr>
        <w:t>基本规定</w:t>
      </w:r>
      <w:bookmarkEnd w:id="100"/>
      <w:bookmarkEnd w:id="101"/>
      <w:bookmarkEnd w:id="102"/>
      <w:bookmarkEnd w:id="103"/>
    </w:p>
    <w:p w14:paraId="34330719">
      <w:pPr>
        <w:pStyle w:val="162"/>
        <w:adjustRightInd w:val="0"/>
        <w:snapToGrid w:val="0"/>
        <w:spacing w:line="360" w:lineRule="auto"/>
      </w:pPr>
      <w:r>
        <w:rPr>
          <w:rFonts w:hint="eastAsia"/>
        </w:rPr>
        <w:t>位于易受台风影响地区时，不同重现期基本风压的确定应根据站址位置并考虑全国基本风压分布图、电网风区分布图、当地气象站资料及附近已建工程情况等因素。</w:t>
      </w:r>
    </w:p>
    <w:p w14:paraId="25E7BF3A">
      <w:pPr>
        <w:pStyle w:val="162"/>
        <w:adjustRightInd w:val="0"/>
        <w:snapToGrid w:val="0"/>
        <w:spacing w:line="360" w:lineRule="auto"/>
      </w:pPr>
      <w:r>
        <w:rPr>
          <w:rFonts w:hint="eastAsia"/>
        </w:rPr>
        <w:t>工程总体布局应遵循紧凑、集约的原则，优化功能分区，减少建（构）筑物与设备的受风面积。</w:t>
      </w:r>
    </w:p>
    <w:p w14:paraId="03B98E87">
      <w:pPr>
        <w:pStyle w:val="162"/>
        <w:adjustRightInd w:val="0"/>
        <w:snapToGrid w:val="0"/>
        <w:spacing w:line="360" w:lineRule="auto"/>
      </w:pPr>
      <w:r>
        <w:rPr>
          <w:rFonts w:hint="eastAsia"/>
        </w:rPr>
        <w:t>建（构）筑物应根据结构破坏可能产生后果的严重性，采用不同的安全等级。安全等级应满足DL/T 5457相关规定要求。</w:t>
      </w:r>
    </w:p>
    <w:p w14:paraId="315FB23C">
      <w:pPr>
        <w:pStyle w:val="162"/>
        <w:adjustRightInd w:val="0"/>
        <w:snapToGrid w:val="0"/>
        <w:spacing w:line="360" w:lineRule="auto"/>
      </w:pPr>
      <w:r>
        <w:rPr>
          <w:rFonts w:hint="eastAsia"/>
        </w:rPr>
        <w:t>在设计工作年限内，其抗风性能应满足设计风荷载作用水平或与其他作用效应组合下的强度、刚度和稳定性要求。当结构或构件在风荷载作用下存在疲劳问题时，应进行抗疲劳设计。</w:t>
      </w:r>
    </w:p>
    <w:p w14:paraId="252165FE">
      <w:pPr>
        <w:pStyle w:val="162"/>
        <w:adjustRightInd w:val="0"/>
        <w:snapToGrid w:val="0"/>
        <w:spacing w:line="360" w:lineRule="auto"/>
      </w:pPr>
      <w:r>
        <w:rPr>
          <w:rFonts w:hint="eastAsia"/>
        </w:rPr>
        <w:t>重要且对风荷载敏感的大跨度、悬臂、高耸等结构，计算主要承重结构承载力时，应按相应重现期风压的1.1倍取用。计算结构变形或围护结构时，可按基本风压取用。</w:t>
      </w:r>
    </w:p>
    <w:p w14:paraId="3D7FE926">
      <w:pPr>
        <w:pStyle w:val="162"/>
        <w:adjustRightInd w:val="0"/>
        <w:snapToGrid w:val="0"/>
        <w:spacing w:line="360" w:lineRule="auto"/>
      </w:pPr>
      <w:r>
        <w:rPr>
          <w:rFonts w:hint="eastAsia"/>
        </w:rPr>
        <w:t>电气设备应采用低重心、低风阻的结构设计。</w:t>
      </w:r>
    </w:p>
    <w:p w14:paraId="055B6275">
      <w:pPr>
        <w:pStyle w:val="162"/>
        <w:adjustRightInd w:val="0"/>
        <w:snapToGrid w:val="0"/>
        <w:spacing w:line="360" w:lineRule="auto"/>
      </w:pPr>
      <w:r>
        <w:rPr>
          <w:rFonts w:hint="eastAsia"/>
        </w:rPr>
        <w:t>户外设备的导体连接应采用管型母线或柔性软连接。</w:t>
      </w:r>
    </w:p>
    <w:p w14:paraId="218474EE">
      <w:pPr>
        <w:pStyle w:val="162"/>
        <w:adjustRightInd w:val="0"/>
        <w:snapToGrid w:val="0"/>
        <w:spacing w:line="360" w:lineRule="auto"/>
      </w:pPr>
      <w:r>
        <w:rPr>
          <w:rFonts w:hint="eastAsia"/>
        </w:rPr>
        <w:t>站区主要生产建筑宜合并布置，形成整体性更强的建筑单元，以减少独立建筑物的数量，增强整体抗风稳定性。</w:t>
      </w:r>
    </w:p>
    <w:p w14:paraId="78ACA59E">
      <w:pPr>
        <w:pStyle w:val="162"/>
        <w:adjustRightInd w:val="0"/>
        <w:snapToGrid w:val="0"/>
        <w:spacing w:line="360" w:lineRule="auto"/>
      </w:pPr>
      <w:r>
        <w:rPr>
          <w:rFonts w:hint="eastAsia"/>
        </w:rPr>
        <w:t>防洪、防涝设计应与抗风设计相协调。站内排水系统设计应考虑台风伴随强降雨的极端情况，排水能力应能满足短时强降雨的排放需求。</w:t>
      </w:r>
    </w:p>
    <w:p w14:paraId="3208E6EF">
      <w:pPr>
        <w:pStyle w:val="162"/>
        <w:adjustRightInd w:val="0"/>
        <w:snapToGrid w:val="0"/>
        <w:spacing w:line="360" w:lineRule="auto"/>
      </w:pPr>
      <w:r>
        <w:rPr>
          <w:rFonts w:hint="eastAsia"/>
        </w:rPr>
        <w:t>易受台风影响的工程应制定针对台风预警的应急预案。</w:t>
      </w:r>
    </w:p>
    <w:p w14:paraId="22621A96">
      <w:pPr>
        <w:pStyle w:val="162"/>
        <w:adjustRightInd w:val="0"/>
        <w:snapToGrid w:val="0"/>
        <w:spacing w:line="360" w:lineRule="auto"/>
      </w:pPr>
      <w:r>
        <w:rPr>
          <w:rFonts w:hint="eastAsia"/>
        </w:rPr>
        <w:t>抗台风设计除应符合本文件的规定外，还应符合国家和行业现行有关标准的规定。</w:t>
      </w:r>
    </w:p>
    <w:p w14:paraId="1379681A">
      <w:pPr>
        <w:pStyle w:val="104"/>
        <w:spacing w:before="240" w:after="240"/>
      </w:pPr>
      <w:bookmarkStart w:id="104" w:name="_Toc30294"/>
      <w:bookmarkStart w:id="105" w:name="_Toc228964650"/>
      <w:bookmarkStart w:id="106" w:name="_Toc21563"/>
      <w:bookmarkStart w:id="107" w:name="_Toc364"/>
      <w:r>
        <w:rPr>
          <w:rFonts w:hint="eastAsia"/>
        </w:rPr>
        <w:t>气象条件</w:t>
      </w:r>
      <w:bookmarkEnd w:id="104"/>
      <w:bookmarkEnd w:id="105"/>
      <w:bookmarkEnd w:id="106"/>
      <w:bookmarkEnd w:id="107"/>
    </w:p>
    <w:p w14:paraId="223FD797">
      <w:pPr>
        <w:pStyle w:val="105"/>
        <w:spacing w:before="120" w:after="120"/>
      </w:pPr>
      <w:bookmarkStart w:id="108" w:name="_Toc25173"/>
      <w:bookmarkStart w:id="109" w:name="_Toc31407"/>
      <w:bookmarkStart w:id="110" w:name="_Toc228964651"/>
      <w:bookmarkStart w:id="111" w:name="_Toc31786"/>
      <w:r>
        <w:rPr>
          <w:rFonts w:hint="eastAsia"/>
        </w:rPr>
        <w:t>气象查勘</w:t>
      </w:r>
      <w:bookmarkEnd w:id="108"/>
      <w:bookmarkEnd w:id="109"/>
      <w:bookmarkEnd w:id="110"/>
      <w:bookmarkEnd w:id="111"/>
    </w:p>
    <w:p w14:paraId="3BCC8D82">
      <w:pPr>
        <w:pStyle w:val="165"/>
        <w:adjustRightInd w:val="0"/>
        <w:snapToGrid w:val="0"/>
        <w:spacing w:line="360" w:lineRule="auto"/>
      </w:pPr>
      <w:r>
        <w:rPr>
          <w:rFonts w:hint="eastAsia"/>
        </w:rPr>
        <w:t>查勘应通过现场踏勘、走访当地气象部门及运维单位、搜集国家气象站与海洋站近30年连续观测资料等方式开展，重点搜集台风（含强热带风暴、超强台风）的路径、登陆时间、中心附近最大风速、持续时长及风暴潮数据。</w:t>
      </w:r>
    </w:p>
    <w:p w14:paraId="0F04108B">
      <w:pPr>
        <w:pStyle w:val="165"/>
        <w:adjustRightInd w:val="0"/>
        <w:snapToGrid w:val="0"/>
        <w:spacing w:line="360" w:lineRule="auto"/>
      </w:pPr>
      <w:r>
        <w:rPr>
          <w:rFonts w:hint="eastAsia"/>
        </w:rPr>
        <w:t>当气象条件复杂且资料缺乏时，可建立气象专用站进行专题观测，以掌握历史上与近期相关气象要素的定性、定量变化规律，并可开展台风专题论证。</w:t>
      </w:r>
    </w:p>
    <w:p w14:paraId="7F6D3C04">
      <w:pPr>
        <w:pStyle w:val="165"/>
        <w:adjustRightInd w:val="0"/>
        <w:snapToGrid w:val="0"/>
        <w:spacing w:line="360" w:lineRule="auto"/>
      </w:pPr>
      <w:r>
        <w:rPr>
          <w:rFonts w:hint="eastAsia"/>
        </w:rPr>
        <w:t>气象查勘内容应包括气象要素，灾害记录，历史台风导致的设备设施损坏等事件或事故的具体风速条件与破坏模式。</w:t>
      </w:r>
    </w:p>
    <w:p w14:paraId="72FEE37C">
      <w:pPr>
        <w:pStyle w:val="165"/>
        <w:adjustRightInd w:val="0"/>
        <w:snapToGrid w:val="0"/>
        <w:spacing w:line="360" w:lineRule="auto"/>
      </w:pPr>
      <w:r>
        <w:rPr>
          <w:rFonts w:hint="eastAsia"/>
        </w:rPr>
        <w:t>现场调查应</w:t>
      </w:r>
      <w:r>
        <w:rPr>
          <w:rFonts w:hint="eastAsia"/>
          <w:lang w:val="en-US" w:eastAsia="zh-CN"/>
        </w:rPr>
        <w:t>满足</w:t>
      </w:r>
      <w:r>
        <w:rPr>
          <w:rFonts w:hint="eastAsia"/>
        </w:rPr>
        <w:t>下列要求：</w:t>
      </w:r>
    </w:p>
    <w:p w14:paraId="579E4BA3">
      <w:pPr>
        <w:pStyle w:val="174"/>
        <w:adjustRightInd w:val="0"/>
        <w:snapToGrid w:val="0"/>
        <w:spacing w:line="360" w:lineRule="auto"/>
      </w:pPr>
      <w:r>
        <w:rPr>
          <w:rFonts w:hint="eastAsia"/>
        </w:rPr>
        <w:t>应由至少两人进行，并当场记录，对于口头描述的事件应有旁证，对调查的气象灾害应现场指认，设立标记，并宜进行拍照、录音或摄像。</w:t>
      </w:r>
    </w:p>
    <w:p w14:paraId="1746A9B6">
      <w:pPr>
        <w:pStyle w:val="174"/>
        <w:adjustRightInd w:val="0"/>
        <w:snapToGrid w:val="0"/>
        <w:spacing w:line="360" w:lineRule="auto"/>
      </w:pPr>
      <w:r>
        <w:rPr>
          <w:rFonts w:hint="eastAsia"/>
        </w:rPr>
        <w:t>查勘资料应在现场整理分析，进行合理性分析，发现问题应及时复查纠正，查勘结束后应编制查勘报告或说明书。</w:t>
      </w:r>
    </w:p>
    <w:p w14:paraId="6B1BDE97">
      <w:pPr>
        <w:pStyle w:val="105"/>
        <w:spacing w:before="120" w:after="120"/>
      </w:pPr>
      <w:bookmarkStart w:id="112" w:name="_Toc228964652"/>
      <w:bookmarkStart w:id="113" w:name="_Toc23556"/>
      <w:bookmarkStart w:id="114" w:name="_Toc5255"/>
      <w:bookmarkStart w:id="115" w:name="_Toc3789"/>
      <w:r>
        <w:rPr>
          <w:rFonts w:hint="eastAsia"/>
        </w:rPr>
        <w:t>设计风速</w:t>
      </w:r>
      <w:bookmarkEnd w:id="112"/>
      <w:bookmarkEnd w:id="113"/>
      <w:bookmarkEnd w:id="114"/>
      <w:bookmarkEnd w:id="115"/>
    </w:p>
    <w:p w14:paraId="38AD50DE">
      <w:pPr>
        <w:pStyle w:val="165"/>
        <w:adjustRightInd w:val="0"/>
        <w:snapToGrid w:val="0"/>
        <w:spacing w:line="360" w:lineRule="auto"/>
      </w:pPr>
      <w:r>
        <w:rPr>
          <w:rFonts w:hint="eastAsia"/>
        </w:rPr>
        <w:t>设计风速应在区域大风调查的基础上，通过当地气象站统计风速计算、风压反算，参考风区分布图、附近已建工程的设计及运行情况，经综合分析后确定。原始数据及计算方法应符合下列规定：</w:t>
      </w:r>
    </w:p>
    <w:p w14:paraId="78817705">
      <w:pPr>
        <w:pStyle w:val="174"/>
        <w:numPr>
          <w:ilvl w:val="0"/>
          <w:numId w:val="32"/>
        </w:numPr>
        <w:adjustRightInd w:val="0"/>
        <w:snapToGrid w:val="0"/>
        <w:spacing w:line="360" w:lineRule="auto"/>
      </w:pPr>
      <w:r>
        <w:rPr>
          <w:rFonts w:hint="eastAsia"/>
        </w:rPr>
        <w:t>收集的原始资料需进行代表性、可靠性和一致性分析，对特大风速值可通过天气系统分析、重现期分析、地区对比、气象要素相关分析（如极端最大风速的变化与气压突降的关系）、史籍记载查阅等方法进行科学客观、合理严谨的审查。</w:t>
      </w:r>
    </w:p>
    <w:p w14:paraId="3258D198">
      <w:pPr>
        <w:pStyle w:val="174"/>
        <w:numPr>
          <w:ilvl w:val="0"/>
          <w:numId w:val="32"/>
        </w:numPr>
        <w:adjustRightInd w:val="0"/>
        <w:snapToGrid w:val="0"/>
        <w:spacing w:line="360" w:lineRule="auto"/>
      </w:pPr>
      <w:r>
        <w:rPr>
          <w:rFonts w:hint="eastAsia"/>
        </w:rPr>
        <w:t>设计风速应采用极值Ⅰ型或P-Ⅲ型等概率分布模型进行频率计算。当气象站具有连续25年以上的年最大风速资料时，可直接进行频率计算推求气象站设计风速；当气象站资料短缺时，可选择邻近地区地形、气候条件相似，并有长期实测风速资料的气象站进行相关分析，展延资料系列后计算设计风速。</w:t>
      </w:r>
    </w:p>
    <w:p w14:paraId="265C5E52">
      <w:pPr>
        <w:pStyle w:val="174"/>
        <w:numPr>
          <w:ilvl w:val="0"/>
          <w:numId w:val="32"/>
        </w:numPr>
        <w:adjustRightInd w:val="0"/>
        <w:snapToGrid w:val="0"/>
        <w:spacing w:line="360" w:lineRule="auto"/>
      </w:pPr>
      <w:r>
        <w:rPr>
          <w:rFonts w:hint="eastAsia"/>
        </w:rPr>
        <w:t>当工程地点与参考气象参证站海拔高度、地形条件存在较大差异，或气象站资料对工程地点的代表性较差时，应进行地形条件订正，并搜集调查工程地点附近微地形、微气象区的影响和风速变化特征。必要时应根据工程需要建立短期专用气象站，开展相关气象参数的对比观测。</w:t>
      </w:r>
    </w:p>
    <w:p w14:paraId="292C4FA2">
      <w:pPr>
        <w:pStyle w:val="174"/>
        <w:numPr>
          <w:ilvl w:val="0"/>
          <w:numId w:val="32"/>
        </w:numPr>
        <w:adjustRightInd w:val="0"/>
        <w:snapToGrid w:val="0"/>
        <w:spacing w:line="360" w:lineRule="auto"/>
      </w:pPr>
      <w:r>
        <w:rPr>
          <w:rFonts w:hint="eastAsia"/>
        </w:rPr>
        <w:t>山区工程设计风速应根据工程实际情况进行大风调查和对比观测，分析、订正附近气象参证站的设计风速至工程地点。</w:t>
      </w:r>
    </w:p>
    <w:p w14:paraId="039C051D">
      <w:pPr>
        <w:pStyle w:val="104"/>
        <w:spacing w:before="240" w:after="240"/>
      </w:pPr>
      <w:bookmarkStart w:id="116" w:name="_Toc5796"/>
      <w:bookmarkStart w:id="117" w:name="_Toc2607"/>
      <w:bookmarkStart w:id="118" w:name="_Toc228964653"/>
      <w:bookmarkStart w:id="119" w:name="_Toc11362"/>
      <w:r>
        <w:rPr>
          <w:rFonts w:hint="eastAsia"/>
        </w:rPr>
        <w:t>风荷载计算</w:t>
      </w:r>
      <w:bookmarkEnd w:id="116"/>
      <w:bookmarkEnd w:id="117"/>
      <w:bookmarkEnd w:id="118"/>
      <w:bookmarkEnd w:id="119"/>
    </w:p>
    <w:p w14:paraId="0B728940">
      <w:pPr>
        <w:pStyle w:val="162"/>
        <w:adjustRightInd w:val="0"/>
        <w:snapToGrid w:val="0"/>
        <w:spacing w:line="360" w:lineRule="auto"/>
      </w:pPr>
      <w:r>
        <w:rPr>
          <w:rFonts w:hint="eastAsia"/>
        </w:rPr>
        <w:t>建(构</w:t>
      </w:r>
      <w:r>
        <w:rPr>
          <w:rFonts w:hint="eastAsia"/>
          <w:lang w:eastAsia="zh-CN"/>
        </w:rPr>
        <w:t>）</w:t>
      </w:r>
      <w:r>
        <w:rPr>
          <w:rFonts w:hint="eastAsia"/>
        </w:rPr>
        <w:t>筑物应根据现行相关规范进行非台风工况的设计，并根据本标准进行台风工况下的设计验算，验算设计结果按包络原则采用。</w:t>
      </w:r>
    </w:p>
    <w:p w14:paraId="068F2A69">
      <w:pPr>
        <w:pStyle w:val="162"/>
        <w:adjustRightInd w:val="0"/>
        <w:snapToGrid w:val="0"/>
        <w:spacing w:line="360" w:lineRule="auto"/>
      </w:pPr>
      <w:r>
        <w:rPr>
          <w:rFonts w:hint="eastAsia"/>
        </w:rPr>
        <w:t>台风工况验算风速对应的基本风压可按下式计算</w:t>
      </w:r>
    </w:p>
    <w:p w14:paraId="6418FF1F">
      <w:pPr>
        <w:pStyle w:val="113"/>
        <w:spacing w:line="360" w:lineRule="auto"/>
      </w:pPr>
      <w:r>
        <w:rPr>
          <w:rFonts w:hint="eastAsia"/>
        </w:rPr>
        <w:tab/>
      </w:r>
      <w:r>
        <w:drawing>
          <wp:inline distT="0" distB="0" distL="0" distR="0">
            <wp:extent cx="714375" cy="260985"/>
            <wp:effectExtent l="0" t="0" r="9525" b="5715"/>
            <wp:docPr id="6" name="图片 6" descr="C:\Users\14516\AppData\Local\Temp\ksohtml16160\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14516\AppData\Local\Temp\ksohtml16160\wps1.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714375" cy="260985"/>
                    </a:xfrm>
                    <a:prstGeom prst="rect">
                      <a:avLst/>
                    </a:prstGeom>
                    <a:noFill/>
                    <a:ln>
                      <a:noFill/>
                    </a:ln>
                  </pic:spPr>
                </pic:pic>
              </a:graphicData>
            </a:graphic>
          </wp:inline>
        </w:drawing>
      </w:r>
      <w:r>
        <w:rPr>
          <w:rFonts w:hint="eastAsia" w:ascii="微软雅黑" w:hAnsi="微软雅黑" w:eastAsia="微软雅黑"/>
        </w:rPr>
        <w:tab/>
      </w:r>
      <w:r>
        <w:rPr>
          <w:rFonts w:hint="eastAsia"/>
        </w:rPr>
        <w:t>(</w:t>
      </w:r>
      <w:r>
        <w:t>1</w:t>
      </w:r>
      <w:r>
        <w:rPr>
          <w:rFonts w:hint="eastAsia"/>
        </w:rPr>
        <w:t>)</w:t>
      </w:r>
    </w:p>
    <w:p w14:paraId="57F1A13D">
      <w:pPr>
        <w:pStyle w:val="55"/>
        <w:spacing w:line="360" w:lineRule="auto"/>
        <w:ind w:firstLine="420"/>
      </w:pPr>
      <w:r>
        <w:rPr>
          <w:rFonts w:hint="eastAsia" w:ascii="宋体" w:hAnsi="宋体"/>
        </w:rPr>
        <w:t>式中：</w:t>
      </w:r>
      <w:r>
        <w:drawing>
          <wp:inline distT="0" distB="0" distL="0" distR="0">
            <wp:extent cx="422910" cy="153670"/>
            <wp:effectExtent l="0" t="0" r="0" b="0"/>
            <wp:docPr id="4" name="图片 4" descr="C:\Users\14516\AppData\Local\Temp\ksohtml16160\wp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14516\AppData\Local\Temp\ksohtml16160\wps2.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422910" cy="153670"/>
                    </a:xfrm>
                    <a:prstGeom prst="rect">
                      <a:avLst/>
                    </a:prstGeom>
                    <a:noFill/>
                    <a:ln>
                      <a:noFill/>
                    </a:ln>
                  </pic:spPr>
                </pic:pic>
              </a:graphicData>
            </a:graphic>
          </wp:inline>
        </w:drawing>
      </w:r>
      <w:r>
        <w:rPr>
          <w:rFonts w:hint="eastAsia"/>
        </w:rPr>
        <w:t>——基本风压，</w:t>
      </w:r>
      <w:r>
        <w:rPr>
          <w:rFonts w:hint="eastAsia" w:cs="Calibri"/>
        </w:rPr>
        <w:t>k</w:t>
      </w:r>
      <w:r>
        <w:t>N</w:t>
      </w:r>
      <w:r>
        <w:rPr>
          <w:rFonts w:hint="eastAsia"/>
        </w:rPr>
        <w:t>/</w:t>
      </w:r>
      <w:r>
        <w:rPr>
          <w:rFonts w:ascii="宋体" w:hAnsi="宋体"/>
        </w:rPr>
        <w:t>㎡；</w:t>
      </w:r>
    </w:p>
    <w:p w14:paraId="68069DF1">
      <w:pPr>
        <w:pStyle w:val="56"/>
        <w:spacing w:line="360" w:lineRule="auto"/>
        <w:ind w:firstLine="199" w:firstLineChars="95"/>
        <w:rPr>
          <w:kern w:val="2"/>
        </w:rPr>
      </w:pPr>
      <w:r>
        <w:drawing>
          <wp:inline distT="0" distB="0" distL="0" distR="0">
            <wp:extent cx="1006475" cy="168910"/>
            <wp:effectExtent l="0" t="0" r="3175" b="2540"/>
            <wp:docPr id="3" name="图片 3" descr="C:\Users\14516\AppData\Local\Temp\ksohtml16160\wps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14516\AppData\Local\Temp\ksohtml16160\wps3.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1049526" cy="176135"/>
                    </a:xfrm>
                    <a:prstGeom prst="rect">
                      <a:avLst/>
                    </a:prstGeom>
                    <a:noFill/>
                    <a:ln>
                      <a:noFill/>
                    </a:ln>
                  </pic:spPr>
                </pic:pic>
              </a:graphicData>
            </a:graphic>
          </wp:inline>
        </w:drawing>
      </w:r>
      <w:r>
        <w:rPr>
          <w:rFonts w:hint="eastAsia"/>
          <w:kern w:val="2"/>
        </w:rPr>
        <w:t>——台风风速，m/s。</w:t>
      </w:r>
    </w:p>
    <w:p w14:paraId="169E579C">
      <w:pPr>
        <w:pStyle w:val="162"/>
        <w:adjustRightInd w:val="0"/>
        <w:snapToGrid w:val="0"/>
        <w:spacing w:line="360" w:lineRule="auto"/>
      </w:pPr>
      <w:r>
        <w:rPr>
          <w:rFonts w:hint="eastAsia"/>
        </w:rPr>
        <w:t>台风工况下风荷载的分项系数、组合值系数、频遇值系数、准永久值系数可分别取1.0、0.6、0.4、0.0。建（构）筑物的结构重要性系数按1.0考虑，可不考虑与温度作用、地震作用及其他偶然作用组合。</w:t>
      </w:r>
    </w:p>
    <w:p w14:paraId="1C7A6C60">
      <w:pPr>
        <w:pStyle w:val="162"/>
        <w:adjustRightInd w:val="0"/>
        <w:snapToGrid w:val="0"/>
        <w:spacing w:line="360" w:lineRule="auto"/>
      </w:pPr>
      <w:r>
        <w:rPr>
          <w:rFonts w:hint="eastAsia"/>
        </w:rPr>
        <w:t>台风荷载设计值计算方式按GB 50009及GB 55001相关规定执行，其中，基本风压按本标准6.2条</w:t>
      </w:r>
      <w:r>
        <w:drawing>
          <wp:inline distT="0" distB="0" distL="0" distR="0">
            <wp:extent cx="153670" cy="153670"/>
            <wp:effectExtent l="0" t="0" r="0" b="0"/>
            <wp:docPr id="13" name="图片 13" descr="C:\Users\14516\AppData\Local\Temp\ksohtml16160\wps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C:\Users\14516\AppData\Local\Temp\ksohtml16160\wps5.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153670" cy="153670"/>
                    </a:xfrm>
                    <a:prstGeom prst="rect">
                      <a:avLst/>
                    </a:prstGeom>
                    <a:noFill/>
                    <a:ln>
                      <a:noFill/>
                    </a:ln>
                  </pic:spPr>
                </pic:pic>
              </a:graphicData>
            </a:graphic>
          </wp:inline>
        </w:drawing>
      </w:r>
      <w:r>
        <w:rPr>
          <w:rFonts w:hint="eastAsia"/>
        </w:rPr>
        <w:t>采用。</w:t>
      </w:r>
    </w:p>
    <w:p w14:paraId="55ADD4ED">
      <w:pPr>
        <w:pStyle w:val="162"/>
        <w:adjustRightInd w:val="0"/>
        <w:snapToGrid w:val="0"/>
        <w:spacing w:line="360" w:lineRule="auto"/>
      </w:pPr>
      <w:r>
        <w:rPr>
          <w:rFonts w:hint="eastAsia"/>
        </w:rPr>
        <w:t>工程应根据站址所处的地貌特征，确定建设场地的地面粗糙度类别。风压高度变化系数应根据地面粗糙度类别确定。站址地面粗糙度分类及应用如表1。</w:t>
      </w:r>
    </w:p>
    <w:p w14:paraId="4254220B">
      <w:pPr>
        <w:pStyle w:val="112"/>
        <w:numPr>
          <w:ilvl w:val="0"/>
          <w:numId w:val="33"/>
        </w:numPr>
        <w:tabs>
          <w:tab w:val="clear" w:pos="0"/>
        </w:tabs>
        <w:spacing w:before="120" w:after="120"/>
        <w:rPr>
          <w:szCs w:val="21"/>
        </w:rPr>
      </w:pPr>
      <w:r>
        <w:rPr>
          <w:rFonts w:hint="eastAsia" w:hAnsi="黑体"/>
        </w:rPr>
        <w:t>站址地面粗糙度分类及应用场景</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408"/>
        <w:gridCol w:w="4252"/>
        <w:gridCol w:w="3674"/>
      </w:tblGrid>
      <w:tr w14:paraId="6DBBF77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tcBorders>
              <w:top w:val="single" w:color="auto" w:sz="8" w:space="0"/>
              <w:left w:val="single" w:color="auto" w:sz="8" w:space="0"/>
              <w:bottom w:val="single" w:color="auto" w:sz="8" w:space="0"/>
              <w:right w:val="single" w:color="auto" w:sz="4" w:space="0"/>
            </w:tcBorders>
          </w:tcPr>
          <w:p w14:paraId="45B107A5">
            <w:pPr>
              <w:jc w:val="center"/>
              <w:rPr>
                <w:rFonts w:ascii="宋体" w:hAnsi="宋体"/>
                <w:sz w:val="18"/>
                <w:szCs w:val="18"/>
              </w:rPr>
            </w:pPr>
            <w:r>
              <w:rPr>
                <w:rFonts w:hint="eastAsia" w:ascii="宋体" w:hAnsi="宋体"/>
                <w:sz w:val="18"/>
                <w:szCs w:val="18"/>
              </w:rPr>
              <w:t>粗糙度类别</w:t>
            </w:r>
          </w:p>
        </w:tc>
        <w:tc>
          <w:tcPr>
            <w:tcW w:w="4252" w:type="dxa"/>
            <w:tcBorders>
              <w:top w:val="single" w:color="auto" w:sz="8" w:space="0"/>
              <w:left w:val="single" w:color="auto" w:sz="4" w:space="0"/>
              <w:bottom w:val="single" w:color="auto" w:sz="8" w:space="0"/>
              <w:right w:val="single" w:color="auto" w:sz="4" w:space="0"/>
            </w:tcBorders>
          </w:tcPr>
          <w:p w14:paraId="27EF6EBD">
            <w:pPr>
              <w:jc w:val="center"/>
              <w:rPr>
                <w:rFonts w:ascii="宋体" w:hAnsi="宋体"/>
                <w:sz w:val="18"/>
                <w:szCs w:val="18"/>
              </w:rPr>
            </w:pPr>
            <w:r>
              <w:rPr>
                <w:rFonts w:hint="eastAsia" w:ascii="宋体" w:hAnsi="宋体"/>
                <w:sz w:val="18"/>
                <w:szCs w:val="18"/>
              </w:rPr>
              <w:t>地貌特征</w:t>
            </w:r>
          </w:p>
        </w:tc>
        <w:tc>
          <w:tcPr>
            <w:tcW w:w="3674" w:type="dxa"/>
            <w:tcBorders>
              <w:top w:val="single" w:color="auto" w:sz="8" w:space="0"/>
              <w:left w:val="single" w:color="auto" w:sz="4" w:space="0"/>
              <w:bottom w:val="single" w:color="auto" w:sz="8" w:space="0"/>
              <w:right w:val="single" w:color="auto" w:sz="8" w:space="0"/>
            </w:tcBorders>
          </w:tcPr>
          <w:p w14:paraId="1481336D">
            <w:pPr>
              <w:jc w:val="center"/>
              <w:rPr>
                <w:rFonts w:ascii="宋体" w:hAnsi="宋体"/>
                <w:sz w:val="18"/>
                <w:szCs w:val="18"/>
              </w:rPr>
            </w:pPr>
            <w:r>
              <w:rPr>
                <w:rFonts w:hint="eastAsia" w:ascii="宋体" w:hAnsi="宋体"/>
                <w:sz w:val="18"/>
                <w:szCs w:val="18"/>
              </w:rPr>
              <w:t>工程适用场景</w:t>
            </w:r>
          </w:p>
        </w:tc>
      </w:tr>
      <w:tr w14:paraId="724CE3E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tcBorders>
              <w:top w:val="single" w:color="auto" w:sz="8" w:space="0"/>
              <w:left w:val="single" w:color="auto" w:sz="8" w:space="0"/>
              <w:bottom w:val="single" w:color="auto" w:sz="4" w:space="0"/>
              <w:right w:val="single" w:color="auto" w:sz="4" w:space="0"/>
            </w:tcBorders>
          </w:tcPr>
          <w:p w14:paraId="04DBFA68">
            <w:pPr>
              <w:jc w:val="center"/>
              <w:rPr>
                <w:rFonts w:ascii="宋体" w:hAnsi="宋体"/>
                <w:sz w:val="18"/>
                <w:szCs w:val="18"/>
              </w:rPr>
            </w:pPr>
            <w:r>
              <w:rPr>
                <w:rFonts w:hint="eastAsia" w:ascii="宋体" w:hAnsi="宋体"/>
                <w:sz w:val="18"/>
                <w:szCs w:val="18"/>
              </w:rPr>
              <w:t>A 类</w:t>
            </w:r>
          </w:p>
        </w:tc>
        <w:tc>
          <w:tcPr>
            <w:tcW w:w="4252" w:type="dxa"/>
            <w:tcBorders>
              <w:top w:val="single" w:color="auto" w:sz="8" w:space="0"/>
              <w:left w:val="single" w:color="auto" w:sz="4" w:space="0"/>
              <w:bottom w:val="single" w:color="auto" w:sz="4" w:space="0"/>
              <w:right w:val="single" w:color="auto" w:sz="4" w:space="0"/>
            </w:tcBorders>
          </w:tcPr>
          <w:p w14:paraId="2D81A097">
            <w:pPr>
              <w:jc w:val="center"/>
              <w:rPr>
                <w:rFonts w:ascii="宋体" w:hAnsi="宋体"/>
                <w:sz w:val="18"/>
                <w:szCs w:val="18"/>
              </w:rPr>
            </w:pPr>
            <w:r>
              <w:rPr>
                <w:rFonts w:hint="eastAsia" w:ascii="宋体" w:hAnsi="宋体"/>
                <w:sz w:val="18"/>
                <w:szCs w:val="18"/>
              </w:rPr>
              <w:t>近海海面、海岛、海岸、湖岸及沙漠地区</w:t>
            </w:r>
          </w:p>
        </w:tc>
        <w:tc>
          <w:tcPr>
            <w:tcW w:w="3674" w:type="dxa"/>
            <w:tcBorders>
              <w:top w:val="single" w:color="auto" w:sz="8" w:space="0"/>
              <w:left w:val="single" w:color="auto" w:sz="4" w:space="0"/>
              <w:bottom w:val="single" w:color="auto" w:sz="4" w:space="0"/>
              <w:right w:val="single" w:color="auto" w:sz="8" w:space="0"/>
            </w:tcBorders>
          </w:tcPr>
          <w:p w14:paraId="56E20ABD">
            <w:pPr>
              <w:jc w:val="center"/>
              <w:rPr>
                <w:rFonts w:ascii="宋体" w:hAnsi="宋体"/>
                <w:sz w:val="18"/>
                <w:szCs w:val="18"/>
              </w:rPr>
            </w:pPr>
            <w:r>
              <w:rPr>
                <w:rFonts w:hint="eastAsia" w:ascii="宋体" w:hAnsi="宋体"/>
                <w:sz w:val="18"/>
                <w:szCs w:val="18"/>
              </w:rPr>
              <w:t>沿海无遮挡的工程</w:t>
            </w:r>
          </w:p>
        </w:tc>
      </w:tr>
      <w:tr w14:paraId="00F128B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tcBorders>
              <w:top w:val="single" w:color="auto" w:sz="4" w:space="0"/>
              <w:left w:val="single" w:color="auto" w:sz="8" w:space="0"/>
              <w:bottom w:val="single" w:color="auto" w:sz="4" w:space="0"/>
              <w:right w:val="single" w:color="auto" w:sz="4" w:space="0"/>
            </w:tcBorders>
          </w:tcPr>
          <w:p w14:paraId="6855A100">
            <w:pPr>
              <w:jc w:val="center"/>
              <w:rPr>
                <w:rFonts w:ascii="宋体" w:hAnsi="宋体"/>
                <w:sz w:val="18"/>
                <w:szCs w:val="18"/>
              </w:rPr>
            </w:pPr>
            <w:r>
              <w:rPr>
                <w:rFonts w:hint="eastAsia" w:ascii="宋体" w:hAnsi="宋体"/>
                <w:sz w:val="18"/>
                <w:szCs w:val="18"/>
              </w:rPr>
              <w:t>B 类</w:t>
            </w:r>
          </w:p>
        </w:tc>
        <w:tc>
          <w:tcPr>
            <w:tcW w:w="4252" w:type="dxa"/>
            <w:tcBorders>
              <w:top w:val="single" w:color="auto" w:sz="4" w:space="0"/>
              <w:left w:val="single" w:color="auto" w:sz="4" w:space="0"/>
              <w:bottom w:val="single" w:color="auto" w:sz="4" w:space="0"/>
              <w:right w:val="single" w:color="auto" w:sz="4" w:space="0"/>
            </w:tcBorders>
          </w:tcPr>
          <w:p w14:paraId="78D76402">
            <w:pPr>
              <w:jc w:val="center"/>
              <w:rPr>
                <w:rFonts w:ascii="宋体" w:hAnsi="宋体"/>
                <w:sz w:val="18"/>
                <w:szCs w:val="18"/>
              </w:rPr>
            </w:pPr>
            <w:r>
              <w:rPr>
                <w:rFonts w:hint="eastAsia" w:ascii="宋体" w:hAnsi="宋体"/>
                <w:sz w:val="18"/>
                <w:szCs w:val="18"/>
              </w:rPr>
              <w:t>田野、乡村、丛林、丘陵及房屋稀疏的郊区</w:t>
            </w:r>
          </w:p>
        </w:tc>
        <w:tc>
          <w:tcPr>
            <w:tcW w:w="3674" w:type="dxa"/>
            <w:tcBorders>
              <w:top w:val="single" w:color="auto" w:sz="4" w:space="0"/>
              <w:left w:val="single" w:color="auto" w:sz="4" w:space="0"/>
              <w:bottom w:val="single" w:color="auto" w:sz="4" w:space="0"/>
              <w:right w:val="single" w:color="auto" w:sz="8" w:space="0"/>
            </w:tcBorders>
          </w:tcPr>
          <w:p w14:paraId="28F0A402">
            <w:pPr>
              <w:jc w:val="center"/>
              <w:rPr>
                <w:rFonts w:ascii="宋体" w:hAnsi="宋体"/>
                <w:sz w:val="18"/>
                <w:szCs w:val="18"/>
              </w:rPr>
            </w:pPr>
            <w:r>
              <w:rPr>
                <w:rFonts w:hint="eastAsia" w:ascii="宋体" w:hAnsi="宋体"/>
                <w:sz w:val="18"/>
                <w:szCs w:val="18"/>
              </w:rPr>
              <w:t>郊区、乡村、工业园区内的工程</w:t>
            </w:r>
          </w:p>
        </w:tc>
      </w:tr>
      <w:tr w14:paraId="43D5ACA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tcBorders>
              <w:top w:val="single" w:color="auto" w:sz="4" w:space="0"/>
              <w:left w:val="single" w:color="auto" w:sz="8" w:space="0"/>
              <w:bottom w:val="single" w:color="auto" w:sz="4" w:space="0"/>
              <w:right w:val="single" w:color="auto" w:sz="4" w:space="0"/>
            </w:tcBorders>
          </w:tcPr>
          <w:p w14:paraId="634F3645">
            <w:pPr>
              <w:jc w:val="center"/>
              <w:rPr>
                <w:rFonts w:ascii="宋体" w:hAnsi="宋体"/>
                <w:sz w:val="18"/>
                <w:szCs w:val="18"/>
              </w:rPr>
            </w:pPr>
            <w:r>
              <w:rPr>
                <w:rFonts w:hint="eastAsia" w:ascii="宋体" w:hAnsi="宋体"/>
                <w:sz w:val="18"/>
                <w:szCs w:val="18"/>
              </w:rPr>
              <w:t>C 类</w:t>
            </w:r>
          </w:p>
        </w:tc>
        <w:tc>
          <w:tcPr>
            <w:tcW w:w="4252" w:type="dxa"/>
            <w:tcBorders>
              <w:top w:val="single" w:color="auto" w:sz="4" w:space="0"/>
              <w:left w:val="single" w:color="auto" w:sz="4" w:space="0"/>
              <w:bottom w:val="single" w:color="auto" w:sz="4" w:space="0"/>
              <w:right w:val="single" w:color="auto" w:sz="4" w:space="0"/>
            </w:tcBorders>
          </w:tcPr>
          <w:p w14:paraId="286D3CA2">
            <w:pPr>
              <w:jc w:val="center"/>
              <w:rPr>
                <w:rFonts w:ascii="宋体" w:hAnsi="宋体"/>
                <w:sz w:val="18"/>
                <w:szCs w:val="18"/>
              </w:rPr>
            </w:pPr>
            <w:r>
              <w:rPr>
                <w:rFonts w:hint="eastAsia" w:ascii="宋体" w:hAnsi="宋体"/>
                <w:sz w:val="18"/>
                <w:szCs w:val="18"/>
              </w:rPr>
              <w:t>有密集建筑群的城市市区</w:t>
            </w:r>
          </w:p>
        </w:tc>
        <w:tc>
          <w:tcPr>
            <w:tcW w:w="3674" w:type="dxa"/>
            <w:tcBorders>
              <w:top w:val="single" w:color="auto" w:sz="4" w:space="0"/>
              <w:left w:val="single" w:color="auto" w:sz="4" w:space="0"/>
              <w:bottom w:val="single" w:color="auto" w:sz="4" w:space="0"/>
              <w:right w:val="single" w:color="auto" w:sz="8" w:space="0"/>
            </w:tcBorders>
          </w:tcPr>
          <w:p w14:paraId="5FB8A5E3">
            <w:pPr>
              <w:jc w:val="center"/>
              <w:rPr>
                <w:rFonts w:ascii="宋体" w:hAnsi="宋体"/>
                <w:sz w:val="18"/>
                <w:szCs w:val="18"/>
              </w:rPr>
            </w:pPr>
            <w:r>
              <w:rPr>
                <w:rFonts w:hint="eastAsia" w:ascii="宋体" w:hAnsi="宋体"/>
                <w:sz w:val="18"/>
                <w:szCs w:val="18"/>
              </w:rPr>
              <w:t>城市建成区内的工程</w:t>
            </w:r>
          </w:p>
        </w:tc>
      </w:tr>
      <w:tr w14:paraId="2628E9B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tcBorders>
              <w:top w:val="single" w:color="auto" w:sz="4" w:space="0"/>
              <w:left w:val="single" w:color="auto" w:sz="8" w:space="0"/>
              <w:bottom w:val="single" w:color="auto" w:sz="8" w:space="0"/>
              <w:right w:val="single" w:color="auto" w:sz="4" w:space="0"/>
            </w:tcBorders>
          </w:tcPr>
          <w:p w14:paraId="6E2CDA91">
            <w:pPr>
              <w:jc w:val="center"/>
              <w:rPr>
                <w:rFonts w:ascii="宋体" w:hAnsi="宋体"/>
                <w:sz w:val="18"/>
                <w:szCs w:val="18"/>
              </w:rPr>
            </w:pPr>
            <w:r>
              <w:rPr>
                <w:rFonts w:hint="eastAsia" w:ascii="宋体" w:hAnsi="宋体"/>
                <w:sz w:val="18"/>
                <w:szCs w:val="18"/>
              </w:rPr>
              <w:t>D 类</w:t>
            </w:r>
          </w:p>
        </w:tc>
        <w:tc>
          <w:tcPr>
            <w:tcW w:w="4252" w:type="dxa"/>
            <w:tcBorders>
              <w:top w:val="single" w:color="auto" w:sz="4" w:space="0"/>
              <w:left w:val="single" w:color="auto" w:sz="4" w:space="0"/>
              <w:bottom w:val="single" w:color="auto" w:sz="8" w:space="0"/>
              <w:right w:val="single" w:color="auto" w:sz="4" w:space="0"/>
            </w:tcBorders>
          </w:tcPr>
          <w:p w14:paraId="22653BC4">
            <w:pPr>
              <w:jc w:val="center"/>
              <w:rPr>
                <w:rFonts w:ascii="宋体" w:hAnsi="宋体"/>
                <w:sz w:val="18"/>
                <w:szCs w:val="18"/>
              </w:rPr>
            </w:pPr>
            <w:r>
              <w:rPr>
                <w:rFonts w:hint="eastAsia" w:ascii="宋体" w:hAnsi="宋体"/>
                <w:sz w:val="18"/>
                <w:szCs w:val="18"/>
              </w:rPr>
              <w:t>有密集高层建筑（高度≥18m）的大城市市区</w:t>
            </w:r>
          </w:p>
        </w:tc>
        <w:tc>
          <w:tcPr>
            <w:tcW w:w="3674" w:type="dxa"/>
            <w:tcBorders>
              <w:top w:val="single" w:color="auto" w:sz="4" w:space="0"/>
              <w:left w:val="single" w:color="auto" w:sz="4" w:space="0"/>
              <w:bottom w:val="single" w:color="auto" w:sz="8" w:space="0"/>
              <w:right w:val="single" w:color="auto" w:sz="8" w:space="0"/>
            </w:tcBorders>
          </w:tcPr>
          <w:p w14:paraId="6468122E">
            <w:pPr>
              <w:jc w:val="center"/>
              <w:rPr>
                <w:rFonts w:ascii="宋体" w:hAnsi="宋体"/>
                <w:sz w:val="18"/>
                <w:szCs w:val="18"/>
              </w:rPr>
            </w:pPr>
            <w:r>
              <w:rPr>
                <w:rFonts w:hint="eastAsia" w:ascii="宋体" w:hAnsi="宋体"/>
                <w:sz w:val="18"/>
                <w:szCs w:val="18"/>
              </w:rPr>
              <w:t>市中心核心区的工程</w:t>
            </w:r>
          </w:p>
        </w:tc>
      </w:tr>
    </w:tbl>
    <w:p w14:paraId="40589333">
      <w:pPr>
        <w:pStyle w:val="162"/>
        <w:numPr>
          <w:ilvl w:val="0"/>
          <w:numId w:val="0"/>
        </w:numPr>
        <w:spacing w:line="360" w:lineRule="auto"/>
        <w:rPr>
          <w:rFonts w:hAnsi="宋体"/>
        </w:rPr>
      </w:pPr>
    </w:p>
    <w:p w14:paraId="4F07A14C">
      <w:pPr>
        <w:pStyle w:val="162"/>
        <w:adjustRightInd w:val="0"/>
        <w:snapToGrid w:val="0"/>
        <w:spacing w:line="360" w:lineRule="auto"/>
      </w:pPr>
      <w:r>
        <w:rPr>
          <w:rFonts w:hint="eastAsia"/>
        </w:rPr>
        <w:t>对位于山区、河谷、峡谷等特殊地形的工程，应根据国家标准GB 50009的规定进行地形修正，考虑局部地形对风速增大的影响。地形修正系数应结合站址实际地形特征，按表2确定。</w:t>
      </w:r>
    </w:p>
    <w:p w14:paraId="0FD0B0C9">
      <w:pPr>
        <w:pStyle w:val="112"/>
        <w:numPr>
          <w:ilvl w:val="0"/>
          <w:numId w:val="33"/>
        </w:numPr>
        <w:tabs>
          <w:tab w:val="clear" w:pos="0"/>
        </w:tabs>
        <w:spacing w:before="120" w:after="120"/>
        <w:rPr>
          <w:rFonts w:hAnsi="黑体"/>
        </w:rPr>
      </w:pPr>
      <w:r>
        <w:rPr>
          <w:rFonts w:hint="eastAsia" w:hAnsi="黑体"/>
        </w:rPr>
        <w:t>站址地形修正系数</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988"/>
        <w:gridCol w:w="2126"/>
        <w:gridCol w:w="3539"/>
        <w:gridCol w:w="2681"/>
      </w:tblGrid>
      <w:tr w14:paraId="6ECCFED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88" w:type="dxa"/>
            <w:tcBorders>
              <w:top w:val="single" w:color="auto" w:sz="8" w:space="0"/>
              <w:left w:val="single" w:color="auto" w:sz="8" w:space="0"/>
              <w:bottom w:val="single" w:color="auto" w:sz="8" w:space="0"/>
              <w:right w:val="single" w:color="auto" w:sz="4" w:space="0"/>
            </w:tcBorders>
          </w:tcPr>
          <w:p w14:paraId="1A045553">
            <w:pPr>
              <w:jc w:val="center"/>
              <w:rPr>
                <w:rFonts w:ascii="宋体" w:hAnsi="宋体"/>
                <w:sz w:val="18"/>
                <w:szCs w:val="18"/>
              </w:rPr>
            </w:pPr>
            <w:r>
              <w:rPr>
                <w:rFonts w:hint="eastAsia" w:ascii="宋体" w:hAnsi="宋体"/>
                <w:sz w:val="18"/>
                <w:szCs w:val="18"/>
              </w:rPr>
              <w:t>地形大类</w:t>
            </w:r>
          </w:p>
        </w:tc>
        <w:tc>
          <w:tcPr>
            <w:tcW w:w="2126" w:type="dxa"/>
            <w:tcBorders>
              <w:top w:val="single" w:color="auto" w:sz="8" w:space="0"/>
              <w:left w:val="single" w:color="auto" w:sz="4" w:space="0"/>
              <w:bottom w:val="single" w:color="auto" w:sz="8" w:space="0"/>
              <w:right w:val="single" w:color="auto" w:sz="4" w:space="0"/>
            </w:tcBorders>
          </w:tcPr>
          <w:p w14:paraId="4EC16237">
            <w:pPr>
              <w:jc w:val="center"/>
              <w:rPr>
                <w:rFonts w:ascii="宋体" w:hAnsi="宋体"/>
                <w:sz w:val="18"/>
                <w:szCs w:val="18"/>
              </w:rPr>
            </w:pPr>
            <w:r>
              <w:rPr>
                <w:rFonts w:hint="eastAsia" w:ascii="宋体" w:hAnsi="宋体"/>
                <w:sz w:val="18"/>
                <w:szCs w:val="18"/>
              </w:rPr>
              <w:t>地形子类型</w:t>
            </w:r>
          </w:p>
        </w:tc>
        <w:tc>
          <w:tcPr>
            <w:tcW w:w="3539" w:type="dxa"/>
            <w:tcBorders>
              <w:top w:val="single" w:color="auto" w:sz="8" w:space="0"/>
              <w:left w:val="single" w:color="auto" w:sz="4" w:space="0"/>
              <w:bottom w:val="single" w:color="auto" w:sz="8" w:space="0"/>
              <w:right w:val="single" w:color="auto" w:sz="4" w:space="0"/>
            </w:tcBorders>
          </w:tcPr>
          <w:p w14:paraId="77896C78">
            <w:pPr>
              <w:jc w:val="center"/>
              <w:rPr>
                <w:rFonts w:ascii="宋体" w:hAnsi="宋体"/>
                <w:sz w:val="18"/>
                <w:szCs w:val="18"/>
              </w:rPr>
            </w:pPr>
            <w:r>
              <w:rPr>
                <w:rFonts w:hint="eastAsia" w:ascii="宋体" w:hAnsi="宋体"/>
                <w:sz w:val="18"/>
                <w:szCs w:val="18"/>
              </w:rPr>
              <w:t>修正系数η（计算公式/取值范围）</w:t>
            </w:r>
          </w:p>
        </w:tc>
        <w:tc>
          <w:tcPr>
            <w:tcW w:w="2681" w:type="dxa"/>
            <w:tcBorders>
              <w:top w:val="single" w:color="auto" w:sz="8" w:space="0"/>
              <w:left w:val="single" w:color="auto" w:sz="4" w:space="0"/>
              <w:bottom w:val="single" w:color="auto" w:sz="8" w:space="0"/>
              <w:right w:val="single" w:color="auto" w:sz="8" w:space="0"/>
            </w:tcBorders>
          </w:tcPr>
          <w:p w14:paraId="4E3CC2BF">
            <w:pPr>
              <w:jc w:val="center"/>
              <w:rPr>
                <w:rFonts w:ascii="宋体" w:hAnsi="宋体"/>
                <w:sz w:val="18"/>
                <w:szCs w:val="18"/>
              </w:rPr>
            </w:pPr>
            <w:r>
              <w:rPr>
                <w:rFonts w:hint="eastAsia" w:ascii="宋体" w:hAnsi="宋体"/>
                <w:sz w:val="18"/>
                <w:szCs w:val="18"/>
              </w:rPr>
              <w:t>适用条件</w:t>
            </w:r>
          </w:p>
        </w:tc>
      </w:tr>
      <w:tr w14:paraId="5BE3865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88" w:type="dxa"/>
            <w:tcBorders>
              <w:top w:val="single" w:color="auto" w:sz="8" w:space="0"/>
              <w:left w:val="single" w:color="auto" w:sz="8" w:space="0"/>
              <w:bottom w:val="single" w:color="auto" w:sz="4" w:space="0"/>
              <w:right w:val="single" w:color="auto" w:sz="4" w:space="0"/>
            </w:tcBorders>
          </w:tcPr>
          <w:p w14:paraId="26B2528A">
            <w:pPr>
              <w:jc w:val="center"/>
              <w:rPr>
                <w:rFonts w:ascii="宋体" w:hAnsi="宋体"/>
                <w:sz w:val="18"/>
                <w:szCs w:val="18"/>
              </w:rPr>
            </w:pPr>
            <w:r>
              <w:rPr>
                <w:rFonts w:hint="eastAsia" w:ascii="宋体" w:hAnsi="宋体"/>
                <w:sz w:val="18"/>
                <w:szCs w:val="18"/>
              </w:rPr>
              <w:t>平地地形</w:t>
            </w:r>
          </w:p>
        </w:tc>
        <w:tc>
          <w:tcPr>
            <w:tcW w:w="2126" w:type="dxa"/>
            <w:tcBorders>
              <w:top w:val="single" w:color="auto" w:sz="8" w:space="0"/>
              <w:left w:val="single" w:color="auto" w:sz="4" w:space="0"/>
              <w:bottom w:val="single" w:color="auto" w:sz="4" w:space="0"/>
              <w:right w:val="single" w:color="auto" w:sz="4" w:space="0"/>
            </w:tcBorders>
          </w:tcPr>
          <w:p w14:paraId="38F08E1D">
            <w:pPr>
              <w:jc w:val="center"/>
              <w:rPr>
                <w:rFonts w:ascii="宋体" w:hAnsi="宋体"/>
                <w:sz w:val="18"/>
                <w:szCs w:val="18"/>
              </w:rPr>
            </w:pPr>
            <w:r>
              <w:rPr>
                <w:rFonts w:hint="eastAsia" w:ascii="宋体" w:hAnsi="宋体"/>
                <w:sz w:val="18"/>
                <w:szCs w:val="18"/>
              </w:rPr>
              <w:t>平坦或稍有起伏</w:t>
            </w:r>
          </w:p>
        </w:tc>
        <w:tc>
          <w:tcPr>
            <w:tcW w:w="3539" w:type="dxa"/>
            <w:tcBorders>
              <w:top w:val="single" w:color="auto" w:sz="8" w:space="0"/>
              <w:left w:val="single" w:color="auto" w:sz="4" w:space="0"/>
              <w:bottom w:val="single" w:color="auto" w:sz="4" w:space="0"/>
              <w:right w:val="single" w:color="auto" w:sz="4" w:space="0"/>
            </w:tcBorders>
          </w:tcPr>
          <w:p w14:paraId="3125E37A">
            <w:pPr>
              <w:jc w:val="center"/>
              <w:rPr>
                <w:rFonts w:ascii="宋体" w:hAnsi="宋体"/>
                <w:sz w:val="18"/>
                <w:szCs w:val="18"/>
              </w:rPr>
            </w:pPr>
            <w:r>
              <w:rPr>
                <w:rFonts w:hint="eastAsia" w:ascii="宋体" w:hAnsi="宋体"/>
                <w:sz w:val="18"/>
                <w:szCs w:val="18"/>
              </w:rPr>
              <w:t>1.0</w:t>
            </w:r>
          </w:p>
        </w:tc>
        <w:tc>
          <w:tcPr>
            <w:tcW w:w="2681" w:type="dxa"/>
            <w:tcBorders>
              <w:top w:val="single" w:color="auto" w:sz="8" w:space="0"/>
              <w:left w:val="single" w:color="auto" w:sz="4" w:space="0"/>
              <w:bottom w:val="single" w:color="auto" w:sz="4" w:space="0"/>
              <w:right w:val="single" w:color="auto" w:sz="8" w:space="0"/>
            </w:tcBorders>
          </w:tcPr>
          <w:p w14:paraId="0E0AB116">
            <w:pPr>
              <w:jc w:val="center"/>
              <w:rPr>
                <w:rFonts w:ascii="宋体" w:hAnsi="宋体"/>
                <w:sz w:val="18"/>
                <w:szCs w:val="18"/>
              </w:rPr>
            </w:pPr>
          </w:p>
        </w:tc>
      </w:tr>
      <w:tr w14:paraId="4385AFF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88" w:type="dxa"/>
            <w:vMerge w:val="restart"/>
            <w:tcBorders>
              <w:top w:val="nil"/>
              <w:left w:val="single" w:color="000000" w:sz="4" w:space="0"/>
              <w:bottom w:val="single" w:color="000000" w:sz="4" w:space="0"/>
              <w:right w:val="single" w:color="000000" w:sz="4" w:space="0"/>
            </w:tcBorders>
            <w:shd w:val="clear" w:color="auto" w:fill="FFFFFF"/>
          </w:tcPr>
          <w:p w14:paraId="761FB98C">
            <w:pPr>
              <w:jc w:val="center"/>
              <w:rPr>
                <w:rFonts w:ascii="宋体" w:hAnsi="宋体"/>
                <w:sz w:val="18"/>
                <w:szCs w:val="18"/>
              </w:rPr>
            </w:pPr>
          </w:p>
          <w:p w14:paraId="66570E2C">
            <w:pPr>
              <w:jc w:val="center"/>
              <w:rPr>
                <w:rFonts w:ascii="宋体" w:hAnsi="宋体"/>
                <w:sz w:val="18"/>
                <w:szCs w:val="18"/>
              </w:rPr>
            </w:pPr>
            <w:r>
              <w:rPr>
                <w:rFonts w:hint="eastAsia" w:ascii="宋体" w:hAnsi="宋体"/>
                <w:sz w:val="18"/>
                <w:szCs w:val="18"/>
              </w:rPr>
              <w:t>山区地形</w:t>
            </w:r>
          </w:p>
          <w:p w14:paraId="2C01E044">
            <w:pPr>
              <w:jc w:val="center"/>
              <w:rPr>
                <w:rFonts w:ascii="宋体" w:hAnsi="宋体"/>
                <w:sz w:val="18"/>
                <w:szCs w:val="18"/>
              </w:rPr>
            </w:pPr>
          </w:p>
        </w:tc>
        <w:tc>
          <w:tcPr>
            <w:tcW w:w="2126" w:type="dxa"/>
            <w:tcBorders>
              <w:top w:val="single" w:color="000000" w:sz="4" w:space="0"/>
              <w:left w:val="nil"/>
              <w:bottom w:val="single" w:color="000000" w:sz="4" w:space="0"/>
              <w:right w:val="single" w:color="000000" w:sz="4" w:space="0"/>
            </w:tcBorders>
            <w:shd w:val="clear" w:color="auto" w:fill="FFFFFF"/>
          </w:tcPr>
          <w:p w14:paraId="3013A09B">
            <w:pPr>
              <w:jc w:val="center"/>
              <w:rPr>
                <w:rFonts w:ascii="宋体" w:hAnsi="宋体"/>
                <w:sz w:val="18"/>
                <w:szCs w:val="18"/>
              </w:rPr>
            </w:pPr>
            <w:r>
              <w:rPr>
                <w:rFonts w:hint="eastAsia" w:ascii="宋体" w:hAnsi="宋体"/>
                <w:sz w:val="18"/>
                <w:szCs w:val="18"/>
              </w:rPr>
              <w:t>山峰/山坡顶部</w:t>
            </w:r>
          </w:p>
        </w:tc>
        <w:tc>
          <w:tcPr>
            <w:tcW w:w="3539" w:type="dxa"/>
            <w:tcBorders>
              <w:top w:val="single" w:color="000000" w:sz="4" w:space="0"/>
              <w:left w:val="nil"/>
              <w:bottom w:val="single" w:color="000000" w:sz="4" w:space="0"/>
              <w:right w:val="single" w:color="000000" w:sz="4" w:space="0"/>
            </w:tcBorders>
            <w:shd w:val="clear" w:color="auto" w:fill="FFFFFF"/>
          </w:tcPr>
          <w:p w14:paraId="54A58E5A">
            <w:pPr>
              <w:jc w:val="center"/>
              <w:rPr>
                <w:rFonts w:ascii="宋体" w:hAnsi="宋体"/>
                <w:sz w:val="18"/>
                <w:szCs w:val="18"/>
              </w:rPr>
            </w:pPr>
            <w:r>
              <w:rPr>
                <w:rFonts w:hint="eastAsia" w:ascii="宋体" w:hAnsi="宋体"/>
                <w:sz w:val="18"/>
                <w:szCs w:val="18"/>
              </w:rPr>
              <w:t>η</w:t>
            </w:r>
            <w:r>
              <w:rPr>
                <w:rFonts w:hint="eastAsia" w:ascii="宋体" w:hAnsi="宋体"/>
                <w:sz w:val="18"/>
                <w:szCs w:val="18"/>
                <w:vertAlign w:val="subscript"/>
              </w:rPr>
              <w:t>B</w:t>
            </w:r>
            <w:r>
              <w:rPr>
                <w:rFonts w:hint="eastAsia" w:ascii="宋体" w:hAnsi="宋体"/>
                <w:sz w:val="18"/>
                <w:szCs w:val="18"/>
              </w:rPr>
              <w:t>=[1+k·tanα·(1-z/2.5H)]²；k=2.2（山峰）1.4（山坡）；tanα≤0.3（超0.3取0.3）；z≤2.5H（超2.5H取2.5H）</w:t>
            </w:r>
          </w:p>
        </w:tc>
        <w:tc>
          <w:tcPr>
            <w:tcW w:w="2681" w:type="dxa"/>
            <w:tcBorders>
              <w:top w:val="single" w:color="000000" w:sz="4" w:space="0"/>
              <w:left w:val="nil"/>
              <w:bottom w:val="single" w:color="000000" w:sz="4" w:space="0"/>
              <w:right w:val="single" w:color="000000" w:sz="4" w:space="0"/>
            </w:tcBorders>
            <w:shd w:val="clear" w:color="auto" w:fill="FFFFFF"/>
          </w:tcPr>
          <w:p w14:paraId="01F48F61">
            <w:pPr>
              <w:jc w:val="center"/>
              <w:rPr>
                <w:rFonts w:ascii="宋体" w:hAnsi="宋体"/>
                <w:sz w:val="18"/>
                <w:szCs w:val="18"/>
              </w:rPr>
            </w:pPr>
            <w:r>
              <w:rPr>
                <w:rFonts w:hint="eastAsia" w:ascii="宋体" w:hAnsi="宋体"/>
                <w:sz w:val="18"/>
                <w:szCs w:val="18"/>
              </w:rPr>
              <w:t>迎风面坡度&gt;5°；计算点位于地形顶部区域</w:t>
            </w:r>
          </w:p>
        </w:tc>
      </w:tr>
      <w:tr w14:paraId="309DFC6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0" w:type="auto"/>
            <w:vMerge w:val="continue"/>
            <w:tcBorders>
              <w:top w:val="nil"/>
              <w:left w:val="single" w:color="000000" w:sz="4" w:space="0"/>
              <w:bottom w:val="single" w:color="000000" w:sz="4" w:space="0"/>
              <w:right w:val="single" w:color="000000" w:sz="4" w:space="0"/>
            </w:tcBorders>
            <w:vAlign w:val="center"/>
          </w:tcPr>
          <w:p w14:paraId="09FC4D15">
            <w:pPr>
              <w:widowControl/>
              <w:adjustRightInd/>
              <w:spacing w:line="240" w:lineRule="auto"/>
              <w:jc w:val="left"/>
              <w:rPr>
                <w:rFonts w:ascii="宋体" w:hAnsi="宋体"/>
                <w:sz w:val="18"/>
                <w:szCs w:val="18"/>
              </w:rPr>
            </w:pPr>
          </w:p>
        </w:tc>
        <w:tc>
          <w:tcPr>
            <w:tcW w:w="2126" w:type="dxa"/>
            <w:tcBorders>
              <w:top w:val="single" w:color="000000" w:sz="4" w:space="0"/>
              <w:left w:val="nil"/>
              <w:bottom w:val="single" w:color="000000" w:sz="4" w:space="0"/>
              <w:right w:val="single" w:color="000000" w:sz="4" w:space="0"/>
            </w:tcBorders>
            <w:shd w:val="clear" w:color="auto" w:fill="FFFFFF"/>
          </w:tcPr>
          <w:p w14:paraId="3C760E2C">
            <w:pPr>
              <w:pStyle w:val="178"/>
              <w:rPr>
                <w:rFonts w:hAnsi="宋体"/>
                <w:szCs w:val="18"/>
              </w:rPr>
            </w:pPr>
            <w:r>
              <w:rPr>
                <w:rFonts w:hint="eastAsia" w:hAnsi="宋体"/>
              </w:rPr>
              <w:t>山间盆地/谷地</w:t>
            </w:r>
          </w:p>
        </w:tc>
        <w:tc>
          <w:tcPr>
            <w:tcW w:w="3539" w:type="dxa"/>
            <w:tcBorders>
              <w:top w:val="single" w:color="000000" w:sz="4" w:space="0"/>
              <w:left w:val="nil"/>
              <w:bottom w:val="single" w:color="000000" w:sz="4" w:space="0"/>
              <w:right w:val="single" w:color="000000" w:sz="4" w:space="0"/>
            </w:tcBorders>
            <w:shd w:val="clear" w:color="auto" w:fill="FFFFFF"/>
          </w:tcPr>
          <w:p w14:paraId="06DEA24B">
            <w:pPr>
              <w:pStyle w:val="178"/>
              <w:rPr>
                <w:rFonts w:hAnsi="宋体"/>
              </w:rPr>
            </w:pPr>
            <w:r>
              <w:rPr>
                <w:rFonts w:hint="eastAsia" w:hAnsi="宋体"/>
              </w:rPr>
              <w:t>0.75</w:t>
            </w:r>
            <w:r>
              <w:rPr>
                <w:rFonts w:ascii="Times New Roman"/>
              </w:rPr>
              <w:t>~</w:t>
            </w:r>
            <w:r>
              <w:rPr>
                <w:rFonts w:hint="eastAsia" w:hAnsi="宋体"/>
              </w:rPr>
              <w:t>0.85（闭塞地形取小值，半开阔取大值）</w:t>
            </w:r>
          </w:p>
        </w:tc>
        <w:tc>
          <w:tcPr>
            <w:tcW w:w="2681" w:type="dxa"/>
            <w:tcBorders>
              <w:top w:val="single" w:color="000000" w:sz="4" w:space="0"/>
              <w:left w:val="nil"/>
              <w:bottom w:val="single" w:color="000000" w:sz="4" w:space="0"/>
              <w:right w:val="single" w:color="000000" w:sz="4" w:space="0"/>
            </w:tcBorders>
            <w:shd w:val="clear" w:color="auto" w:fill="FFFFFF"/>
          </w:tcPr>
          <w:p w14:paraId="1388C4D5">
            <w:pPr>
              <w:pStyle w:val="178"/>
              <w:rPr>
                <w:rFonts w:hAnsi="宋体"/>
              </w:rPr>
            </w:pPr>
            <w:r>
              <w:rPr>
                <w:rFonts w:hint="eastAsia" w:hAnsi="宋体"/>
              </w:rPr>
              <w:t>地形闭塞，风速受阻折减</w:t>
            </w:r>
          </w:p>
        </w:tc>
      </w:tr>
      <w:tr w14:paraId="3FD45D6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0" w:type="auto"/>
            <w:vMerge w:val="continue"/>
            <w:tcBorders>
              <w:top w:val="nil"/>
              <w:left w:val="single" w:color="000000" w:sz="4" w:space="0"/>
              <w:bottom w:val="single" w:color="000000" w:sz="4" w:space="0"/>
              <w:right w:val="single" w:color="000000" w:sz="4" w:space="0"/>
            </w:tcBorders>
            <w:vAlign w:val="center"/>
          </w:tcPr>
          <w:p w14:paraId="045B9039">
            <w:pPr>
              <w:widowControl/>
              <w:adjustRightInd/>
              <w:spacing w:line="240" w:lineRule="auto"/>
              <w:jc w:val="left"/>
              <w:rPr>
                <w:rFonts w:ascii="宋体" w:hAnsi="宋体"/>
                <w:sz w:val="18"/>
                <w:szCs w:val="18"/>
              </w:rPr>
            </w:pPr>
          </w:p>
        </w:tc>
        <w:tc>
          <w:tcPr>
            <w:tcW w:w="2126" w:type="dxa"/>
            <w:tcBorders>
              <w:top w:val="single" w:color="000000" w:sz="4" w:space="0"/>
              <w:left w:val="nil"/>
              <w:bottom w:val="single" w:color="000000" w:sz="4" w:space="0"/>
              <w:right w:val="single" w:color="000000" w:sz="4" w:space="0"/>
            </w:tcBorders>
            <w:shd w:val="clear" w:color="auto" w:fill="FFFFFF"/>
          </w:tcPr>
          <w:p w14:paraId="781ECE89">
            <w:pPr>
              <w:pStyle w:val="178"/>
              <w:rPr>
                <w:rFonts w:hAnsi="宋体"/>
              </w:rPr>
            </w:pPr>
            <w:r>
              <w:rPr>
                <w:rFonts w:hint="eastAsia" w:hAnsi="宋体"/>
              </w:rPr>
              <w:t>谷口/山口（与风向一致）</w:t>
            </w:r>
          </w:p>
        </w:tc>
        <w:tc>
          <w:tcPr>
            <w:tcW w:w="3539" w:type="dxa"/>
            <w:tcBorders>
              <w:top w:val="single" w:color="000000" w:sz="4" w:space="0"/>
              <w:left w:val="nil"/>
              <w:bottom w:val="single" w:color="000000" w:sz="4" w:space="0"/>
              <w:right w:val="single" w:color="000000" w:sz="4" w:space="0"/>
            </w:tcBorders>
            <w:shd w:val="clear" w:color="auto" w:fill="FFFFFF"/>
          </w:tcPr>
          <w:p w14:paraId="2BA559B0">
            <w:pPr>
              <w:pStyle w:val="178"/>
              <w:rPr>
                <w:rFonts w:hAnsi="宋体"/>
              </w:rPr>
            </w:pPr>
            <w:r>
              <w:rPr>
                <w:rFonts w:hint="eastAsia" w:hAnsi="宋体"/>
              </w:rPr>
              <w:t>1.20</w:t>
            </w:r>
            <w:r>
              <w:rPr>
                <w:rFonts w:ascii="Times New Roman"/>
              </w:rPr>
              <w:t>~</w:t>
            </w:r>
            <w:r>
              <w:rPr>
                <w:rFonts w:hint="eastAsia" w:hAnsi="宋体"/>
              </w:rPr>
              <w:t>1.50（狭窄谷口取上限，开阔山口取下限）</w:t>
            </w:r>
          </w:p>
        </w:tc>
        <w:tc>
          <w:tcPr>
            <w:tcW w:w="2681" w:type="dxa"/>
            <w:tcBorders>
              <w:top w:val="single" w:color="000000" w:sz="4" w:space="0"/>
              <w:left w:val="nil"/>
              <w:bottom w:val="single" w:color="000000" w:sz="4" w:space="0"/>
              <w:right w:val="single" w:color="000000" w:sz="4" w:space="0"/>
            </w:tcBorders>
            <w:shd w:val="clear" w:color="auto" w:fill="FFFFFF"/>
          </w:tcPr>
          <w:p w14:paraId="73D5420C">
            <w:pPr>
              <w:pStyle w:val="178"/>
              <w:rPr>
                <w:rFonts w:hAnsi="宋体"/>
              </w:rPr>
            </w:pPr>
            <w:r>
              <w:rPr>
                <w:rFonts w:hint="eastAsia" w:hAnsi="宋体"/>
              </w:rPr>
              <w:t>狭管效应明显，主导风向与谷口走向一致</w:t>
            </w:r>
          </w:p>
        </w:tc>
      </w:tr>
      <w:tr w14:paraId="378BA68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88" w:type="dxa"/>
            <w:vMerge w:val="restart"/>
            <w:tcBorders>
              <w:top w:val="nil"/>
              <w:left w:val="single" w:color="000000" w:sz="4" w:space="0"/>
              <w:bottom w:val="single" w:color="000000" w:sz="4" w:space="0"/>
              <w:right w:val="single" w:color="000000" w:sz="4" w:space="0"/>
            </w:tcBorders>
            <w:shd w:val="clear" w:color="auto" w:fill="FFFFFF"/>
          </w:tcPr>
          <w:p w14:paraId="0F010128">
            <w:pPr>
              <w:jc w:val="center"/>
              <w:rPr>
                <w:rFonts w:ascii="宋体" w:hAnsi="宋体"/>
                <w:sz w:val="18"/>
                <w:szCs w:val="18"/>
              </w:rPr>
            </w:pPr>
          </w:p>
          <w:p w14:paraId="210B0B98">
            <w:pPr>
              <w:jc w:val="center"/>
              <w:rPr>
                <w:rFonts w:ascii="宋体" w:hAnsi="宋体"/>
                <w:sz w:val="18"/>
                <w:szCs w:val="18"/>
              </w:rPr>
            </w:pPr>
            <w:r>
              <w:rPr>
                <w:rFonts w:hint="eastAsia" w:ascii="宋体" w:hAnsi="宋体"/>
                <w:sz w:val="18"/>
                <w:szCs w:val="18"/>
              </w:rPr>
              <w:t>远海/海岛地形</w:t>
            </w:r>
          </w:p>
          <w:p w14:paraId="3D6504CE">
            <w:pPr>
              <w:jc w:val="center"/>
              <w:rPr>
                <w:rFonts w:ascii="宋体" w:hAnsi="宋体"/>
                <w:sz w:val="18"/>
                <w:szCs w:val="18"/>
              </w:rPr>
            </w:pPr>
          </w:p>
        </w:tc>
        <w:tc>
          <w:tcPr>
            <w:tcW w:w="2126" w:type="dxa"/>
            <w:tcBorders>
              <w:top w:val="single" w:color="000000" w:sz="4" w:space="0"/>
              <w:left w:val="nil"/>
              <w:bottom w:val="single" w:color="000000" w:sz="4" w:space="0"/>
              <w:right w:val="single" w:color="000000" w:sz="4" w:space="0"/>
            </w:tcBorders>
            <w:shd w:val="clear" w:color="auto" w:fill="FFFFFF"/>
          </w:tcPr>
          <w:p w14:paraId="65EE909A">
            <w:pPr>
              <w:jc w:val="center"/>
              <w:rPr>
                <w:rFonts w:ascii="宋体" w:hAnsi="宋体"/>
                <w:sz w:val="18"/>
                <w:szCs w:val="18"/>
              </w:rPr>
            </w:pPr>
            <w:r>
              <w:rPr>
                <w:rFonts w:hint="eastAsia" w:ascii="宋体" w:hAnsi="宋体"/>
                <w:sz w:val="18"/>
                <w:szCs w:val="18"/>
              </w:rPr>
              <w:t>近海/近岸海岛（距海岸d＜40km）</w:t>
            </w:r>
          </w:p>
        </w:tc>
        <w:tc>
          <w:tcPr>
            <w:tcW w:w="3539" w:type="dxa"/>
            <w:tcBorders>
              <w:top w:val="single" w:color="000000" w:sz="4" w:space="0"/>
              <w:left w:val="nil"/>
              <w:bottom w:val="single" w:color="000000" w:sz="4" w:space="0"/>
              <w:right w:val="single" w:color="000000" w:sz="4" w:space="0"/>
            </w:tcBorders>
            <w:shd w:val="clear" w:color="auto" w:fill="FFFFFF"/>
          </w:tcPr>
          <w:p w14:paraId="6E075922">
            <w:pPr>
              <w:jc w:val="center"/>
              <w:rPr>
                <w:rFonts w:ascii="宋体" w:hAnsi="宋体"/>
                <w:sz w:val="18"/>
                <w:szCs w:val="18"/>
              </w:rPr>
            </w:pPr>
            <w:r>
              <w:rPr>
                <w:rFonts w:hint="eastAsia" w:ascii="宋体" w:hAnsi="宋体"/>
                <w:sz w:val="18"/>
                <w:szCs w:val="18"/>
              </w:rPr>
              <w:t>1.0</w:t>
            </w:r>
          </w:p>
        </w:tc>
        <w:tc>
          <w:tcPr>
            <w:tcW w:w="2681" w:type="dxa"/>
            <w:tcBorders>
              <w:top w:val="single" w:color="000000" w:sz="4" w:space="0"/>
              <w:left w:val="nil"/>
              <w:bottom w:val="single" w:color="000000" w:sz="4" w:space="0"/>
              <w:right w:val="single" w:color="000000" w:sz="4" w:space="0"/>
            </w:tcBorders>
            <w:shd w:val="clear" w:color="auto" w:fill="FFFFFF"/>
          </w:tcPr>
          <w:p w14:paraId="7555A262">
            <w:pPr>
              <w:jc w:val="center"/>
              <w:rPr>
                <w:rFonts w:ascii="宋体" w:hAnsi="宋体"/>
                <w:sz w:val="18"/>
                <w:szCs w:val="18"/>
              </w:rPr>
            </w:pPr>
            <w:r>
              <w:rPr>
                <w:rFonts w:hint="eastAsia" w:ascii="宋体" w:hAnsi="宋体"/>
                <w:sz w:val="18"/>
                <w:szCs w:val="18"/>
              </w:rPr>
              <w:t>风速与海岸区域一致，无额外增幅；含A类粗糙度基准场景</w:t>
            </w:r>
          </w:p>
        </w:tc>
      </w:tr>
      <w:tr w14:paraId="526D553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0" w:type="auto"/>
            <w:vMerge w:val="continue"/>
            <w:tcBorders>
              <w:top w:val="nil"/>
              <w:left w:val="single" w:color="000000" w:sz="4" w:space="0"/>
              <w:bottom w:val="single" w:color="000000" w:sz="4" w:space="0"/>
              <w:right w:val="single" w:color="000000" w:sz="4" w:space="0"/>
            </w:tcBorders>
            <w:vAlign w:val="center"/>
          </w:tcPr>
          <w:p w14:paraId="67CFEF91">
            <w:pPr>
              <w:widowControl/>
              <w:adjustRightInd/>
              <w:spacing w:line="240" w:lineRule="auto"/>
              <w:jc w:val="left"/>
              <w:rPr>
                <w:rFonts w:ascii="宋体" w:hAnsi="宋体"/>
                <w:sz w:val="18"/>
                <w:szCs w:val="18"/>
              </w:rPr>
            </w:pPr>
          </w:p>
        </w:tc>
        <w:tc>
          <w:tcPr>
            <w:tcW w:w="2126" w:type="dxa"/>
            <w:tcBorders>
              <w:top w:val="single" w:color="000000" w:sz="4" w:space="0"/>
              <w:left w:val="nil"/>
              <w:bottom w:val="single" w:color="000000" w:sz="4" w:space="0"/>
              <w:right w:val="single" w:color="000000" w:sz="4" w:space="0"/>
            </w:tcBorders>
            <w:shd w:val="clear" w:color="auto" w:fill="FFFFFF"/>
          </w:tcPr>
          <w:p w14:paraId="713BB340">
            <w:pPr>
              <w:pStyle w:val="178"/>
              <w:rPr>
                <w:rFonts w:hAnsi="宋体"/>
                <w:szCs w:val="18"/>
              </w:rPr>
            </w:pPr>
            <w:r>
              <w:rPr>
                <w:rFonts w:hint="eastAsia" w:hAnsi="宋体"/>
              </w:rPr>
              <w:t>远海过渡区（40km≤d≤60km）</w:t>
            </w:r>
          </w:p>
        </w:tc>
        <w:tc>
          <w:tcPr>
            <w:tcW w:w="3539" w:type="dxa"/>
            <w:tcBorders>
              <w:top w:val="single" w:color="000000" w:sz="4" w:space="0"/>
              <w:left w:val="nil"/>
              <w:bottom w:val="single" w:color="000000" w:sz="4" w:space="0"/>
              <w:right w:val="single" w:color="000000" w:sz="4" w:space="0"/>
            </w:tcBorders>
            <w:shd w:val="clear" w:color="auto" w:fill="FFFFFF"/>
          </w:tcPr>
          <w:p w14:paraId="65FAD114">
            <w:pPr>
              <w:pStyle w:val="178"/>
              <w:rPr>
                <w:rFonts w:hAnsi="宋体"/>
              </w:rPr>
            </w:pPr>
            <w:r>
              <w:rPr>
                <w:rFonts w:hint="eastAsia" w:hAnsi="宋体"/>
              </w:rPr>
              <w:t>1.0</w:t>
            </w:r>
            <w:r>
              <w:rPr>
                <w:rFonts w:ascii="Times New Roman"/>
              </w:rPr>
              <w:t>~</w:t>
            </w:r>
            <w:r>
              <w:rPr>
                <w:rFonts w:hint="eastAsia" w:hAnsi="宋体"/>
              </w:rPr>
              <w:t>1.1（线性插值，距海岸越远取值越大）</w:t>
            </w:r>
          </w:p>
        </w:tc>
        <w:tc>
          <w:tcPr>
            <w:tcW w:w="2681" w:type="dxa"/>
            <w:tcBorders>
              <w:top w:val="single" w:color="000000" w:sz="4" w:space="0"/>
              <w:left w:val="nil"/>
              <w:bottom w:val="single" w:color="000000" w:sz="4" w:space="0"/>
              <w:right w:val="single" w:color="000000" w:sz="4" w:space="0"/>
            </w:tcBorders>
            <w:shd w:val="clear" w:color="auto" w:fill="FFFFFF"/>
          </w:tcPr>
          <w:p w14:paraId="43517556">
            <w:pPr>
              <w:pStyle w:val="178"/>
              <w:rPr>
                <w:rFonts w:hAnsi="宋体"/>
              </w:rPr>
            </w:pPr>
            <w:r>
              <w:rPr>
                <w:rFonts w:hint="eastAsia" w:hAnsi="宋体"/>
              </w:rPr>
              <w:t>风速随离岸距离小幅增大</w:t>
            </w:r>
          </w:p>
        </w:tc>
      </w:tr>
      <w:tr w14:paraId="323AB2B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0" w:type="auto"/>
            <w:vMerge w:val="continue"/>
            <w:tcBorders>
              <w:top w:val="nil"/>
              <w:left w:val="single" w:color="000000" w:sz="4" w:space="0"/>
              <w:bottom w:val="single" w:color="000000" w:sz="4" w:space="0"/>
              <w:right w:val="single" w:color="000000" w:sz="4" w:space="0"/>
            </w:tcBorders>
            <w:vAlign w:val="center"/>
          </w:tcPr>
          <w:p w14:paraId="6D1AB103">
            <w:pPr>
              <w:widowControl/>
              <w:adjustRightInd/>
              <w:spacing w:line="240" w:lineRule="auto"/>
              <w:jc w:val="left"/>
              <w:rPr>
                <w:rFonts w:ascii="宋体" w:hAnsi="宋体"/>
                <w:sz w:val="18"/>
                <w:szCs w:val="18"/>
              </w:rPr>
            </w:pPr>
          </w:p>
        </w:tc>
        <w:tc>
          <w:tcPr>
            <w:tcW w:w="2126" w:type="dxa"/>
            <w:tcBorders>
              <w:top w:val="single" w:color="000000" w:sz="4" w:space="0"/>
              <w:left w:val="nil"/>
              <w:bottom w:val="single" w:color="000000" w:sz="4" w:space="0"/>
              <w:right w:val="single" w:color="000000" w:sz="4" w:space="0"/>
            </w:tcBorders>
            <w:shd w:val="clear" w:color="auto" w:fill="FFFFFF"/>
          </w:tcPr>
          <w:p w14:paraId="0F1BB9F9">
            <w:pPr>
              <w:pStyle w:val="178"/>
              <w:rPr>
                <w:rFonts w:hAnsi="宋体"/>
              </w:rPr>
            </w:pPr>
            <w:r>
              <w:rPr>
                <w:rFonts w:hint="eastAsia" w:hAnsi="宋体"/>
              </w:rPr>
              <w:t>远海区域（60km＜d≤100km）</w:t>
            </w:r>
          </w:p>
        </w:tc>
        <w:tc>
          <w:tcPr>
            <w:tcW w:w="3539" w:type="dxa"/>
            <w:tcBorders>
              <w:top w:val="single" w:color="000000" w:sz="4" w:space="0"/>
              <w:left w:val="nil"/>
              <w:bottom w:val="single" w:color="000000" w:sz="4" w:space="0"/>
              <w:right w:val="single" w:color="000000" w:sz="4" w:space="0"/>
            </w:tcBorders>
            <w:shd w:val="clear" w:color="auto" w:fill="FFFFFF"/>
          </w:tcPr>
          <w:p w14:paraId="35704148">
            <w:pPr>
              <w:pStyle w:val="178"/>
              <w:rPr>
                <w:rFonts w:hAnsi="宋体"/>
              </w:rPr>
            </w:pPr>
            <w:r>
              <w:rPr>
                <w:rFonts w:hint="eastAsia" w:hAnsi="宋体"/>
              </w:rPr>
              <w:t>1.1</w:t>
            </w:r>
            <w:r>
              <w:rPr>
                <w:rFonts w:ascii="Times New Roman"/>
              </w:rPr>
              <w:t>~</w:t>
            </w:r>
            <w:r>
              <w:rPr>
                <w:rFonts w:hint="eastAsia" w:hAnsi="宋体"/>
              </w:rPr>
              <w:t>1.2（线性插值，距海岸越远取值越大）</w:t>
            </w:r>
          </w:p>
        </w:tc>
        <w:tc>
          <w:tcPr>
            <w:tcW w:w="2681" w:type="dxa"/>
            <w:tcBorders>
              <w:top w:val="single" w:color="000000" w:sz="4" w:space="0"/>
              <w:left w:val="nil"/>
              <w:bottom w:val="single" w:color="000000" w:sz="4" w:space="0"/>
              <w:right w:val="single" w:color="000000" w:sz="4" w:space="0"/>
            </w:tcBorders>
            <w:shd w:val="clear" w:color="auto" w:fill="FFFFFF"/>
          </w:tcPr>
          <w:p w14:paraId="4747F7EF">
            <w:pPr>
              <w:pStyle w:val="178"/>
              <w:rPr>
                <w:rFonts w:hAnsi="宋体"/>
              </w:rPr>
            </w:pPr>
            <w:r>
              <w:rPr>
                <w:rFonts w:hint="eastAsia" w:hAnsi="宋体"/>
              </w:rPr>
              <w:t>风速显著增大，台风影响更明显</w:t>
            </w:r>
          </w:p>
        </w:tc>
      </w:tr>
    </w:tbl>
    <w:p w14:paraId="5ADE202E">
      <w:pPr>
        <w:pStyle w:val="162"/>
        <w:numPr>
          <w:ilvl w:val="0"/>
          <w:numId w:val="0"/>
        </w:numPr>
      </w:pPr>
    </w:p>
    <w:p w14:paraId="5696E132">
      <w:pPr>
        <w:pStyle w:val="162"/>
        <w:adjustRightInd w:val="0"/>
        <w:snapToGrid w:val="0"/>
        <w:spacing w:line="360" w:lineRule="auto"/>
      </w:pPr>
      <w:r>
        <w:rPr>
          <w:rFonts w:hint="eastAsia"/>
        </w:rPr>
        <w:t>构支架选型应合理，以减小风阻，细长圆形截面构支架宜考虑横风向风振影响，横风向风振的等效风荷载计算应符合GB50009的有关规定。</w:t>
      </w:r>
    </w:p>
    <w:p w14:paraId="1DB0C983">
      <w:pPr>
        <w:pStyle w:val="162"/>
        <w:adjustRightInd w:val="0"/>
        <w:snapToGrid w:val="0"/>
        <w:spacing w:line="360" w:lineRule="auto"/>
      </w:pPr>
      <w:r>
        <w:rPr>
          <w:rFonts w:hint="eastAsia" w:hAnsi="宋体"/>
        </w:rPr>
        <w:t>风振系数</w:t>
      </w:r>
      <w:r>
        <w:rPr>
          <w:rFonts w:hint="eastAsia"/>
        </w:rPr>
        <w:t>β</w:t>
      </w:r>
      <w:r>
        <w:rPr>
          <w:rFonts w:hint="eastAsia"/>
          <w:vertAlign w:val="subscript"/>
        </w:rPr>
        <w:t>z</w:t>
      </w:r>
      <w:r>
        <w:rPr>
          <w:rFonts w:hint="eastAsia"/>
        </w:rPr>
        <w:t>应按GB50009的有关规定计算确定，构支架风振系数不宜小于表3中的取值要求。</w:t>
      </w:r>
    </w:p>
    <w:p w14:paraId="63B381EC">
      <w:pPr>
        <w:pStyle w:val="112"/>
        <w:numPr>
          <w:ilvl w:val="0"/>
          <w:numId w:val="33"/>
        </w:numPr>
        <w:tabs>
          <w:tab w:val="clear" w:pos="0"/>
        </w:tabs>
        <w:spacing w:before="120" w:after="120"/>
        <w:rPr>
          <w:szCs w:val="21"/>
        </w:rPr>
      </w:pPr>
      <w:r>
        <w:rPr>
          <w:rFonts w:hint="eastAsia" w:hAnsi="黑体"/>
        </w:rPr>
        <w:t>构支架风振系数建议值</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114"/>
        <w:gridCol w:w="3112"/>
        <w:gridCol w:w="1555"/>
      </w:tblGrid>
      <w:tr w14:paraId="3110A66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14" w:type="dxa"/>
            <w:tcBorders>
              <w:top w:val="single" w:color="auto" w:sz="8" w:space="0"/>
              <w:left w:val="single" w:color="auto" w:sz="8" w:space="0"/>
              <w:bottom w:val="single" w:color="auto" w:sz="8" w:space="0"/>
              <w:right w:val="single" w:color="auto" w:sz="4" w:space="0"/>
            </w:tcBorders>
          </w:tcPr>
          <w:p w14:paraId="53E4ABFC">
            <w:pPr>
              <w:jc w:val="center"/>
              <w:rPr>
                <w:rFonts w:ascii="宋体" w:hAnsi="宋体"/>
                <w:sz w:val="18"/>
                <w:szCs w:val="18"/>
              </w:rPr>
            </w:pPr>
            <w:r>
              <w:rPr>
                <w:rFonts w:hint="eastAsia" w:ascii="宋体" w:hAnsi="宋体"/>
                <w:sz w:val="18"/>
                <w:szCs w:val="18"/>
              </w:rPr>
              <w:t>项次</w:t>
            </w:r>
          </w:p>
        </w:tc>
        <w:tc>
          <w:tcPr>
            <w:tcW w:w="3112" w:type="dxa"/>
            <w:tcBorders>
              <w:top w:val="single" w:color="auto" w:sz="8" w:space="0"/>
              <w:left w:val="single" w:color="auto" w:sz="4" w:space="0"/>
              <w:bottom w:val="single" w:color="auto" w:sz="8" w:space="0"/>
              <w:right w:val="single" w:color="auto" w:sz="4" w:space="0"/>
            </w:tcBorders>
          </w:tcPr>
          <w:p w14:paraId="7EB37B7A">
            <w:pPr>
              <w:jc w:val="center"/>
              <w:rPr>
                <w:rFonts w:ascii="宋体" w:hAnsi="宋体"/>
                <w:sz w:val="18"/>
                <w:szCs w:val="18"/>
              </w:rPr>
            </w:pPr>
            <w:r>
              <w:rPr>
                <w:rFonts w:hint="eastAsia" w:ascii="宋体" w:hAnsi="宋体"/>
                <w:sz w:val="18"/>
                <w:szCs w:val="18"/>
              </w:rPr>
              <w:t>结构类别</w:t>
            </w:r>
          </w:p>
        </w:tc>
        <w:tc>
          <w:tcPr>
            <w:tcW w:w="1555" w:type="dxa"/>
            <w:tcBorders>
              <w:top w:val="single" w:color="auto" w:sz="8" w:space="0"/>
              <w:left w:val="single" w:color="auto" w:sz="4" w:space="0"/>
              <w:bottom w:val="single" w:color="auto" w:sz="8" w:space="0"/>
              <w:right w:val="single" w:color="auto" w:sz="8" w:space="0"/>
            </w:tcBorders>
          </w:tcPr>
          <w:p w14:paraId="4513E7DD">
            <w:pPr>
              <w:jc w:val="center"/>
              <w:rPr>
                <w:rFonts w:ascii="宋体" w:hAnsi="宋体"/>
                <w:sz w:val="18"/>
                <w:szCs w:val="18"/>
              </w:rPr>
            </w:pPr>
            <w:r>
              <w:rPr>
                <w:rFonts w:hint="eastAsia" w:ascii="宋体" w:hAnsi="宋体"/>
                <w:sz w:val="18"/>
                <w:szCs w:val="18"/>
              </w:rPr>
              <w:t>风振系数</w:t>
            </w:r>
          </w:p>
        </w:tc>
      </w:tr>
      <w:tr w14:paraId="210C472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14" w:type="dxa"/>
            <w:tcBorders>
              <w:top w:val="single" w:color="auto" w:sz="8" w:space="0"/>
              <w:left w:val="single" w:color="auto" w:sz="8" w:space="0"/>
              <w:bottom w:val="single" w:color="auto" w:sz="4" w:space="0"/>
              <w:right w:val="single" w:color="auto" w:sz="4" w:space="0"/>
            </w:tcBorders>
          </w:tcPr>
          <w:p w14:paraId="0252466B">
            <w:pPr>
              <w:jc w:val="center"/>
              <w:rPr>
                <w:rFonts w:ascii="宋体" w:hAnsi="宋体"/>
                <w:sz w:val="18"/>
                <w:szCs w:val="18"/>
              </w:rPr>
            </w:pPr>
            <w:r>
              <w:rPr>
                <w:rFonts w:hint="eastAsia" w:ascii="宋体" w:hAnsi="宋体"/>
                <w:sz w:val="18"/>
                <w:szCs w:val="18"/>
              </w:rPr>
              <w:t>1</w:t>
            </w:r>
          </w:p>
        </w:tc>
        <w:tc>
          <w:tcPr>
            <w:tcW w:w="3112" w:type="dxa"/>
            <w:tcBorders>
              <w:top w:val="single" w:color="auto" w:sz="8" w:space="0"/>
              <w:left w:val="single" w:color="auto" w:sz="4" w:space="0"/>
              <w:bottom w:val="single" w:color="auto" w:sz="4" w:space="0"/>
              <w:right w:val="single" w:color="auto" w:sz="4" w:space="0"/>
            </w:tcBorders>
          </w:tcPr>
          <w:p w14:paraId="67D3EFD2">
            <w:pPr>
              <w:jc w:val="center"/>
              <w:rPr>
                <w:rFonts w:ascii="宋体" w:hAnsi="宋体"/>
                <w:sz w:val="18"/>
                <w:szCs w:val="18"/>
              </w:rPr>
            </w:pPr>
            <w:r>
              <w:rPr>
                <w:rFonts w:hint="eastAsia" w:ascii="宋体" w:hAnsi="宋体"/>
                <w:sz w:val="18"/>
                <w:szCs w:val="18"/>
              </w:rPr>
              <w:t>带端撑人字柱门型构架</w:t>
            </w:r>
          </w:p>
        </w:tc>
        <w:tc>
          <w:tcPr>
            <w:tcW w:w="1555" w:type="dxa"/>
            <w:tcBorders>
              <w:top w:val="single" w:color="auto" w:sz="8" w:space="0"/>
              <w:left w:val="single" w:color="auto" w:sz="4" w:space="0"/>
              <w:bottom w:val="single" w:color="auto" w:sz="4" w:space="0"/>
              <w:right w:val="single" w:color="auto" w:sz="8" w:space="0"/>
            </w:tcBorders>
          </w:tcPr>
          <w:p w14:paraId="3A02AC90">
            <w:pPr>
              <w:jc w:val="center"/>
              <w:rPr>
                <w:rFonts w:ascii="宋体" w:hAnsi="宋体"/>
                <w:sz w:val="18"/>
                <w:szCs w:val="18"/>
              </w:rPr>
            </w:pPr>
            <w:r>
              <w:rPr>
                <w:rFonts w:hint="eastAsia" w:ascii="宋体" w:hAnsi="宋体"/>
                <w:sz w:val="18"/>
                <w:szCs w:val="18"/>
              </w:rPr>
              <w:t>1.2</w:t>
            </w:r>
          </w:p>
        </w:tc>
      </w:tr>
      <w:tr w14:paraId="2415F6C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14" w:type="dxa"/>
            <w:tcBorders>
              <w:top w:val="single" w:color="auto" w:sz="4" w:space="0"/>
              <w:left w:val="single" w:color="auto" w:sz="8" w:space="0"/>
              <w:bottom w:val="single" w:color="auto" w:sz="4" w:space="0"/>
              <w:right w:val="single" w:color="auto" w:sz="4" w:space="0"/>
            </w:tcBorders>
          </w:tcPr>
          <w:p w14:paraId="18AA0C6E">
            <w:pPr>
              <w:jc w:val="center"/>
              <w:rPr>
                <w:rFonts w:ascii="宋体" w:hAnsi="宋体"/>
                <w:sz w:val="18"/>
                <w:szCs w:val="18"/>
              </w:rPr>
            </w:pPr>
            <w:r>
              <w:rPr>
                <w:rFonts w:hint="eastAsia" w:ascii="宋体" w:hAnsi="宋体"/>
                <w:sz w:val="18"/>
                <w:szCs w:val="18"/>
              </w:rPr>
              <w:t>2</w:t>
            </w:r>
          </w:p>
        </w:tc>
        <w:tc>
          <w:tcPr>
            <w:tcW w:w="3112" w:type="dxa"/>
            <w:tcBorders>
              <w:top w:val="single" w:color="auto" w:sz="4" w:space="0"/>
              <w:left w:val="single" w:color="auto" w:sz="4" w:space="0"/>
              <w:bottom w:val="single" w:color="auto" w:sz="4" w:space="0"/>
              <w:right w:val="single" w:color="auto" w:sz="4" w:space="0"/>
            </w:tcBorders>
          </w:tcPr>
          <w:p w14:paraId="72156FE3">
            <w:pPr>
              <w:jc w:val="center"/>
              <w:rPr>
                <w:rFonts w:ascii="宋体" w:hAnsi="宋体"/>
                <w:sz w:val="18"/>
                <w:szCs w:val="18"/>
              </w:rPr>
            </w:pPr>
            <w:r>
              <w:rPr>
                <w:rFonts w:hint="eastAsia" w:ascii="宋体" w:hAnsi="宋体"/>
                <w:sz w:val="18"/>
                <w:szCs w:val="18"/>
              </w:rPr>
              <w:t>人字柱结构</w:t>
            </w:r>
          </w:p>
        </w:tc>
        <w:tc>
          <w:tcPr>
            <w:tcW w:w="1555" w:type="dxa"/>
            <w:tcBorders>
              <w:top w:val="single" w:color="auto" w:sz="4" w:space="0"/>
              <w:left w:val="single" w:color="auto" w:sz="4" w:space="0"/>
              <w:bottom w:val="single" w:color="auto" w:sz="4" w:space="0"/>
              <w:right w:val="single" w:color="auto" w:sz="8" w:space="0"/>
            </w:tcBorders>
          </w:tcPr>
          <w:p w14:paraId="23B3B498">
            <w:pPr>
              <w:jc w:val="center"/>
              <w:rPr>
                <w:rFonts w:ascii="宋体" w:hAnsi="宋体"/>
                <w:sz w:val="18"/>
                <w:szCs w:val="18"/>
              </w:rPr>
            </w:pPr>
            <w:r>
              <w:rPr>
                <w:rFonts w:hint="eastAsia" w:ascii="宋体" w:hAnsi="宋体"/>
                <w:sz w:val="18"/>
                <w:szCs w:val="18"/>
              </w:rPr>
              <w:t>1.3</w:t>
            </w:r>
          </w:p>
        </w:tc>
      </w:tr>
      <w:tr w14:paraId="384AD18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14" w:type="dxa"/>
            <w:tcBorders>
              <w:top w:val="single" w:color="auto" w:sz="4" w:space="0"/>
              <w:left w:val="single" w:color="auto" w:sz="8" w:space="0"/>
              <w:bottom w:val="single" w:color="auto" w:sz="4" w:space="0"/>
              <w:right w:val="single" w:color="auto" w:sz="4" w:space="0"/>
            </w:tcBorders>
          </w:tcPr>
          <w:p w14:paraId="5E161D1D">
            <w:pPr>
              <w:jc w:val="center"/>
              <w:rPr>
                <w:rFonts w:ascii="宋体" w:hAnsi="宋体"/>
                <w:sz w:val="18"/>
                <w:szCs w:val="18"/>
              </w:rPr>
            </w:pPr>
            <w:r>
              <w:rPr>
                <w:rFonts w:hint="eastAsia" w:ascii="宋体" w:hAnsi="宋体"/>
                <w:sz w:val="18"/>
                <w:szCs w:val="18"/>
              </w:rPr>
              <w:t>3</w:t>
            </w:r>
          </w:p>
        </w:tc>
        <w:tc>
          <w:tcPr>
            <w:tcW w:w="3112" w:type="dxa"/>
            <w:tcBorders>
              <w:top w:val="single" w:color="auto" w:sz="4" w:space="0"/>
              <w:left w:val="single" w:color="auto" w:sz="4" w:space="0"/>
              <w:bottom w:val="single" w:color="auto" w:sz="4" w:space="0"/>
              <w:right w:val="single" w:color="auto" w:sz="4" w:space="0"/>
            </w:tcBorders>
          </w:tcPr>
          <w:p w14:paraId="1C4FE03D">
            <w:pPr>
              <w:jc w:val="center"/>
              <w:rPr>
                <w:rFonts w:ascii="宋体" w:hAnsi="宋体"/>
                <w:sz w:val="18"/>
                <w:szCs w:val="18"/>
              </w:rPr>
            </w:pPr>
            <w:r>
              <w:rPr>
                <w:rFonts w:hint="eastAsia" w:ascii="宋体" w:hAnsi="宋体"/>
                <w:sz w:val="18"/>
                <w:szCs w:val="18"/>
              </w:rPr>
              <w:t>独立门型构架（单杆悬臂柱结构）</w:t>
            </w:r>
          </w:p>
        </w:tc>
        <w:tc>
          <w:tcPr>
            <w:tcW w:w="1555" w:type="dxa"/>
            <w:tcBorders>
              <w:top w:val="single" w:color="auto" w:sz="4" w:space="0"/>
              <w:left w:val="single" w:color="auto" w:sz="4" w:space="0"/>
              <w:bottom w:val="single" w:color="auto" w:sz="4" w:space="0"/>
              <w:right w:val="single" w:color="auto" w:sz="8" w:space="0"/>
            </w:tcBorders>
          </w:tcPr>
          <w:p w14:paraId="1E67B096">
            <w:pPr>
              <w:jc w:val="center"/>
              <w:rPr>
                <w:rFonts w:ascii="宋体" w:hAnsi="宋体"/>
                <w:sz w:val="18"/>
                <w:szCs w:val="18"/>
              </w:rPr>
            </w:pPr>
            <w:r>
              <w:rPr>
                <w:rFonts w:hint="eastAsia" w:ascii="宋体" w:hAnsi="宋体"/>
                <w:sz w:val="18"/>
                <w:szCs w:val="18"/>
              </w:rPr>
              <w:t>1.7</w:t>
            </w:r>
          </w:p>
        </w:tc>
      </w:tr>
      <w:tr w14:paraId="6E063F3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14" w:type="dxa"/>
            <w:tcBorders>
              <w:top w:val="single" w:color="auto" w:sz="4" w:space="0"/>
              <w:left w:val="single" w:color="auto" w:sz="8" w:space="0"/>
              <w:bottom w:val="single" w:color="auto" w:sz="4" w:space="0"/>
              <w:right w:val="single" w:color="auto" w:sz="4" w:space="0"/>
            </w:tcBorders>
          </w:tcPr>
          <w:p w14:paraId="43C5D967">
            <w:pPr>
              <w:jc w:val="center"/>
              <w:rPr>
                <w:rFonts w:ascii="宋体" w:hAnsi="宋体"/>
                <w:sz w:val="18"/>
                <w:szCs w:val="18"/>
              </w:rPr>
            </w:pPr>
            <w:r>
              <w:rPr>
                <w:rFonts w:hint="eastAsia" w:ascii="宋体" w:hAnsi="宋体"/>
                <w:sz w:val="18"/>
                <w:szCs w:val="18"/>
              </w:rPr>
              <w:t>4</w:t>
            </w:r>
          </w:p>
        </w:tc>
        <w:tc>
          <w:tcPr>
            <w:tcW w:w="3112" w:type="dxa"/>
            <w:tcBorders>
              <w:top w:val="single" w:color="auto" w:sz="4" w:space="0"/>
              <w:left w:val="single" w:color="auto" w:sz="4" w:space="0"/>
              <w:bottom w:val="single" w:color="auto" w:sz="4" w:space="0"/>
              <w:right w:val="single" w:color="auto" w:sz="4" w:space="0"/>
            </w:tcBorders>
          </w:tcPr>
          <w:p w14:paraId="08F3D526">
            <w:pPr>
              <w:jc w:val="center"/>
              <w:rPr>
                <w:rFonts w:ascii="宋体" w:hAnsi="宋体"/>
                <w:sz w:val="18"/>
                <w:szCs w:val="18"/>
              </w:rPr>
            </w:pPr>
            <w:r>
              <w:rPr>
                <w:rFonts w:hint="eastAsia" w:ascii="宋体" w:hAnsi="宋体"/>
                <w:sz w:val="18"/>
                <w:szCs w:val="18"/>
              </w:rPr>
              <w:t>设备支架</w:t>
            </w:r>
          </w:p>
        </w:tc>
        <w:tc>
          <w:tcPr>
            <w:tcW w:w="1555" w:type="dxa"/>
            <w:tcBorders>
              <w:top w:val="single" w:color="auto" w:sz="4" w:space="0"/>
              <w:left w:val="single" w:color="auto" w:sz="4" w:space="0"/>
              <w:bottom w:val="single" w:color="auto" w:sz="4" w:space="0"/>
              <w:right w:val="single" w:color="auto" w:sz="8" w:space="0"/>
            </w:tcBorders>
          </w:tcPr>
          <w:p w14:paraId="23FCC5C9">
            <w:pPr>
              <w:jc w:val="center"/>
              <w:rPr>
                <w:rFonts w:ascii="宋体" w:hAnsi="宋体"/>
                <w:sz w:val="18"/>
                <w:szCs w:val="18"/>
              </w:rPr>
            </w:pPr>
            <w:r>
              <w:rPr>
                <w:rFonts w:hint="eastAsia" w:ascii="宋体" w:hAnsi="宋体"/>
                <w:sz w:val="18"/>
                <w:szCs w:val="18"/>
              </w:rPr>
              <w:t>1.7</w:t>
            </w:r>
          </w:p>
        </w:tc>
      </w:tr>
      <w:tr w14:paraId="4A96360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14" w:type="dxa"/>
            <w:tcBorders>
              <w:top w:val="single" w:color="auto" w:sz="4" w:space="0"/>
              <w:left w:val="single" w:color="auto" w:sz="8" w:space="0"/>
              <w:bottom w:val="single" w:color="auto" w:sz="4" w:space="0"/>
              <w:right w:val="single" w:color="auto" w:sz="4" w:space="0"/>
            </w:tcBorders>
          </w:tcPr>
          <w:p w14:paraId="1746986E">
            <w:pPr>
              <w:jc w:val="center"/>
              <w:rPr>
                <w:rFonts w:ascii="宋体" w:hAnsi="宋体"/>
                <w:sz w:val="18"/>
                <w:szCs w:val="18"/>
              </w:rPr>
            </w:pPr>
            <w:r>
              <w:rPr>
                <w:rFonts w:hint="eastAsia" w:ascii="宋体" w:hAnsi="宋体"/>
                <w:sz w:val="18"/>
                <w:szCs w:val="18"/>
              </w:rPr>
              <w:t>5</w:t>
            </w:r>
          </w:p>
        </w:tc>
        <w:tc>
          <w:tcPr>
            <w:tcW w:w="3112" w:type="dxa"/>
            <w:tcBorders>
              <w:top w:val="single" w:color="auto" w:sz="4" w:space="0"/>
              <w:left w:val="single" w:color="auto" w:sz="4" w:space="0"/>
              <w:bottom w:val="single" w:color="auto" w:sz="4" w:space="0"/>
              <w:right w:val="single" w:color="auto" w:sz="4" w:space="0"/>
            </w:tcBorders>
          </w:tcPr>
          <w:p w14:paraId="5FC687D7">
            <w:pPr>
              <w:jc w:val="center"/>
              <w:rPr>
                <w:rFonts w:ascii="宋体" w:hAnsi="宋体"/>
                <w:sz w:val="18"/>
                <w:szCs w:val="18"/>
              </w:rPr>
            </w:pPr>
            <w:r>
              <w:rPr>
                <w:rFonts w:hint="eastAsia" w:ascii="宋体" w:hAnsi="宋体"/>
                <w:sz w:val="18"/>
                <w:szCs w:val="18"/>
              </w:rPr>
              <w:t>格构式独立避雷针</w:t>
            </w:r>
          </w:p>
        </w:tc>
        <w:tc>
          <w:tcPr>
            <w:tcW w:w="1555" w:type="dxa"/>
            <w:tcBorders>
              <w:top w:val="single" w:color="auto" w:sz="4" w:space="0"/>
              <w:left w:val="single" w:color="auto" w:sz="4" w:space="0"/>
              <w:bottom w:val="single" w:color="auto" w:sz="4" w:space="0"/>
              <w:right w:val="single" w:color="auto" w:sz="8" w:space="0"/>
            </w:tcBorders>
          </w:tcPr>
          <w:p w14:paraId="3A937A19">
            <w:pPr>
              <w:jc w:val="center"/>
              <w:rPr>
                <w:rFonts w:ascii="宋体" w:hAnsi="宋体"/>
                <w:sz w:val="18"/>
                <w:szCs w:val="18"/>
              </w:rPr>
            </w:pPr>
            <w:r>
              <w:rPr>
                <w:rFonts w:hint="eastAsia" w:ascii="宋体" w:hAnsi="宋体"/>
                <w:sz w:val="18"/>
                <w:szCs w:val="18"/>
              </w:rPr>
              <w:t>1.5</w:t>
            </w:r>
          </w:p>
        </w:tc>
      </w:tr>
      <w:tr w14:paraId="7E39E11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14" w:type="dxa"/>
            <w:tcBorders>
              <w:top w:val="single" w:color="auto" w:sz="4" w:space="0"/>
              <w:left w:val="single" w:color="auto" w:sz="4" w:space="0"/>
              <w:bottom w:val="single" w:color="auto" w:sz="4" w:space="0"/>
              <w:right w:val="single" w:color="auto" w:sz="4" w:space="0"/>
            </w:tcBorders>
          </w:tcPr>
          <w:p w14:paraId="62BFDE8F">
            <w:pPr>
              <w:jc w:val="center"/>
              <w:rPr>
                <w:rFonts w:ascii="宋体" w:hAnsi="宋体"/>
                <w:sz w:val="18"/>
                <w:szCs w:val="18"/>
              </w:rPr>
            </w:pPr>
            <w:r>
              <w:rPr>
                <w:rFonts w:hint="eastAsia" w:ascii="宋体" w:hAnsi="宋体"/>
                <w:sz w:val="18"/>
                <w:szCs w:val="18"/>
              </w:rPr>
              <w:t>6</w:t>
            </w:r>
          </w:p>
        </w:tc>
        <w:tc>
          <w:tcPr>
            <w:tcW w:w="3112" w:type="dxa"/>
            <w:tcBorders>
              <w:top w:val="single" w:color="auto" w:sz="4" w:space="0"/>
              <w:left w:val="nil"/>
              <w:bottom w:val="single" w:color="auto" w:sz="4" w:space="0"/>
              <w:right w:val="single" w:color="auto" w:sz="4" w:space="0"/>
            </w:tcBorders>
          </w:tcPr>
          <w:p w14:paraId="7604799C">
            <w:pPr>
              <w:jc w:val="center"/>
              <w:rPr>
                <w:rFonts w:ascii="宋体" w:hAnsi="宋体"/>
                <w:sz w:val="18"/>
                <w:szCs w:val="18"/>
              </w:rPr>
            </w:pPr>
            <w:r>
              <w:rPr>
                <w:rFonts w:hint="eastAsia" w:ascii="宋体" w:hAnsi="宋体"/>
                <w:sz w:val="18"/>
                <w:szCs w:val="18"/>
              </w:rPr>
              <w:t>单钢管独立避雷针</w:t>
            </w:r>
          </w:p>
        </w:tc>
        <w:tc>
          <w:tcPr>
            <w:tcW w:w="1555" w:type="dxa"/>
            <w:tcBorders>
              <w:top w:val="single" w:color="auto" w:sz="4" w:space="0"/>
              <w:left w:val="nil"/>
              <w:bottom w:val="single" w:color="auto" w:sz="4" w:space="0"/>
              <w:right w:val="single" w:color="auto" w:sz="4" w:space="0"/>
            </w:tcBorders>
          </w:tcPr>
          <w:p w14:paraId="24F4FCD7">
            <w:pPr>
              <w:jc w:val="center"/>
              <w:rPr>
                <w:rFonts w:ascii="宋体" w:hAnsi="宋体"/>
                <w:sz w:val="18"/>
                <w:szCs w:val="18"/>
              </w:rPr>
            </w:pPr>
            <w:r>
              <w:rPr>
                <w:rFonts w:hint="eastAsia" w:ascii="宋体" w:hAnsi="宋体"/>
                <w:sz w:val="18"/>
                <w:szCs w:val="18"/>
              </w:rPr>
              <w:t>2.0</w:t>
            </w:r>
          </w:p>
        </w:tc>
      </w:tr>
    </w:tbl>
    <w:p w14:paraId="6042D158">
      <w:pPr>
        <w:pStyle w:val="104"/>
        <w:spacing w:before="240" w:after="240"/>
      </w:pPr>
      <w:bookmarkStart w:id="120" w:name="_Toc228964654"/>
      <w:bookmarkStart w:id="121" w:name="_Toc19890"/>
      <w:bookmarkStart w:id="122" w:name="_Toc3496"/>
      <w:bookmarkStart w:id="123" w:name="_Toc2696"/>
      <w:r>
        <w:rPr>
          <w:rFonts w:hint="eastAsia"/>
        </w:rPr>
        <w:t>站址规划及总平面布置</w:t>
      </w:r>
      <w:bookmarkEnd w:id="120"/>
      <w:bookmarkEnd w:id="121"/>
      <w:bookmarkEnd w:id="122"/>
      <w:bookmarkEnd w:id="123"/>
    </w:p>
    <w:p w14:paraId="444B4443">
      <w:pPr>
        <w:pStyle w:val="105"/>
        <w:spacing w:before="120" w:after="120"/>
      </w:pPr>
      <w:bookmarkStart w:id="124" w:name="_Toc21409"/>
      <w:bookmarkStart w:id="125" w:name="_Toc4747"/>
      <w:bookmarkStart w:id="126" w:name="_Toc9453"/>
      <w:bookmarkStart w:id="127" w:name="_Toc228964655"/>
      <w:r>
        <w:rPr>
          <w:rFonts w:hint="eastAsia"/>
        </w:rPr>
        <w:t>站址选择</w:t>
      </w:r>
      <w:bookmarkEnd w:id="124"/>
      <w:bookmarkEnd w:id="125"/>
      <w:bookmarkEnd w:id="126"/>
      <w:bookmarkEnd w:id="127"/>
    </w:p>
    <w:p w14:paraId="0C265D30">
      <w:pPr>
        <w:pStyle w:val="165"/>
        <w:adjustRightInd w:val="0"/>
        <w:snapToGrid w:val="0"/>
        <w:spacing w:line="360" w:lineRule="auto"/>
      </w:pPr>
      <w:r>
        <w:rPr>
          <w:rFonts w:hint="eastAsia"/>
        </w:rPr>
        <w:t>站址选择应认真进行调查研究，宜选择在受台风影响相对较弱、天然避风条件较好的地段，宜避开台风多发地段，避开相对高耸、突出地貌或山区风道、垭口、抬升气流的迎风坡等微地形区域。</w:t>
      </w:r>
    </w:p>
    <w:p w14:paraId="65FE3770">
      <w:pPr>
        <w:pStyle w:val="165"/>
        <w:adjustRightInd w:val="0"/>
        <w:snapToGrid w:val="0"/>
        <w:spacing w:line="360" w:lineRule="auto"/>
      </w:pPr>
      <w:r>
        <w:rPr>
          <w:rFonts w:hint="eastAsia"/>
        </w:rPr>
        <w:t>应调查站址周边地形、建筑物、植被等对风场的影响，评估风荷载放大效应，必要时应通过风洞试验或数值模拟进行专项分析。</w:t>
      </w:r>
    </w:p>
    <w:p w14:paraId="288A39E9">
      <w:pPr>
        <w:pStyle w:val="165"/>
        <w:adjustRightInd w:val="0"/>
        <w:snapToGrid w:val="0"/>
        <w:spacing w:line="360" w:lineRule="auto"/>
      </w:pPr>
      <w:r>
        <w:rPr>
          <w:rFonts w:hint="eastAsia"/>
        </w:rPr>
        <w:t>站址选择应结合当地国土空间规划、区域水文条件进行，宜选在地势较高、排水通畅的地区，优先选择经过少量填方就能够达到防洪防涝设防标准的站址，宜避开洪涝灾害易发区。</w:t>
      </w:r>
    </w:p>
    <w:p w14:paraId="5796776C">
      <w:pPr>
        <w:pStyle w:val="165"/>
        <w:adjustRightInd w:val="0"/>
        <w:snapToGrid w:val="0"/>
        <w:spacing w:line="360" w:lineRule="auto"/>
      </w:pPr>
      <w:r>
        <w:rPr>
          <w:rFonts w:hint="eastAsia"/>
        </w:rPr>
        <w:t>站址应选择有利于防内涝的地形布置，内涝高风险区域的工程不宜采用地下或半地下设计方案。</w:t>
      </w:r>
    </w:p>
    <w:p w14:paraId="285330E7">
      <w:pPr>
        <w:pStyle w:val="165"/>
        <w:adjustRightInd w:val="0"/>
        <w:snapToGrid w:val="0"/>
        <w:spacing w:line="360" w:lineRule="auto"/>
      </w:pPr>
      <w:r>
        <w:rPr>
          <w:rFonts w:hint="eastAsia"/>
        </w:rPr>
        <w:t>站址宜选择地质条件稳定、持力层埋深适宜的地段，以减小台风期间地基失效风险。</w:t>
      </w:r>
    </w:p>
    <w:p w14:paraId="22C480B4">
      <w:pPr>
        <w:pStyle w:val="105"/>
        <w:spacing w:before="120" w:after="120"/>
      </w:pPr>
      <w:bookmarkStart w:id="128" w:name="_Toc228964656"/>
      <w:bookmarkStart w:id="129" w:name="_Toc27295"/>
      <w:bookmarkStart w:id="130" w:name="_Toc24404"/>
      <w:bookmarkStart w:id="131" w:name="_Toc24988"/>
      <w:r>
        <w:rPr>
          <w:rFonts w:hint="eastAsia"/>
        </w:rPr>
        <w:t>总体布置</w:t>
      </w:r>
      <w:bookmarkEnd w:id="128"/>
      <w:bookmarkEnd w:id="129"/>
      <w:bookmarkEnd w:id="130"/>
      <w:bookmarkEnd w:id="131"/>
    </w:p>
    <w:p w14:paraId="442B95C8">
      <w:pPr>
        <w:pStyle w:val="165"/>
        <w:adjustRightInd w:val="0"/>
        <w:snapToGrid w:val="0"/>
        <w:spacing w:line="360" w:lineRule="auto"/>
      </w:pPr>
      <w:r>
        <w:rPr>
          <w:rFonts w:hint="eastAsia"/>
        </w:rPr>
        <w:t>对于沿海设计风速超过35m/s的地区，设备宜选用户内布置方式；户外布置的电气设备，应合理规划与布置，减少台风携带杂物对设备的损坏。</w:t>
      </w:r>
    </w:p>
    <w:p w14:paraId="6F918A95">
      <w:pPr>
        <w:pStyle w:val="165"/>
        <w:adjustRightInd w:val="0"/>
        <w:snapToGrid w:val="0"/>
        <w:spacing w:line="360" w:lineRule="auto"/>
      </w:pPr>
      <w:r>
        <w:rPr>
          <w:rFonts w:hint="eastAsia"/>
        </w:rPr>
        <w:t>电气设备布置应符合下列规定：</w:t>
      </w:r>
    </w:p>
    <w:p w14:paraId="6AB93BDC">
      <w:pPr>
        <w:pStyle w:val="174"/>
        <w:numPr>
          <w:ilvl w:val="0"/>
          <w:numId w:val="34"/>
        </w:numPr>
        <w:adjustRightInd w:val="0"/>
        <w:snapToGrid w:val="0"/>
        <w:spacing w:line="360" w:lineRule="auto"/>
      </w:pPr>
      <w:r>
        <w:rPr>
          <w:rFonts w:hint="eastAsia"/>
        </w:rPr>
        <w:t>对于户外布置方案，重要及易受风损设备宜布置在站区受风影响较小的位置，并评估飞射物风险。</w:t>
      </w:r>
    </w:p>
    <w:p w14:paraId="53853C1E">
      <w:pPr>
        <w:pStyle w:val="174"/>
        <w:numPr>
          <w:ilvl w:val="0"/>
          <w:numId w:val="34"/>
        </w:numPr>
        <w:adjustRightInd w:val="0"/>
        <w:snapToGrid w:val="0"/>
        <w:spacing w:line="360" w:lineRule="auto"/>
      </w:pPr>
      <w:r>
        <w:rPr>
          <w:rFonts w:hint="eastAsia"/>
        </w:rPr>
        <w:t>设备间距应满足台风工况下设备安全摆动、巡检及应急通道要求。</w:t>
      </w:r>
    </w:p>
    <w:p w14:paraId="1D8FC2BC">
      <w:pPr>
        <w:pStyle w:val="165"/>
        <w:adjustRightInd w:val="0"/>
        <w:snapToGrid w:val="0"/>
        <w:spacing w:line="360" w:lineRule="auto"/>
      </w:pPr>
      <w:r>
        <w:rPr>
          <w:rFonts w:hint="eastAsia"/>
        </w:rPr>
        <w:t>必要时可设置经空气动力学优化的防风网、实体防风墙或选用深根性乡土树种的防风林带。防风设施的布局与选型应通过风场模拟验证，不应产生不利湍流。</w:t>
      </w:r>
    </w:p>
    <w:p w14:paraId="7FDFBBDC">
      <w:pPr>
        <w:pStyle w:val="105"/>
        <w:adjustRightInd w:val="0"/>
        <w:snapToGrid w:val="0"/>
        <w:spacing w:before="120" w:after="120" w:line="360" w:lineRule="auto"/>
      </w:pPr>
      <w:bookmarkStart w:id="132" w:name="_Toc228964657"/>
      <w:bookmarkStart w:id="133" w:name="_Toc9710"/>
      <w:bookmarkStart w:id="134" w:name="_Toc13610"/>
      <w:bookmarkStart w:id="135" w:name="_Toc25945"/>
      <w:r>
        <w:rPr>
          <w:rFonts w:hint="eastAsia"/>
        </w:rPr>
        <w:t>竖向布置</w:t>
      </w:r>
      <w:bookmarkEnd w:id="132"/>
      <w:bookmarkEnd w:id="133"/>
      <w:bookmarkEnd w:id="134"/>
      <w:bookmarkEnd w:id="135"/>
    </w:p>
    <w:p w14:paraId="2D7CBFB4">
      <w:pPr>
        <w:pStyle w:val="165"/>
        <w:adjustRightInd w:val="0"/>
        <w:snapToGrid w:val="0"/>
        <w:spacing w:line="360" w:lineRule="auto"/>
      </w:pPr>
      <w:r>
        <w:rPr>
          <w:rFonts w:hint="eastAsia"/>
        </w:rPr>
        <w:t>站区设计标高应根据历史最高潮位、台风暴雨内涝水位及周边排水条件综合确定，宜预留一定的安全超高。</w:t>
      </w:r>
    </w:p>
    <w:p w14:paraId="7F5BB4A3">
      <w:pPr>
        <w:pStyle w:val="165"/>
        <w:adjustRightInd w:val="0"/>
        <w:snapToGrid w:val="0"/>
        <w:spacing w:line="360" w:lineRule="auto"/>
      </w:pPr>
      <w:r>
        <w:rPr>
          <w:rFonts w:hint="eastAsia"/>
        </w:rPr>
        <w:t>场地宜采用平坡式布置，不宜形成陡坎或深坑，防止台风暴雨引发冲刷或积水。</w:t>
      </w:r>
    </w:p>
    <w:p w14:paraId="79F24B9F">
      <w:pPr>
        <w:pStyle w:val="104"/>
        <w:spacing w:before="240" w:after="240"/>
      </w:pPr>
      <w:bookmarkStart w:id="136" w:name="_Toc228964658"/>
      <w:bookmarkStart w:id="137" w:name="_Toc10867"/>
      <w:bookmarkStart w:id="138" w:name="_Toc12905"/>
      <w:bookmarkStart w:id="139" w:name="_Toc3692"/>
      <w:r>
        <w:rPr>
          <w:rFonts w:hint="eastAsia"/>
        </w:rPr>
        <w:t>电气设计</w:t>
      </w:r>
      <w:bookmarkEnd w:id="136"/>
      <w:bookmarkEnd w:id="137"/>
      <w:bookmarkEnd w:id="138"/>
      <w:bookmarkEnd w:id="139"/>
    </w:p>
    <w:p w14:paraId="61E086D3">
      <w:pPr>
        <w:pStyle w:val="105"/>
        <w:spacing w:before="120" w:after="120"/>
      </w:pPr>
      <w:bookmarkStart w:id="140" w:name="_Toc228964659"/>
      <w:bookmarkStart w:id="141" w:name="_Toc5761"/>
      <w:bookmarkStart w:id="142" w:name="_Toc370"/>
      <w:bookmarkStart w:id="143" w:name="_Toc29038"/>
      <w:r>
        <w:rPr>
          <w:rFonts w:hint="eastAsia"/>
        </w:rPr>
        <w:t>一次设计</w:t>
      </w:r>
      <w:bookmarkEnd w:id="140"/>
      <w:bookmarkEnd w:id="141"/>
      <w:bookmarkEnd w:id="142"/>
      <w:bookmarkEnd w:id="143"/>
    </w:p>
    <w:p w14:paraId="4201D7A7">
      <w:pPr>
        <w:pStyle w:val="165"/>
        <w:adjustRightInd w:val="0"/>
        <w:snapToGrid w:val="0"/>
        <w:spacing w:line="360" w:lineRule="auto"/>
      </w:pPr>
      <w:r>
        <w:rPr>
          <w:rFonts w:hint="eastAsia"/>
        </w:rPr>
        <w:t>设备选型应符合下列规定：</w:t>
      </w:r>
    </w:p>
    <w:p w14:paraId="2C0376B6">
      <w:pPr>
        <w:pStyle w:val="174"/>
        <w:numPr>
          <w:ilvl w:val="0"/>
          <w:numId w:val="35"/>
        </w:numPr>
        <w:adjustRightInd w:val="0"/>
        <w:snapToGrid w:val="0"/>
        <w:spacing w:line="360" w:lineRule="auto"/>
      </w:pPr>
      <w:r>
        <w:rPr>
          <w:rFonts w:hint="eastAsia"/>
        </w:rPr>
        <w:t>户外设备应采取加固措施，在台风作用下不应发生倾覆、滑移或结构变形；</w:t>
      </w:r>
    </w:p>
    <w:p w14:paraId="17AB7936">
      <w:pPr>
        <w:pStyle w:val="174"/>
        <w:numPr>
          <w:ilvl w:val="0"/>
          <w:numId w:val="35"/>
        </w:numPr>
        <w:adjustRightInd w:val="0"/>
        <w:snapToGrid w:val="0"/>
        <w:spacing w:line="360" w:lineRule="auto"/>
      </w:pPr>
      <w:r>
        <w:rPr>
          <w:rFonts w:hint="eastAsia"/>
        </w:rPr>
        <w:t>对于直径较大、高度较高的套管，应增设防振加固装置，减少台风引发的共振损伤，同时套管伞裙应采用防污闪设计，适配沿海盐雾污秽环境；</w:t>
      </w:r>
    </w:p>
    <w:p w14:paraId="022F9624">
      <w:pPr>
        <w:pStyle w:val="174"/>
        <w:numPr>
          <w:ilvl w:val="0"/>
          <w:numId w:val="35"/>
        </w:numPr>
        <w:adjustRightInd w:val="0"/>
        <w:snapToGrid w:val="0"/>
        <w:spacing w:line="360" w:lineRule="auto"/>
      </w:pPr>
      <w:r>
        <w:rPr>
          <w:rFonts w:hint="eastAsia"/>
        </w:rPr>
        <w:t>高盐高湿地区设备本体及附属构件的金属部分，应采用符合防腐要求的涂层或镀层工艺，涂层厚度应满足相关规范要求，在台风、盐雾长期作用下不应发生锈蚀损坏，保障设备结构完整性。</w:t>
      </w:r>
    </w:p>
    <w:p w14:paraId="7118D0C5">
      <w:pPr>
        <w:pStyle w:val="165"/>
        <w:adjustRightInd w:val="0"/>
        <w:snapToGrid w:val="0"/>
        <w:spacing w:line="360" w:lineRule="auto"/>
      </w:pPr>
      <w:r>
        <w:rPr>
          <w:rFonts w:hint="eastAsia"/>
        </w:rPr>
        <w:t>主要设备应符合下列规定：</w:t>
      </w:r>
    </w:p>
    <w:p w14:paraId="53191095">
      <w:pPr>
        <w:pStyle w:val="174"/>
        <w:numPr>
          <w:ilvl w:val="0"/>
          <w:numId w:val="36"/>
        </w:numPr>
        <w:adjustRightInd w:val="0"/>
        <w:snapToGrid w:val="0"/>
        <w:spacing w:line="360" w:lineRule="auto"/>
      </w:pPr>
      <w:r>
        <w:rPr>
          <w:rFonts w:hint="eastAsia"/>
        </w:rPr>
        <w:t>户外主变压器、油浸式电抗器：本体与基础的连接应采用刚性固定结构，增设抗拔、抗倾覆连接件，油箱顶部附件（如储油柜、套管）应进行加固处理，台风冲击作用下不应出现附件脱落；散热器应选用低风阻型结构；</w:t>
      </w:r>
    </w:p>
    <w:p w14:paraId="56E00133">
      <w:pPr>
        <w:pStyle w:val="174"/>
        <w:numPr>
          <w:ilvl w:val="0"/>
          <w:numId w:val="36"/>
        </w:numPr>
        <w:adjustRightInd w:val="0"/>
        <w:snapToGrid w:val="0"/>
        <w:spacing w:line="360" w:lineRule="auto"/>
      </w:pPr>
      <w:r>
        <w:rPr>
          <w:rFonts w:hint="eastAsia"/>
        </w:rPr>
        <w:t>户外电抗器：干式电抗器应采用低重心框架结构，干式电抗器三相不应叠装布置；</w:t>
      </w:r>
    </w:p>
    <w:p w14:paraId="1525228E">
      <w:pPr>
        <w:pStyle w:val="174"/>
        <w:numPr>
          <w:ilvl w:val="0"/>
          <w:numId w:val="36"/>
        </w:numPr>
        <w:adjustRightInd w:val="0"/>
        <w:snapToGrid w:val="0"/>
        <w:spacing w:line="360" w:lineRule="auto"/>
      </w:pPr>
      <w:r>
        <w:rPr>
          <w:rFonts w:hint="eastAsia"/>
        </w:rPr>
        <w:t>其他户外设备：应选用抗风性能经过验证的产品，操作机构应具备防风雨功能，传动连杆应采用高强度合金材料并增设加固支撑；隔离开关的闸刀应设置防摆动装置，台风作用下闸刀不得出现误动或接触不良；设备的均压环应优化设计，降低风阻系数，应固定牢固，防止在台风中脱落。</w:t>
      </w:r>
    </w:p>
    <w:p w14:paraId="58A002D3">
      <w:pPr>
        <w:pStyle w:val="165"/>
        <w:adjustRightInd w:val="0"/>
        <w:snapToGrid w:val="0"/>
        <w:spacing w:line="360" w:lineRule="auto"/>
      </w:pPr>
      <w:r>
        <w:rPr>
          <w:rFonts w:hint="eastAsia"/>
        </w:rPr>
        <w:t>导线、金具与绝缘子应符合下列规定：</w:t>
      </w:r>
    </w:p>
    <w:p w14:paraId="1532444B">
      <w:pPr>
        <w:pStyle w:val="174"/>
        <w:numPr>
          <w:ilvl w:val="0"/>
          <w:numId w:val="37"/>
        </w:numPr>
        <w:adjustRightInd w:val="0"/>
        <w:snapToGrid w:val="0"/>
        <w:spacing w:line="360" w:lineRule="auto"/>
      </w:pPr>
      <w:r>
        <w:rPr>
          <w:rFonts w:hint="eastAsia"/>
        </w:rPr>
        <w:t>沿海地区工程的导线，宜采用铝包钢芯铝绞线；</w:t>
      </w:r>
    </w:p>
    <w:p w14:paraId="1CDA699D">
      <w:pPr>
        <w:pStyle w:val="174"/>
        <w:numPr>
          <w:ilvl w:val="0"/>
          <w:numId w:val="37"/>
        </w:numPr>
        <w:adjustRightInd w:val="0"/>
        <w:snapToGrid w:val="0"/>
        <w:spacing w:line="360" w:lineRule="auto"/>
      </w:pPr>
      <w:r>
        <w:rPr>
          <w:rFonts w:hint="eastAsia"/>
        </w:rPr>
        <w:t>选用管型母线时，应合理选择母线直径与壁厚，优化支撑间距并设置可靠的固定金具，在台风作用下母线变形应满足刚度与稳定性要求；采用软连接时，应选用耐候性强、机械强度高的导体材料（如镀银软铜带），连接接头应采用压接或钎焊工艺，接触应可靠且能适应台风引发的设备位移，连接处不应出现受力拉断现象；</w:t>
      </w:r>
    </w:p>
    <w:p w14:paraId="237FEDF4">
      <w:pPr>
        <w:pStyle w:val="174"/>
        <w:numPr>
          <w:ilvl w:val="0"/>
          <w:numId w:val="37"/>
        </w:numPr>
        <w:adjustRightInd w:val="0"/>
        <w:snapToGrid w:val="0"/>
        <w:spacing w:line="360" w:lineRule="auto"/>
      </w:pPr>
      <w:r>
        <w:rPr>
          <w:rFonts w:hint="eastAsia"/>
        </w:rPr>
        <w:t>高跨软导线的双联耐张绝缘子串与构架或联板连接应采用双挂点或选用提高一级机械强度的金具；</w:t>
      </w:r>
    </w:p>
    <w:p w14:paraId="75ADA296">
      <w:pPr>
        <w:pStyle w:val="174"/>
        <w:numPr>
          <w:ilvl w:val="0"/>
          <w:numId w:val="37"/>
        </w:numPr>
        <w:adjustRightInd w:val="0"/>
        <w:snapToGrid w:val="0"/>
        <w:spacing w:line="360" w:lineRule="auto"/>
      </w:pPr>
      <w:r>
        <w:rPr>
          <w:rFonts w:hint="eastAsia"/>
        </w:rPr>
        <w:t>高跨软导线的悬垂线夹应采用耐磨型金具；</w:t>
      </w:r>
    </w:p>
    <w:p w14:paraId="6F6B7F07">
      <w:pPr>
        <w:pStyle w:val="174"/>
        <w:numPr>
          <w:ilvl w:val="0"/>
          <w:numId w:val="37"/>
        </w:numPr>
        <w:adjustRightInd w:val="0"/>
        <w:snapToGrid w:val="0"/>
        <w:spacing w:line="360" w:lineRule="auto"/>
      </w:pPr>
      <w:r>
        <w:rPr>
          <w:rFonts w:hint="eastAsia"/>
        </w:rPr>
        <w:t>悬式绝缘子选型配置应根据工程所在区域防雷、防污、防风要求，在结构设计、材料选型、绝缘配置应充分考虑工频耐受电压、操作耐受电压、雷电冲击耐受电压，并取其中计算的最大值；</w:t>
      </w:r>
    </w:p>
    <w:p w14:paraId="23EA3C69">
      <w:pPr>
        <w:pStyle w:val="174"/>
        <w:numPr>
          <w:ilvl w:val="0"/>
          <w:numId w:val="37"/>
        </w:numPr>
        <w:adjustRightInd w:val="0"/>
        <w:snapToGrid w:val="0"/>
        <w:spacing w:line="360" w:lineRule="auto"/>
      </w:pPr>
      <w:r>
        <w:rPr>
          <w:rFonts w:hint="eastAsia"/>
        </w:rPr>
        <w:t>高跨软导线的耐张绝缘子串应采用双联串；</w:t>
      </w:r>
    </w:p>
    <w:p w14:paraId="208078CE">
      <w:pPr>
        <w:pStyle w:val="174"/>
        <w:numPr>
          <w:ilvl w:val="0"/>
          <w:numId w:val="37"/>
        </w:numPr>
        <w:adjustRightInd w:val="0"/>
        <w:snapToGrid w:val="0"/>
        <w:spacing w:line="360" w:lineRule="auto"/>
      </w:pPr>
      <w:r>
        <w:rPr>
          <w:rFonts w:hint="eastAsia"/>
        </w:rPr>
        <w:t>架空出线悬式绝缘子应选用V串；</w:t>
      </w:r>
    </w:p>
    <w:p w14:paraId="3BCF2A21">
      <w:pPr>
        <w:pStyle w:val="174"/>
        <w:numPr>
          <w:ilvl w:val="0"/>
          <w:numId w:val="37"/>
        </w:numPr>
        <w:adjustRightInd w:val="0"/>
        <w:snapToGrid w:val="0"/>
        <w:spacing w:line="360" w:lineRule="auto"/>
      </w:pPr>
      <w:r>
        <w:rPr>
          <w:rFonts w:hint="eastAsia"/>
        </w:rPr>
        <w:t>悬式绝缘子采用玻璃绝缘子或瓷绝缘子。瓷绝缘子应选择普通型或外伞型；</w:t>
      </w:r>
    </w:p>
    <w:p w14:paraId="564D416F">
      <w:pPr>
        <w:pStyle w:val="174"/>
        <w:numPr>
          <w:ilvl w:val="0"/>
          <w:numId w:val="37"/>
        </w:numPr>
        <w:adjustRightInd w:val="0"/>
        <w:snapToGrid w:val="0"/>
        <w:spacing w:line="360" w:lineRule="auto"/>
      </w:pPr>
      <w:r>
        <w:rPr>
          <w:rFonts w:hint="eastAsia"/>
        </w:rPr>
        <w:t>站内导线设计应考虑以下两类工况对结构与电气安全的影响：</w:t>
      </w:r>
    </w:p>
    <w:p w14:paraId="21558668">
      <w:pPr>
        <w:pStyle w:val="109"/>
        <w:numPr>
          <w:ilvl w:val="1"/>
          <w:numId w:val="37"/>
        </w:numPr>
        <w:adjustRightInd w:val="0"/>
        <w:snapToGrid w:val="0"/>
        <w:spacing w:before="100" w:beforeAutospacing="1" w:after="100" w:afterAutospacing="1" w:line="360" w:lineRule="auto"/>
        <w:rPr>
          <w:szCs w:val="21"/>
        </w:rPr>
      </w:pPr>
      <w:r>
        <w:rPr>
          <w:rFonts w:hint="eastAsia" w:hAnsi="宋体"/>
        </w:rPr>
        <w:t>风偏工况：需计算风偏作用下的相间距离变化，对于沿海等台风高发地区，应根据风偏计算结果，采取增加绝缘子串长度、选用防舞动金具或其他抗风偏措施；</w:t>
      </w:r>
    </w:p>
    <w:p w14:paraId="2B948390">
      <w:pPr>
        <w:pStyle w:val="109"/>
        <w:numPr>
          <w:ilvl w:val="1"/>
          <w:numId w:val="37"/>
        </w:numPr>
        <w:adjustRightInd w:val="0"/>
        <w:snapToGrid w:val="0"/>
        <w:spacing w:before="100" w:beforeAutospacing="1" w:after="100" w:afterAutospacing="1" w:line="360" w:lineRule="auto"/>
      </w:pPr>
      <w:r>
        <w:rPr>
          <w:rFonts w:hint="eastAsia" w:hAnsi="宋体"/>
        </w:rPr>
        <w:t>荷载叠加工况：母线支撑结构及相关金具设计时，应将动态短路力与风荷载进行叠加校验，校验结果需满足结构强度要求。</w:t>
      </w:r>
    </w:p>
    <w:p w14:paraId="342FD476">
      <w:pPr>
        <w:pStyle w:val="105"/>
        <w:spacing w:before="120" w:after="120"/>
      </w:pPr>
      <w:bookmarkStart w:id="144" w:name="_Toc5702"/>
      <w:bookmarkStart w:id="145" w:name="_Toc26611"/>
      <w:bookmarkStart w:id="146" w:name="_Toc228964660"/>
      <w:bookmarkStart w:id="147" w:name="_Toc982"/>
      <w:r>
        <w:rPr>
          <w:rFonts w:hint="eastAsia"/>
        </w:rPr>
        <w:t>二次设计</w:t>
      </w:r>
      <w:bookmarkEnd w:id="144"/>
      <w:bookmarkEnd w:id="145"/>
      <w:bookmarkEnd w:id="146"/>
      <w:bookmarkEnd w:id="147"/>
    </w:p>
    <w:p w14:paraId="0CB2F50A">
      <w:pPr>
        <w:pStyle w:val="165"/>
        <w:adjustRightInd w:val="0"/>
        <w:snapToGrid w:val="0"/>
        <w:spacing w:line="360" w:lineRule="auto"/>
      </w:pPr>
      <w:r>
        <w:rPr>
          <w:rFonts w:hint="eastAsia"/>
        </w:rPr>
        <w:t>环境监视及辅控配置应满足下列要求：</w:t>
      </w:r>
    </w:p>
    <w:p w14:paraId="415C1574">
      <w:pPr>
        <w:pStyle w:val="174"/>
        <w:numPr>
          <w:ilvl w:val="0"/>
          <w:numId w:val="38"/>
        </w:numPr>
        <w:adjustRightInd w:val="0"/>
        <w:snapToGrid w:val="0"/>
        <w:spacing w:line="360" w:lineRule="auto"/>
      </w:pPr>
      <w:r>
        <w:rPr>
          <w:rFonts w:hint="eastAsia"/>
        </w:rPr>
        <w:t>受台风影响有内涝隐患的工程，在集水井、电缆沟、电缆层等地势低洼处配置水浸传感器，选配液位计；</w:t>
      </w:r>
    </w:p>
    <w:p w14:paraId="76BEFEA7">
      <w:pPr>
        <w:pStyle w:val="174"/>
        <w:numPr>
          <w:ilvl w:val="0"/>
          <w:numId w:val="38"/>
        </w:numPr>
        <w:adjustRightInd w:val="0"/>
        <w:snapToGrid w:val="0"/>
        <w:spacing w:line="360" w:lineRule="auto"/>
      </w:pPr>
      <w:r>
        <w:rPr>
          <w:rFonts w:hint="eastAsia"/>
        </w:rPr>
        <w:t>配置微气象传感器。</w:t>
      </w:r>
    </w:p>
    <w:p w14:paraId="65F2CD90">
      <w:pPr>
        <w:pStyle w:val="165"/>
        <w:adjustRightInd w:val="0"/>
        <w:snapToGrid w:val="0"/>
        <w:spacing w:line="360" w:lineRule="auto"/>
      </w:pPr>
      <w:r>
        <w:rPr>
          <w:rFonts w:hint="eastAsia"/>
        </w:rPr>
        <w:t>室外视频监控设备安装应满足下列要求：</w:t>
      </w:r>
    </w:p>
    <w:p w14:paraId="6F06B609">
      <w:pPr>
        <w:pStyle w:val="174"/>
        <w:numPr>
          <w:ilvl w:val="0"/>
          <w:numId w:val="39"/>
        </w:numPr>
        <w:adjustRightInd w:val="0"/>
        <w:snapToGrid w:val="0"/>
        <w:spacing w:line="360" w:lineRule="auto"/>
      </w:pPr>
      <w:r>
        <w:rPr>
          <w:rFonts w:hint="eastAsia"/>
        </w:rPr>
        <w:t>室外摄像机防尘防水等级宜选择IP67级别及以上，可承受1米水深浸泡30分钟。摄像头外壳应采用高强度金属材料或高强度ABS工程塑料，具备抗紫外线、防腐蚀性能。</w:t>
      </w:r>
    </w:p>
    <w:p w14:paraId="20560DEB">
      <w:pPr>
        <w:pStyle w:val="174"/>
        <w:numPr>
          <w:ilvl w:val="0"/>
          <w:numId w:val="39"/>
        </w:numPr>
        <w:adjustRightInd w:val="0"/>
        <w:snapToGrid w:val="0"/>
        <w:spacing w:line="360" w:lineRule="auto"/>
      </w:pPr>
      <w:r>
        <w:rPr>
          <w:rFonts w:hint="eastAsia"/>
        </w:rPr>
        <w:t>紧固件需采用304不锈钢材质，防止腐蚀和氧化。摄像头内部应具有很好的密封性，防护罩要具备优良的防雨水性能。在接头和螺丝接口等关键部位，需采用硅胶密封圈设计，具备防水性能。室外摄像头应具备防抖动、抗风、防腐、防磨功能。</w:t>
      </w:r>
    </w:p>
    <w:p w14:paraId="35CC24D0">
      <w:pPr>
        <w:pStyle w:val="174"/>
        <w:numPr>
          <w:ilvl w:val="0"/>
          <w:numId w:val="39"/>
        </w:numPr>
        <w:adjustRightInd w:val="0"/>
        <w:snapToGrid w:val="0"/>
        <w:spacing w:line="360" w:lineRule="auto"/>
      </w:pPr>
      <w:r>
        <w:rPr>
          <w:rFonts w:hint="eastAsia"/>
        </w:rPr>
        <w:t>云台的最大载重不应小于15kg，齿轮间隙应≤0.5°，在强风环境下应保持稳定。</w:t>
      </w:r>
    </w:p>
    <w:p w14:paraId="7C8CD00C">
      <w:pPr>
        <w:pStyle w:val="174"/>
        <w:numPr>
          <w:ilvl w:val="0"/>
          <w:numId w:val="39"/>
        </w:numPr>
        <w:adjustRightInd w:val="0"/>
        <w:snapToGrid w:val="0"/>
        <w:spacing w:line="360" w:lineRule="auto"/>
      </w:pPr>
      <w:r>
        <w:rPr>
          <w:rFonts w:hint="eastAsia"/>
        </w:rPr>
        <w:t>支架安装需结实牢固，防止外部破坏。</w:t>
      </w:r>
    </w:p>
    <w:p w14:paraId="36A214FB">
      <w:pPr>
        <w:pStyle w:val="174"/>
        <w:numPr>
          <w:ilvl w:val="0"/>
          <w:numId w:val="39"/>
        </w:numPr>
        <w:adjustRightInd w:val="0"/>
        <w:snapToGrid w:val="0"/>
        <w:spacing w:line="360" w:lineRule="auto"/>
      </w:pPr>
      <w:r>
        <w:rPr>
          <w:rFonts w:hint="eastAsia"/>
        </w:rPr>
        <w:t>供电系统：前端电源应有过流过压保护装置，重要工程宜配备备用电源。</w:t>
      </w:r>
    </w:p>
    <w:p w14:paraId="0BDDCF8C">
      <w:pPr>
        <w:pStyle w:val="174"/>
        <w:numPr>
          <w:ilvl w:val="0"/>
          <w:numId w:val="39"/>
        </w:numPr>
        <w:adjustRightInd w:val="0"/>
        <w:snapToGrid w:val="0"/>
        <w:spacing w:line="360" w:lineRule="auto"/>
      </w:pPr>
      <w:r>
        <w:rPr>
          <w:rFonts w:hint="eastAsia"/>
        </w:rPr>
        <w:t>线缆敷设：室外线缆需选用防水型，外护套厚度≥2mm，具备抗紫外线和耐腐蚀性能。线缆出线应略低于摄像机安装支架的水平面，形成U型弯曲后引入摄像机护罩。</w:t>
      </w:r>
    </w:p>
    <w:p w14:paraId="04987A27">
      <w:pPr>
        <w:pStyle w:val="105"/>
        <w:spacing w:before="120" w:after="120"/>
      </w:pPr>
      <w:bookmarkStart w:id="148" w:name="_Toc30945"/>
      <w:bookmarkStart w:id="149" w:name="_Toc14103"/>
      <w:bookmarkStart w:id="150" w:name="_Toc228964661"/>
      <w:bookmarkStart w:id="151" w:name="_Toc8885"/>
      <w:r>
        <w:rPr>
          <w:rFonts w:hint="eastAsia"/>
        </w:rPr>
        <w:t>其它</w:t>
      </w:r>
      <w:bookmarkEnd w:id="148"/>
      <w:bookmarkEnd w:id="149"/>
      <w:bookmarkEnd w:id="150"/>
      <w:bookmarkEnd w:id="151"/>
    </w:p>
    <w:p w14:paraId="145094E2">
      <w:pPr>
        <w:pStyle w:val="165"/>
        <w:adjustRightInd w:val="0"/>
        <w:snapToGrid w:val="0"/>
        <w:spacing w:line="360" w:lineRule="auto"/>
      </w:pPr>
      <w:r>
        <w:rPr>
          <w:rFonts w:hint="eastAsia"/>
        </w:rPr>
        <w:t>户外端子箱、汇控柜、电源箱等户外箱柜应配置三点式门锁，扣入深度不小于20mm，并外加防风扣，防风扣材质应采用不低于304不锈钢，防风扣宜设置在箱体开启扇两侧上下部位，每侧不少于2个。箱体无法配置三点式门锁的，应评估防风扣数量设置是否满足防风要求，必要时应适当增加防风扣数量。</w:t>
      </w:r>
    </w:p>
    <w:p w14:paraId="7ACAC1AD">
      <w:pPr>
        <w:pStyle w:val="165"/>
        <w:adjustRightInd w:val="0"/>
        <w:snapToGrid w:val="0"/>
        <w:spacing w:line="360" w:lineRule="auto"/>
      </w:pPr>
      <w:r>
        <w:rPr>
          <w:rFonts w:hint="eastAsia"/>
        </w:rPr>
        <w:t>应配置发电车快速接入装置箱，发电车可快速接入工作。</w:t>
      </w:r>
    </w:p>
    <w:p w14:paraId="3B52D8F3">
      <w:pPr>
        <w:pStyle w:val="165"/>
        <w:adjustRightInd w:val="0"/>
        <w:snapToGrid w:val="0"/>
        <w:spacing w:line="360" w:lineRule="auto"/>
      </w:pPr>
      <w:r>
        <w:rPr>
          <w:rFonts w:hint="eastAsia"/>
        </w:rPr>
        <w:t>采用金属支架标识牌时，应降低标识牌安装高度，标识牌底部距地面不大于200mm，支架立柱型材壁厚不小于 3mm，标识牌面板与外框采用满焊。</w:t>
      </w:r>
    </w:p>
    <w:p w14:paraId="333B4797">
      <w:pPr>
        <w:pStyle w:val="104"/>
        <w:spacing w:before="240" w:after="240"/>
      </w:pPr>
      <w:bookmarkStart w:id="152" w:name="_Toc2373"/>
      <w:bookmarkStart w:id="153" w:name="_Toc228964662"/>
      <w:bookmarkStart w:id="154" w:name="_Toc28030"/>
      <w:bookmarkStart w:id="155" w:name="_Toc24420"/>
      <w:r>
        <w:rPr>
          <w:rFonts w:hint="eastAsia"/>
        </w:rPr>
        <w:t>土建设计</w:t>
      </w:r>
      <w:bookmarkEnd w:id="152"/>
      <w:bookmarkEnd w:id="153"/>
      <w:bookmarkEnd w:id="154"/>
      <w:bookmarkEnd w:id="155"/>
    </w:p>
    <w:p w14:paraId="275280EC">
      <w:pPr>
        <w:pStyle w:val="105"/>
        <w:spacing w:before="120" w:after="120"/>
      </w:pPr>
      <w:bookmarkStart w:id="156" w:name="_Toc228964663"/>
      <w:bookmarkStart w:id="157" w:name="_Toc31522"/>
      <w:bookmarkStart w:id="158" w:name="_Toc13258"/>
      <w:bookmarkStart w:id="159" w:name="_Toc3294"/>
      <w:r>
        <w:rPr>
          <w:rFonts w:hint="eastAsia"/>
        </w:rPr>
        <w:t>建筑物</w:t>
      </w:r>
      <w:bookmarkEnd w:id="156"/>
      <w:bookmarkEnd w:id="157"/>
      <w:bookmarkEnd w:id="158"/>
      <w:bookmarkEnd w:id="159"/>
    </w:p>
    <w:p w14:paraId="4A5E9F96">
      <w:pPr>
        <w:pStyle w:val="165"/>
        <w:adjustRightInd w:val="0"/>
        <w:snapToGrid w:val="0"/>
        <w:spacing w:line="360" w:lineRule="auto"/>
      </w:pPr>
      <w:r>
        <w:rPr>
          <w:rFonts w:hint="eastAsia"/>
        </w:rPr>
        <w:t>建筑物朝向在满足工艺布置、电气设备散热和进出线要求的前提下，应合理选择建筑物朝向，宜避开当地台风主导风向，对建筑围护结构（如幕墙、屋面系统）应进行抗风揭与抗风压专项设计。</w:t>
      </w:r>
    </w:p>
    <w:p w14:paraId="4B800232">
      <w:pPr>
        <w:pStyle w:val="165"/>
        <w:adjustRightInd w:val="0"/>
        <w:snapToGrid w:val="0"/>
        <w:spacing w:line="360" w:lineRule="auto"/>
      </w:pPr>
      <w:r>
        <w:rPr>
          <w:rFonts w:hint="eastAsia"/>
        </w:rPr>
        <w:t>建筑物布置宜符合下列规定：</w:t>
      </w:r>
    </w:p>
    <w:p w14:paraId="25F0FB93">
      <w:pPr>
        <w:pStyle w:val="174"/>
        <w:numPr>
          <w:ilvl w:val="0"/>
          <w:numId w:val="40"/>
        </w:numPr>
        <w:adjustRightInd w:val="0"/>
        <w:snapToGrid w:val="0"/>
        <w:spacing w:line="360" w:lineRule="auto"/>
      </w:pPr>
      <w:r>
        <w:rPr>
          <w:rFonts w:hint="eastAsia"/>
        </w:rPr>
        <w:t>建筑物平面宜采用规则、对称的矩形或方形，不宜采用复杂的凹凸变化、锐角转折等容易产生应力集中的平面形式，立面布置不应产生鞭梢效应；</w:t>
      </w:r>
    </w:p>
    <w:p w14:paraId="459E652B">
      <w:pPr>
        <w:pStyle w:val="174"/>
        <w:numPr>
          <w:ilvl w:val="0"/>
          <w:numId w:val="40"/>
        </w:numPr>
        <w:adjustRightInd w:val="0"/>
        <w:snapToGrid w:val="0"/>
        <w:spacing w:line="360" w:lineRule="auto"/>
      </w:pPr>
      <w:r>
        <w:rPr>
          <w:rFonts w:hint="eastAsia"/>
        </w:rPr>
        <w:t>建筑物内部的楼梯间、设备间等抗侧力构件宜合理分布，形成有效的抗侧力体系。吊装孔、管道井、电缆井的布置不应削弱主要承重结构的完整性。</w:t>
      </w:r>
    </w:p>
    <w:p w14:paraId="6EA3580D">
      <w:pPr>
        <w:pStyle w:val="165"/>
        <w:adjustRightInd w:val="0"/>
        <w:snapToGrid w:val="0"/>
        <w:spacing w:line="360" w:lineRule="auto"/>
      </w:pPr>
      <w:r>
        <w:rPr>
          <w:rFonts w:hint="eastAsia"/>
        </w:rPr>
        <w:t>建筑物外墙面应符合下列规定：</w:t>
      </w:r>
    </w:p>
    <w:p w14:paraId="6730D1AF">
      <w:pPr>
        <w:pStyle w:val="174"/>
        <w:numPr>
          <w:ilvl w:val="0"/>
          <w:numId w:val="41"/>
        </w:numPr>
        <w:adjustRightInd w:val="0"/>
        <w:snapToGrid w:val="0"/>
        <w:spacing w:line="360" w:lineRule="auto"/>
      </w:pPr>
      <w:r>
        <w:rPr>
          <w:rFonts w:hint="eastAsia"/>
        </w:rPr>
        <w:t>外墙面装饰材料应选用耐久性强、耐候性好、与主体结构连接可靠的材料。宜选用高品质弹性外墙涂料、外墙真石漆、金属板幕墙或整体性好的预制墙板。外墙面不应采用自重较大且与墙体粘结强度不高的饰面砖等易脱落的材料；</w:t>
      </w:r>
    </w:p>
    <w:p w14:paraId="0BF02725">
      <w:pPr>
        <w:pStyle w:val="174"/>
        <w:numPr>
          <w:ilvl w:val="0"/>
          <w:numId w:val="41"/>
        </w:numPr>
        <w:adjustRightInd w:val="0"/>
        <w:snapToGrid w:val="0"/>
        <w:spacing w:line="360" w:lineRule="auto"/>
      </w:pPr>
      <w:r>
        <w:rPr>
          <w:rFonts w:hint="eastAsia"/>
        </w:rPr>
        <w:t>外墙不同基体交接处应加强处理，优先选用挂设耐碱玻纤网、镀锌钢丝网的双层抗裂网，提高该部位的抗裂可靠度；</w:t>
      </w:r>
    </w:p>
    <w:p w14:paraId="39A7EA50">
      <w:pPr>
        <w:pStyle w:val="174"/>
        <w:numPr>
          <w:ilvl w:val="0"/>
          <w:numId w:val="41"/>
        </w:numPr>
        <w:adjustRightInd w:val="0"/>
        <w:snapToGrid w:val="0"/>
        <w:spacing w:line="360" w:lineRule="auto"/>
      </w:pPr>
      <w:r>
        <w:rPr>
          <w:rFonts w:hint="eastAsia"/>
        </w:rPr>
        <w:t>外墙防水设计应遵循“以排为主，防排结合”的原则。防水层应选用高性能弹性防水材料；墙面抹灰层应加入抗裂纤维，并设置分格缝；外门窗洞口、穿墙管道、檐口等细部节点应设计滴水线、鹰嘴等防水构造；</w:t>
      </w:r>
    </w:p>
    <w:p w14:paraId="73B05780">
      <w:pPr>
        <w:pStyle w:val="174"/>
        <w:numPr>
          <w:ilvl w:val="0"/>
          <w:numId w:val="41"/>
        </w:numPr>
        <w:adjustRightInd w:val="0"/>
        <w:snapToGrid w:val="0"/>
        <w:spacing w:line="360" w:lineRule="auto"/>
      </w:pPr>
      <w:r>
        <w:rPr>
          <w:rFonts w:hint="eastAsia"/>
        </w:rPr>
        <w:t>外墙保温系统应与墙体可靠锚固，优先选用粘锚结合固定方式，其抗风压性能和耐候性应满足台风区要求。</w:t>
      </w:r>
    </w:p>
    <w:p w14:paraId="7E6900C2">
      <w:pPr>
        <w:pStyle w:val="165"/>
        <w:adjustRightInd w:val="0"/>
        <w:snapToGrid w:val="0"/>
        <w:spacing w:line="360" w:lineRule="auto"/>
      </w:pPr>
      <w:r>
        <w:rPr>
          <w:rFonts w:hint="eastAsia"/>
        </w:rPr>
        <w:t>建筑物屋面应符合下列规定：</w:t>
      </w:r>
    </w:p>
    <w:p w14:paraId="23BE2E48">
      <w:pPr>
        <w:pStyle w:val="174"/>
        <w:numPr>
          <w:ilvl w:val="0"/>
          <w:numId w:val="42"/>
        </w:numPr>
        <w:adjustRightInd w:val="0"/>
        <w:snapToGrid w:val="0"/>
        <w:spacing w:line="360" w:lineRule="auto"/>
      </w:pPr>
      <w:r>
        <w:rPr>
          <w:rFonts w:hint="eastAsia"/>
        </w:rPr>
        <w:t>建筑物屋面防水等级应根据GB 55030确定；</w:t>
      </w:r>
    </w:p>
    <w:p w14:paraId="650513FD">
      <w:pPr>
        <w:pStyle w:val="174"/>
        <w:numPr>
          <w:ilvl w:val="0"/>
          <w:numId w:val="42"/>
        </w:numPr>
        <w:adjustRightInd w:val="0"/>
        <w:snapToGrid w:val="0"/>
        <w:spacing w:line="360" w:lineRule="auto"/>
      </w:pPr>
      <w:r>
        <w:rPr>
          <w:rFonts w:hint="eastAsia"/>
        </w:rPr>
        <w:t>屋面结构优先选用现浇钢筋混凝土屋面板，与下部结构应可靠连接；</w:t>
      </w:r>
    </w:p>
    <w:p w14:paraId="7A88E20E">
      <w:pPr>
        <w:pStyle w:val="174"/>
        <w:numPr>
          <w:ilvl w:val="0"/>
          <w:numId w:val="42"/>
        </w:numPr>
        <w:adjustRightInd w:val="0"/>
        <w:snapToGrid w:val="0"/>
        <w:spacing w:line="360" w:lineRule="auto"/>
      </w:pPr>
      <w:r>
        <w:rPr>
          <w:rFonts w:hint="eastAsia"/>
        </w:rPr>
        <w:t>应加强屋面排水能力，屋面水落管的数量和管径应根据暴雨强度公式计算确定；水落管布置宜避开套管等设备，雨水斗、雨水管应具有满足规范要求的抗风能力，对固定方式应进行抗风验算；</w:t>
      </w:r>
    </w:p>
    <w:p w14:paraId="0493D259">
      <w:pPr>
        <w:pStyle w:val="174"/>
        <w:numPr>
          <w:ilvl w:val="0"/>
          <w:numId w:val="42"/>
        </w:numPr>
        <w:adjustRightInd w:val="0"/>
        <w:snapToGrid w:val="0"/>
        <w:spacing w:line="360" w:lineRule="auto"/>
      </w:pPr>
      <w:r>
        <w:rPr>
          <w:rFonts w:hint="eastAsia"/>
        </w:rPr>
        <w:t>屋面保温、防水层及保护层（如卵石、预制块等）应采取防风揭的固定措施。屋面周边、檐口、屋脊等部位应设置防风夹具或增加压重；</w:t>
      </w:r>
    </w:p>
    <w:p w14:paraId="5632F607">
      <w:pPr>
        <w:pStyle w:val="174"/>
        <w:numPr>
          <w:ilvl w:val="0"/>
          <w:numId w:val="42"/>
        </w:numPr>
        <w:adjustRightInd w:val="0"/>
        <w:snapToGrid w:val="0"/>
        <w:spacing w:line="360" w:lineRule="auto"/>
      </w:pPr>
      <w:r>
        <w:rPr>
          <w:rFonts w:hint="eastAsia"/>
        </w:rPr>
        <w:t>突出屋面的通风设备、空调室外机、消防水箱等设备及基础，其荷载应直接传递至主体承重结构。基座与屋面结构的连接处应进行防水加强处理，并在地脚螺栓周围做密封处理。</w:t>
      </w:r>
    </w:p>
    <w:p w14:paraId="297C834B">
      <w:pPr>
        <w:pStyle w:val="165"/>
        <w:adjustRightInd w:val="0"/>
        <w:snapToGrid w:val="0"/>
        <w:spacing w:line="360" w:lineRule="auto"/>
      </w:pPr>
      <w:r>
        <w:rPr>
          <w:rFonts w:hint="eastAsia"/>
        </w:rPr>
        <w:t>建筑物门窗应符合下列规定：</w:t>
      </w:r>
    </w:p>
    <w:p w14:paraId="3AB5576A">
      <w:pPr>
        <w:pStyle w:val="174"/>
        <w:numPr>
          <w:ilvl w:val="0"/>
          <w:numId w:val="43"/>
        </w:numPr>
        <w:adjustRightInd w:val="0"/>
        <w:snapToGrid w:val="0"/>
        <w:spacing w:line="360" w:lineRule="auto"/>
      </w:pPr>
      <w:r>
        <w:rPr>
          <w:rFonts w:hint="eastAsia"/>
        </w:rPr>
        <w:t>外门窗的抗风压性能、水密性能、气密性能指标应根据风荷载计算确定，抗风压性能不应低于5级，水密性不应低于6级，气密性不应低于4级。玻璃优先选用钢化夹层安全玻璃；</w:t>
      </w:r>
    </w:p>
    <w:p w14:paraId="2ABCB5D3">
      <w:pPr>
        <w:pStyle w:val="174"/>
        <w:numPr>
          <w:ilvl w:val="0"/>
          <w:numId w:val="43"/>
        </w:numPr>
        <w:adjustRightInd w:val="0"/>
        <w:snapToGrid w:val="0"/>
        <w:spacing w:line="360" w:lineRule="auto"/>
      </w:pPr>
      <w:r>
        <w:rPr>
          <w:rFonts w:hint="eastAsia"/>
        </w:rPr>
        <w:t>门窗框与墙体之间的连接应牢固可靠，连接点间距不宜大于500mm，且距窗角距离不大于150mm。缝隙应采用发泡聚氨酯等弹性材料填充；</w:t>
      </w:r>
    </w:p>
    <w:p w14:paraId="55ED3049">
      <w:pPr>
        <w:pStyle w:val="174"/>
        <w:numPr>
          <w:ilvl w:val="0"/>
          <w:numId w:val="43"/>
        </w:numPr>
        <w:adjustRightInd w:val="0"/>
        <w:snapToGrid w:val="0"/>
        <w:spacing w:line="360" w:lineRule="auto"/>
      </w:pPr>
      <w:r>
        <w:rPr>
          <w:rFonts w:hint="eastAsia"/>
        </w:rPr>
        <w:t>有设备运输要求的门，应具有满足规范要求的刚度与连接强度；</w:t>
      </w:r>
    </w:p>
    <w:p w14:paraId="6A8DEB07">
      <w:pPr>
        <w:pStyle w:val="174"/>
        <w:numPr>
          <w:ilvl w:val="0"/>
          <w:numId w:val="43"/>
        </w:numPr>
        <w:adjustRightInd w:val="0"/>
        <w:snapToGrid w:val="0"/>
        <w:spacing w:line="360" w:lineRule="auto"/>
      </w:pPr>
      <w:r>
        <w:rPr>
          <w:rFonts w:hint="eastAsia"/>
        </w:rPr>
        <w:t>设备房间外门不应选用卷帘门，优先选用抗风性强的钢板门；外门应采用满足防风要求的钢板门或防火门，其型材厚度不小于2.0mm，面板材料厚度不小于1.5mm，并应设置上下插销。设备房间通向室外的门，应考虑在台风期间的临时防风措施，在适当位置预设安装点，配备可拆卸的防风横杠；</w:t>
      </w:r>
    </w:p>
    <w:p w14:paraId="7E2B8998">
      <w:pPr>
        <w:pStyle w:val="174"/>
        <w:numPr>
          <w:ilvl w:val="0"/>
          <w:numId w:val="43"/>
        </w:numPr>
        <w:adjustRightInd w:val="0"/>
        <w:snapToGrid w:val="0"/>
        <w:spacing w:line="360" w:lineRule="auto"/>
      </w:pPr>
      <w:r>
        <w:rPr>
          <w:rFonts w:hint="eastAsia"/>
        </w:rPr>
        <w:t>除消防救援窗和采光窗外，设备房间不宜设外窗，消防救援窗应选用高强度型材，并与主体结构可靠锚固；</w:t>
      </w:r>
    </w:p>
    <w:p w14:paraId="4D6D511E">
      <w:pPr>
        <w:pStyle w:val="174"/>
        <w:numPr>
          <w:ilvl w:val="0"/>
          <w:numId w:val="43"/>
        </w:numPr>
        <w:adjustRightInd w:val="0"/>
        <w:snapToGrid w:val="0"/>
        <w:spacing w:line="360" w:lineRule="auto"/>
      </w:pPr>
      <w:r>
        <w:rPr>
          <w:rFonts w:hint="eastAsia"/>
        </w:rPr>
        <w:t>建筑物外门窗采用铝合金材料时，型材厚度应根据GB/T 8478确定。门宜选用110以上系列，窗宜选用90以上系列，外窗玻璃宜选用夹胶中空玻璃；</w:t>
      </w:r>
    </w:p>
    <w:p w14:paraId="11F7BB35">
      <w:pPr>
        <w:pStyle w:val="174"/>
        <w:numPr>
          <w:ilvl w:val="0"/>
          <w:numId w:val="43"/>
        </w:numPr>
        <w:adjustRightInd w:val="0"/>
        <w:snapToGrid w:val="0"/>
        <w:spacing w:line="360" w:lineRule="auto"/>
      </w:pPr>
      <w:r>
        <w:rPr>
          <w:rFonts w:hint="eastAsia"/>
        </w:rPr>
        <w:t>设备房间外墙上的进风百叶窗应选用防飘雨型。宜采用与排风机联动控制的双层电动防雨百叶窗；当采用普通百叶窗时，应加装独立防雨罩；</w:t>
      </w:r>
    </w:p>
    <w:p w14:paraId="27ACC668">
      <w:pPr>
        <w:pStyle w:val="174"/>
        <w:numPr>
          <w:ilvl w:val="0"/>
          <w:numId w:val="43"/>
        </w:numPr>
        <w:adjustRightInd w:val="0"/>
        <w:snapToGrid w:val="0"/>
        <w:spacing w:line="360" w:lineRule="auto"/>
      </w:pPr>
      <w:r>
        <w:rPr>
          <w:rFonts w:hint="eastAsia"/>
        </w:rPr>
        <w:t>建筑物可开启外窗均应设置防风扣。</w:t>
      </w:r>
    </w:p>
    <w:p w14:paraId="4F068CA2">
      <w:pPr>
        <w:pStyle w:val="165"/>
        <w:adjustRightInd w:val="0"/>
        <w:snapToGrid w:val="0"/>
        <w:spacing w:line="360" w:lineRule="auto"/>
      </w:pPr>
      <w:r>
        <w:rPr>
          <w:rFonts w:hint="eastAsia"/>
        </w:rPr>
        <w:t>建筑附属物应符合下列规定：</w:t>
      </w:r>
    </w:p>
    <w:p w14:paraId="71B302D2">
      <w:pPr>
        <w:pStyle w:val="174"/>
        <w:numPr>
          <w:ilvl w:val="0"/>
          <w:numId w:val="44"/>
        </w:numPr>
        <w:adjustRightInd w:val="0"/>
        <w:snapToGrid w:val="0"/>
        <w:spacing w:line="360" w:lineRule="auto"/>
      </w:pPr>
      <w:r>
        <w:rPr>
          <w:rFonts w:hint="eastAsia"/>
        </w:rPr>
        <w:t>雨棚、阳台、室外空调机平台等突出建筑外墙的附属物，其结构应进行独立抗风计算，并与主体结构可靠锚固，尽量采用流线型设计以减少风阻。</w:t>
      </w:r>
    </w:p>
    <w:p w14:paraId="6EFC8B47">
      <w:pPr>
        <w:pStyle w:val="174"/>
        <w:numPr>
          <w:ilvl w:val="0"/>
          <w:numId w:val="44"/>
        </w:numPr>
        <w:adjustRightInd w:val="0"/>
        <w:snapToGrid w:val="0"/>
        <w:spacing w:line="360" w:lineRule="auto"/>
      </w:pPr>
      <w:r>
        <w:rPr>
          <w:rFonts w:hint="eastAsia"/>
        </w:rPr>
        <w:t>女儿墙应采用钢筋混凝土构造，高度应符合规范要求，与屋面结构整体浇筑。女儿墙压顶应向屋面内侧找坡，防止雨水渗漏。</w:t>
      </w:r>
    </w:p>
    <w:p w14:paraId="4A2641C3">
      <w:pPr>
        <w:pStyle w:val="174"/>
        <w:numPr>
          <w:ilvl w:val="0"/>
          <w:numId w:val="44"/>
        </w:numPr>
        <w:adjustRightInd w:val="0"/>
        <w:snapToGrid w:val="0"/>
        <w:spacing w:line="360" w:lineRule="auto"/>
      </w:pPr>
      <w:bookmarkStart w:id="160" w:name="OLE_LINK1"/>
      <w:r>
        <w:rPr>
          <w:rFonts w:hint="eastAsia"/>
        </w:rPr>
        <w:t>通风机</w:t>
      </w:r>
      <w:bookmarkEnd w:id="160"/>
      <w:r>
        <w:rPr>
          <w:rFonts w:hint="eastAsia"/>
        </w:rPr>
        <w:t>、空调室外机及其冷媒管、排水管等附件，宜采用嵌入式或置于防风格栅内安装。空调外机宜设置于地面或屋面的基础上，当设置在外墙面时，应设计专用的抗风支吊架，空调外机在台风作用下不应发生晃动或脱落。</w:t>
      </w:r>
    </w:p>
    <w:p w14:paraId="265A86CF">
      <w:pPr>
        <w:pStyle w:val="174"/>
        <w:numPr>
          <w:ilvl w:val="0"/>
          <w:numId w:val="44"/>
        </w:numPr>
        <w:adjustRightInd w:val="0"/>
        <w:snapToGrid w:val="0"/>
        <w:spacing w:line="360" w:lineRule="auto"/>
      </w:pPr>
      <w:r>
        <w:rPr>
          <w:rFonts w:hint="eastAsia"/>
        </w:rPr>
        <w:t>室外设备基础（如空调室外机）不宜布置在室内重要电气设备（如开关柜、保护屏）的上方屋面，防止其或其冷凝水管道在台风中受损后影响室内设备安全。</w:t>
      </w:r>
    </w:p>
    <w:p w14:paraId="386A3586">
      <w:pPr>
        <w:pStyle w:val="174"/>
        <w:numPr>
          <w:ilvl w:val="0"/>
          <w:numId w:val="44"/>
        </w:numPr>
        <w:adjustRightInd w:val="0"/>
        <w:snapToGrid w:val="0"/>
        <w:spacing w:line="360" w:lineRule="auto"/>
      </w:pPr>
      <w:r>
        <w:rPr>
          <w:rFonts w:hint="eastAsia"/>
        </w:rPr>
        <w:t>建筑采用钢防护栏杆时，与主体混凝土结构之间的连接宜采用预埋件；钢防护栏杆通过机械锚栓、化学锚栓或植筋与混凝土结构连接时，应有可靠的连接，每个立柱处的锚栓不应少于两个。</w:t>
      </w:r>
    </w:p>
    <w:p w14:paraId="5407AEDD">
      <w:pPr>
        <w:pStyle w:val="174"/>
        <w:numPr>
          <w:ilvl w:val="0"/>
          <w:numId w:val="44"/>
        </w:numPr>
        <w:adjustRightInd w:val="0"/>
        <w:snapToGrid w:val="0"/>
        <w:spacing w:line="360" w:lineRule="auto"/>
      </w:pPr>
      <w:r>
        <w:rPr>
          <w:rFonts w:hint="eastAsia"/>
        </w:rPr>
        <w:t>屋面、外墙变形缝盖板应具有独立抗风能力，应采用专用抗风夹具与主体结构可靠锚固，固定点中心间距不应大于300mm。所有连接件应耐腐蚀，且不应限制变形缝的设计伸缩位移。</w:t>
      </w:r>
    </w:p>
    <w:p w14:paraId="300F562B">
      <w:pPr>
        <w:pStyle w:val="165"/>
        <w:adjustRightInd w:val="0"/>
        <w:snapToGrid w:val="0"/>
        <w:spacing w:line="360" w:lineRule="auto"/>
      </w:pPr>
      <w:r>
        <w:rPr>
          <w:rFonts w:hint="eastAsia"/>
        </w:rPr>
        <w:t>建筑物结构设计应符合下列规定：</w:t>
      </w:r>
    </w:p>
    <w:p w14:paraId="78AD2640">
      <w:pPr>
        <w:pStyle w:val="174"/>
        <w:numPr>
          <w:ilvl w:val="0"/>
          <w:numId w:val="45"/>
        </w:numPr>
        <w:adjustRightInd w:val="0"/>
        <w:snapToGrid w:val="0"/>
        <w:spacing w:line="360" w:lineRule="auto"/>
      </w:pPr>
      <w:r>
        <w:rPr>
          <w:rFonts w:hint="eastAsia"/>
        </w:rPr>
        <w:t>作用于建筑物表面的风荷载标准值，应在基本风压、风压高度变化系数、风荷载体型系数、地形修正系数和风向影响系数乘积基础上，考虑风荷载脉动的增大效应加以确定；</w:t>
      </w:r>
    </w:p>
    <w:p w14:paraId="2F4A70AE">
      <w:pPr>
        <w:pStyle w:val="174"/>
        <w:numPr>
          <w:ilvl w:val="0"/>
          <w:numId w:val="45"/>
        </w:numPr>
        <w:adjustRightInd w:val="0"/>
        <w:snapToGrid w:val="0"/>
        <w:spacing w:line="360" w:lineRule="auto"/>
      </w:pPr>
      <w:r>
        <w:rPr>
          <w:rFonts w:hint="eastAsia"/>
        </w:rPr>
        <w:t>±800kV及以上直流换流站的阀厅、户内直流场、500kV及以上GIS室的基本风压宜采用100年重现期的风压值，其余建筑物的基本风压应采用50年重现期的风压值；</w:t>
      </w:r>
    </w:p>
    <w:p w14:paraId="57134C6D">
      <w:pPr>
        <w:pStyle w:val="174"/>
        <w:numPr>
          <w:ilvl w:val="0"/>
          <w:numId w:val="45"/>
        </w:numPr>
        <w:adjustRightInd w:val="0"/>
        <w:snapToGrid w:val="0"/>
        <w:spacing w:line="360" w:lineRule="auto"/>
      </w:pPr>
      <w:r>
        <w:rPr>
          <w:rFonts w:hint="eastAsia"/>
        </w:rPr>
        <w:t>对特别重要或地形复杂的工程，应进行风场模拟或风洞试验以准确获取风压分布、结构风振响应及局部风荷载特征。</w:t>
      </w:r>
    </w:p>
    <w:p w14:paraId="7E0B8B75">
      <w:pPr>
        <w:pStyle w:val="165"/>
        <w:adjustRightInd w:val="0"/>
        <w:snapToGrid w:val="0"/>
        <w:spacing w:line="360" w:lineRule="auto"/>
      </w:pPr>
      <w:r>
        <w:rPr>
          <w:rFonts w:hint="eastAsia"/>
        </w:rPr>
        <w:t>建筑物结构抗风设计应符合下列规定：</w:t>
      </w:r>
    </w:p>
    <w:p w14:paraId="55413E0D">
      <w:pPr>
        <w:pStyle w:val="174"/>
        <w:numPr>
          <w:ilvl w:val="0"/>
          <w:numId w:val="46"/>
        </w:numPr>
        <w:adjustRightInd w:val="0"/>
        <w:snapToGrid w:val="0"/>
        <w:spacing w:line="360" w:lineRule="auto"/>
      </w:pPr>
      <w:r>
        <w:rPr>
          <w:rFonts w:hint="eastAsia"/>
        </w:rPr>
        <w:t>结构选型应遵循“抗风优先、整体性强、体型优化、适应次生灾害”的原则，优先选用抗侧刚度大、风荷载效应小、节点可靠的结构体系。不得采用悬挑长度过大的结构和局部风压过大的几何体型，如尖角、锐角体型等。</w:t>
      </w:r>
    </w:p>
    <w:p w14:paraId="4FD5EAFB">
      <w:pPr>
        <w:pStyle w:val="174"/>
        <w:numPr>
          <w:ilvl w:val="0"/>
          <w:numId w:val="46"/>
        </w:numPr>
        <w:adjustRightInd w:val="0"/>
        <w:snapToGrid w:val="0"/>
        <w:spacing w:line="360" w:lineRule="auto"/>
      </w:pPr>
      <w:r>
        <w:rPr>
          <w:rFonts w:hint="eastAsia"/>
        </w:rPr>
        <w:t>结构宜选择钢筋混凝土框架结构、钢框架结构等抗侧刚度较好的形式，必要时可采用钢-混凝土组合结构，以提升整体抗风性能。主体结构形式可按下列原则采用：</w:t>
      </w:r>
    </w:p>
    <w:p w14:paraId="575AA3F5">
      <w:pPr>
        <w:pStyle w:val="109"/>
        <w:adjustRightInd w:val="0"/>
        <w:snapToGrid w:val="0"/>
        <w:spacing w:line="360" w:lineRule="auto"/>
      </w:pPr>
      <w:r>
        <w:rPr>
          <w:rFonts w:hint="eastAsia"/>
        </w:rPr>
        <w:t>阀厅和户内直流场可采用钢结构、钢－钢筋混凝土墙混合结构、混凝土框架结构等，当采用钢结构时应采用抗侧性能好的钢框架结构、网架或管桁架结构；</w:t>
      </w:r>
    </w:p>
    <w:p w14:paraId="245EFA1D">
      <w:pPr>
        <w:pStyle w:val="109"/>
        <w:adjustRightInd w:val="0"/>
        <w:snapToGrid w:val="0"/>
        <w:spacing w:line="360" w:lineRule="auto"/>
      </w:pPr>
      <w:r>
        <w:rPr>
          <w:rFonts w:hint="eastAsia"/>
        </w:rPr>
        <w:t>GIS室宜采用钢筋混凝土框架结构，也可采用门式刚架结构、钢框架结构。当采用门式刚架时，柱底宜采用刚接。</w:t>
      </w:r>
    </w:p>
    <w:p w14:paraId="11F5315C">
      <w:pPr>
        <w:pStyle w:val="109"/>
        <w:adjustRightInd w:val="0"/>
        <w:snapToGrid w:val="0"/>
        <w:spacing w:line="360" w:lineRule="auto"/>
      </w:pPr>
      <w:r>
        <w:rPr>
          <w:rFonts w:hint="eastAsia"/>
        </w:rPr>
        <w:t>其他建筑物可采用钢筋混凝土框架结构或钢结构。</w:t>
      </w:r>
    </w:p>
    <w:p w14:paraId="0A6064CD">
      <w:pPr>
        <w:pStyle w:val="174"/>
        <w:adjustRightInd w:val="0"/>
        <w:snapToGrid w:val="0"/>
        <w:spacing w:line="360" w:lineRule="auto"/>
      </w:pPr>
      <w:r>
        <w:rPr>
          <w:rFonts w:hint="eastAsia"/>
        </w:rPr>
        <w:t>GIS室、阀厅、户内直流场等大跨度屋盖结构，宜选用刚性屋面结构体系，如压型钢板底模的钢-混凝土组合屋盖。对风敏感的或跨度大于36m的柔性屋盖结构除应进行风荷载计算外还应考虑风压脉动对结构产生风振的影响。</w:t>
      </w:r>
    </w:p>
    <w:p w14:paraId="6DB777EA">
      <w:pPr>
        <w:pStyle w:val="174"/>
        <w:adjustRightInd w:val="0"/>
        <w:snapToGrid w:val="0"/>
        <w:spacing w:line="360" w:lineRule="auto"/>
      </w:pPr>
      <w:r>
        <w:rPr>
          <w:rFonts w:hint="eastAsia"/>
        </w:rPr>
        <w:t>对跨度较大或高度较高的屋盖结构，尚应通过风洞试验或数值模拟确定风振响应。并据此优化结构布置与构件设计，主体结构在强风作用下应具有稳定性与安全性。</w:t>
      </w:r>
    </w:p>
    <w:p w14:paraId="0EB0247A">
      <w:pPr>
        <w:pStyle w:val="174"/>
        <w:adjustRightInd w:val="0"/>
        <w:snapToGrid w:val="0"/>
        <w:spacing w:line="360" w:lineRule="auto"/>
      </w:pPr>
      <w:r>
        <w:rPr>
          <w:rFonts w:hint="eastAsia"/>
        </w:rPr>
        <w:t>围护结构应与主体结构有可靠连接，并能适应风荷载及其他作用引起的主体结构变形；</w:t>
      </w:r>
    </w:p>
    <w:p w14:paraId="148C00B7">
      <w:pPr>
        <w:pStyle w:val="174"/>
        <w:adjustRightInd w:val="0"/>
        <w:snapToGrid w:val="0"/>
        <w:spacing w:line="360" w:lineRule="auto"/>
      </w:pPr>
      <w:r>
        <w:rPr>
          <w:rFonts w:hint="eastAsia"/>
        </w:rPr>
        <w:t>墙面板与檩条连接、檩条与主体结构连接均应进行各种荷载工况组合下的承载力验算，必要时可进行连接部位的承载力试验。</w:t>
      </w:r>
    </w:p>
    <w:p w14:paraId="7A54D4D0">
      <w:pPr>
        <w:pStyle w:val="174"/>
        <w:adjustRightInd w:val="0"/>
        <w:snapToGrid w:val="0"/>
        <w:spacing w:line="360" w:lineRule="auto"/>
      </w:pPr>
      <w:r>
        <w:rPr>
          <w:rFonts w:hint="eastAsia"/>
        </w:rPr>
        <w:t xml:space="preserve">建筑物的端部、角部、悬挑较大部位的围护结构，应考虑局部风压增大的影响。 </w:t>
      </w:r>
    </w:p>
    <w:p w14:paraId="2DB08965">
      <w:pPr>
        <w:pStyle w:val="174"/>
        <w:adjustRightInd w:val="0"/>
        <w:snapToGrid w:val="0"/>
        <w:spacing w:line="360" w:lineRule="auto"/>
      </w:pPr>
      <w:r>
        <w:rPr>
          <w:rFonts w:hint="eastAsia"/>
        </w:rPr>
        <w:t>对于建筑结构安全等级或防水等级较高的金属屋面系统应进行抗风揭性能检测，检测结果应满足设计要求。</w:t>
      </w:r>
    </w:p>
    <w:p w14:paraId="66F7F1DC">
      <w:pPr>
        <w:pStyle w:val="174"/>
        <w:adjustRightInd w:val="0"/>
        <w:snapToGrid w:val="0"/>
        <w:spacing w:line="360" w:lineRule="auto"/>
      </w:pPr>
      <w:r>
        <w:rPr>
          <w:rFonts w:hint="eastAsia"/>
        </w:rPr>
        <w:t>结构计算时应注意在强风作用下构件变形满足规范要求。</w:t>
      </w:r>
    </w:p>
    <w:p w14:paraId="014BE535">
      <w:pPr>
        <w:pStyle w:val="165"/>
        <w:adjustRightInd w:val="0"/>
        <w:snapToGrid w:val="0"/>
        <w:spacing w:line="360" w:lineRule="auto"/>
      </w:pPr>
      <w:r>
        <w:rPr>
          <w:rFonts w:hint="eastAsia"/>
        </w:rPr>
        <w:t>建筑物节点设计应符合下列规定：</w:t>
      </w:r>
    </w:p>
    <w:p w14:paraId="7BAD784B">
      <w:pPr>
        <w:pStyle w:val="174"/>
        <w:numPr>
          <w:ilvl w:val="0"/>
          <w:numId w:val="47"/>
        </w:numPr>
        <w:adjustRightInd w:val="0"/>
        <w:snapToGrid w:val="0"/>
        <w:spacing w:line="360" w:lineRule="auto"/>
      </w:pPr>
      <w:r>
        <w:rPr>
          <w:rFonts w:hint="eastAsia"/>
        </w:rPr>
        <w:t>连接节点应充分考虑强风特性，遵循“强节点弱构件、传力清晰、冗余设防”的原则。</w:t>
      </w:r>
    </w:p>
    <w:p w14:paraId="5CCBD7AC">
      <w:pPr>
        <w:pStyle w:val="174"/>
        <w:numPr>
          <w:ilvl w:val="0"/>
          <w:numId w:val="47"/>
        </w:numPr>
        <w:adjustRightInd w:val="0"/>
        <w:snapToGrid w:val="0"/>
        <w:spacing w:line="360" w:lineRule="auto"/>
      </w:pPr>
      <w:r>
        <w:rPr>
          <w:rFonts w:hint="eastAsia"/>
        </w:rPr>
        <w:t>柱脚与基础的连接优先采用刚接。</w:t>
      </w:r>
    </w:p>
    <w:p w14:paraId="44230D30">
      <w:pPr>
        <w:pStyle w:val="174"/>
        <w:numPr>
          <w:ilvl w:val="0"/>
          <w:numId w:val="47"/>
        </w:numPr>
        <w:adjustRightInd w:val="0"/>
        <w:snapToGrid w:val="0"/>
        <w:spacing w:line="360" w:lineRule="auto"/>
      </w:pPr>
      <w:r>
        <w:rPr>
          <w:rFonts w:hint="eastAsia"/>
        </w:rPr>
        <w:t>柱脚连接应进行抗倾覆、抗风吸力的计算。</w:t>
      </w:r>
    </w:p>
    <w:p w14:paraId="73D99217">
      <w:pPr>
        <w:pStyle w:val="174"/>
        <w:numPr>
          <w:ilvl w:val="0"/>
          <w:numId w:val="47"/>
        </w:numPr>
        <w:adjustRightInd w:val="0"/>
        <w:snapToGrid w:val="0"/>
        <w:spacing w:line="360" w:lineRule="auto"/>
      </w:pPr>
      <w:r>
        <w:rPr>
          <w:rFonts w:hint="eastAsia"/>
        </w:rPr>
        <w:t>风吸力主导区域（屋面端区、檐口等）需设置独立抗拔构件。</w:t>
      </w:r>
    </w:p>
    <w:p w14:paraId="7BD16B51">
      <w:pPr>
        <w:pStyle w:val="105"/>
        <w:spacing w:before="120" w:after="120"/>
      </w:pPr>
      <w:bookmarkStart w:id="161" w:name="_Toc18482"/>
      <w:bookmarkStart w:id="162" w:name="_Toc6514"/>
      <w:bookmarkStart w:id="163" w:name="_Toc228964664"/>
      <w:bookmarkStart w:id="164" w:name="_Toc10457"/>
      <w:r>
        <w:rPr>
          <w:rFonts w:hint="eastAsia"/>
        </w:rPr>
        <w:t>构支架</w:t>
      </w:r>
      <w:bookmarkEnd w:id="161"/>
      <w:bookmarkEnd w:id="162"/>
      <w:bookmarkEnd w:id="163"/>
      <w:bookmarkEnd w:id="164"/>
    </w:p>
    <w:p w14:paraId="25687EF5">
      <w:pPr>
        <w:pStyle w:val="165"/>
        <w:adjustRightInd w:val="0"/>
        <w:snapToGrid w:val="0"/>
        <w:spacing w:line="360" w:lineRule="auto"/>
      </w:pPr>
      <w:r>
        <w:rPr>
          <w:rFonts w:hint="eastAsia"/>
        </w:rPr>
        <w:t>构架柱宜选用钢管结构、角钢或钢管格构式结构、钢管混凝土结构等型式，构架梁宜选用三角形或矩形断面的格构式钢结构等型式。构架柱与构架梁结构型式应相互协调。</w:t>
      </w:r>
    </w:p>
    <w:p w14:paraId="72F06968">
      <w:pPr>
        <w:pStyle w:val="165"/>
        <w:adjustRightInd w:val="0"/>
        <w:snapToGrid w:val="0"/>
        <w:spacing w:line="360" w:lineRule="auto"/>
      </w:pPr>
      <w:r>
        <w:rPr>
          <w:rFonts w:hint="eastAsia"/>
        </w:rPr>
        <w:t>户外设备支架宜与构架的结构型式相协调，宜选用钢管结构、角钢或钢管格构式结构、钢管混凝土等结构型式。</w:t>
      </w:r>
    </w:p>
    <w:p w14:paraId="3BD77332">
      <w:pPr>
        <w:pStyle w:val="165"/>
        <w:adjustRightInd w:val="0"/>
        <w:snapToGrid w:val="0"/>
        <w:spacing w:line="360" w:lineRule="auto"/>
      </w:pPr>
      <w:r>
        <w:rPr>
          <w:rFonts w:hint="eastAsia"/>
        </w:rPr>
        <w:t>对采用A字形柱的构架宜设置双端撑。220kV及以上电压等级构架、±125kV及以上电压等级换流站构架连续跨数超过4跨应设置双端撑，110kV构架连续跨数超过12跨应设置双端撑。构架柱采用格构式结构或构架采用整体联合布置时，端撑根据计算要求确定。</w:t>
      </w:r>
    </w:p>
    <w:p w14:paraId="17C93167">
      <w:pPr>
        <w:pStyle w:val="165"/>
        <w:adjustRightInd w:val="0"/>
        <w:snapToGrid w:val="0"/>
        <w:spacing w:line="360" w:lineRule="auto"/>
      </w:pPr>
      <w:r>
        <w:rPr>
          <w:rFonts w:hint="eastAsia"/>
        </w:rPr>
        <w:t>构支架及避雷针应进行热浸镀锌防腐处理。</w:t>
      </w:r>
    </w:p>
    <w:p w14:paraId="6769F39B">
      <w:pPr>
        <w:pStyle w:val="165"/>
        <w:adjustRightInd w:val="0"/>
        <w:snapToGrid w:val="0"/>
        <w:spacing w:line="360" w:lineRule="auto"/>
      </w:pPr>
      <w:r>
        <w:rPr>
          <w:rFonts w:hint="eastAsia"/>
        </w:rPr>
        <w:t>构架避雷针、地线柱杆件主材宜选用圆钢管或角钢。</w:t>
      </w:r>
    </w:p>
    <w:p w14:paraId="4657BCF3">
      <w:pPr>
        <w:pStyle w:val="165"/>
        <w:adjustRightInd w:val="0"/>
        <w:snapToGrid w:val="0"/>
        <w:spacing w:line="360" w:lineRule="auto"/>
      </w:pPr>
      <w:r>
        <w:rPr>
          <w:rFonts w:hint="eastAsia"/>
        </w:rPr>
        <w:t>构架避雷针的总高度宜按不超过构架梁底标高的2倍控制。</w:t>
      </w:r>
    </w:p>
    <w:p w14:paraId="2D6D8678">
      <w:pPr>
        <w:pStyle w:val="165"/>
        <w:adjustRightInd w:val="0"/>
        <w:snapToGrid w:val="0"/>
        <w:spacing w:line="360" w:lineRule="auto"/>
      </w:pPr>
      <w:r>
        <w:rPr>
          <w:rFonts w:hint="eastAsia"/>
        </w:rPr>
        <w:t>构架钢结构截面的边数不小于4时，应按结构计算要求设置横隔面，横隔面应有满足规范要求的刚度，当构架高宽比大于6时，宜适当减小横隔面间距。</w:t>
      </w:r>
    </w:p>
    <w:p w14:paraId="0D409296">
      <w:pPr>
        <w:pStyle w:val="165"/>
        <w:adjustRightInd w:val="0"/>
        <w:snapToGrid w:val="0"/>
        <w:spacing w:line="360" w:lineRule="auto"/>
      </w:pPr>
      <w:r>
        <w:rPr>
          <w:rFonts w:hint="eastAsia"/>
        </w:rPr>
        <w:t>构支架正常使用工况下的变形，宜按DL/T 5457中挠度限值的0.9倍控制。</w:t>
      </w:r>
    </w:p>
    <w:p w14:paraId="2767BAFE">
      <w:pPr>
        <w:pStyle w:val="165"/>
        <w:adjustRightInd w:val="0"/>
        <w:snapToGrid w:val="0"/>
        <w:spacing w:line="360" w:lineRule="auto"/>
      </w:pPr>
      <w:r>
        <w:rPr>
          <w:rFonts w:hint="eastAsia"/>
        </w:rPr>
        <w:t>构支架连接节点极限承载能力不应低于被连接构件极限承载能力的1.15倍。</w:t>
      </w:r>
    </w:p>
    <w:p w14:paraId="0F419A15">
      <w:pPr>
        <w:pStyle w:val="165"/>
        <w:adjustRightInd w:val="0"/>
        <w:snapToGrid w:val="0"/>
        <w:spacing w:line="360" w:lineRule="auto"/>
      </w:pPr>
      <w:r>
        <w:rPr>
          <w:rFonts w:hint="eastAsia"/>
        </w:rPr>
        <w:t>构支架与基础采用杯口灌浆连接时，钢管埋入基础杯口部分应焊有不少于三道钢箍，钢箍间的最大间距为200mm。当杯壁厚度与杯壁高度之比≥0.5时，杯壁可不配置构造钢筋。</w:t>
      </w:r>
    </w:p>
    <w:p w14:paraId="53954BC8">
      <w:pPr>
        <w:pStyle w:val="165"/>
        <w:adjustRightInd w:val="0"/>
        <w:snapToGrid w:val="0"/>
        <w:spacing w:line="360" w:lineRule="auto"/>
      </w:pPr>
      <w:r>
        <w:rPr>
          <w:rFonts w:hint="eastAsia"/>
        </w:rPr>
        <w:t>构支架柱插入基础杯口的深度除应满足计算要求外，还应符合下列规定：</w:t>
      </w:r>
    </w:p>
    <w:p w14:paraId="404749E3">
      <w:pPr>
        <w:pStyle w:val="174"/>
        <w:numPr>
          <w:ilvl w:val="0"/>
          <w:numId w:val="48"/>
        </w:numPr>
        <w:adjustRightInd w:val="0"/>
        <w:snapToGrid w:val="0"/>
        <w:spacing w:line="360" w:lineRule="auto"/>
      </w:pPr>
      <w:r>
        <w:rPr>
          <w:rFonts w:hint="eastAsia"/>
        </w:rPr>
        <w:t>设备支架不应小于1.5D；</w:t>
      </w:r>
    </w:p>
    <w:p w14:paraId="11AF2527">
      <w:pPr>
        <w:pStyle w:val="174"/>
        <w:numPr>
          <w:ilvl w:val="0"/>
          <w:numId w:val="48"/>
        </w:numPr>
        <w:adjustRightInd w:val="0"/>
        <w:snapToGrid w:val="0"/>
        <w:spacing w:line="360" w:lineRule="auto"/>
      </w:pPr>
      <w:r>
        <w:rPr>
          <w:rFonts w:hint="eastAsia"/>
        </w:rPr>
        <w:t>构架不应小于1.8D。</w:t>
      </w:r>
    </w:p>
    <w:p w14:paraId="4EF89179">
      <w:pPr>
        <w:pStyle w:val="174"/>
        <w:numPr>
          <w:ilvl w:val="0"/>
          <w:numId w:val="0"/>
        </w:numPr>
        <w:adjustRightInd w:val="0"/>
        <w:snapToGrid w:val="0"/>
        <w:spacing w:line="360" w:lineRule="auto"/>
        <w:ind w:left="425"/>
      </w:pPr>
      <w:r>
        <w:rPr>
          <w:rFonts w:hint="eastAsia"/>
        </w:rPr>
        <w:t>其中，D为钢管或钢管混凝土杆外直径。</w:t>
      </w:r>
    </w:p>
    <w:p w14:paraId="250E1C49">
      <w:pPr>
        <w:pStyle w:val="165"/>
        <w:adjustRightInd w:val="0"/>
        <w:snapToGrid w:val="0"/>
        <w:spacing w:line="360" w:lineRule="auto"/>
      </w:pPr>
      <w:r>
        <w:rPr>
          <w:rFonts w:hint="eastAsia"/>
        </w:rPr>
        <w:t>构支架与基础采用预埋地脚螺栓连接时，应采用双螺母；地脚螺栓的直径和数量应按计算确定，但直径不应小于20mm，数量不应少于6个。</w:t>
      </w:r>
    </w:p>
    <w:p w14:paraId="51DA7B38">
      <w:pPr>
        <w:pStyle w:val="165"/>
        <w:adjustRightInd w:val="0"/>
        <w:snapToGrid w:val="0"/>
        <w:spacing w:line="360" w:lineRule="auto"/>
      </w:pPr>
      <w:r>
        <w:rPr>
          <w:rFonts w:hint="eastAsia"/>
        </w:rPr>
        <w:t>构支架普通连接螺栓应规定防松措施，防松措施可用双螺母或扣紧螺母。构架导地线挂点处螺栓宜采用双螺母防松措施。</w:t>
      </w:r>
    </w:p>
    <w:p w14:paraId="1A714E79">
      <w:pPr>
        <w:pStyle w:val="165"/>
        <w:adjustRightInd w:val="0"/>
        <w:snapToGrid w:val="0"/>
        <w:spacing w:line="360" w:lineRule="auto"/>
      </w:pPr>
      <w:r>
        <w:rPr>
          <w:rFonts w:hint="eastAsia"/>
        </w:rPr>
        <w:t>构支架法兰连接螺栓宜采用8.8级及以上螺栓，数量不应少于8个；其他连接螺栓宜采用6.8级及以上C级螺栓，直径不宜小于12mm，以控制节点板尺寸。</w:t>
      </w:r>
    </w:p>
    <w:p w14:paraId="742F36AA">
      <w:pPr>
        <w:pStyle w:val="165"/>
        <w:adjustRightInd w:val="0"/>
        <w:snapToGrid w:val="0"/>
        <w:spacing w:line="360" w:lineRule="auto"/>
      </w:pPr>
      <w:r>
        <w:rPr>
          <w:rFonts w:hint="eastAsia"/>
        </w:rPr>
        <w:t>构支架连接法兰宜选用刚性法兰，法兰板厚度除满足计算要求外，不应小于18mm；法兰加劲肋厚度不应小于8mm。</w:t>
      </w:r>
    </w:p>
    <w:p w14:paraId="63FC4688">
      <w:pPr>
        <w:pStyle w:val="105"/>
        <w:spacing w:before="120" w:after="120"/>
      </w:pPr>
      <w:bookmarkStart w:id="165" w:name="_Toc29976"/>
      <w:bookmarkStart w:id="166" w:name="_Toc24840"/>
      <w:bookmarkStart w:id="167" w:name="_Toc6660"/>
      <w:bookmarkStart w:id="168" w:name="_Toc228964665"/>
      <w:r>
        <w:rPr>
          <w:rFonts w:hint="eastAsia"/>
        </w:rPr>
        <w:t>其它构筑物</w:t>
      </w:r>
      <w:bookmarkEnd w:id="165"/>
      <w:bookmarkEnd w:id="166"/>
      <w:bookmarkEnd w:id="167"/>
      <w:bookmarkEnd w:id="168"/>
    </w:p>
    <w:p w14:paraId="1F272FC6">
      <w:pPr>
        <w:pStyle w:val="165"/>
        <w:adjustRightInd w:val="0"/>
        <w:snapToGrid w:val="0"/>
        <w:spacing w:line="360" w:lineRule="auto"/>
      </w:pPr>
      <w:r>
        <w:rPr>
          <w:rFonts w:hint="eastAsia"/>
        </w:rPr>
        <w:t>独立避雷针、避雷线塔宜选用三角形或矩形断面的格构式钢结构。构架避雷针应与构架结构型式相协调，宜选用格构式结构。</w:t>
      </w:r>
    </w:p>
    <w:p w14:paraId="53384693">
      <w:pPr>
        <w:pStyle w:val="165"/>
        <w:adjustRightInd w:val="0"/>
        <w:snapToGrid w:val="0"/>
        <w:spacing w:line="360" w:lineRule="auto"/>
      </w:pPr>
      <w:r>
        <w:rPr>
          <w:rFonts w:hint="eastAsia"/>
        </w:rPr>
        <w:t>格构式避雷针针顶水平位移宜控制在H/100以内（H为避雷针高度），对钢管混凝土取H/70。最终变形应满足结构安全与设备正常运行要求。</w:t>
      </w:r>
    </w:p>
    <w:p w14:paraId="5EC3A8B9">
      <w:pPr>
        <w:pStyle w:val="165"/>
        <w:adjustRightInd w:val="0"/>
        <w:snapToGrid w:val="0"/>
        <w:spacing w:line="360" w:lineRule="auto"/>
      </w:pPr>
      <w:r>
        <w:rPr>
          <w:rFonts w:hint="eastAsia"/>
        </w:rPr>
        <w:t>独立避雷针基础设计应进行抗倾覆验算。独立避雷针与基础采用地脚螺栓进行连接时，地脚螺栓直径不宜小于24mm，并采用双螺母防松。所有法兰板和加劲肋等焊接部位应满焊，焊缝质量应符合GB50017的要求。</w:t>
      </w:r>
    </w:p>
    <w:p w14:paraId="5371F223">
      <w:pPr>
        <w:pStyle w:val="165"/>
        <w:adjustRightInd w:val="0"/>
        <w:snapToGrid w:val="0"/>
        <w:spacing w:line="360" w:lineRule="auto"/>
      </w:pPr>
      <w:r>
        <w:rPr>
          <w:rFonts w:hint="eastAsia"/>
        </w:rPr>
        <w:t>围墙抗风柱宜采用现浇钢筋混凝土结构，填充墙与抗风柱之间设置拉结钢筋。围墙压顶应考虑抗风措施，与墙体可靠连接。</w:t>
      </w:r>
    </w:p>
    <w:p w14:paraId="6DF8494E">
      <w:pPr>
        <w:pStyle w:val="165"/>
        <w:adjustRightInd w:val="0"/>
        <w:snapToGrid w:val="0"/>
        <w:spacing w:line="360" w:lineRule="auto"/>
      </w:pPr>
      <w:r>
        <w:rPr>
          <w:rFonts w:hint="eastAsia"/>
        </w:rPr>
        <w:t>对于围墙+隔声屏障型式，宜优先加高围墙高度，减小围墙上隔声屏障的高度。围墙高度不应低于2.5m，也不宜超过6m；围墙上隔声屏障高度不宜超过3m。</w:t>
      </w:r>
    </w:p>
    <w:p w14:paraId="4B1FC789">
      <w:pPr>
        <w:pStyle w:val="165"/>
        <w:adjustRightInd w:val="0"/>
        <w:snapToGrid w:val="0"/>
        <w:spacing w:line="360" w:lineRule="auto"/>
      </w:pPr>
      <w:r>
        <w:rPr>
          <w:rFonts w:hint="eastAsia"/>
        </w:rPr>
        <w:t>围墙及隔声屏障立柱（含构造柱）间距不宜大于3m，不应大于4m。具体间距应通过结构抗风计算确定。围墙上声屏障立柱与围墙之间应可靠连接。</w:t>
      </w:r>
    </w:p>
    <w:p w14:paraId="61A31D43">
      <w:pPr>
        <w:pStyle w:val="165"/>
        <w:adjustRightInd w:val="0"/>
        <w:snapToGrid w:val="0"/>
        <w:spacing w:line="360" w:lineRule="auto"/>
      </w:pPr>
      <w:r>
        <w:rPr>
          <w:rFonts w:hint="eastAsia"/>
        </w:rPr>
        <w:t>隔声屏障一般采用H型钢柱+连系梁结构，声屏障板与立柱采用嵌入式连接方式，如图1所示。</w:t>
      </w:r>
    </w:p>
    <w:p w14:paraId="7324EF7A">
      <w:pPr>
        <w:pStyle w:val="114"/>
        <w:numPr>
          <w:ilvl w:val="0"/>
          <w:numId w:val="0"/>
        </w:numPr>
        <w:spacing w:before="120" w:after="120"/>
      </w:pPr>
      <w:r>
        <w:drawing>
          <wp:inline distT="0" distB="0" distL="0" distR="0">
            <wp:extent cx="4190365" cy="1085850"/>
            <wp:effectExtent l="0" t="0" r="63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4190365" cy="1085850"/>
                    </a:xfrm>
                    <a:prstGeom prst="rect">
                      <a:avLst/>
                    </a:prstGeom>
                    <a:noFill/>
                  </pic:spPr>
                </pic:pic>
              </a:graphicData>
            </a:graphic>
          </wp:inline>
        </w:drawing>
      </w:r>
    </w:p>
    <w:p w14:paraId="7B21503D">
      <w:pPr>
        <w:pStyle w:val="114"/>
        <w:numPr>
          <w:ilvl w:val="0"/>
          <w:numId w:val="0"/>
        </w:numPr>
        <w:spacing w:before="120" w:after="120"/>
      </w:pPr>
      <w:r>
        <w:rPr>
          <w:rFonts w:hint="eastAsia"/>
        </w:rPr>
        <w:t>图1　隔声屏障示意图</w:t>
      </w:r>
    </w:p>
    <w:p w14:paraId="3B19D494">
      <w:pPr>
        <w:pStyle w:val="165"/>
        <w:adjustRightInd w:val="0"/>
        <w:snapToGrid w:val="0"/>
        <w:spacing w:line="360" w:lineRule="auto"/>
      </w:pPr>
      <w:r>
        <w:rPr>
          <w:rFonts w:hint="eastAsia"/>
        </w:rPr>
        <w:t>落地式隔声屏障宜采用H型钢柱，当隔声屏障高度超过8m时，宜采用格构式钢柱。</w:t>
      </w:r>
    </w:p>
    <w:p w14:paraId="76FB6BEE">
      <w:pPr>
        <w:pStyle w:val="165"/>
        <w:adjustRightInd w:val="0"/>
        <w:snapToGrid w:val="0"/>
        <w:spacing w:line="360" w:lineRule="auto"/>
      </w:pPr>
      <w:r>
        <w:rPr>
          <w:rFonts w:hint="eastAsia"/>
        </w:rPr>
        <w:t>在风荷载的设计标准值作用下，隔声屏障立柱的顶点水平位移不应大于H/200（H为声屏障构件最大高度），残余变形不应大于H/500。隔声屏障板的跨中位移值不应大于L/100（L为屏体长度）。结构变形应满足国家标准GB50009等规范对围护结构的刚度控制要求。</w:t>
      </w:r>
    </w:p>
    <w:p w14:paraId="6276C3BA">
      <w:pPr>
        <w:pStyle w:val="165"/>
        <w:adjustRightInd w:val="0"/>
        <w:snapToGrid w:val="0"/>
        <w:spacing w:line="360" w:lineRule="auto"/>
      </w:pPr>
      <w:r>
        <w:rPr>
          <w:rFonts w:hint="eastAsia"/>
        </w:rPr>
        <w:t>隔声屏障板应设置龙骨，龙骨型材厚度不宜小于1.5mm，隔声屏障板及其加强龙骨应作为一个整体系统进行抗风设计。</w:t>
      </w:r>
    </w:p>
    <w:p w14:paraId="3FAE1DF9">
      <w:pPr>
        <w:pStyle w:val="165"/>
        <w:adjustRightInd w:val="0"/>
        <w:snapToGrid w:val="0"/>
        <w:spacing w:line="360" w:lineRule="auto"/>
      </w:pPr>
      <w:r>
        <w:rPr>
          <w:rFonts w:hint="eastAsia"/>
        </w:rPr>
        <w:t>隔声屏障板宜设置防坠落装置。防坠落装置应符合下列规定：</w:t>
      </w:r>
    </w:p>
    <w:p w14:paraId="2558DDB0">
      <w:pPr>
        <w:pStyle w:val="174"/>
        <w:numPr>
          <w:ilvl w:val="0"/>
          <w:numId w:val="49"/>
        </w:numPr>
        <w:adjustRightInd w:val="0"/>
        <w:snapToGrid w:val="0"/>
        <w:spacing w:line="360" w:lineRule="auto"/>
      </w:pPr>
      <w:r>
        <w:rPr>
          <w:rFonts w:hint="eastAsia"/>
        </w:rPr>
        <w:t>防坠落装置的防坠索宜采用直径不小于5mm的不锈钢丝绳。</w:t>
      </w:r>
    </w:p>
    <w:p w14:paraId="584C668B">
      <w:pPr>
        <w:pStyle w:val="174"/>
        <w:numPr>
          <w:ilvl w:val="0"/>
          <w:numId w:val="49"/>
        </w:numPr>
        <w:adjustRightInd w:val="0"/>
        <w:snapToGrid w:val="0"/>
        <w:spacing w:line="360" w:lineRule="auto"/>
      </w:pPr>
      <w:r>
        <w:rPr>
          <w:rFonts w:hint="eastAsia"/>
        </w:rPr>
        <w:t>防坠索宜布置在声屏障板内部，绳端应与立柱可靠固定。</w:t>
      </w:r>
    </w:p>
    <w:p w14:paraId="4C88D9E4">
      <w:pPr>
        <w:pStyle w:val="165"/>
        <w:adjustRightInd w:val="0"/>
        <w:snapToGrid w:val="0"/>
        <w:spacing w:line="360" w:lineRule="auto"/>
      </w:pPr>
      <w:r>
        <w:rPr>
          <w:rFonts w:hint="eastAsia"/>
        </w:rPr>
        <w:t>大门设计应与围墙统筹考虑，宜符合下列规定：</w:t>
      </w:r>
    </w:p>
    <w:p w14:paraId="73975DDA">
      <w:pPr>
        <w:pStyle w:val="174"/>
        <w:numPr>
          <w:ilvl w:val="0"/>
          <w:numId w:val="50"/>
        </w:numPr>
        <w:adjustRightInd w:val="0"/>
        <w:snapToGrid w:val="0"/>
        <w:spacing w:line="360" w:lineRule="auto"/>
      </w:pPr>
      <w:r>
        <w:rPr>
          <w:rFonts w:hint="eastAsia"/>
        </w:rPr>
        <w:t>优先采用与围墙结构可靠连接的钢结构框架门体。门柱宜采用现浇钢筋混凝土结构或嵌入式钢柱，其基础埋深及尺寸应进行抗倾覆验算，在设计风荷载下应保持稳定。</w:t>
      </w:r>
    </w:p>
    <w:p w14:paraId="676CB4F8">
      <w:pPr>
        <w:pStyle w:val="174"/>
        <w:numPr>
          <w:ilvl w:val="0"/>
          <w:numId w:val="50"/>
        </w:numPr>
        <w:adjustRightInd w:val="0"/>
        <w:snapToGrid w:val="0"/>
        <w:spacing w:line="360" w:lineRule="auto"/>
      </w:pPr>
      <w:r>
        <w:rPr>
          <w:rFonts w:hint="eastAsia"/>
        </w:rPr>
        <w:t>实体大门门扇应采用抗风压性能强的构造，支撑骨架采用冷拉高频焊接方钢管，截面不小于100×3.0mm。</w:t>
      </w:r>
    </w:p>
    <w:p w14:paraId="1CD484AB">
      <w:pPr>
        <w:pStyle w:val="174"/>
        <w:numPr>
          <w:ilvl w:val="0"/>
          <w:numId w:val="50"/>
        </w:numPr>
        <w:adjustRightInd w:val="0"/>
        <w:snapToGrid w:val="0"/>
        <w:spacing w:line="360" w:lineRule="auto"/>
      </w:pPr>
      <w:r>
        <w:rPr>
          <w:rFonts w:hint="eastAsia"/>
        </w:rPr>
        <w:t>大门轨道（如有）应敷设于钢筋混凝土基础上。</w:t>
      </w:r>
    </w:p>
    <w:p w14:paraId="03DE47A2">
      <w:pPr>
        <w:pStyle w:val="174"/>
        <w:numPr>
          <w:ilvl w:val="0"/>
          <w:numId w:val="50"/>
        </w:numPr>
        <w:adjustRightInd w:val="0"/>
        <w:snapToGrid w:val="0"/>
        <w:spacing w:line="360" w:lineRule="auto"/>
      </w:pPr>
      <w:r>
        <w:rPr>
          <w:rFonts w:hint="eastAsia"/>
        </w:rPr>
        <w:t>大门底部应设置可拆卸的嵌入式防水挡板或安装自动充气式防水密封条。挡板高度应根据站址可能的积水深度确定，但不应低于0.8m。</w:t>
      </w:r>
    </w:p>
    <w:p w14:paraId="1E04E66D">
      <w:pPr>
        <w:pStyle w:val="165"/>
        <w:adjustRightInd w:val="0"/>
        <w:snapToGrid w:val="0"/>
        <w:spacing w:line="360" w:lineRule="auto"/>
      </w:pPr>
      <w:r>
        <w:rPr>
          <w:rFonts w:hint="eastAsia"/>
        </w:rPr>
        <w:t>消防器材小间宜符合下列规定：</w:t>
      </w:r>
    </w:p>
    <w:p w14:paraId="6924E9D6">
      <w:pPr>
        <w:pStyle w:val="174"/>
        <w:numPr>
          <w:ilvl w:val="0"/>
          <w:numId w:val="51"/>
        </w:numPr>
        <w:adjustRightInd w:val="0"/>
        <w:snapToGrid w:val="0"/>
        <w:spacing w:line="360" w:lineRule="auto"/>
      </w:pPr>
      <w:r>
        <w:rPr>
          <w:rFonts w:hint="eastAsia"/>
        </w:rPr>
        <w:t>采用现浇钢筋混凝土框架结构或具有同等抗风能力的整体结构，围护墙体应与主体结构可靠拉结，屋面宜采用现浇钢筋混凝土板；</w:t>
      </w:r>
    </w:p>
    <w:p w14:paraId="0C9D38FC">
      <w:pPr>
        <w:pStyle w:val="174"/>
        <w:numPr>
          <w:ilvl w:val="0"/>
          <w:numId w:val="51"/>
        </w:numPr>
        <w:adjustRightInd w:val="0"/>
        <w:snapToGrid w:val="0"/>
        <w:spacing w:line="360" w:lineRule="auto"/>
      </w:pPr>
      <w:r>
        <w:rPr>
          <w:rFonts w:hint="eastAsia"/>
        </w:rPr>
        <w:t>门窗应向外开启，并采用抗风压性能等级不低于抗风压5级的产品。门外侧需设置抗风挡杆，并有防脱落的固定措施；</w:t>
      </w:r>
    </w:p>
    <w:p w14:paraId="2A565193">
      <w:pPr>
        <w:pStyle w:val="174"/>
        <w:numPr>
          <w:ilvl w:val="0"/>
          <w:numId w:val="51"/>
        </w:numPr>
        <w:adjustRightInd w:val="0"/>
        <w:snapToGrid w:val="0"/>
        <w:spacing w:line="360" w:lineRule="auto"/>
      </w:pPr>
      <w:r>
        <w:rPr>
          <w:rFonts w:hint="eastAsia"/>
        </w:rPr>
        <w:t>内部消防器材柜应通过地脚螺栓或背栓系统与建筑主体结构（墙体或地面）牢固固定。灭火器等小型器材宜设置固定卡具。</w:t>
      </w:r>
    </w:p>
    <w:p w14:paraId="15C0165E">
      <w:pPr>
        <w:pStyle w:val="165"/>
        <w:adjustRightInd w:val="0"/>
        <w:snapToGrid w:val="0"/>
        <w:spacing w:line="360" w:lineRule="auto"/>
      </w:pPr>
      <w:r>
        <w:rPr>
          <w:rFonts w:hint="eastAsia"/>
        </w:rPr>
        <w:t>场地照明灯杆设计宜符合下列规定：</w:t>
      </w:r>
    </w:p>
    <w:p w14:paraId="7A0A6146">
      <w:pPr>
        <w:pStyle w:val="174"/>
        <w:numPr>
          <w:ilvl w:val="0"/>
          <w:numId w:val="52"/>
        </w:numPr>
        <w:adjustRightInd w:val="0"/>
        <w:snapToGrid w:val="0"/>
        <w:spacing w:line="360" w:lineRule="auto"/>
      </w:pPr>
      <w:r>
        <w:rPr>
          <w:rFonts w:hint="eastAsia"/>
        </w:rPr>
        <w:t>采用风光储一体化灯杆应进行抗台风验算；</w:t>
      </w:r>
    </w:p>
    <w:p w14:paraId="4FCDA3D4">
      <w:pPr>
        <w:pStyle w:val="174"/>
        <w:numPr>
          <w:ilvl w:val="0"/>
          <w:numId w:val="52"/>
        </w:numPr>
        <w:adjustRightInd w:val="0"/>
        <w:snapToGrid w:val="0"/>
        <w:spacing w:line="360" w:lineRule="auto"/>
      </w:pPr>
      <w:r>
        <w:rPr>
          <w:rFonts w:hint="eastAsia"/>
        </w:rPr>
        <w:t>灯杆基础设计进行抗倾覆验算。杆体与基础采用地脚螺栓进行连接时，应采用双螺母防松。</w:t>
      </w:r>
    </w:p>
    <w:p w14:paraId="3E00F735">
      <w:pPr>
        <w:pStyle w:val="165"/>
        <w:adjustRightInd w:val="0"/>
        <w:snapToGrid w:val="0"/>
        <w:spacing w:line="360" w:lineRule="auto"/>
      </w:pPr>
      <w:r>
        <w:rPr>
          <w:rFonts w:hint="eastAsia"/>
        </w:rPr>
        <w:t>户外电缆沟盖板应具备抗风揭能力和结构强度。</w:t>
      </w:r>
    </w:p>
    <w:p w14:paraId="1B603101">
      <w:pPr>
        <w:pStyle w:val="105"/>
        <w:spacing w:before="120" w:after="120"/>
      </w:pPr>
      <w:bookmarkStart w:id="169" w:name="_Toc23767"/>
      <w:bookmarkStart w:id="170" w:name="_Toc26783"/>
      <w:bookmarkStart w:id="171" w:name="_Toc21194"/>
      <w:bookmarkStart w:id="172" w:name="_Toc228964666"/>
      <w:r>
        <w:rPr>
          <w:rFonts w:hint="eastAsia"/>
        </w:rPr>
        <w:t>台风防汛</w:t>
      </w:r>
      <w:bookmarkEnd w:id="169"/>
      <w:bookmarkEnd w:id="170"/>
      <w:bookmarkEnd w:id="171"/>
      <w:bookmarkEnd w:id="172"/>
    </w:p>
    <w:p w14:paraId="51384B01">
      <w:pPr>
        <w:pStyle w:val="165"/>
        <w:adjustRightInd w:val="0"/>
        <w:snapToGrid w:val="0"/>
        <w:spacing w:line="360" w:lineRule="auto"/>
      </w:pPr>
      <w:r>
        <w:rPr>
          <w:rFonts w:hint="eastAsia"/>
        </w:rPr>
        <w:t>建筑物室内地坪设计标高应满足防洪和内涝防治要求。室内地坪标高宜高出站区室外设计地坪0.6m。</w:t>
      </w:r>
    </w:p>
    <w:p w14:paraId="72169F62">
      <w:pPr>
        <w:pStyle w:val="165"/>
        <w:adjustRightInd w:val="0"/>
        <w:snapToGrid w:val="0"/>
        <w:spacing w:line="360" w:lineRule="auto"/>
      </w:pPr>
      <w:r>
        <w:rPr>
          <w:rFonts w:hint="eastAsia"/>
        </w:rPr>
        <w:t>建筑物屋面坡度应结合屋面结构形式、当地暴雨强度及屋面排水方式综合确定。平屋面设计排水坡度不应小于3%，宜采用结构找坡。</w:t>
      </w:r>
    </w:p>
    <w:p w14:paraId="6F88DBA1">
      <w:pPr>
        <w:pStyle w:val="165"/>
        <w:adjustRightInd w:val="0"/>
        <w:snapToGrid w:val="0"/>
        <w:spacing w:line="360" w:lineRule="auto"/>
      </w:pPr>
      <w:r>
        <w:rPr>
          <w:rFonts w:hint="eastAsia"/>
        </w:rPr>
        <w:t>站区排水与防倒灌应符合下列规定：</w:t>
      </w:r>
    </w:p>
    <w:p w14:paraId="270CE6E7">
      <w:pPr>
        <w:pStyle w:val="174"/>
        <w:numPr>
          <w:ilvl w:val="0"/>
          <w:numId w:val="53"/>
        </w:numPr>
        <w:adjustRightInd w:val="0"/>
        <w:snapToGrid w:val="0"/>
        <w:spacing w:line="360" w:lineRule="auto"/>
      </w:pPr>
      <w:r>
        <w:rPr>
          <w:rFonts w:hint="eastAsia"/>
        </w:rPr>
        <w:t>站区场地设计坡度应根据设备布置、土质条件、排水方式和地形确定，坡度宜为0.5%～2%，且不应小于0.3%，以保证地面雨水能迅速排入雨水管网；</w:t>
      </w:r>
    </w:p>
    <w:p w14:paraId="78F6B01F">
      <w:pPr>
        <w:pStyle w:val="174"/>
        <w:numPr>
          <w:ilvl w:val="0"/>
          <w:numId w:val="53"/>
        </w:numPr>
        <w:adjustRightInd w:val="0"/>
        <w:snapToGrid w:val="0"/>
        <w:spacing w:line="360" w:lineRule="auto"/>
      </w:pPr>
      <w:r>
        <w:rPr>
          <w:rFonts w:hint="eastAsia"/>
        </w:rPr>
        <w:t>站区雨水排水系统设计重现期应在GB 50014及DL/T 5143基准值上提级执行，结合工程电压等级、重要性及台风影响程度确定具体标准；排水管沟过流能力预留20%以上裕度，纵向坡度不小于0.5%，管材及接口应密封可靠、抗外压、抗冲刷且防淤积；</w:t>
      </w:r>
    </w:p>
    <w:p w14:paraId="04BB5302">
      <w:pPr>
        <w:pStyle w:val="174"/>
        <w:numPr>
          <w:ilvl w:val="0"/>
          <w:numId w:val="53"/>
        </w:numPr>
        <w:adjustRightInd w:val="0"/>
        <w:snapToGrid w:val="0"/>
        <w:spacing w:line="360" w:lineRule="auto"/>
      </w:pPr>
      <w:r>
        <w:rPr>
          <w:rFonts w:hint="eastAsia"/>
        </w:rPr>
        <w:t>站区出入口的设计标高宜高于进站道路引接的站外道路标高。当不满足要求时，应有防止雨水倒灌的措施；</w:t>
      </w:r>
    </w:p>
    <w:p w14:paraId="6C3B9E0A">
      <w:pPr>
        <w:pStyle w:val="174"/>
        <w:numPr>
          <w:ilvl w:val="0"/>
          <w:numId w:val="53"/>
        </w:numPr>
        <w:adjustRightInd w:val="0"/>
        <w:snapToGrid w:val="0"/>
        <w:spacing w:line="360" w:lineRule="auto"/>
      </w:pPr>
      <w:r>
        <w:rPr>
          <w:rFonts w:hint="eastAsia"/>
        </w:rPr>
        <w:t>站外挖方边坡顶部、底部应根据汇水情况设置截水、挡水措施，站区周边排水渠需保持畅通，定期清理淤积；</w:t>
      </w:r>
    </w:p>
    <w:p w14:paraId="11E83685">
      <w:pPr>
        <w:pStyle w:val="174"/>
        <w:numPr>
          <w:ilvl w:val="0"/>
          <w:numId w:val="53"/>
        </w:numPr>
        <w:adjustRightInd w:val="0"/>
        <w:snapToGrid w:val="0"/>
        <w:spacing w:line="360" w:lineRule="auto"/>
      </w:pPr>
      <w:r>
        <w:rPr>
          <w:rFonts w:hint="eastAsia"/>
        </w:rPr>
        <w:t>电缆沟、管沟等地下构筑物进出口需严密封堵并设置排水孔及集水设施；</w:t>
      </w:r>
    </w:p>
    <w:p w14:paraId="45DA8C19">
      <w:pPr>
        <w:pStyle w:val="174"/>
        <w:numPr>
          <w:ilvl w:val="0"/>
          <w:numId w:val="53"/>
        </w:numPr>
        <w:adjustRightInd w:val="0"/>
        <w:snapToGrid w:val="0"/>
        <w:spacing w:line="360" w:lineRule="auto"/>
      </w:pPr>
      <w:r>
        <w:rPr>
          <w:rFonts w:hint="eastAsia"/>
        </w:rPr>
        <w:t>低洼区域及集水井应配置水位监测装置和备用排水泵组，满足极端暴雨应急排水需求；</w:t>
      </w:r>
    </w:p>
    <w:p w14:paraId="6C43819C">
      <w:pPr>
        <w:pStyle w:val="174"/>
        <w:numPr>
          <w:ilvl w:val="0"/>
          <w:numId w:val="53"/>
        </w:numPr>
        <w:adjustRightInd w:val="0"/>
        <w:snapToGrid w:val="0"/>
        <w:spacing w:line="360" w:lineRule="auto"/>
      </w:pPr>
      <w:r>
        <w:rPr>
          <w:rFonts w:hint="eastAsia"/>
        </w:rPr>
        <w:t>采用强排措施时，站外排水出口应安装逆止阀。排水系统需按防洪标准配置双回路动力保障。</w:t>
      </w:r>
    </w:p>
    <w:p w14:paraId="3190DB14">
      <w:pPr>
        <w:pStyle w:val="165"/>
        <w:adjustRightInd w:val="0"/>
        <w:snapToGrid w:val="0"/>
        <w:spacing w:line="360" w:lineRule="auto"/>
      </w:pPr>
      <w:r>
        <w:rPr>
          <w:rFonts w:hint="eastAsia"/>
        </w:rPr>
        <w:t>通往建筑物及穿越站区围墙的电缆沟（隧道）进出口，应采用防火防水不燃材料严密封堵，防水性能不低于电缆沟本体。</w:t>
      </w:r>
    </w:p>
    <w:p w14:paraId="0FA338D0">
      <w:pPr>
        <w:pStyle w:val="165"/>
        <w:snapToGrid w:val="0"/>
        <w:spacing w:line="360" w:lineRule="auto"/>
      </w:pPr>
      <w:r>
        <w:rPr>
          <w:rFonts w:hint="eastAsia"/>
        </w:rPr>
        <w:t>边坡及挡土墙的排水系统应长期自流畅通，排水孔、盲沟等构造应能有效防止淤塞，并便于运行期维护。</w:t>
      </w:r>
    </w:p>
    <w:p w14:paraId="4F9DDEEC">
      <w:pPr>
        <w:pStyle w:val="104"/>
        <w:spacing w:before="240" w:after="240"/>
      </w:pPr>
      <w:bookmarkStart w:id="173" w:name="_Toc12932"/>
      <w:bookmarkStart w:id="174" w:name="_Toc7436"/>
      <w:bookmarkStart w:id="175" w:name="_Toc6711"/>
      <w:bookmarkStart w:id="176" w:name="_Toc228964667"/>
      <w:r>
        <w:rPr>
          <w:rFonts w:hint="eastAsia"/>
        </w:rPr>
        <w:t>台风次生灾害防治</w:t>
      </w:r>
      <w:bookmarkEnd w:id="173"/>
      <w:bookmarkEnd w:id="174"/>
      <w:bookmarkEnd w:id="175"/>
      <w:bookmarkEnd w:id="176"/>
    </w:p>
    <w:p w14:paraId="6EDFC68E">
      <w:pPr>
        <w:pStyle w:val="105"/>
        <w:spacing w:before="120" w:after="120"/>
      </w:pPr>
      <w:bookmarkStart w:id="177" w:name="_Toc6584"/>
      <w:bookmarkStart w:id="178" w:name="_Toc228964668"/>
      <w:bookmarkStart w:id="179" w:name="_Toc5684"/>
      <w:bookmarkStart w:id="180" w:name="_Toc10376"/>
      <w:r>
        <w:rPr>
          <w:rFonts w:hint="eastAsia"/>
        </w:rPr>
        <w:t>飞射物防护</w:t>
      </w:r>
      <w:bookmarkEnd w:id="177"/>
      <w:bookmarkEnd w:id="178"/>
      <w:bookmarkEnd w:id="179"/>
      <w:bookmarkEnd w:id="180"/>
    </w:p>
    <w:p w14:paraId="5ACBBECE">
      <w:pPr>
        <w:pStyle w:val="165"/>
        <w:adjustRightInd w:val="0"/>
        <w:snapToGrid w:val="0"/>
        <w:spacing w:line="360" w:lineRule="auto"/>
      </w:pPr>
      <w:r>
        <w:rPr>
          <w:rFonts w:hint="eastAsia"/>
        </w:rPr>
        <w:t>在站址选择和总平面布置阶段，应评估站区周边的潜在危险源，如高大树木、临时建筑、广告牌、塑料大棚等，分析其在台风中成为飞射物的风险。</w:t>
      </w:r>
    </w:p>
    <w:p w14:paraId="075CC1BC">
      <w:pPr>
        <w:pStyle w:val="165"/>
        <w:adjustRightInd w:val="0"/>
        <w:snapToGrid w:val="0"/>
        <w:spacing w:line="360" w:lineRule="auto"/>
      </w:pPr>
      <w:r>
        <w:rPr>
          <w:rFonts w:hint="eastAsia"/>
        </w:rPr>
        <w:t>围墙与潜在危险源之间应保持必要的安全距离。当无法满足安全距离时，应在设计中对</w:t>
      </w:r>
      <w:r>
        <w:rPr>
          <w:rFonts w:hint="eastAsia"/>
          <w:lang w:eastAsia="zh-CN"/>
        </w:rPr>
        <w:t>邻近</w:t>
      </w:r>
      <w:r>
        <w:rPr>
          <w:rFonts w:hint="eastAsia"/>
        </w:rPr>
        <w:t>的围墙、隔声屏障采取抗冲击加强措施。</w:t>
      </w:r>
    </w:p>
    <w:p w14:paraId="041DE0D8">
      <w:pPr>
        <w:pStyle w:val="165"/>
        <w:adjustRightInd w:val="0"/>
        <w:snapToGrid w:val="0"/>
        <w:spacing w:line="360" w:lineRule="auto"/>
      </w:pPr>
      <w:r>
        <w:rPr>
          <w:rFonts w:hint="eastAsia"/>
        </w:rPr>
        <w:t>围墙及隔声屏障的设计，除满足结构抗风要求外，还应考虑其承受常见飞射物冲击的防护能力。</w:t>
      </w:r>
    </w:p>
    <w:p w14:paraId="607512D1">
      <w:pPr>
        <w:pStyle w:val="105"/>
        <w:spacing w:before="120" w:after="120"/>
      </w:pPr>
      <w:bookmarkStart w:id="181" w:name="_Toc10838"/>
      <w:bookmarkStart w:id="182" w:name="_Toc228964669"/>
      <w:bookmarkStart w:id="183" w:name="_Toc4118"/>
      <w:bookmarkStart w:id="184" w:name="_Toc9674"/>
      <w:r>
        <w:rPr>
          <w:rFonts w:hint="eastAsia"/>
        </w:rPr>
        <w:t>应急排水与防倒灌</w:t>
      </w:r>
      <w:bookmarkEnd w:id="181"/>
      <w:bookmarkEnd w:id="182"/>
      <w:bookmarkEnd w:id="183"/>
      <w:bookmarkEnd w:id="184"/>
    </w:p>
    <w:p w14:paraId="6977C6F5">
      <w:pPr>
        <w:pStyle w:val="165"/>
        <w:adjustRightInd w:val="0"/>
        <w:snapToGrid w:val="0"/>
        <w:spacing w:line="360" w:lineRule="auto"/>
      </w:pPr>
      <w:r>
        <w:rPr>
          <w:rFonts w:hint="eastAsia"/>
        </w:rPr>
        <w:t>应急排水泵组应设备用泵，并配置自动交替运行控制装置。泵组应设置独立的备用电源。</w:t>
      </w:r>
    </w:p>
    <w:p w14:paraId="795E15EE">
      <w:pPr>
        <w:pStyle w:val="165"/>
        <w:adjustRightInd w:val="0"/>
        <w:snapToGrid w:val="0"/>
        <w:spacing w:line="360" w:lineRule="auto"/>
      </w:pPr>
      <w:r>
        <w:rPr>
          <w:rFonts w:hint="eastAsia"/>
        </w:rPr>
        <w:t>站区其他排水与防涝设计，还应符合本规程第9.4节的规定。</w:t>
      </w:r>
    </w:p>
    <w:p w14:paraId="37374C30">
      <w:pPr>
        <w:pStyle w:val="105"/>
        <w:spacing w:before="120" w:after="120"/>
      </w:pPr>
      <w:bookmarkStart w:id="185" w:name="_Toc20239"/>
      <w:bookmarkStart w:id="186" w:name="_Toc228964670"/>
      <w:bookmarkStart w:id="187" w:name="_Toc31314"/>
      <w:bookmarkStart w:id="188" w:name="_Toc19329"/>
      <w:r>
        <w:rPr>
          <w:rFonts w:hint="eastAsia"/>
        </w:rPr>
        <w:t>应急供电与照明</w:t>
      </w:r>
      <w:bookmarkEnd w:id="185"/>
      <w:bookmarkEnd w:id="186"/>
      <w:bookmarkEnd w:id="187"/>
      <w:bookmarkEnd w:id="188"/>
    </w:p>
    <w:p w14:paraId="3027E190">
      <w:pPr>
        <w:pStyle w:val="165"/>
        <w:adjustRightInd w:val="0"/>
        <w:snapToGrid w:val="0"/>
        <w:spacing w:line="360" w:lineRule="auto"/>
      </w:pPr>
      <w:r>
        <w:rPr>
          <w:rFonts w:hint="eastAsia"/>
        </w:rPr>
        <w:t>主控室、配电装置室、应急排水泵房等重要场所，应设置由应急电源供电的应急照明。应急照明的持续供电时间不应少于90分钟。</w:t>
      </w:r>
    </w:p>
    <w:p w14:paraId="7E93DFC3">
      <w:pPr>
        <w:pStyle w:val="165"/>
        <w:adjustRightInd w:val="0"/>
        <w:snapToGrid w:val="0"/>
        <w:spacing w:line="360" w:lineRule="auto"/>
      </w:pPr>
      <w:r>
        <w:rPr>
          <w:rFonts w:hint="eastAsia"/>
        </w:rPr>
        <w:t>发电机组的布置位置应高于站区防涝设计标高，并满足进排风、降噪及燃油储备要求。</w:t>
      </w:r>
    </w:p>
    <w:p w14:paraId="38AAA61F">
      <w:pPr>
        <w:pStyle w:val="165"/>
        <w:adjustRightInd w:val="0"/>
        <w:snapToGrid w:val="0"/>
        <w:spacing w:line="360" w:lineRule="auto"/>
      </w:pPr>
      <w:r>
        <w:rPr>
          <w:rFonts w:hint="eastAsia"/>
        </w:rPr>
        <w:t>重要工程的应急电源系统，其切换装置、配电线路的设计应具备在台风极端天气下的可靠性与安全性。</w:t>
      </w:r>
    </w:p>
    <w:p w14:paraId="168884CD">
      <w:pPr>
        <w:pStyle w:val="104"/>
        <w:spacing w:before="240" w:after="240"/>
      </w:pPr>
      <w:bookmarkStart w:id="189" w:name="_Toc4005"/>
      <w:bookmarkStart w:id="190" w:name="_Toc228964671"/>
      <w:bookmarkStart w:id="191" w:name="_Toc19461"/>
      <w:bookmarkStart w:id="192" w:name="_Toc8554"/>
      <w:r>
        <w:rPr>
          <w:rFonts w:hint="eastAsia"/>
        </w:rPr>
        <w:t>运行维护及灾后评估与修复</w:t>
      </w:r>
      <w:bookmarkEnd w:id="189"/>
      <w:bookmarkEnd w:id="190"/>
      <w:bookmarkEnd w:id="191"/>
      <w:bookmarkEnd w:id="192"/>
    </w:p>
    <w:p w14:paraId="20A812BC">
      <w:pPr>
        <w:pStyle w:val="162"/>
        <w:adjustRightInd w:val="0"/>
        <w:snapToGrid w:val="0"/>
        <w:spacing w:line="360" w:lineRule="auto"/>
      </w:pPr>
      <w:r>
        <w:rPr>
          <w:rFonts w:hint="eastAsia"/>
        </w:rPr>
        <w:t>台风地区变电工程运行维护参见附录A。</w:t>
      </w:r>
    </w:p>
    <w:p w14:paraId="3E31BBF0">
      <w:pPr>
        <w:pStyle w:val="162"/>
        <w:adjustRightInd w:val="0"/>
        <w:snapToGrid w:val="0"/>
        <w:spacing w:line="360" w:lineRule="auto"/>
      </w:pPr>
      <w:r>
        <w:rPr>
          <w:rFonts w:hint="eastAsia"/>
        </w:rPr>
        <w:t>台风灾害后应启动灾后评估程序。评估工作应由运行单位组织，设计单位应参与重大灾害的现场调查与修复方案制定。</w:t>
      </w:r>
    </w:p>
    <w:p w14:paraId="6E86AB1A">
      <w:pPr>
        <w:pStyle w:val="162"/>
        <w:adjustRightInd w:val="0"/>
        <w:snapToGrid w:val="0"/>
        <w:spacing w:line="360" w:lineRule="auto"/>
      </w:pPr>
      <w:r>
        <w:rPr>
          <w:rFonts w:hint="eastAsia"/>
        </w:rPr>
        <w:t>灾后评估应分为初步巡查与详细评估两个阶段：</w:t>
      </w:r>
    </w:p>
    <w:p w14:paraId="79FF3133">
      <w:pPr>
        <w:pStyle w:val="174"/>
        <w:numPr>
          <w:ilvl w:val="0"/>
          <w:numId w:val="54"/>
        </w:numPr>
        <w:adjustRightInd w:val="0"/>
        <w:snapToGrid w:val="0"/>
        <w:spacing w:line="360" w:lineRule="auto"/>
      </w:pPr>
      <w:r>
        <w:rPr>
          <w:rFonts w:hint="eastAsia"/>
        </w:rPr>
        <w:t>初步巡查应在确保安全的前提下，快速排查设备功能状态、建（构）筑物整体稳定及次生灾害风险。</w:t>
      </w:r>
    </w:p>
    <w:p w14:paraId="71D8C81F">
      <w:pPr>
        <w:pStyle w:val="174"/>
        <w:numPr>
          <w:ilvl w:val="0"/>
          <w:numId w:val="54"/>
        </w:numPr>
        <w:adjustRightInd w:val="0"/>
        <w:snapToGrid w:val="0"/>
        <w:spacing w:line="360" w:lineRule="auto"/>
      </w:pPr>
      <w:r>
        <w:rPr>
          <w:rFonts w:hint="eastAsia"/>
        </w:rPr>
        <w:t>详细评估应依据本规程第6章的设计风荷载及第9章的土建设计要求，对受损部位进行结构安全复核。</w:t>
      </w:r>
    </w:p>
    <w:p w14:paraId="31905238">
      <w:pPr>
        <w:pStyle w:val="162"/>
        <w:adjustRightInd w:val="0"/>
        <w:snapToGrid w:val="0"/>
        <w:spacing w:line="360" w:lineRule="auto"/>
      </w:pPr>
      <w:r>
        <w:rPr>
          <w:rFonts w:hint="eastAsia"/>
        </w:rPr>
        <w:t>设备及设施的损伤等级应按下表4划分为三级，作为修复设计的依据。</w:t>
      </w:r>
    </w:p>
    <w:p w14:paraId="1C956252">
      <w:pPr>
        <w:pStyle w:val="112"/>
        <w:numPr>
          <w:ilvl w:val="0"/>
          <w:numId w:val="33"/>
        </w:numPr>
        <w:tabs>
          <w:tab w:val="clear" w:pos="0"/>
        </w:tabs>
        <w:spacing w:before="120" w:after="120"/>
      </w:pPr>
      <w:r>
        <w:rPr>
          <w:rFonts w:hint="eastAsia"/>
        </w:rPr>
        <w:t>设备及设施的损伤等级划分表</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3402"/>
        <w:gridCol w:w="3623"/>
      </w:tblGrid>
      <w:tr w14:paraId="05373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Borders>
              <w:top w:val="single" w:color="auto" w:sz="4" w:space="0"/>
              <w:left w:val="single" w:color="auto" w:sz="4" w:space="0"/>
              <w:bottom w:val="single" w:color="auto" w:sz="4" w:space="0"/>
              <w:right w:val="single" w:color="auto" w:sz="4" w:space="0"/>
            </w:tcBorders>
          </w:tcPr>
          <w:p w14:paraId="54E5E686">
            <w:pPr>
              <w:spacing w:line="360" w:lineRule="auto"/>
              <w:jc w:val="center"/>
              <w:rPr>
                <w:b/>
                <w:bCs/>
                <w:sz w:val="18"/>
                <w:szCs w:val="18"/>
              </w:rPr>
            </w:pPr>
            <w:r>
              <w:rPr>
                <w:rFonts w:hint="eastAsia"/>
                <w:b/>
                <w:bCs/>
                <w:sz w:val="18"/>
                <w:szCs w:val="18"/>
              </w:rPr>
              <w:t>损失等级</w:t>
            </w:r>
          </w:p>
        </w:tc>
        <w:tc>
          <w:tcPr>
            <w:tcW w:w="3402" w:type="dxa"/>
            <w:tcBorders>
              <w:top w:val="single" w:color="auto" w:sz="4" w:space="0"/>
              <w:left w:val="nil"/>
              <w:bottom w:val="single" w:color="auto" w:sz="4" w:space="0"/>
              <w:right w:val="single" w:color="auto" w:sz="4" w:space="0"/>
            </w:tcBorders>
          </w:tcPr>
          <w:p w14:paraId="0FD84B9E">
            <w:pPr>
              <w:spacing w:line="360" w:lineRule="auto"/>
              <w:jc w:val="center"/>
              <w:rPr>
                <w:b/>
                <w:bCs/>
                <w:sz w:val="18"/>
                <w:szCs w:val="18"/>
              </w:rPr>
            </w:pPr>
            <w:r>
              <w:rPr>
                <w:rFonts w:hint="eastAsia"/>
                <w:b/>
                <w:bCs/>
                <w:sz w:val="18"/>
                <w:szCs w:val="18"/>
              </w:rPr>
              <w:t>损失特征</w:t>
            </w:r>
          </w:p>
        </w:tc>
        <w:tc>
          <w:tcPr>
            <w:tcW w:w="3623" w:type="dxa"/>
            <w:tcBorders>
              <w:top w:val="single" w:color="auto" w:sz="4" w:space="0"/>
              <w:left w:val="nil"/>
              <w:bottom w:val="single" w:color="auto" w:sz="4" w:space="0"/>
              <w:right w:val="single" w:color="auto" w:sz="4" w:space="0"/>
            </w:tcBorders>
          </w:tcPr>
          <w:p w14:paraId="518C9031">
            <w:pPr>
              <w:spacing w:line="360" w:lineRule="auto"/>
              <w:jc w:val="center"/>
              <w:rPr>
                <w:b/>
                <w:bCs/>
                <w:sz w:val="18"/>
                <w:szCs w:val="18"/>
              </w:rPr>
            </w:pPr>
            <w:r>
              <w:rPr>
                <w:rFonts w:hint="eastAsia"/>
                <w:b/>
                <w:bCs/>
                <w:sz w:val="18"/>
                <w:szCs w:val="18"/>
              </w:rPr>
              <w:t>修复设计对策</w:t>
            </w:r>
          </w:p>
        </w:tc>
      </w:tr>
      <w:tr w14:paraId="1D41C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Borders>
              <w:top w:val="single" w:color="auto" w:sz="4" w:space="0"/>
              <w:left w:val="single" w:color="auto" w:sz="4" w:space="0"/>
              <w:bottom w:val="single" w:color="auto" w:sz="4" w:space="0"/>
              <w:right w:val="single" w:color="auto" w:sz="4" w:space="0"/>
            </w:tcBorders>
            <w:vAlign w:val="center"/>
          </w:tcPr>
          <w:p w14:paraId="1916D59E">
            <w:pPr>
              <w:spacing w:line="360" w:lineRule="auto"/>
              <w:jc w:val="center"/>
              <w:rPr>
                <w:sz w:val="18"/>
                <w:szCs w:val="18"/>
              </w:rPr>
            </w:pPr>
            <w:r>
              <w:rPr>
                <w:rFonts w:hint="eastAsia"/>
                <w:sz w:val="18"/>
                <w:szCs w:val="18"/>
              </w:rPr>
              <w:t>轻度</w:t>
            </w:r>
          </w:p>
        </w:tc>
        <w:tc>
          <w:tcPr>
            <w:tcW w:w="3402" w:type="dxa"/>
            <w:tcBorders>
              <w:top w:val="single" w:color="auto" w:sz="4" w:space="0"/>
              <w:left w:val="nil"/>
              <w:bottom w:val="single" w:color="auto" w:sz="4" w:space="0"/>
              <w:right w:val="single" w:color="auto" w:sz="4" w:space="0"/>
            </w:tcBorders>
          </w:tcPr>
          <w:p w14:paraId="2077EA0B">
            <w:pPr>
              <w:spacing w:line="360" w:lineRule="auto"/>
              <w:rPr>
                <w:sz w:val="18"/>
                <w:szCs w:val="18"/>
              </w:rPr>
            </w:pPr>
            <w:r>
              <w:rPr>
                <w:rFonts w:hint="eastAsia"/>
                <w:sz w:val="18"/>
                <w:szCs w:val="18"/>
              </w:rPr>
              <w:t>非承重构件局部损伤，设备功能正常</w:t>
            </w:r>
          </w:p>
        </w:tc>
        <w:tc>
          <w:tcPr>
            <w:tcW w:w="3623" w:type="dxa"/>
            <w:tcBorders>
              <w:top w:val="single" w:color="auto" w:sz="4" w:space="0"/>
              <w:left w:val="nil"/>
              <w:bottom w:val="single" w:color="auto" w:sz="4" w:space="0"/>
              <w:right w:val="single" w:color="auto" w:sz="4" w:space="0"/>
            </w:tcBorders>
          </w:tcPr>
          <w:p w14:paraId="03FC93FE">
            <w:pPr>
              <w:spacing w:line="360" w:lineRule="auto"/>
              <w:rPr>
                <w:sz w:val="18"/>
                <w:szCs w:val="18"/>
              </w:rPr>
            </w:pPr>
            <w:r>
              <w:rPr>
                <w:rFonts w:hint="eastAsia"/>
                <w:sz w:val="18"/>
                <w:szCs w:val="18"/>
              </w:rPr>
              <w:t>按原设计标准修复</w:t>
            </w:r>
          </w:p>
        </w:tc>
      </w:tr>
      <w:tr w14:paraId="04195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Borders>
              <w:top w:val="single" w:color="auto" w:sz="4" w:space="0"/>
              <w:left w:val="single" w:color="auto" w:sz="4" w:space="0"/>
              <w:bottom w:val="single" w:color="auto" w:sz="4" w:space="0"/>
              <w:right w:val="single" w:color="auto" w:sz="4" w:space="0"/>
            </w:tcBorders>
            <w:vAlign w:val="center"/>
          </w:tcPr>
          <w:p w14:paraId="3CF06216">
            <w:pPr>
              <w:spacing w:line="360" w:lineRule="auto"/>
              <w:jc w:val="center"/>
              <w:rPr>
                <w:sz w:val="18"/>
                <w:szCs w:val="18"/>
              </w:rPr>
            </w:pPr>
            <w:r>
              <w:rPr>
                <w:rFonts w:hint="eastAsia"/>
                <w:sz w:val="18"/>
                <w:szCs w:val="18"/>
              </w:rPr>
              <w:t>中度</w:t>
            </w:r>
          </w:p>
        </w:tc>
        <w:tc>
          <w:tcPr>
            <w:tcW w:w="3402" w:type="dxa"/>
            <w:tcBorders>
              <w:top w:val="single" w:color="auto" w:sz="4" w:space="0"/>
              <w:left w:val="nil"/>
              <w:bottom w:val="single" w:color="auto" w:sz="4" w:space="0"/>
              <w:right w:val="single" w:color="auto" w:sz="4" w:space="0"/>
            </w:tcBorders>
          </w:tcPr>
          <w:p w14:paraId="1045A5BA">
            <w:pPr>
              <w:spacing w:line="360" w:lineRule="auto"/>
              <w:rPr>
                <w:sz w:val="18"/>
                <w:szCs w:val="18"/>
              </w:rPr>
            </w:pPr>
            <w:r>
              <w:rPr>
                <w:rFonts w:hint="eastAsia"/>
                <w:sz w:val="18"/>
                <w:szCs w:val="18"/>
              </w:rPr>
              <w:t>承重构件一般性损伤，设备部分功能受限</w:t>
            </w:r>
          </w:p>
        </w:tc>
        <w:tc>
          <w:tcPr>
            <w:tcW w:w="3623" w:type="dxa"/>
            <w:tcBorders>
              <w:top w:val="single" w:color="auto" w:sz="4" w:space="0"/>
              <w:left w:val="nil"/>
              <w:bottom w:val="single" w:color="auto" w:sz="4" w:space="0"/>
              <w:right w:val="single" w:color="auto" w:sz="4" w:space="0"/>
            </w:tcBorders>
          </w:tcPr>
          <w:p w14:paraId="631397B3">
            <w:pPr>
              <w:spacing w:line="360" w:lineRule="auto"/>
              <w:rPr>
                <w:sz w:val="18"/>
                <w:szCs w:val="18"/>
              </w:rPr>
            </w:pPr>
            <w:r>
              <w:rPr>
                <w:rFonts w:hint="eastAsia"/>
                <w:sz w:val="18"/>
                <w:szCs w:val="18"/>
              </w:rPr>
              <w:t>按原标准修复，并对关键节点进行加强</w:t>
            </w:r>
          </w:p>
        </w:tc>
      </w:tr>
      <w:tr w14:paraId="426F6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Borders>
              <w:top w:val="single" w:color="auto" w:sz="4" w:space="0"/>
              <w:left w:val="single" w:color="auto" w:sz="4" w:space="0"/>
              <w:bottom w:val="single" w:color="auto" w:sz="4" w:space="0"/>
              <w:right w:val="single" w:color="auto" w:sz="4" w:space="0"/>
            </w:tcBorders>
            <w:vAlign w:val="center"/>
          </w:tcPr>
          <w:p w14:paraId="44B89A62">
            <w:pPr>
              <w:spacing w:line="360" w:lineRule="auto"/>
              <w:jc w:val="center"/>
              <w:rPr>
                <w:sz w:val="18"/>
                <w:szCs w:val="18"/>
              </w:rPr>
            </w:pPr>
            <w:r>
              <w:rPr>
                <w:rFonts w:hint="eastAsia"/>
                <w:sz w:val="18"/>
                <w:szCs w:val="18"/>
              </w:rPr>
              <w:t>重度</w:t>
            </w:r>
          </w:p>
        </w:tc>
        <w:tc>
          <w:tcPr>
            <w:tcW w:w="3402" w:type="dxa"/>
            <w:tcBorders>
              <w:top w:val="single" w:color="auto" w:sz="4" w:space="0"/>
              <w:left w:val="nil"/>
              <w:bottom w:val="single" w:color="auto" w:sz="4" w:space="0"/>
              <w:right w:val="single" w:color="auto" w:sz="4" w:space="0"/>
            </w:tcBorders>
          </w:tcPr>
          <w:p w14:paraId="3B6C7EBB">
            <w:pPr>
              <w:spacing w:line="360" w:lineRule="auto"/>
              <w:rPr>
                <w:sz w:val="18"/>
                <w:szCs w:val="18"/>
              </w:rPr>
            </w:pPr>
            <w:r>
              <w:rPr>
                <w:rFonts w:hint="eastAsia"/>
                <w:sz w:val="18"/>
                <w:szCs w:val="18"/>
              </w:rPr>
              <w:t>结构失稳或设备功能丧失</w:t>
            </w:r>
          </w:p>
        </w:tc>
        <w:tc>
          <w:tcPr>
            <w:tcW w:w="3623" w:type="dxa"/>
            <w:tcBorders>
              <w:top w:val="single" w:color="auto" w:sz="4" w:space="0"/>
              <w:left w:val="nil"/>
              <w:bottom w:val="single" w:color="auto" w:sz="4" w:space="0"/>
              <w:right w:val="single" w:color="auto" w:sz="4" w:space="0"/>
            </w:tcBorders>
          </w:tcPr>
          <w:p w14:paraId="18472206">
            <w:pPr>
              <w:spacing w:line="360" w:lineRule="auto"/>
              <w:rPr>
                <w:sz w:val="18"/>
                <w:szCs w:val="18"/>
              </w:rPr>
            </w:pPr>
            <w:r>
              <w:rPr>
                <w:rFonts w:hint="eastAsia"/>
                <w:sz w:val="18"/>
                <w:szCs w:val="18"/>
              </w:rPr>
              <w:t>按不低于原设计标准重建或更换</w:t>
            </w:r>
          </w:p>
        </w:tc>
      </w:tr>
    </w:tbl>
    <w:p w14:paraId="64AC5053">
      <w:pPr>
        <w:pStyle w:val="162"/>
        <w:adjustRightInd w:val="0"/>
        <w:snapToGrid w:val="0"/>
        <w:spacing w:line="360" w:lineRule="auto"/>
      </w:pPr>
      <w:r>
        <w:rPr>
          <w:rFonts w:hint="eastAsia"/>
        </w:rPr>
        <w:t>修复设计应遵循以下原则：</w:t>
      </w:r>
    </w:p>
    <w:p w14:paraId="5CB7BF21">
      <w:pPr>
        <w:pStyle w:val="174"/>
        <w:numPr>
          <w:ilvl w:val="0"/>
          <w:numId w:val="55"/>
        </w:numPr>
        <w:adjustRightInd w:val="0"/>
        <w:snapToGrid w:val="0"/>
        <w:spacing w:line="360" w:lineRule="auto"/>
      </w:pPr>
      <w:r>
        <w:rPr>
          <w:rFonts w:hint="eastAsia"/>
        </w:rPr>
        <w:t>修复后的抗风标准不得低于原设计标准。对于中度及以上损伤，宜结合灾后复盘提高关键薄弱环节的设计裕度。</w:t>
      </w:r>
    </w:p>
    <w:p w14:paraId="18E142DD">
      <w:pPr>
        <w:pStyle w:val="174"/>
        <w:numPr>
          <w:ilvl w:val="0"/>
          <w:numId w:val="55"/>
        </w:numPr>
        <w:adjustRightInd w:val="0"/>
        <w:snapToGrid w:val="0"/>
        <w:spacing w:line="360" w:lineRule="auto"/>
      </w:pPr>
      <w:r>
        <w:rPr>
          <w:rFonts w:hint="eastAsia"/>
        </w:rPr>
        <w:t>修复所用材料的性能指标不得低于原设计。</w:t>
      </w:r>
    </w:p>
    <w:p w14:paraId="0EE2E323">
      <w:pPr>
        <w:pStyle w:val="174"/>
        <w:numPr>
          <w:ilvl w:val="0"/>
          <w:numId w:val="55"/>
        </w:numPr>
        <w:adjustRightInd w:val="0"/>
        <w:snapToGrid w:val="0"/>
        <w:spacing w:line="360" w:lineRule="auto"/>
      </w:pPr>
      <w:r>
        <w:rPr>
          <w:rFonts w:hint="eastAsia"/>
        </w:rPr>
        <w:t>连接节点修复应满足“强节点弱构件”原则，必要时进行专项验算。</w:t>
      </w:r>
    </w:p>
    <w:p w14:paraId="11B18B08">
      <w:pPr>
        <w:pStyle w:val="162"/>
        <w:adjustRightInd w:val="0"/>
        <w:snapToGrid w:val="0"/>
        <w:spacing w:line="360" w:lineRule="auto"/>
      </w:pPr>
      <w:r>
        <w:rPr>
          <w:rFonts w:hint="eastAsia"/>
        </w:rPr>
        <w:t>修复工程完成后，应组织专项验收。验收应重点核查修复部位的结构性能及抗风构造措施，验收合格后方可恢复运行。</w:t>
      </w:r>
    </w:p>
    <w:p w14:paraId="12A3A198">
      <w:pPr>
        <w:pStyle w:val="162"/>
        <w:adjustRightInd w:val="0"/>
        <w:snapToGrid w:val="0"/>
        <w:spacing w:line="360" w:lineRule="auto"/>
      </w:pPr>
      <w:r>
        <w:rPr>
          <w:rFonts w:hint="eastAsia"/>
        </w:rPr>
        <w:t>结合灾后评估与修复实践，分析损伤原因与设计、施工的关联，建立典型灾害损伤案例库；针对薄弱环节优化后续工程设计、材料选型及构造措施，持续提升工程抗台风韧性。</w:t>
      </w:r>
    </w:p>
    <w:p w14:paraId="1FB7D76D">
      <w:pPr>
        <w:pStyle w:val="104"/>
        <w:spacing w:before="240" w:after="240"/>
        <w:sectPr>
          <w:pgSz w:w="11906" w:h="16838"/>
          <w:pgMar w:top="1928" w:right="1134" w:bottom="1134" w:left="1134" w:header="1418" w:footer="1134" w:gutter="284"/>
          <w:pgNumType w:start="1"/>
          <w:cols w:space="425" w:num="1"/>
          <w:formProt w:val="0"/>
          <w:docGrid w:linePitch="312" w:charSpace="0"/>
        </w:sectPr>
      </w:pPr>
    </w:p>
    <w:p w14:paraId="00BD26D2">
      <w:pPr>
        <w:pStyle w:val="198"/>
        <w:numPr>
          <w:ilvl w:val="0"/>
          <w:numId w:val="0"/>
        </w:numPr>
        <w:jc w:val="both"/>
        <w:rPr>
          <w:vanish w:val="0"/>
        </w:rPr>
      </w:pPr>
    </w:p>
    <w:p w14:paraId="28828207">
      <w:pPr>
        <w:pStyle w:val="76"/>
        <w:spacing w:after="120"/>
      </w:pPr>
      <w:bookmarkStart w:id="193" w:name="_Toc10875"/>
      <w:bookmarkStart w:id="194" w:name="_Toc21621"/>
      <w:bookmarkStart w:id="195" w:name="_Toc32243"/>
      <w:r>
        <w:br w:type="textWrapping"/>
      </w:r>
      <w:bookmarkStart w:id="196" w:name="_Toc228964672"/>
      <w:r>
        <w:rPr>
          <w:rFonts w:hint="eastAsia"/>
        </w:rPr>
        <w:t>（资料性）</w:t>
      </w:r>
      <w:r>
        <w:br w:type="textWrapping"/>
      </w:r>
      <w:r>
        <w:rPr>
          <w:rFonts w:hint="eastAsia"/>
        </w:rPr>
        <w:t>变电工程抗台风运维相关事项汇总表</w:t>
      </w:r>
      <w:bookmarkEnd w:id="193"/>
      <w:bookmarkEnd w:id="194"/>
      <w:bookmarkEnd w:id="195"/>
      <w:bookmarkEnd w:id="196"/>
    </w:p>
    <w:p w14:paraId="5EF67B5F">
      <w:pPr>
        <w:pStyle w:val="56"/>
        <w:keepNext w:val="0"/>
        <w:keepLines w:val="0"/>
        <w:pageBreakBefore w:val="0"/>
        <w:widowControl/>
        <w:kinsoku/>
        <w:wordWrap/>
        <w:overflowPunct/>
        <w:topLinePunct w:val="0"/>
        <w:autoSpaceDE w:val="0"/>
        <w:autoSpaceDN w:val="0"/>
        <w:bidi w:val="0"/>
        <w:adjustRightInd/>
        <w:snapToGrid/>
        <w:spacing w:line="360" w:lineRule="auto"/>
        <w:textAlignment w:val="auto"/>
      </w:pPr>
      <w:r>
        <w:rPr>
          <w:rFonts w:hint="eastAsia"/>
        </w:rPr>
        <w:t>本附录依据变电工程抗台风运维核心要求编制，整合全流程关键内容，涵盖日常运维及台风前准备、中处置、后恢复各阶段，覆盖设备、构筑物等核心模块，明确运维重点、操作要求及与设计的衔接点，为运维人员提供标准化指引，规范关键环节操作。</w:t>
      </w:r>
      <w:bookmarkEnd w:id="25"/>
    </w:p>
    <w:tbl>
      <w:tblPr>
        <w:tblStyle w:val="27"/>
        <w:tblW w:w="9106"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0" w:type="dxa"/>
          <w:bottom w:w="0" w:type="dxa"/>
          <w:right w:w="100" w:type="dxa"/>
        </w:tblCellMar>
      </w:tblPr>
      <w:tblGrid>
        <w:gridCol w:w="810"/>
        <w:gridCol w:w="1097"/>
        <w:gridCol w:w="1208"/>
        <w:gridCol w:w="2444"/>
        <w:gridCol w:w="1731"/>
        <w:gridCol w:w="1816"/>
      </w:tblGrid>
      <w:tr w14:paraId="141FC49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trHeight w:val="524" w:hRule="atLeast"/>
          <w:tblHeader/>
          <w:jc w:val="center"/>
        </w:trPr>
        <w:tc>
          <w:tcPr>
            <w:tcW w:w="810" w:type="dxa"/>
            <w:tcBorders>
              <w:bottom w:val="single" w:color="auto" w:sz="8" w:space="0"/>
            </w:tcBorders>
            <w:vAlign w:val="center"/>
          </w:tcPr>
          <w:p w14:paraId="0A0DF7EE">
            <w:pPr>
              <w:pStyle w:val="178"/>
              <w:bidi w:val="0"/>
              <w:spacing w:line="240" w:lineRule="auto"/>
              <w:jc w:val="center"/>
              <w:rPr>
                <w:rFonts w:hint="eastAsia" w:eastAsia="宋体"/>
                <w:lang w:val="en-US" w:eastAsia="zh-CN"/>
              </w:rPr>
            </w:pPr>
            <w:r>
              <w:rPr>
                <w:rFonts w:hint="eastAsia"/>
                <w:lang w:val="en-US" w:eastAsia="zh-CN"/>
              </w:rPr>
              <w:t>序号</w:t>
            </w:r>
          </w:p>
        </w:tc>
        <w:tc>
          <w:tcPr>
            <w:tcW w:w="1097" w:type="dxa"/>
            <w:tcBorders>
              <w:bottom w:val="single" w:color="auto" w:sz="8" w:space="0"/>
            </w:tcBorders>
            <w:shd w:val="clear" w:color="auto" w:fill="auto"/>
            <w:vAlign w:val="center"/>
          </w:tcPr>
          <w:p w14:paraId="20F96EB2">
            <w:pPr>
              <w:pStyle w:val="178"/>
              <w:bidi w:val="0"/>
              <w:spacing w:line="240" w:lineRule="auto"/>
              <w:jc w:val="center"/>
              <w:rPr>
                <w:rFonts w:hint="eastAsia" w:ascii="宋体" w:hAnsi="Times New Roman" w:eastAsia="宋体" w:cs="Times New Roman"/>
                <w:lang w:val="en-US" w:eastAsia="zh-CN"/>
              </w:rPr>
            </w:pPr>
            <w:r>
              <w:rPr>
                <w:rFonts w:hint="eastAsia" w:ascii="宋体" w:hAnsi="Times New Roman" w:eastAsia="宋体" w:cs="Times New Roman"/>
                <w:lang w:val="en-US" w:eastAsia="zh-CN"/>
              </w:rPr>
              <w:t>运维阶段</w:t>
            </w:r>
          </w:p>
        </w:tc>
        <w:tc>
          <w:tcPr>
            <w:tcW w:w="1208" w:type="dxa"/>
            <w:tcBorders>
              <w:bottom w:val="single" w:color="auto" w:sz="8" w:space="0"/>
            </w:tcBorders>
            <w:shd w:val="clear" w:color="auto" w:fill="auto"/>
            <w:vAlign w:val="center"/>
          </w:tcPr>
          <w:p w14:paraId="5169F65A">
            <w:pPr>
              <w:pStyle w:val="178"/>
              <w:bidi w:val="0"/>
              <w:spacing w:line="240" w:lineRule="auto"/>
              <w:jc w:val="center"/>
              <w:rPr>
                <w:rFonts w:hint="eastAsia" w:ascii="宋体" w:hAnsi="Times New Roman" w:eastAsia="宋体" w:cs="Times New Roman"/>
                <w:lang w:val="en-US" w:eastAsia="zh-CN"/>
              </w:rPr>
            </w:pPr>
            <w:r>
              <w:rPr>
                <w:rFonts w:hint="eastAsia" w:ascii="宋体" w:hAnsi="Times New Roman" w:eastAsia="宋体" w:cs="Times New Roman"/>
                <w:lang w:val="en-US" w:eastAsia="zh-CN"/>
              </w:rPr>
              <w:t>具体类别</w:t>
            </w:r>
          </w:p>
        </w:tc>
        <w:tc>
          <w:tcPr>
            <w:tcW w:w="2444" w:type="dxa"/>
            <w:tcBorders>
              <w:bottom w:val="single" w:color="auto" w:sz="8" w:space="0"/>
            </w:tcBorders>
            <w:shd w:val="clear" w:color="auto" w:fill="auto"/>
            <w:vAlign w:val="center"/>
          </w:tcPr>
          <w:p w14:paraId="223E2E54">
            <w:pPr>
              <w:pStyle w:val="178"/>
              <w:bidi w:val="0"/>
              <w:spacing w:line="240" w:lineRule="auto"/>
              <w:jc w:val="center"/>
              <w:rPr>
                <w:rFonts w:hint="eastAsia" w:ascii="宋体" w:hAnsi="Times New Roman" w:eastAsia="宋体" w:cs="Times New Roman"/>
                <w:lang w:val="en-US" w:eastAsia="zh-CN"/>
              </w:rPr>
            </w:pPr>
            <w:r>
              <w:rPr>
                <w:rFonts w:hint="eastAsia" w:ascii="宋体" w:hAnsi="Times New Roman" w:eastAsia="宋体" w:cs="Times New Roman"/>
                <w:lang w:val="en-US" w:eastAsia="zh-CN"/>
              </w:rPr>
              <w:t>核心运维内容</w:t>
            </w:r>
          </w:p>
        </w:tc>
        <w:tc>
          <w:tcPr>
            <w:tcW w:w="1731" w:type="dxa"/>
            <w:tcBorders>
              <w:bottom w:val="single" w:color="auto" w:sz="8" w:space="0"/>
            </w:tcBorders>
            <w:shd w:val="clear" w:color="auto" w:fill="auto"/>
            <w:vAlign w:val="center"/>
          </w:tcPr>
          <w:p w14:paraId="12CFEE53">
            <w:pPr>
              <w:pStyle w:val="178"/>
              <w:bidi w:val="0"/>
              <w:spacing w:line="240" w:lineRule="auto"/>
              <w:jc w:val="center"/>
              <w:rPr>
                <w:rFonts w:hint="eastAsia" w:ascii="宋体" w:hAnsi="Times New Roman" w:eastAsia="宋体" w:cs="Times New Roman"/>
                <w:lang w:val="en-US" w:eastAsia="zh-CN"/>
              </w:rPr>
            </w:pPr>
            <w:r>
              <w:rPr>
                <w:rFonts w:hint="eastAsia" w:ascii="宋体" w:hAnsi="Times New Roman" w:eastAsia="宋体" w:cs="Times New Roman"/>
                <w:lang w:val="en-US" w:eastAsia="zh-CN"/>
              </w:rPr>
              <w:t>关键要求</w:t>
            </w:r>
          </w:p>
        </w:tc>
        <w:tc>
          <w:tcPr>
            <w:tcW w:w="1816" w:type="dxa"/>
            <w:tcBorders>
              <w:bottom w:val="single" w:color="auto" w:sz="8" w:space="0"/>
            </w:tcBorders>
            <w:shd w:val="clear" w:color="auto" w:fill="auto"/>
            <w:vAlign w:val="center"/>
          </w:tcPr>
          <w:p w14:paraId="0621E489">
            <w:pPr>
              <w:pStyle w:val="178"/>
              <w:bidi w:val="0"/>
              <w:spacing w:line="240" w:lineRule="auto"/>
              <w:jc w:val="center"/>
              <w:rPr>
                <w:rFonts w:hint="eastAsia" w:ascii="宋体" w:hAnsi="Times New Roman" w:eastAsia="宋体" w:cs="Times New Roman"/>
                <w:lang w:val="en-US" w:eastAsia="zh-CN"/>
              </w:rPr>
            </w:pPr>
            <w:r>
              <w:rPr>
                <w:rFonts w:hint="eastAsia" w:ascii="宋体" w:hAnsi="Times New Roman" w:eastAsia="宋体" w:cs="Times New Roman"/>
                <w:lang w:val="en-US" w:eastAsia="zh-CN"/>
              </w:rPr>
              <w:t>设计贴合要点</w:t>
            </w:r>
          </w:p>
        </w:tc>
      </w:tr>
      <w:tr w14:paraId="60402BE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810" w:type="dxa"/>
            <w:tcBorders>
              <w:top w:val="single" w:color="auto" w:sz="8" w:space="0"/>
            </w:tcBorders>
            <w:shd w:val="clear" w:color="auto" w:fill="auto"/>
            <w:vAlign w:val="center"/>
          </w:tcPr>
          <w:p w14:paraId="6799F3E0">
            <w:pPr>
              <w:pStyle w:val="178"/>
              <w:bidi w:val="0"/>
              <w:spacing w:line="240" w:lineRule="auto"/>
              <w:jc w:val="center"/>
              <w:rPr>
                <w:rFonts w:hint="eastAsia" w:ascii="宋体" w:hAnsi="Times New Roman" w:eastAsia="宋体" w:cs="Times New Roman"/>
                <w:lang w:val="en-US" w:eastAsia="zh-CN"/>
              </w:rPr>
            </w:pPr>
            <w:r>
              <w:rPr>
                <w:rFonts w:hint="eastAsia" w:ascii="宋体" w:hAnsi="Times New Roman" w:eastAsia="宋体" w:cs="Times New Roman"/>
                <w:lang w:val="en-US" w:eastAsia="zh-CN"/>
              </w:rPr>
              <w:t>1</w:t>
            </w:r>
          </w:p>
        </w:tc>
        <w:tc>
          <w:tcPr>
            <w:tcW w:w="1097" w:type="dxa"/>
            <w:tcBorders>
              <w:top w:val="single" w:color="auto" w:sz="8" w:space="0"/>
            </w:tcBorders>
            <w:shd w:val="clear" w:color="auto" w:fill="auto"/>
            <w:vAlign w:val="center"/>
          </w:tcPr>
          <w:p w14:paraId="1B4A2F68">
            <w:pPr>
              <w:pStyle w:val="178"/>
              <w:bidi w:val="0"/>
              <w:spacing w:line="240" w:lineRule="auto"/>
              <w:jc w:val="center"/>
              <w:rPr>
                <w:rFonts w:hint="eastAsia" w:ascii="宋体" w:hAnsi="Times New Roman" w:eastAsia="宋体" w:cs="Times New Roman"/>
                <w:lang w:val="en-US" w:eastAsia="zh-CN"/>
              </w:rPr>
            </w:pPr>
            <w:r>
              <w:rPr>
                <w:rFonts w:hint="eastAsia" w:ascii="宋体" w:hAnsi="Times New Roman" w:eastAsia="宋体" w:cs="Times New Roman"/>
                <w:lang w:val="en-US" w:eastAsia="zh-CN"/>
              </w:rPr>
              <w:t>日常运维</w:t>
            </w:r>
          </w:p>
        </w:tc>
        <w:tc>
          <w:tcPr>
            <w:tcW w:w="1208" w:type="dxa"/>
            <w:tcBorders>
              <w:top w:val="single" w:color="auto" w:sz="8" w:space="0"/>
            </w:tcBorders>
            <w:shd w:val="clear" w:color="auto" w:fill="auto"/>
            <w:vAlign w:val="center"/>
          </w:tcPr>
          <w:p w14:paraId="38C536E5">
            <w:pPr>
              <w:pStyle w:val="178"/>
              <w:bidi w:val="0"/>
              <w:spacing w:line="240" w:lineRule="auto"/>
              <w:jc w:val="center"/>
              <w:rPr>
                <w:rFonts w:hint="eastAsia" w:ascii="宋体" w:hAnsi="Times New Roman" w:eastAsia="宋体" w:cs="Times New Roman"/>
                <w:lang w:val="en-US" w:eastAsia="zh-CN"/>
              </w:rPr>
            </w:pPr>
            <w:r>
              <w:rPr>
                <w:rFonts w:hint="eastAsia" w:ascii="宋体" w:hAnsi="Times New Roman" w:eastAsia="宋体" w:cs="Times New Roman"/>
                <w:lang w:val="en-US" w:eastAsia="zh-CN"/>
              </w:rPr>
              <w:t>设备运维-户外电气设备</w:t>
            </w:r>
          </w:p>
        </w:tc>
        <w:tc>
          <w:tcPr>
            <w:tcW w:w="2444" w:type="dxa"/>
            <w:tcBorders>
              <w:top w:val="single" w:color="auto" w:sz="8" w:space="0"/>
            </w:tcBorders>
            <w:shd w:val="clear" w:color="auto" w:fill="auto"/>
            <w:vAlign w:val="center"/>
          </w:tcPr>
          <w:p w14:paraId="4935B243">
            <w:pPr>
              <w:pStyle w:val="178"/>
              <w:bidi w:val="0"/>
              <w:spacing w:line="240" w:lineRule="auto"/>
              <w:jc w:val="left"/>
              <w:rPr>
                <w:rFonts w:hint="eastAsia" w:ascii="宋体" w:hAnsi="Times New Roman" w:eastAsia="宋体" w:cs="Times New Roman"/>
                <w:lang w:val="en-US" w:eastAsia="zh-CN"/>
              </w:rPr>
            </w:pPr>
            <w:r>
              <w:rPr>
                <w:rFonts w:hint="eastAsia" w:ascii="宋体" w:hAnsi="Times New Roman" w:eastAsia="宋体" w:cs="Times New Roman"/>
                <w:lang w:val="en-US" w:eastAsia="zh-CN"/>
              </w:rPr>
              <w:t>定期检查设备固定基础紧固性、抗拔抗倾覆性能；排查220kV及以上悬垂绝缘子串V型布置连接金具磨损锈蚀情况；检查户外箱柜体防护等级（不低于IP55）、三点式门锁及防风扣完好性，清理表面杂物。</w:t>
            </w:r>
          </w:p>
        </w:tc>
        <w:tc>
          <w:tcPr>
            <w:tcW w:w="1731" w:type="dxa"/>
            <w:tcBorders>
              <w:top w:val="single" w:color="auto" w:sz="8" w:space="0"/>
            </w:tcBorders>
            <w:shd w:val="clear" w:color="auto" w:fill="auto"/>
            <w:vAlign w:val="center"/>
          </w:tcPr>
          <w:p w14:paraId="649382F9">
            <w:pPr>
              <w:pStyle w:val="178"/>
              <w:bidi w:val="0"/>
              <w:spacing w:line="240" w:lineRule="auto"/>
              <w:jc w:val="left"/>
              <w:rPr>
                <w:rFonts w:hint="eastAsia" w:ascii="宋体" w:hAnsi="Times New Roman" w:eastAsia="宋体" w:cs="Times New Roman"/>
                <w:lang w:val="en-US" w:eastAsia="zh-CN"/>
              </w:rPr>
            </w:pPr>
            <w:r>
              <w:rPr>
                <w:rFonts w:hint="eastAsia" w:ascii="宋体" w:hAnsi="Times New Roman" w:eastAsia="宋体" w:cs="Times New Roman"/>
                <w:lang w:val="en-US" w:eastAsia="zh-CN"/>
              </w:rPr>
              <w:t>符合设计抗风荷载要求，基础无沉降裂缝，箱体防护到位。</w:t>
            </w:r>
          </w:p>
        </w:tc>
        <w:tc>
          <w:tcPr>
            <w:tcW w:w="1816" w:type="dxa"/>
            <w:tcBorders>
              <w:top w:val="single" w:color="auto" w:sz="8" w:space="0"/>
            </w:tcBorders>
            <w:shd w:val="clear" w:color="auto" w:fill="auto"/>
            <w:vAlign w:val="center"/>
          </w:tcPr>
          <w:p w14:paraId="0DD7930A">
            <w:pPr>
              <w:pStyle w:val="178"/>
              <w:bidi w:val="0"/>
              <w:spacing w:line="240" w:lineRule="auto"/>
              <w:jc w:val="left"/>
              <w:rPr>
                <w:rFonts w:hint="eastAsia" w:ascii="宋体" w:hAnsi="Times New Roman" w:eastAsia="宋体" w:cs="Times New Roman"/>
                <w:lang w:val="en-US" w:eastAsia="zh-CN"/>
              </w:rPr>
            </w:pPr>
            <w:r>
              <w:rPr>
                <w:rFonts w:hint="eastAsia" w:ascii="宋体" w:hAnsi="Times New Roman" w:eastAsia="宋体" w:cs="Times New Roman"/>
                <w:lang w:val="en-US" w:eastAsia="zh-CN"/>
              </w:rPr>
              <w:t>低位布置、轻型/柔性导线设计，抗风荷载设计。</w:t>
            </w:r>
          </w:p>
        </w:tc>
      </w:tr>
      <w:tr w14:paraId="7456DE9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810" w:type="dxa"/>
            <w:shd w:val="clear" w:color="auto" w:fill="auto"/>
            <w:vAlign w:val="center"/>
          </w:tcPr>
          <w:p w14:paraId="6057CB34">
            <w:pPr>
              <w:pStyle w:val="178"/>
              <w:bidi w:val="0"/>
              <w:spacing w:line="240" w:lineRule="auto"/>
              <w:jc w:val="center"/>
              <w:rPr>
                <w:rFonts w:hint="eastAsia" w:ascii="宋体" w:hAnsi="Times New Roman" w:eastAsia="宋体" w:cs="Times New Roman"/>
                <w:lang w:val="en-US" w:eastAsia="zh-CN"/>
              </w:rPr>
            </w:pPr>
            <w:r>
              <w:rPr>
                <w:rFonts w:hint="eastAsia" w:ascii="宋体" w:hAnsi="Times New Roman" w:eastAsia="宋体" w:cs="Times New Roman"/>
                <w:lang w:val="en-US" w:eastAsia="zh-CN"/>
              </w:rPr>
              <w:t>2</w:t>
            </w:r>
          </w:p>
        </w:tc>
        <w:tc>
          <w:tcPr>
            <w:tcW w:w="1097" w:type="dxa"/>
            <w:shd w:val="clear" w:color="auto" w:fill="auto"/>
            <w:vAlign w:val="center"/>
          </w:tcPr>
          <w:p w14:paraId="71868EDD">
            <w:pPr>
              <w:pStyle w:val="178"/>
              <w:bidi w:val="0"/>
              <w:spacing w:line="240" w:lineRule="auto"/>
              <w:jc w:val="center"/>
              <w:rPr>
                <w:rFonts w:hint="eastAsia" w:ascii="宋体" w:hAnsi="Times New Roman" w:eastAsia="宋体" w:cs="Times New Roman"/>
                <w:lang w:val="en-US" w:eastAsia="zh-CN"/>
              </w:rPr>
            </w:pPr>
            <w:r>
              <w:rPr>
                <w:rFonts w:hint="eastAsia" w:ascii="宋体" w:hAnsi="Times New Roman" w:eastAsia="宋体" w:cs="Times New Roman"/>
                <w:lang w:val="en-US" w:eastAsia="zh-CN"/>
              </w:rPr>
              <w:t>日常运维</w:t>
            </w:r>
          </w:p>
        </w:tc>
        <w:tc>
          <w:tcPr>
            <w:tcW w:w="1208" w:type="dxa"/>
            <w:shd w:val="clear" w:color="auto" w:fill="auto"/>
            <w:vAlign w:val="center"/>
          </w:tcPr>
          <w:p w14:paraId="50C014A4">
            <w:pPr>
              <w:pStyle w:val="178"/>
              <w:bidi w:val="0"/>
              <w:spacing w:line="240" w:lineRule="auto"/>
              <w:jc w:val="center"/>
              <w:rPr>
                <w:rFonts w:hint="eastAsia" w:ascii="宋体" w:hAnsi="Times New Roman" w:eastAsia="宋体" w:cs="Times New Roman"/>
                <w:lang w:val="en-US" w:eastAsia="zh-CN"/>
              </w:rPr>
            </w:pPr>
            <w:r>
              <w:rPr>
                <w:rFonts w:hint="eastAsia" w:ascii="宋体" w:hAnsi="Times New Roman" w:eastAsia="宋体" w:cs="Times New Roman"/>
                <w:lang w:val="en-US" w:eastAsia="zh-CN"/>
              </w:rPr>
              <w:t>设备运维-主变及辅助设备</w:t>
            </w:r>
          </w:p>
        </w:tc>
        <w:tc>
          <w:tcPr>
            <w:tcW w:w="2444" w:type="dxa"/>
            <w:shd w:val="clear" w:color="auto" w:fill="auto"/>
            <w:vAlign w:val="center"/>
          </w:tcPr>
          <w:p w14:paraId="36A376F9">
            <w:pPr>
              <w:pStyle w:val="178"/>
              <w:bidi w:val="0"/>
              <w:spacing w:line="240" w:lineRule="auto"/>
              <w:jc w:val="left"/>
              <w:rPr>
                <w:rFonts w:hint="eastAsia" w:ascii="宋体" w:hAnsi="Times New Roman" w:eastAsia="宋体" w:cs="Times New Roman"/>
                <w:lang w:val="en-US" w:eastAsia="zh-CN"/>
              </w:rPr>
            </w:pPr>
            <w:r>
              <w:rPr>
                <w:rFonts w:hint="eastAsia" w:ascii="宋体" w:hAnsi="Times New Roman" w:eastAsia="宋体" w:cs="Times New Roman"/>
                <w:lang w:val="en-US" w:eastAsia="zh-CN"/>
              </w:rPr>
              <w:t>检查主变基础与接地网连接可靠性、排水设施通畅性；检查主变散热器、储油柜固定情况；测试抗风型冷却系统运行状态。</w:t>
            </w:r>
          </w:p>
        </w:tc>
        <w:tc>
          <w:tcPr>
            <w:tcW w:w="1731" w:type="dxa"/>
            <w:shd w:val="clear" w:color="auto" w:fill="auto"/>
            <w:vAlign w:val="center"/>
          </w:tcPr>
          <w:p w14:paraId="0FC47773">
            <w:pPr>
              <w:pStyle w:val="178"/>
              <w:bidi w:val="0"/>
              <w:spacing w:line="240" w:lineRule="auto"/>
              <w:jc w:val="left"/>
              <w:rPr>
                <w:rFonts w:hint="eastAsia" w:ascii="宋体" w:hAnsi="Times New Roman" w:eastAsia="宋体" w:cs="Times New Roman"/>
                <w:lang w:val="en-US" w:eastAsia="zh-CN"/>
              </w:rPr>
            </w:pPr>
            <w:r>
              <w:rPr>
                <w:rFonts w:hint="eastAsia" w:ascii="宋体" w:hAnsi="Times New Roman" w:eastAsia="宋体" w:cs="Times New Roman"/>
                <w:lang w:val="en-US" w:eastAsia="zh-CN"/>
              </w:rPr>
              <w:t>防范强风导致部件脱落渗漏，满足防暴雨次生灾害要求。</w:t>
            </w:r>
          </w:p>
        </w:tc>
        <w:tc>
          <w:tcPr>
            <w:tcW w:w="1816" w:type="dxa"/>
            <w:shd w:val="clear" w:color="auto" w:fill="auto"/>
            <w:vAlign w:val="center"/>
          </w:tcPr>
          <w:p w14:paraId="31CCB4E3">
            <w:pPr>
              <w:pStyle w:val="178"/>
              <w:bidi w:val="0"/>
              <w:spacing w:line="240" w:lineRule="auto"/>
              <w:jc w:val="left"/>
              <w:rPr>
                <w:rFonts w:hint="eastAsia" w:ascii="宋体" w:hAnsi="Times New Roman" w:eastAsia="宋体" w:cs="Times New Roman"/>
                <w:lang w:val="en-US" w:eastAsia="zh-CN"/>
              </w:rPr>
            </w:pPr>
            <w:r>
              <w:rPr>
                <w:rFonts w:hint="eastAsia" w:ascii="宋体" w:hAnsi="Times New Roman" w:eastAsia="宋体" w:cs="Times New Roman"/>
                <w:lang w:val="en-US" w:eastAsia="zh-CN"/>
              </w:rPr>
              <w:t>防暴雨次生灾害设计，抗风型冷却系统设计。</w:t>
            </w:r>
          </w:p>
        </w:tc>
      </w:tr>
      <w:tr w14:paraId="48BD74C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810" w:type="dxa"/>
            <w:shd w:val="clear" w:color="auto" w:fill="auto"/>
            <w:vAlign w:val="center"/>
          </w:tcPr>
          <w:p w14:paraId="1905B072">
            <w:pPr>
              <w:pStyle w:val="178"/>
              <w:bidi w:val="0"/>
              <w:spacing w:line="240" w:lineRule="auto"/>
              <w:jc w:val="center"/>
              <w:rPr>
                <w:rFonts w:hint="eastAsia" w:ascii="宋体" w:hAnsi="Times New Roman" w:eastAsia="宋体" w:cs="Times New Roman"/>
                <w:lang w:val="en-US" w:eastAsia="zh-CN"/>
              </w:rPr>
            </w:pPr>
            <w:r>
              <w:rPr>
                <w:rFonts w:hint="eastAsia" w:ascii="宋体" w:hAnsi="Times New Roman" w:eastAsia="宋体" w:cs="Times New Roman"/>
                <w:lang w:val="en-US" w:eastAsia="zh-CN"/>
              </w:rPr>
              <w:t>3</w:t>
            </w:r>
          </w:p>
        </w:tc>
        <w:tc>
          <w:tcPr>
            <w:tcW w:w="1097" w:type="dxa"/>
            <w:shd w:val="clear" w:color="auto" w:fill="auto"/>
            <w:vAlign w:val="center"/>
          </w:tcPr>
          <w:p w14:paraId="3EBACBE7">
            <w:pPr>
              <w:pStyle w:val="178"/>
              <w:bidi w:val="0"/>
              <w:spacing w:line="240" w:lineRule="auto"/>
              <w:jc w:val="center"/>
              <w:rPr>
                <w:rFonts w:hint="eastAsia" w:ascii="宋体" w:hAnsi="Times New Roman" w:eastAsia="宋体" w:cs="Times New Roman"/>
                <w:lang w:val="en-US" w:eastAsia="zh-CN"/>
              </w:rPr>
            </w:pPr>
            <w:r>
              <w:rPr>
                <w:rFonts w:hint="eastAsia" w:ascii="宋体" w:hAnsi="Times New Roman" w:eastAsia="宋体" w:cs="Times New Roman"/>
                <w:lang w:val="en-US" w:eastAsia="zh-CN"/>
              </w:rPr>
              <w:t>日常运维</w:t>
            </w:r>
          </w:p>
        </w:tc>
        <w:tc>
          <w:tcPr>
            <w:tcW w:w="1208" w:type="dxa"/>
            <w:shd w:val="clear" w:color="auto" w:fill="auto"/>
            <w:vAlign w:val="center"/>
          </w:tcPr>
          <w:p w14:paraId="2DA0F3A8">
            <w:pPr>
              <w:pStyle w:val="178"/>
              <w:bidi w:val="0"/>
              <w:spacing w:line="240" w:lineRule="auto"/>
              <w:jc w:val="center"/>
              <w:rPr>
                <w:rFonts w:hint="eastAsia" w:ascii="宋体" w:hAnsi="Times New Roman" w:eastAsia="宋体" w:cs="Times New Roman"/>
                <w:lang w:val="en-US" w:eastAsia="zh-CN"/>
              </w:rPr>
            </w:pPr>
            <w:r>
              <w:rPr>
                <w:rFonts w:hint="eastAsia" w:ascii="宋体" w:hAnsi="Times New Roman" w:eastAsia="宋体" w:cs="Times New Roman"/>
                <w:lang w:val="en-US" w:eastAsia="zh-CN"/>
              </w:rPr>
              <w:t>设备运维-电缆及电缆沟</w:t>
            </w:r>
          </w:p>
        </w:tc>
        <w:tc>
          <w:tcPr>
            <w:tcW w:w="2444" w:type="dxa"/>
            <w:shd w:val="clear" w:color="auto" w:fill="auto"/>
            <w:vAlign w:val="center"/>
          </w:tcPr>
          <w:p w14:paraId="79B43E6F">
            <w:pPr>
              <w:pStyle w:val="178"/>
              <w:bidi w:val="0"/>
              <w:spacing w:line="240" w:lineRule="auto"/>
              <w:jc w:val="left"/>
              <w:rPr>
                <w:rFonts w:hint="eastAsia" w:ascii="宋体" w:hAnsi="Times New Roman" w:eastAsia="宋体" w:cs="Times New Roman"/>
                <w:lang w:val="en-US" w:eastAsia="zh-CN"/>
              </w:rPr>
            </w:pPr>
            <w:r>
              <w:rPr>
                <w:rFonts w:hint="eastAsia" w:ascii="宋体" w:hAnsi="Times New Roman" w:eastAsia="宋体" w:cs="Times New Roman"/>
                <w:lang w:val="en-US" w:eastAsia="zh-CN"/>
              </w:rPr>
              <w:t>检查电缆沟盖板密封性能、排水坡度及排水装置运行状态，清理积水杂物；检查电缆终端头固定支架抗风强度，排查锈蚀变形隐患。</w:t>
            </w:r>
          </w:p>
        </w:tc>
        <w:tc>
          <w:tcPr>
            <w:tcW w:w="1731" w:type="dxa"/>
            <w:shd w:val="clear" w:color="auto" w:fill="auto"/>
            <w:vAlign w:val="center"/>
          </w:tcPr>
          <w:p w14:paraId="71F6631D">
            <w:pPr>
              <w:pStyle w:val="178"/>
              <w:bidi w:val="0"/>
              <w:spacing w:line="240" w:lineRule="auto"/>
              <w:jc w:val="left"/>
              <w:rPr>
                <w:rFonts w:hint="eastAsia" w:ascii="宋体" w:hAnsi="Times New Roman" w:eastAsia="宋体" w:cs="Times New Roman"/>
                <w:lang w:val="en-US" w:eastAsia="zh-CN"/>
              </w:rPr>
            </w:pPr>
            <w:r>
              <w:rPr>
                <w:rFonts w:hint="eastAsia" w:ascii="宋体" w:hAnsi="Times New Roman" w:eastAsia="宋体" w:cs="Times New Roman"/>
                <w:lang w:val="en-US" w:eastAsia="zh-CN"/>
              </w:rPr>
              <w:t>防止电缆沟倒灌、电缆绝缘损坏，符合设计防风要求。</w:t>
            </w:r>
          </w:p>
        </w:tc>
        <w:tc>
          <w:tcPr>
            <w:tcW w:w="1816" w:type="dxa"/>
            <w:shd w:val="clear" w:color="auto" w:fill="auto"/>
            <w:vAlign w:val="center"/>
          </w:tcPr>
          <w:p w14:paraId="34D1632B">
            <w:pPr>
              <w:pStyle w:val="178"/>
              <w:bidi w:val="0"/>
              <w:spacing w:line="240" w:lineRule="auto"/>
              <w:jc w:val="left"/>
              <w:rPr>
                <w:rFonts w:hint="eastAsia" w:ascii="宋体" w:hAnsi="Times New Roman" w:eastAsia="宋体" w:cs="Times New Roman"/>
                <w:lang w:val="en-US" w:eastAsia="zh-CN"/>
              </w:rPr>
            </w:pPr>
            <w:r>
              <w:rPr>
                <w:rFonts w:hint="eastAsia" w:ascii="宋体" w:hAnsi="Times New Roman" w:eastAsia="宋体" w:cs="Times New Roman"/>
                <w:lang w:val="en-US" w:eastAsia="zh-CN"/>
              </w:rPr>
              <w:t>防水防淹功能设计，防风型支架设计。</w:t>
            </w:r>
          </w:p>
        </w:tc>
      </w:tr>
      <w:tr w14:paraId="68AF5CA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810" w:type="dxa"/>
            <w:shd w:val="clear" w:color="auto" w:fill="auto"/>
            <w:vAlign w:val="center"/>
          </w:tcPr>
          <w:p w14:paraId="5A63A4B2">
            <w:pPr>
              <w:pStyle w:val="178"/>
              <w:bidi w:val="0"/>
              <w:spacing w:line="240" w:lineRule="auto"/>
              <w:jc w:val="center"/>
              <w:rPr>
                <w:rFonts w:hint="eastAsia" w:ascii="宋体" w:hAnsi="Times New Roman" w:eastAsia="宋体" w:cs="Times New Roman"/>
                <w:lang w:val="en-US" w:eastAsia="zh-CN"/>
              </w:rPr>
            </w:pPr>
            <w:r>
              <w:rPr>
                <w:rFonts w:hint="eastAsia" w:ascii="宋体" w:hAnsi="Times New Roman" w:eastAsia="宋体" w:cs="Times New Roman"/>
                <w:lang w:val="en-US" w:eastAsia="zh-CN"/>
              </w:rPr>
              <w:t>4</w:t>
            </w:r>
          </w:p>
        </w:tc>
        <w:tc>
          <w:tcPr>
            <w:tcW w:w="1097" w:type="dxa"/>
            <w:shd w:val="clear" w:color="auto" w:fill="auto"/>
            <w:vAlign w:val="center"/>
          </w:tcPr>
          <w:p w14:paraId="09DCF480">
            <w:pPr>
              <w:pStyle w:val="178"/>
              <w:bidi w:val="0"/>
              <w:spacing w:line="240" w:lineRule="auto"/>
              <w:jc w:val="center"/>
              <w:rPr>
                <w:rFonts w:hint="eastAsia" w:ascii="宋体" w:hAnsi="Times New Roman" w:eastAsia="宋体" w:cs="Times New Roman"/>
                <w:lang w:val="en-US" w:eastAsia="zh-CN"/>
              </w:rPr>
            </w:pPr>
            <w:r>
              <w:rPr>
                <w:rFonts w:hint="eastAsia" w:ascii="宋体" w:hAnsi="Times New Roman" w:eastAsia="宋体" w:cs="Times New Roman"/>
                <w:lang w:val="en-US" w:eastAsia="zh-CN"/>
              </w:rPr>
              <w:t>日常运维</w:t>
            </w:r>
          </w:p>
        </w:tc>
        <w:tc>
          <w:tcPr>
            <w:tcW w:w="1208" w:type="dxa"/>
            <w:shd w:val="clear" w:color="auto" w:fill="auto"/>
            <w:vAlign w:val="center"/>
          </w:tcPr>
          <w:p w14:paraId="5E341CFA">
            <w:pPr>
              <w:pStyle w:val="178"/>
              <w:bidi w:val="0"/>
              <w:spacing w:line="240" w:lineRule="auto"/>
              <w:jc w:val="center"/>
              <w:rPr>
                <w:rFonts w:hint="eastAsia" w:ascii="宋体" w:hAnsi="Times New Roman" w:eastAsia="宋体" w:cs="Times New Roman"/>
                <w:lang w:val="en-US" w:eastAsia="zh-CN"/>
              </w:rPr>
            </w:pPr>
            <w:r>
              <w:rPr>
                <w:rFonts w:hint="eastAsia" w:ascii="宋体" w:hAnsi="Times New Roman" w:eastAsia="宋体" w:cs="Times New Roman"/>
                <w:lang w:val="en-US" w:eastAsia="zh-CN"/>
              </w:rPr>
              <w:t>构筑物运维-构架及支架</w:t>
            </w:r>
          </w:p>
        </w:tc>
        <w:tc>
          <w:tcPr>
            <w:tcW w:w="2444" w:type="dxa"/>
            <w:shd w:val="clear" w:color="auto" w:fill="auto"/>
            <w:vAlign w:val="center"/>
          </w:tcPr>
          <w:p w14:paraId="50840432">
            <w:pPr>
              <w:pStyle w:val="178"/>
              <w:bidi w:val="0"/>
              <w:spacing w:line="240" w:lineRule="auto"/>
              <w:jc w:val="left"/>
              <w:rPr>
                <w:rFonts w:hint="eastAsia" w:ascii="宋体" w:hAnsi="Times New Roman" w:eastAsia="宋体" w:cs="Times New Roman"/>
                <w:lang w:val="en-US" w:eastAsia="zh-CN"/>
              </w:rPr>
            </w:pPr>
            <w:r>
              <w:rPr>
                <w:rFonts w:hint="eastAsia" w:ascii="宋体" w:hAnsi="Times New Roman" w:eastAsia="宋体" w:cs="Times New Roman"/>
                <w:lang w:val="en-US" w:eastAsia="zh-CN"/>
              </w:rPr>
              <w:t>检查连接螺栓紧固性，紧固松动螺栓、更换锈蚀螺栓；检查构架钢材腐蚀情况并做防腐处理；检查独立避雷针风荷载放大系数（按1.05倍控制）及格构式结构稳定性。</w:t>
            </w:r>
          </w:p>
        </w:tc>
        <w:tc>
          <w:tcPr>
            <w:tcW w:w="1731" w:type="dxa"/>
            <w:shd w:val="clear" w:color="auto" w:fill="auto"/>
            <w:vAlign w:val="center"/>
          </w:tcPr>
          <w:p w14:paraId="263647C6">
            <w:pPr>
              <w:pStyle w:val="178"/>
              <w:bidi w:val="0"/>
              <w:spacing w:line="240" w:lineRule="auto"/>
              <w:jc w:val="left"/>
              <w:rPr>
                <w:rFonts w:hint="eastAsia" w:ascii="宋体" w:hAnsi="Times New Roman" w:eastAsia="宋体" w:cs="Times New Roman"/>
                <w:lang w:val="en-US" w:eastAsia="zh-CN"/>
              </w:rPr>
            </w:pPr>
            <w:r>
              <w:rPr>
                <w:rFonts w:hint="eastAsia" w:ascii="宋体" w:hAnsi="Times New Roman" w:eastAsia="宋体" w:cs="Times New Roman"/>
                <w:lang w:val="en-US" w:eastAsia="zh-CN"/>
              </w:rPr>
              <w:t>构架抗风承载力符合设计标准，无倾斜变形。</w:t>
            </w:r>
          </w:p>
        </w:tc>
        <w:tc>
          <w:tcPr>
            <w:tcW w:w="1816" w:type="dxa"/>
            <w:shd w:val="clear" w:color="auto" w:fill="auto"/>
            <w:vAlign w:val="center"/>
          </w:tcPr>
          <w:p w14:paraId="4DD638DA">
            <w:pPr>
              <w:pStyle w:val="178"/>
              <w:bidi w:val="0"/>
              <w:spacing w:line="240" w:lineRule="auto"/>
              <w:jc w:val="left"/>
              <w:rPr>
                <w:rFonts w:hint="eastAsia" w:ascii="宋体" w:hAnsi="Times New Roman" w:eastAsia="宋体" w:cs="Times New Roman"/>
                <w:lang w:val="en-US" w:eastAsia="zh-CN"/>
              </w:rPr>
            </w:pPr>
            <w:r>
              <w:rPr>
                <w:rFonts w:hint="eastAsia" w:ascii="宋体" w:hAnsi="Times New Roman" w:eastAsia="宋体" w:cs="Times New Roman"/>
                <w:lang w:val="en-US" w:eastAsia="zh-CN"/>
              </w:rPr>
              <w:t>节点强化设计，风荷载放大系数设计。</w:t>
            </w:r>
          </w:p>
        </w:tc>
      </w:tr>
      <w:tr w14:paraId="70DDE5D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810" w:type="dxa"/>
            <w:shd w:val="clear" w:color="auto" w:fill="auto"/>
            <w:vAlign w:val="center"/>
          </w:tcPr>
          <w:p w14:paraId="262E1D2C">
            <w:pPr>
              <w:pStyle w:val="178"/>
              <w:bidi w:val="0"/>
              <w:spacing w:line="240" w:lineRule="auto"/>
              <w:jc w:val="center"/>
              <w:rPr>
                <w:rFonts w:hint="eastAsia" w:ascii="宋体" w:hAnsi="Times New Roman" w:eastAsia="宋体" w:cs="Times New Roman"/>
                <w:lang w:val="en-US" w:eastAsia="zh-CN"/>
              </w:rPr>
            </w:pPr>
            <w:r>
              <w:rPr>
                <w:rFonts w:hint="eastAsia" w:ascii="宋体" w:hAnsi="Times New Roman" w:eastAsia="宋体" w:cs="Times New Roman"/>
                <w:lang w:val="en-US" w:eastAsia="zh-CN"/>
              </w:rPr>
              <w:t>5</w:t>
            </w:r>
          </w:p>
        </w:tc>
        <w:tc>
          <w:tcPr>
            <w:tcW w:w="1097" w:type="dxa"/>
            <w:shd w:val="clear" w:color="auto" w:fill="auto"/>
            <w:vAlign w:val="center"/>
          </w:tcPr>
          <w:p w14:paraId="03170645">
            <w:pPr>
              <w:pStyle w:val="178"/>
              <w:bidi w:val="0"/>
              <w:spacing w:line="240" w:lineRule="auto"/>
              <w:jc w:val="center"/>
              <w:rPr>
                <w:rFonts w:hint="eastAsia" w:ascii="宋体" w:hAnsi="Times New Roman" w:eastAsia="宋体" w:cs="Times New Roman"/>
                <w:lang w:val="en-US" w:eastAsia="zh-CN"/>
              </w:rPr>
            </w:pPr>
            <w:r>
              <w:rPr>
                <w:rFonts w:hint="eastAsia" w:ascii="宋体" w:hAnsi="Times New Roman" w:eastAsia="宋体" w:cs="Times New Roman"/>
                <w:lang w:val="en-US" w:eastAsia="zh-CN"/>
              </w:rPr>
              <w:t>日常运维</w:t>
            </w:r>
          </w:p>
        </w:tc>
        <w:tc>
          <w:tcPr>
            <w:tcW w:w="1208" w:type="dxa"/>
            <w:shd w:val="clear" w:color="auto" w:fill="auto"/>
            <w:vAlign w:val="center"/>
          </w:tcPr>
          <w:p w14:paraId="303DADD5">
            <w:pPr>
              <w:pStyle w:val="178"/>
              <w:bidi w:val="0"/>
              <w:spacing w:line="240" w:lineRule="auto"/>
              <w:jc w:val="center"/>
              <w:rPr>
                <w:rFonts w:hint="eastAsia" w:ascii="宋体" w:hAnsi="Times New Roman" w:eastAsia="宋体" w:cs="Times New Roman"/>
                <w:lang w:val="en-US" w:eastAsia="zh-CN"/>
              </w:rPr>
            </w:pPr>
            <w:r>
              <w:rPr>
                <w:rFonts w:hint="eastAsia" w:ascii="宋体" w:hAnsi="Times New Roman" w:eastAsia="宋体" w:cs="Times New Roman"/>
                <w:lang w:val="en-US" w:eastAsia="zh-CN"/>
              </w:rPr>
              <w:t>构筑物运维-建筑物</w:t>
            </w:r>
          </w:p>
        </w:tc>
        <w:tc>
          <w:tcPr>
            <w:tcW w:w="2444" w:type="dxa"/>
            <w:shd w:val="clear" w:color="auto" w:fill="auto"/>
            <w:vAlign w:val="center"/>
          </w:tcPr>
          <w:p w14:paraId="3495BF49">
            <w:pPr>
              <w:pStyle w:val="178"/>
              <w:bidi w:val="0"/>
              <w:spacing w:line="240" w:lineRule="auto"/>
              <w:jc w:val="left"/>
              <w:rPr>
                <w:rFonts w:hint="eastAsia" w:ascii="宋体" w:hAnsi="Times New Roman" w:eastAsia="宋体" w:cs="Times New Roman"/>
                <w:lang w:val="en-US" w:eastAsia="zh-CN"/>
              </w:rPr>
            </w:pPr>
            <w:r>
              <w:rPr>
                <w:rFonts w:hint="eastAsia" w:ascii="宋体" w:hAnsi="Times New Roman" w:eastAsia="宋体" w:cs="Times New Roman"/>
                <w:lang w:val="en-US" w:eastAsia="zh-CN"/>
              </w:rPr>
              <w:t>检查屋面系统，核查金属屋面抗风揭设计、屋脊区域檩条间距（不大于1.0m）及抗风夹固定情况；检查外门窗气密性、水密性及抗风压性能（符合GB/T31433要求），更换变形损坏门窗（外平开窗扇宽度不超700mm）；检查实体围墙完整性及压顶、伸缩缝止水带质量，清理周边易吹动物品。</w:t>
            </w:r>
          </w:p>
        </w:tc>
        <w:tc>
          <w:tcPr>
            <w:tcW w:w="1731" w:type="dxa"/>
            <w:shd w:val="clear" w:color="auto" w:fill="auto"/>
            <w:vAlign w:val="center"/>
          </w:tcPr>
          <w:p w14:paraId="160AD3C9">
            <w:pPr>
              <w:pStyle w:val="178"/>
              <w:bidi w:val="0"/>
              <w:spacing w:line="240" w:lineRule="auto"/>
              <w:jc w:val="left"/>
              <w:rPr>
                <w:rFonts w:hint="eastAsia" w:ascii="宋体" w:hAnsi="Times New Roman" w:eastAsia="宋体" w:cs="Times New Roman"/>
                <w:lang w:val="en-US" w:eastAsia="zh-CN"/>
              </w:rPr>
            </w:pPr>
            <w:r>
              <w:rPr>
                <w:rFonts w:hint="eastAsia" w:ascii="宋体" w:hAnsi="Times New Roman" w:eastAsia="宋体" w:cs="Times New Roman"/>
                <w:lang w:val="en-US" w:eastAsia="zh-CN"/>
              </w:rPr>
              <w:t>无屋面裂缝渗漏，门窗抗风压达标，围墙稳固。</w:t>
            </w:r>
          </w:p>
        </w:tc>
        <w:tc>
          <w:tcPr>
            <w:tcW w:w="1816" w:type="dxa"/>
            <w:shd w:val="clear" w:color="auto" w:fill="auto"/>
            <w:vAlign w:val="center"/>
          </w:tcPr>
          <w:p w14:paraId="6536CDE0">
            <w:pPr>
              <w:pStyle w:val="178"/>
              <w:bidi w:val="0"/>
              <w:spacing w:line="240" w:lineRule="auto"/>
              <w:jc w:val="left"/>
              <w:rPr>
                <w:rFonts w:hint="eastAsia" w:ascii="宋体" w:hAnsi="Times New Roman" w:eastAsia="宋体" w:cs="Times New Roman"/>
                <w:lang w:val="en-US" w:eastAsia="zh-CN"/>
              </w:rPr>
            </w:pPr>
            <w:r>
              <w:rPr>
                <w:rFonts w:hint="eastAsia" w:ascii="宋体" w:hAnsi="Times New Roman" w:eastAsia="宋体" w:cs="Times New Roman"/>
                <w:lang w:val="en-US" w:eastAsia="zh-CN"/>
              </w:rPr>
              <w:t>抗风揭屋面设计，抗风压门窗设计，围墙防撞击设计。</w:t>
            </w:r>
          </w:p>
        </w:tc>
      </w:tr>
      <w:tr w14:paraId="74F7839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810" w:type="dxa"/>
            <w:shd w:val="clear" w:color="auto" w:fill="auto"/>
            <w:vAlign w:val="center"/>
          </w:tcPr>
          <w:p w14:paraId="038B63F2">
            <w:pPr>
              <w:pStyle w:val="178"/>
              <w:bidi w:val="0"/>
              <w:spacing w:line="240" w:lineRule="auto"/>
              <w:jc w:val="center"/>
              <w:rPr>
                <w:rFonts w:hint="eastAsia" w:ascii="宋体" w:hAnsi="Times New Roman" w:eastAsia="宋体" w:cs="Times New Roman"/>
                <w:lang w:val="en-US" w:eastAsia="zh-CN"/>
              </w:rPr>
            </w:pPr>
            <w:r>
              <w:rPr>
                <w:rFonts w:hint="eastAsia" w:ascii="宋体" w:hAnsi="Times New Roman" w:eastAsia="宋体" w:cs="Times New Roman"/>
                <w:lang w:val="en-US" w:eastAsia="zh-CN"/>
              </w:rPr>
              <w:t>6</w:t>
            </w:r>
          </w:p>
        </w:tc>
        <w:tc>
          <w:tcPr>
            <w:tcW w:w="1097" w:type="dxa"/>
            <w:shd w:val="clear" w:color="auto" w:fill="auto"/>
            <w:vAlign w:val="center"/>
          </w:tcPr>
          <w:p w14:paraId="540DDE30">
            <w:pPr>
              <w:pStyle w:val="178"/>
              <w:bidi w:val="0"/>
              <w:spacing w:line="240" w:lineRule="auto"/>
              <w:jc w:val="center"/>
              <w:rPr>
                <w:rFonts w:hint="eastAsia" w:ascii="宋体" w:hAnsi="Times New Roman" w:eastAsia="宋体" w:cs="Times New Roman"/>
                <w:lang w:val="en-US" w:eastAsia="zh-CN"/>
              </w:rPr>
            </w:pPr>
            <w:r>
              <w:rPr>
                <w:rFonts w:hint="eastAsia" w:ascii="宋体" w:hAnsi="Times New Roman" w:eastAsia="宋体" w:cs="Times New Roman"/>
                <w:lang w:val="en-US" w:eastAsia="zh-CN"/>
              </w:rPr>
              <w:t>日常运维</w:t>
            </w:r>
          </w:p>
        </w:tc>
        <w:tc>
          <w:tcPr>
            <w:tcW w:w="1208" w:type="dxa"/>
            <w:shd w:val="clear" w:color="auto" w:fill="auto"/>
            <w:vAlign w:val="center"/>
          </w:tcPr>
          <w:p w14:paraId="1619D63B">
            <w:pPr>
              <w:pStyle w:val="178"/>
              <w:bidi w:val="0"/>
              <w:spacing w:line="240" w:lineRule="auto"/>
              <w:jc w:val="center"/>
              <w:rPr>
                <w:rFonts w:hint="eastAsia" w:ascii="宋体" w:hAnsi="Times New Roman" w:eastAsia="宋体" w:cs="Times New Roman"/>
                <w:lang w:val="en-US" w:eastAsia="zh-CN"/>
              </w:rPr>
            </w:pPr>
            <w:r>
              <w:rPr>
                <w:rFonts w:hint="eastAsia" w:ascii="宋体" w:hAnsi="Times New Roman" w:eastAsia="宋体" w:cs="Times New Roman"/>
                <w:lang w:val="en-US" w:eastAsia="zh-CN"/>
              </w:rPr>
              <w:t>构筑物运维-附属构筑物</w:t>
            </w:r>
          </w:p>
        </w:tc>
        <w:tc>
          <w:tcPr>
            <w:tcW w:w="2444" w:type="dxa"/>
            <w:shd w:val="clear" w:color="auto" w:fill="auto"/>
            <w:vAlign w:val="center"/>
          </w:tcPr>
          <w:p w14:paraId="0C4A9140">
            <w:pPr>
              <w:pStyle w:val="178"/>
              <w:bidi w:val="0"/>
              <w:spacing w:line="240" w:lineRule="auto"/>
              <w:jc w:val="left"/>
              <w:rPr>
                <w:rFonts w:hint="eastAsia" w:ascii="宋体" w:hAnsi="Times New Roman" w:eastAsia="宋体" w:cs="Times New Roman"/>
                <w:lang w:val="en-US" w:eastAsia="zh-CN"/>
              </w:rPr>
            </w:pPr>
            <w:r>
              <w:rPr>
                <w:rFonts w:hint="eastAsia" w:ascii="宋体" w:hAnsi="Times New Roman" w:eastAsia="宋体" w:cs="Times New Roman"/>
                <w:lang w:val="en-US" w:eastAsia="zh-CN"/>
              </w:rPr>
              <w:t>检查挡土墙、护坡稳定性，加固松动部位；检查声屏障预埋地脚螺栓连接情况。</w:t>
            </w:r>
          </w:p>
        </w:tc>
        <w:tc>
          <w:tcPr>
            <w:tcW w:w="1731" w:type="dxa"/>
            <w:shd w:val="clear" w:color="auto" w:fill="auto"/>
            <w:vAlign w:val="center"/>
          </w:tcPr>
          <w:p w14:paraId="3D4AEB1D">
            <w:pPr>
              <w:pStyle w:val="178"/>
              <w:bidi w:val="0"/>
              <w:spacing w:line="240" w:lineRule="auto"/>
              <w:jc w:val="left"/>
              <w:rPr>
                <w:rFonts w:hint="eastAsia" w:ascii="宋体" w:hAnsi="Times New Roman" w:eastAsia="宋体" w:cs="Times New Roman"/>
                <w:lang w:val="en-US" w:eastAsia="zh-CN"/>
              </w:rPr>
            </w:pPr>
            <w:r>
              <w:rPr>
                <w:rFonts w:hint="eastAsia" w:ascii="宋体" w:hAnsi="Times New Roman" w:eastAsia="宋体" w:cs="Times New Roman"/>
                <w:lang w:val="en-US" w:eastAsia="zh-CN"/>
              </w:rPr>
              <w:t>符合防台风次生地质灾害要求，声屏障无倾倒风险。</w:t>
            </w:r>
          </w:p>
        </w:tc>
        <w:tc>
          <w:tcPr>
            <w:tcW w:w="1816" w:type="dxa"/>
            <w:shd w:val="clear" w:color="auto" w:fill="auto"/>
            <w:vAlign w:val="center"/>
          </w:tcPr>
          <w:p w14:paraId="4DD0F42C">
            <w:pPr>
              <w:pStyle w:val="178"/>
              <w:bidi w:val="0"/>
              <w:spacing w:line="240" w:lineRule="auto"/>
              <w:jc w:val="left"/>
              <w:rPr>
                <w:rFonts w:hint="eastAsia" w:ascii="宋体" w:hAnsi="Times New Roman" w:eastAsia="宋体" w:cs="Times New Roman"/>
                <w:lang w:val="en-US" w:eastAsia="zh-CN"/>
              </w:rPr>
            </w:pPr>
            <w:r>
              <w:rPr>
                <w:rFonts w:hint="eastAsia" w:ascii="宋体" w:hAnsi="Times New Roman" w:eastAsia="宋体" w:cs="Times New Roman"/>
                <w:lang w:val="en-US" w:eastAsia="zh-CN"/>
              </w:rPr>
              <w:t>防台风次生地质灾害设计，声屏障固定设计。</w:t>
            </w:r>
          </w:p>
        </w:tc>
      </w:tr>
      <w:tr w14:paraId="6F04CB8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810" w:type="dxa"/>
            <w:shd w:val="clear" w:color="auto" w:fill="auto"/>
            <w:vAlign w:val="center"/>
          </w:tcPr>
          <w:p w14:paraId="2140AFAB">
            <w:pPr>
              <w:pStyle w:val="178"/>
              <w:bidi w:val="0"/>
              <w:spacing w:line="240" w:lineRule="auto"/>
              <w:jc w:val="center"/>
              <w:rPr>
                <w:rFonts w:hint="eastAsia" w:ascii="宋体" w:hAnsi="Times New Roman" w:eastAsia="宋体" w:cs="Times New Roman"/>
                <w:lang w:val="en-US" w:eastAsia="zh-CN"/>
              </w:rPr>
            </w:pPr>
            <w:r>
              <w:rPr>
                <w:rFonts w:hint="eastAsia" w:ascii="宋体" w:hAnsi="Times New Roman" w:eastAsia="宋体" w:cs="Times New Roman"/>
                <w:lang w:val="en-US" w:eastAsia="zh-CN"/>
              </w:rPr>
              <w:t>7</w:t>
            </w:r>
          </w:p>
        </w:tc>
        <w:tc>
          <w:tcPr>
            <w:tcW w:w="1097" w:type="dxa"/>
            <w:shd w:val="clear" w:color="auto" w:fill="auto"/>
            <w:vAlign w:val="center"/>
          </w:tcPr>
          <w:p w14:paraId="1703B45F">
            <w:pPr>
              <w:pStyle w:val="178"/>
              <w:bidi w:val="0"/>
              <w:spacing w:line="240" w:lineRule="auto"/>
              <w:jc w:val="center"/>
              <w:rPr>
                <w:rFonts w:hint="eastAsia" w:ascii="宋体" w:hAnsi="Times New Roman" w:eastAsia="宋体" w:cs="Times New Roman"/>
                <w:lang w:val="en-US" w:eastAsia="zh-CN"/>
              </w:rPr>
            </w:pPr>
            <w:r>
              <w:rPr>
                <w:rFonts w:hint="eastAsia" w:ascii="宋体" w:hAnsi="Times New Roman" w:eastAsia="宋体" w:cs="Times New Roman"/>
                <w:lang w:val="en-US" w:eastAsia="zh-CN"/>
              </w:rPr>
              <w:t>日常运维</w:t>
            </w:r>
          </w:p>
        </w:tc>
        <w:tc>
          <w:tcPr>
            <w:tcW w:w="1208" w:type="dxa"/>
            <w:shd w:val="clear" w:color="auto" w:fill="auto"/>
            <w:vAlign w:val="center"/>
          </w:tcPr>
          <w:p w14:paraId="265A8BA6">
            <w:pPr>
              <w:pStyle w:val="178"/>
              <w:bidi w:val="0"/>
              <w:spacing w:line="240" w:lineRule="auto"/>
              <w:jc w:val="center"/>
              <w:rPr>
                <w:rFonts w:hint="eastAsia" w:ascii="宋体" w:hAnsi="Times New Roman" w:eastAsia="宋体" w:cs="Times New Roman"/>
                <w:lang w:val="en-US" w:eastAsia="zh-CN"/>
              </w:rPr>
            </w:pPr>
            <w:r>
              <w:rPr>
                <w:rFonts w:hint="eastAsia" w:ascii="宋体" w:hAnsi="Times New Roman" w:eastAsia="宋体" w:cs="Times New Roman"/>
                <w:lang w:val="en-US" w:eastAsia="zh-CN"/>
              </w:rPr>
              <w:t>附属设施运维-排水系统</w:t>
            </w:r>
          </w:p>
        </w:tc>
        <w:tc>
          <w:tcPr>
            <w:tcW w:w="2444" w:type="dxa"/>
            <w:shd w:val="clear" w:color="auto" w:fill="auto"/>
            <w:vAlign w:val="center"/>
          </w:tcPr>
          <w:p w14:paraId="1DEF7385">
            <w:pPr>
              <w:pStyle w:val="178"/>
              <w:bidi w:val="0"/>
              <w:spacing w:line="240" w:lineRule="auto"/>
              <w:jc w:val="left"/>
              <w:rPr>
                <w:rFonts w:hint="eastAsia" w:ascii="宋体" w:hAnsi="Times New Roman" w:eastAsia="宋体" w:cs="Times New Roman"/>
                <w:lang w:val="en-US" w:eastAsia="zh-CN"/>
              </w:rPr>
            </w:pPr>
            <w:r>
              <w:rPr>
                <w:rFonts w:hint="eastAsia" w:ascii="宋体" w:hAnsi="Times New Roman" w:eastAsia="宋体" w:cs="Times New Roman"/>
                <w:lang w:val="en-US" w:eastAsia="zh-CN"/>
              </w:rPr>
              <w:t>清理雨水井、排水沟、集水池杂物淤泥；测试排水泵启停、自动切换及异常告警功能，开展联动试验；检查自然排水孔防倒灌措施。</w:t>
            </w:r>
          </w:p>
        </w:tc>
        <w:tc>
          <w:tcPr>
            <w:tcW w:w="1731" w:type="dxa"/>
            <w:shd w:val="clear" w:color="auto" w:fill="auto"/>
            <w:vAlign w:val="center"/>
          </w:tcPr>
          <w:p w14:paraId="004779D5">
            <w:pPr>
              <w:pStyle w:val="178"/>
              <w:bidi w:val="0"/>
              <w:spacing w:line="240" w:lineRule="auto"/>
              <w:jc w:val="left"/>
              <w:rPr>
                <w:rFonts w:hint="eastAsia" w:ascii="宋体" w:hAnsi="Times New Roman" w:eastAsia="宋体" w:cs="Times New Roman"/>
                <w:lang w:val="en-US" w:eastAsia="zh-CN"/>
              </w:rPr>
            </w:pPr>
            <w:r>
              <w:rPr>
                <w:rFonts w:hint="eastAsia" w:ascii="宋体" w:hAnsi="Times New Roman" w:eastAsia="宋体" w:cs="Times New Roman"/>
                <w:lang w:val="en-US" w:eastAsia="zh-CN"/>
              </w:rPr>
              <w:t>排水通畅，台风暴雨时可快速排水，无倒灌。</w:t>
            </w:r>
          </w:p>
        </w:tc>
        <w:tc>
          <w:tcPr>
            <w:tcW w:w="1816" w:type="dxa"/>
            <w:shd w:val="clear" w:color="auto" w:fill="auto"/>
            <w:vAlign w:val="center"/>
          </w:tcPr>
          <w:p w14:paraId="350E6304">
            <w:pPr>
              <w:pStyle w:val="178"/>
              <w:bidi w:val="0"/>
              <w:spacing w:line="240" w:lineRule="auto"/>
              <w:jc w:val="left"/>
              <w:rPr>
                <w:rFonts w:hint="eastAsia" w:ascii="宋体" w:hAnsi="Times New Roman" w:eastAsia="宋体" w:cs="Times New Roman"/>
                <w:lang w:val="en-US" w:eastAsia="zh-CN"/>
              </w:rPr>
            </w:pPr>
            <w:r>
              <w:rPr>
                <w:rFonts w:hint="eastAsia" w:ascii="宋体" w:hAnsi="Times New Roman" w:eastAsia="宋体" w:cs="Times New Roman"/>
                <w:lang w:val="en-US" w:eastAsia="zh-CN"/>
              </w:rPr>
              <w:t>排水能力设计，防倒灌措施设计。</w:t>
            </w:r>
          </w:p>
        </w:tc>
      </w:tr>
      <w:tr w14:paraId="5696EB6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810" w:type="dxa"/>
            <w:shd w:val="clear" w:color="auto" w:fill="auto"/>
            <w:vAlign w:val="center"/>
          </w:tcPr>
          <w:p w14:paraId="7980C65D">
            <w:pPr>
              <w:pStyle w:val="178"/>
              <w:bidi w:val="0"/>
              <w:spacing w:line="240" w:lineRule="auto"/>
              <w:jc w:val="center"/>
              <w:rPr>
                <w:rFonts w:hint="eastAsia" w:ascii="宋体" w:hAnsi="Times New Roman" w:eastAsia="宋体" w:cs="Times New Roman"/>
                <w:lang w:val="en-US" w:eastAsia="zh-CN"/>
              </w:rPr>
            </w:pPr>
            <w:r>
              <w:rPr>
                <w:rFonts w:hint="eastAsia" w:ascii="宋体" w:hAnsi="Times New Roman" w:eastAsia="宋体" w:cs="Times New Roman"/>
                <w:lang w:val="en-US" w:eastAsia="zh-CN"/>
              </w:rPr>
              <w:t>8</w:t>
            </w:r>
          </w:p>
        </w:tc>
        <w:tc>
          <w:tcPr>
            <w:tcW w:w="1097" w:type="dxa"/>
            <w:shd w:val="clear" w:color="auto" w:fill="auto"/>
            <w:vAlign w:val="center"/>
          </w:tcPr>
          <w:p w14:paraId="3A3EE463">
            <w:pPr>
              <w:pStyle w:val="178"/>
              <w:bidi w:val="0"/>
              <w:spacing w:line="240" w:lineRule="auto"/>
              <w:jc w:val="center"/>
              <w:rPr>
                <w:rFonts w:hint="eastAsia" w:ascii="宋体" w:hAnsi="Times New Roman" w:eastAsia="宋体" w:cs="Times New Roman"/>
                <w:lang w:val="en-US" w:eastAsia="zh-CN"/>
              </w:rPr>
            </w:pPr>
            <w:r>
              <w:rPr>
                <w:rFonts w:hint="eastAsia" w:ascii="宋体" w:hAnsi="Times New Roman" w:eastAsia="宋体" w:cs="Times New Roman"/>
                <w:lang w:val="en-US" w:eastAsia="zh-CN"/>
              </w:rPr>
              <w:t>日常运维</w:t>
            </w:r>
          </w:p>
        </w:tc>
        <w:tc>
          <w:tcPr>
            <w:tcW w:w="1208" w:type="dxa"/>
            <w:shd w:val="clear" w:color="auto" w:fill="auto"/>
            <w:vAlign w:val="center"/>
          </w:tcPr>
          <w:p w14:paraId="3BB1F6D7">
            <w:pPr>
              <w:pStyle w:val="178"/>
              <w:bidi w:val="0"/>
              <w:spacing w:line="240" w:lineRule="auto"/>
              <w:jc w:val="center"/>
              <w:rPr>
                <w:rFonts w:hint="eastAsia" w:ascii="宋体" w:hAnsi="Times New Roman" w:eastAsia="宋体" w:cs="Times New Roman"/>
                <w:lang w:val="en-US" w:eastAsia="zh-CN"/>
              </w:rPr>
            </w:pPr>
            <w:r>
              <w:rPr>
                <w:rFonts w:hint="eastAsia" w:ascii="宋体" w:hAnsi="Times New Roman" w:eastAsia="宋体" w:cs="Times New Roman"/>
                <w:lang w:val="en-US" w:eastAsia="zh-CN"/>
              </w:rPr>
              <w:t>附属设施运维-防风屏障及防护设施</w:t>
            </w:r>
          </w:p>
        </w:tc>
        <w:tc>
          <w:tcPr>
            <w:tcW w:w="2444" w:type="dxa"/>
            <w:shd w:val="clear" w:color="auto" w:fill="auto"/>
            <w:vAlign w:val="center"/>
          </w:tcPr>
          <w:p w14:paraId="0B494E21">
            <w:pPr>
              <w:pStyle w:val="178"/>
              <w:bidi w:val="0"/>
              <w:spacing w:line="240" w:lineRule="auto"/>
              <w:jc w:val="left"/>
              <w:rPr>
                <w:rFonts w:hint="eastAsia" w:ascii="宋体" w:hAnsi="Times New Roman" w:eastAsia="宋体" w:cs="Times New Roman"/>
                <w:lang w:val="en-US" w:eastAsia="zh-CN"/>
              </w:rPr>
            </w:pPr>
            <w:r>
              <w:rPr>
                <w:rFonts w:hint="eastAsia" w:ascii="宋体" w:hAnsi="Times New Roman" w:eastAsia="宋体" w:cs="Times New Roman"/>
                <w:lang w:val="en-US" w:eastAsia="zh-CN"/>
              </w:rPr>
              <w:t>检查防风屏障、防风网完整性，修复破损松动部位；检查设备防护围栏牢固性；清理站内及周边易吹动物品。</w:t>
            </w:r>
          </w:p>
        </w:tc>
        <w:tc>
          <w:tcPr>
            <w:tcW w:w="1731" w:type="dxa"/>
            <w:shd w:val="clear" w:color="auto" w:fill="auto"/>
            <w:vAlign w:val="center"/>
          </w:tcPr>
          <w:p w14:paraId="1437A1DA">
            <w:pPr>
              <w:pStyle w:val="178"/>
              <w:bidi w:val="0"/>
              <w:spacing w:line="240" w:lineRule="auto"/>
              <w:jc w:val="left"/>
              <w:rPr>
                <w:rFonts w:hint="eastAsia" w:ascii="宋体" w:hAnsi="Times New Roman" w:eastAsia="宋体" w:cs="Times New Roman"/>
                <w:lang w:val="en-US" w:eastAsia="zh-CN"/>
              </w:rPr>
            </w:pPr>
            <w:r>
              <w:rPr>
                <w:rFonts w:hint="eastAsia" w:ascii="宋体" w:hAnsi="Times New Roman" w:eastAsia="宋体" w:cs="Times New Roman"/>
                <w:lang w:val="en-US" w:eastAsia="zh-CN"/>
              </w:rPr>
              <w:t>无飞行物隐患，防护设施稳固。</w:t>
            </w:r>
          </w:p>
        </w:tc>
        <w:tc>
          <w:tcPr>
            <w:tcW w:w="1816" w:type="dxa"/>
            <w:shd w:val="clear" w:color="auto" w:fill="auto"/>
            <w:vAlign w:val="center"/>
          </w:tcPr>
          <w:p w14:paraId="0BEC3E85">
            <w:pPr>
              <w:pStyle w:val="178"/>
              <w:bidi w:val="0"/>
              <w:spacing w:line="240" w:lineRule="auto"/>
              <w:jc w:val="left"/>
              <w:rPr>
                <w:rFonts w:hint="eastAsia" w:ascii="宋体" w:hAnsi="Times New Roman" w:eastAsia="宋体" w:cs="Times New Roman"/>
                <w:lang w:val="en-US" w:eastAsia="zh-CN"/>
              </w:rPr>
            </w:pPr>
            <w:r>
              <w:rPr>
                <w:rFonts w:hint="eastAsia" w:ascii="宋体" w:hAnsi="Times New Roman" w:eastAsia="宋体" w:cs="Times New Roman"/>
                <w:lang w:val="en-US" w:eastAsia="zh-CN"/>
              </w:rPr>
              <w:t>周边环境防护设计，防风屏障设计。</w:t>
            </w:r>
          </w:p>
        </w:tc>
      </w:tr>
      <w:tr w14:paraId="12CBA15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810" w:type="dxa"/>
            <w:shd w:val="clear" w:color="auto" w:fill="auto"/>
            <w:vAlign w:val="center"/>
          </w:tcPr>
          <w:p w14:paraId="74392CA2">
            <w:pPr>
              <w:pStyle w:val="178"/>
              <w:bidi w:val="0"/>
              <w:spacing w:line="240" w:lineRule="auto"/>
              <w:jc w:val="center"/>
              <w:rPr>
                <w:rFonts w:hint="eastAsia" w:ascii="宋体" w:hAnsi="Times New Roman" w:eastAsia="宋体" w:cs="Times New Roman"/>
                <w:lang w:val="en-US" w:eastAsia="zh-CN"/>
              </w:rPr>
            </w:pPr>
            <w:r>
              <w:rPr>
                <w:rFonts w:hint="eastAsia" w:ascii="宋体" w:hAnsi="Times New Roman" w:eastAsia="宋体" w:cs="Times New Roman"/>
                <w:lang w:val="en-US" w:eastAsia="zh-CN"/>
              </w:rPr>
              <w:t>9</w:t>
            </w:r>
          </w:p>
        </w:tc>
        <w:tc>
          <w:tcPr>
            <w:tcW w:w="1097" w:type="dxa"/>
            <w:shd w:val="clear" w:color="auto" w:fill="auto"/>
            <w:vAlign w:val="center"/>
          </w:tcPr>
          <w:p w14:paraId="46F0E39C">
            <w:pPr>
              <w:pStyle w:val="178"/>
              <w:bidi w:val="0"/>
              <w:spacing w:line="240" w:lineRule="auto"/>
              <w:jc w:val="center"/>
              <w:rPr>
                <w:rFonts w:hint="eastAsia" w:ascii="宋体" w:hAnsi="Times New Roman" w:eastAsia="宋体" w:cs="Times New Roman"/>
                <w:lang w:val="en-US" w:eastAsia="zh-CN"/>
              </w:rPr>
            </w:pPr>
            <w:r>
              <w:rPr>
                <w:rFonts w:hint="eastAsia" w:ascii="宋体" w:hAnsi="Times New Roman" w:eastAsia="宋体" w:cs="Times New Roman"/>
                <w:lang w:val="en-US" w:eastAsia="zh-CN"/>
              </w:rPr>
              <w:t>日常运维</w:t>
            </w:r>
          </w:p>
        </w:tc>
        <w:tc>
          <w:tcPr>
            <w:tcW w:w="1208" w:type="dxa"/>
            <w:shd w:val="clear" w:color="auto" w:fill="auto"/>
            <w:vAlign w:val="center"/>
          </w:tcPr>
          <w:p w14:paraId="619941DB">
            <w:pPr>
              <w:pStyle w:val="178"/>
              <w:bidi w:val="0"/>
              <w:spacing w:line="240" w:lineRule="auto"/>
              <w:jc w:val="center"/>
              <w:rPr>
                <w:rFonts w:hint="eastAsia" w:ascii="宋体" w:hAnsi="Times New Roman" w:eastAsia="宋体" w:cs="Times New Roman"/>
                <w:lang w:val="en-US" w:eastAsia="zh-CN"/>
              </w:rPr>
            </w:pPr>
            <w:r>
              <w:rPr>
                <w:rFonts w:hint="eastAsia" w:ascii="宋体" w:hAnsi="Times New Roman" w:eastAsia="宋体" w:cs="Times New Roman"/>
                <w:lang w:val="en-US" w:eastAsia="zh-CN"/>
              </w:rPr>
              <w:t>附属设施运维-应急电源及通信系统</w:t>
            </w:r>
          </w:p>
        </w:tc>
        <w:tc>
          <w:tcPr>
            <w:tcW w:w="2444" w:type="dxa"/>
            <w:shd w:val="clear" w:color="auto" w:fill="auto"/>
            <w:vAlign w:val="center"/>
          </w:tcPr>
          <w:p w14:paraId="7C64E4D6">
            <w:pPr>
              <w:pStyle w:val="178"/>
              <w:bidi w:val="0"/>
              <w:spacing w:line="240" w:lineRule="auto"/>
              <w:jc w:val="left"/>
              <w:rPr>
                <w:rFonts w:hint="eastAsia" w:ascii="宋体" w:hAnsi="Times New Roman" w:eastAsia="宋体" w:cs="Times New Roman"/>
                <w:lang w:val="en-US" w:eastAsia="zh-CN"/>
              </w:rPr>
            </w:pPr>
            <w:r>
              <w:rPr>
                <w:rFonts w:hint="eastAsia" w:ascii="宋体" w:hAnsi="Times New Roman" w:eastAsia="宋体" w:cs="Times New Roman"/>
                <w:lang w:val="en-US" w:eastAsia="zh-CN"/>
              </w:rPr>
              <w:t>检查应急发电机、UPS电源启动性能及供电稳定性；检查通信系统（含无线通信）运行状态。</w:t>
            </w:r>
          </w:p>
        </w:tc>
        <w:tc>
          <w:tcPr>
            <w:tcW w:w="1731" w:type="dxa"/>
            <w:shd w:val="clear" w:color="auto" w:fill="auto"/>
            <w:vAlign w:val="center"/>
          </w:tcPr>
          <w:p w14:paraId="45C19D21">
            <w:pPr>
              <w:pStyle w:val="178"/>
              <w:bidi w:val="0"/>
              <w:spacing w:line="240" w:lineRule="auto"/>
              <w:jc w:val="left"/>
              <w:rPr>
                <w:rFonts w:hint="eastAsia" w:ascii="宋体" w:hAnsi="Times New Roman" w:eastAsia="宋体" w:cs="Times New Roman"/>
                <w:lang w:val="en-US" w:eastAsia="zh-CN"/>
              </w:rPr>
            </w:pPr>
            <w:r>
              <w:rPr>
                <w:rFonts w:hint="eastAsia" w:ascii="宋体" w:hAnsi="Times New Roman" w:eastAsia="宋体" w:cs="Times New Roman"/>
                <w:lang w:val="en-US" w:eastAsia="zh-CN"/>
              </w:rPr>
              <w:t>台风期间可快速供电，通信畅通。</w:t>
            </w:r>
          </w:p>
        </w:tc>
        <w:tc>
          <w:tcPr>
            <w:tcW w:w="1816" w:type="dxa"/>
            <w:shd w:val="clear" w:color="auto" w:fill="auto"/>
            <w:vAlign w:val="center"/>
          </w:tcPr>
          <w:p w14:paraId="71CC3474">
            <w:pPr>
              <w:pStyle w:val="178"/>
              <w:bidi w:val="0"/>
              <w:spacing w:line="240" w:lineRule="auto"/>
              <w:jc w:val="left"/>
              <w:rPr>
                <w:rFonts w:hint="eastAsia" w:ascii="宋体" w:hAnsi="Times New Roman" w:eastAsia="宋体" w:cs="Times New Roman"/>
                <w:lang w:val="en-US" w:eastAsia="zh-CN"/>
              </w:rPr>
            </w:pPr>
            <w:r>
              <w:rPr>
                <w:rFonts w:hint="eastAsia" w:ascii="宋体" w:hAnsi="Times New Roman" w:eastAsia="宋体" w:cs="Times New Roman"/>
                <w:lang w:val="en-US" w:eastAsia="zh-CN"/>
              </w:rPr>
              <w:t>应急保障设计。</w:t>
            </w:r>
          </w:p>
        </w:tc>
      </w:tr>
      <w:tr w14:paraId="3C5AA2A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810" w:type="dxa"/>
            <w:shd w:val="clear" w:color="auto" w:fill="auto"/>
            <w:vAlign w:val="center"/>
          </w:tcPr>
          <w:p w14:paraId="7037AAEA">
            <w:pPr>
              <w:pStyle w:val="178"/>
              <w:bidi w:val="0"/>
              <w:spacing w:line="240" w:lineRule="auto"/>
              <w:jc w:val="center"/>
              <w:rPr>
                <w:rFonts w:hint="eastAsia" w:ascii="宋体" w:hAnsi="Times New Roman" w:eastAsia="宋体" w:cs="Times New Roman"/>
                <w:lang w:val="en-US" w:eastAsia="zh-CN"/>
              </w:rPr>
            </w:pPr>
            <w:r>
              <w:rPr>
                <w:rFonts w:hint="eastAsia" w:ascii="宋体" w:hAnsi="Times New Roman" w:eastAsia="宋体" w:cs="Times New Roman"/>
                <w:lang w:val="en-US" w:eastAsia="zh-CN"/>
              </w:rPr>
              <w:t>10</w:t>
            </w:r>
          </w:p>
        </w:tc>
        <w:tc>
          <w:tcPr>
            <w:tcW w:w="1097" w:type="dxa"/>
            <w:shd w:val="clear" w:color="auto" w:fill="auto"/>
            <w:vAlign w:val="center"/>
          </w:tcPr>
          <w:p w14:paraId="1F5874B3">
            <w:pPr>
              <w:pStyle w:val="178"/>
              <w:bidi w:val="0"/>
              <w:spacing w:line="240" w:lineRule="auto"/>
              <w:jc w:val="center"/>
              <w:rPr>
                <w:rFonts w:hint="eastAsia" w:ascii="宋体" w:hAnsi="Times New Roman" w:eastAsia="宋体" w:cs="Times New Roman"/>
                <w:lang w:val="en-US" w:eastAsia="zh-CN"/>
              </w:rPr>
            </w:pPr>
            <w:r>
              <w:rPr>
                <w:rFonts w:hint="eastAsia" w:ascii="宋体" w:hAnsi="Times New Roman" w:eastAsia="宋体" w:cs="Times New Roman"/>
                <w:lang w:val="en-US" w:eastAsia="zh-CN"/>
              </w:rPr>
              <w:t>日常运维</w:t>
            </w:r>
          </w:p>
        </w:tc>
        <w:tc>
          <w:tcPr>
            <w:tcW w:w="1208" w:type="dxa"/>
            <w:shd w:val="clear" w:color="auto" w:fill="auto"/>
            <w:vAlign w:val="center"/>
          </w:tcPr>
          <w:p w14:paraId="0E107DF6">
            <w:pPr>
              <w:pStyle w:val="178"/>
              <w:bidi w:val="0"/>
              <w:spacing w:line="240" w:lineRule="auto"/>
              <w:jc w:val="center"/>
              <w:rPr>
                <w:rFonts w:hint="eastAsia" w:ascii="宋体" w:hAnsi="Times New Roman" w:eastAsia="宋体" w:cs="Times New Roman"/>
                <w:lang w:val="en-US" w:eastAsia="zh-CN"/>
              </w:rPr>
            </w:pPr>
            <w:r>
              <w:rPr>
                <w:rFonts w:hint="eastAsia" w:ascii="宋体" w:hAnsi="Times New Roman" w:eastAsia="宋体" w:cs="Times New Roman"/>
                <w:lang w:val="en-US" w:eastAsia="zh-CN"/>
              </w:rPr>
              <w:t>智能化监测系统运维</w:t>
            </w:r>
          </w:p>
        </w:tc>
        <w:tc>
          <w:tcPr>
            <w:tcW w:w="2444" w:type="dxa"/>
            <w:shd w:val="clear" w:color="auto" w:fill="auto"/>
            <w:vAlign w:val="center"/>
          </w:tcPr>
          <w:p w14:paraId="4C624E95">
            <w:pPr>
              <w:pStyle w:val="178"/>
              <w:bidi w:val="0"/>
              <w:spacing w:line="240" w:lineRule="auto"/>
              <w:jc w:val="left"/>
              <w:rPr>
                <w:rFonts w:hint="eastAsia" w:ascii="宋体" w:hAnsi="Times New Roman" w:eastAsia="宋体" w:cs="Times New Roman"/>
                <w:lang w:val="en-US" w:eastAsia="zh-CN"/>
              </w:rPr>
            </w:pPr>
            <w:r>
              <w:rPr>
                <w:rFonts w:hint="eastAsia" w:ascii="宋体" w:hAnsi="Times New Roman" w:eastAsia="宋体" w:cs="Times New Roman"/>
                <w:lang w:val="en-US" w:eastAsia="zh-CN"/>
              </w:rPr>
              <w:t>检查台风监测、风速风向监测等传感器运行状态，校准精度；检查ECS系统联动功能；分析监测数据，识别异常趋势；维护无人机巡检设备并开展演练。</w:t>
            </w:r>
          </w:p>
        </w:tc>
        <w:tc>
          <w:tcPr>
            <w:tcW w:w="1731" w:type="dxa"/>
            <w:shd w:val="clear" w:color="auto" w:fill="auto"/>
            <w:vAlign w:val="center"/>
          </w:tcPr>
          <w:p w14:paraId="015F6D12">
            <w:pPr>
              <w:pStyle w:val="178"/>
              <w:bidi w:val="0"/>
              <w:spacing w:line="240" w:lineRule="auto"/>
              <w:jc w:val="left"/>
              <w:rPr>
                <w:rFonts w:hint="eastAsia" w:ascii="宋体" w:hAnsi="Times New Roman" w:eastAsia="宋体" w:cs="Times New Roman"/>
                <w:lang w:val="en-US" w:eastAsia="zh-CN"/>
              </w:rPr>
            </w:pPr>
            <w:r>
              <w:rPr>
                <w:rFonts w:hint="eastAsia" w:ascii="宋体" w:hAnsi="Times New Roman" w:eastAsia="宋体" w:cs="Times New Roman"/>
                <w:lang w:val="en-US" w:eastAsia="zh-CN"/>
              </w:rPr>
              <w:t>数据采集准确、传输稳定，实现分钟级智能监测，提升运维效率。</w:t>
            </w:r>
          </w:p>
        </w:tc>
        <w:tc>
          <w:tcPr>
            <w:tcW w:w="1816" w:type="dxa"/>
            <w:shd w:val="clear" w:color="auto" w:fill="auto"/>
            <w:vAlign w:val="center"/>
          </w:tcPr>
          <w:p w14:paraId="49999088">
            <w:pPr>
              <w:pStyle w:val="178"/>
              <w:bidi w:val="0"/>
              <w:spacing w:line="240" w:lineRule="auto"/>
              <w:jc w:val="left"/>
              <w:rPr>
                <w:rFonts w:hint="eastAsia" w:ascii="宋体" w:hAnsi="Times New Roman" w:eastAsia="宋体" w:cs="Times New Roman"/>
                <w:lang w:val="en-US" w:eastAsia="zh-CN"/>
              </w:rPr>
            </w:pPr>
            <w:r>
              <w:rPr>
                <w:rFonts w:hint="eastAsia" w:ascii="宋体" w:hAnsi="Times New Roman" w:eastAsia="宋体" w:cs="Times New Roman"/>
                <w:lang w:val="en-US" w:eastAsia="zh-CN"/>
              </w:rPr>
              <w:t>智能化监测系统设计，无人机巡检配套设计。</w:t>
            </w:r>
          </w:p>
        </w:tc>
      </w:tr>
      <w:tr w14:paraId="4DBC8B9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810" w:type="dxa"/>
            <w:shd w:val="clear" w:color="auto" w:fill="auto"/>
            <w:vAlign w:val="center"/>
          </w:tcPr>
          <w:p w14:paraId="659580FC">
            <w:pPr>
              <w:pStyle w:val="178"/>
              <w:bidi w:val="0"/>
              <w:spacing w:line="240" w:lineRule="auto"/>
              <w:jc w:val="center"/>
              <w:rPr>
                <w:rFonts w:hint="eastAsia" w:ascii="宋体" w:hAnsi="Times New Roman" w:eastAsia="宋体" w:cs="Times New Roman"/>
                <w:lang w:val="en-US" w:eastAsia="zh-CN"/>
              </w:rPr>
            </w:pPr>
            <w:r>
              <w:rPr>
                <w:rFonts w:hint="eastAsia" w:ascii="宋体" w:hAnsi="Times New Roman" w:eastAsia="宋体" w:cs="Times New Roman"/>
                <w:lang w:val="en-US" w:eastAsia="zh-CN"/>
              </w:rPr>
              <w:t>11</w:t>
            </w:r>
          </w:p>
        </w:tc>
        <w:tc>
          <w:tcPr>
            <w:tcW w:w="1097" w:type="dxa"/>
            <w:shd w:val="clear" w:color="auto" w:fill="auto"/>
            <w:vAlign w:val="center"/>
          </w:tcPr>
          <w:p w14:paraId="37CD04F0">
            <w:pPr>
              <w:pStyle w:val="178"/>
              <w:bidi w:val="0"/>
              <w:spacing w:line="240" w:lineRule="auto"/>
              <w:jc w:val="center"/>
              <w:rPr>
                <w:rFonts w:hint="eastAsia" w:ascii="宋体" w:hAnsi="Times New Roman" w:eastAsia="宋体" w:cs="Times New Roman"/>
                <w:lang w:val="en-US" w:eastAsia="zh-CN"/>
              </w:rPr>
            </w:pPr>
            <w:r>
              <w:rPr>
                <w:rFonts w:hint="eastAsia" w:ascii="宋体" w:hAnsi="Times New Roman" w:eastAsia="宋体" w:cs="Times New Roman"/>
                <w:lang w:val="en-US" w:eastAsia="zh-CN"/>
              </w:rPr>
              <w:t>日常运维</w:t>
            </w:r>
          </w:p>
        </w:tc>
        <w:tc>
          <w:tcPr>
            <w:tcW w:w="1208" w:type="dxa"/>
            <w:shd w:val="clear" w:color="auto" w:fill="auto"/>
            <w:vAlign w:val="center"/>
          </w:tcPr>
          <w:p w14:paraId="4ED6C16D">
            <w:pPr>
              <w:pStyle w:val="178"/>
              <w:bidi w:val="0"/>
              <w:spacing w:line="240" w:lineRule="auto"/>
              <w:jc w:val="center"/>
              <w:rPr>
                <w:rFonts w:hint="eastAsia" w:ascii="宋体" w:hAnsi="Times New Roman" w:eastAsia="宋体" w:cs="Times New Roman"/>
                <w:lang w:val="en-US" w:eastAsia="zh-CN"/>
              </w:rPr>
            </w:pPr>
            <w:r>
              <w:rPr>
                <w:rFonts w:hint="eastAsia" w:ascii="宋体" w:hAnsi="Times New Roman" w:eastAsia="宋体" w:cs="Times New Roman"/>
                <w:lang w:val="en-US" w:eastAsia="zh-CN"/>
              </w:rPr>
              <w:t>日常巡检与隐患管理</w:t>
            </w:r>
          </w:p>
        </w:tc>
        <w:tc>
          <w:tcPr>
            <w:tcW w:w="2444" w:type="dxa"/>
            <w:shd w:val="clear" w:color="auto" w:fill="auto"/>
            <w:vAlign w:val="center"/>
          </w:tcPr>
          <w:p w14:paraId="429E9485">
            <w:pPr>
              <w:pStyle w:val="178"/>
              <w:bidi w:val="0"/>
              <w:spacing w:line="240" w:lineRule="auto"/>
              <w:jc w:val="left"/>
              <w:rPr>
                <w:rFonts w:hint="eastAsia" w:ascii="宋体" w:hAnsi="Times New Roman" w:eastAsia="宋体" w:cs="Times New Roman"/>
                <w:lang w:val="en-US" w:eastAsia="zh-CN"/>
              </w:rPr>
            </w:pPr>
            <w:r>
              <w:rPr>
                <w:rFonts w:hint="eastAsia" w:ascii="宋体" w:hAnsi="Times New Roman" w:eastAsia="宋体" w:cs="Times New Roman"/>
                <w:lang w:val="en-US" w:eastAsia="zh-CN"/>
              </w:rPr>
              <w:t>建立常态化巡检机制，台风季重点部位每日巡检，非台风季每月至少1次全面巡检、每季度1次专项巡检；建立隐患排查台账，实行闭环管理；开展运维人员抗台风技能培训。</w:t>
            </w:r>
          </w:p>
        </w:tc>
        <w:tc>
          <w:tcPr>
            <w:tcW w:w="1731" w:type="dxa"/>
            <w:shd w:val="clear" w:color="auto" w:fill="auto"/>
            <w:vAlign w:val="center"/>
          </w:tcPr>
          <w:p w14:paraId="6951F606">
            <w:pPr>
              <w:pStyle w:val="178"/>
              <w:bidi w:val="0"/>
              <w:spacing w:line="240" w:lineRule="auto"/>
              <w:jc w:val="left"/>
              <w:rPr>
                <w:rFonts w:hint="eastAsia" w:ascii="宋体" w:hAnsi="Times New Roman" w:eastAsia="宋体" w:cs="Times New Roman"/>
                <w:lang w:val="en-US" w:eastAsia="zh-CN"/>
              </w:rPr>
            </w:pPr>
            <w:r>
              <w:rPr>
                <w:rFonts w:hint="eastAsia" w:ascii="宋体" w:hAnsi="Times New Roman" w:eastAsia="宋体" w:cs="Times New Roman"/>
                <w:lang w:val="en-US" w:eastAsia="zh-CN"/>
              </w:rPr>
              <w:t>隐患及时整改，人员具备隐患识别及应急处置能力。</w:t>
            </w:r>
          </w:p>
        </w:tc>
        <w:tc>
          <w:tcPr>
            <w:tcW w:w="1816" w:type="dxa"/>
            <w:shd w:val="clear" w:color="auto" w:fill="auto"/>
            <w:vAlign w:val="center"/>
          </w:tcPr>
          <w:p w14:paraId="2BE7EF9F">
            <w:pPr>
              <w:pStyle w:val="178"/>
              <w:bidi w:val="0"/>
              <w:spacing w:line="240" w:lineRule="auto"/>
              <w:jc w:val="left"/>
              <w:rPr>
                <w:rFonts w:hint="eastAsia" w:ascii="宋体" w:hAnsi="Times New Roman" w:eastAsia="宋体" w:cs="Times New Roman"/>
                <w:lang w:val="en-US" w:eastAsia="zh-CN"/>
              </w:rPr>
            </w:pPr>
            <w:r>
              <w:rPr>
                <w:rFonts w:hint="eastAsia" w:ascii="宋体" w:hAnsi="Times New Roman" w:eastAsia="宋体" w:cs="Times New Roman"/>
                <w:lang w:val="en-US" w:eastAsia="zh-CN"/>
              </w:rPr>
              <w:t>抗台风关键设施设计要点。</w:t>
            </w:r>
          </w:p>
        </w:tc>
      </w:tr>
      <w:tr w14:paraId="50722E6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810" w:type="dxa"/>
            <w:shd w:val="clear" w:color="auto" w:fill="auto"/>
            <w:vAlign w:val="center"/>
          </w:tcPr>
          <w:p w14:paraId="67B456E8">
            <w:pPr>
              <w:pStyle w:val="178"/>
              <w:bidi w:val="0"/>
              <w:spacing w:line="240" w:lineRule="auto"/>
              <w:jc w:val="center"/>
              <w:rPr>
                <w:rFonts w:hint="eastAsia" w:ascii="宋体" w:hAnsi="Times New Roman" w:eastAsia="宋体" w:cs="Times New Roman"/>
                <w:lang w:val="en-US" w:eastAsia="zh-CN"/>
              </w:rPr>
            </w:pPr>
            <w:r>
              <w:rPr>
                <w:rFonts w:hint="eastAsia" w:ascii="宋体" w:hAnsi="Times New Roman" w:eastAsia="宋体" w:cs="Times New Roman"/>
                <w:lang w:val="en-US" w:eastAsia="zh-CN"/>
              </w:rPr>
              <w:t>12</w:t>
            </w:r>
          </w:p>
        </w:tc>
        <w:tc>
          <w:tcPr>
            <w:tcW w:w="1097" w:type="dxa"/>
            <w:shd w:val="clear" w:color="auto" w:fill="auto"/>
            <w:vAlign w:val="center"/>
          </w:tcPr>
          <w:p w14:paraId="43B67304">
            <w:pPr>
              <w:pStyle w:val="178"/>
              <w:bidi w:val="0"/>
              <w:spacing w:line="240" w:lineRule="auto"/>
              <w:jc w:val="center"/>
              <w:rPr>
                <w:rFonts w:hint="eastAsia" w:ascii="宋体" w:hAnsi="Times New Roman" w:eastAsia="宋体" w:cs="Times New Roman"/>
                <w:lang w:val="en-US" w:eastAsia="zh-CN"/>
              </w:rPr>
            </w:pPr>
            <w:r>
              <w:rPr>
                <w:rFonts w:hint="eastAsia" w:ascii="宋体" w:hAnsi="Times New Roman" w:eastAsia="宋体" w:cs="Times New Roman"/>
                <w:lang w:val="en-US" w:eastAsia="zh-CN"/>
              </w:rPr>
              <w:t>台风前准备</w:t>
            </w:r>
          </w:p>
        </w:tc>
        <w:tc>
          <w:tcPr>
            <w:tcW w:w="1208" w:type="dxa"/>
            <w:shd w:val="clear" w:color="auto" w:fill="auto"/>
            <w:vAlign w:val="center"/>
          </w:tcPr>
          <w:p w14:paraId="4FED79D3">
            <w:pPr>
              <w:pStyle w:val="178"/>
              <w:bidi w:val="0"/>
              <w:spacing w:line="240" w:lineRule="auto"/>
              <w:jc w:val="center"/>
              <w:rPr>
                <w:rFonts w:hint="eastAsia" w:ascii="宋体" w:hAnsi="Times New Roman" w:eastAsia="宋体" w:cs="Times New Roman"/>
                <w:lang w:val="en-US" w:eastAsia="zh-CN"/>
              </w:rPr>
            </w:pPr>
            <w:r>
              <w:rPr>
                <w:rFonts w:hint="eastAsia" w:ascii="宋体" w:hAnsi="Times New Roman" w:eastAsia="宋体" w:cs="Times New Roman"/>
                <w:lang w:val="en-US" w:eastAsia="zh-CN"/>
              </w:rPr>
              <w:t>预警响应启动</w:t>
            </w:r>
          </w:p>
        </w:tc>
        <w:tc>
          <w:tcPr>
            <w:tcW w:w="2444" w:type="dxa"/>
            <w:shd w:val="clear" w:color="auto" w:fill="auto"/>
            <w:vAlign w:val="center"/>
          </w:tcPr>
          <w:p w14:paraId="105A24EC">
            <w:pPr>
              <w:pStyle w:val="178"/>
              <w:bidi w:val="0"/>
              <w:spacing w:line="240" w:lineRule="auto"/>
              <w:jc w:val="left"/>
              <w:rPr>
                <w:rFonts w:hint="eastAsia" w:ascii="宋体" w:hAnsi="Times New Roman" w:eastAsia="宋体" w:cs="Times New Roman"/>
                <w:lang w:val="en-US" w:eastAsia="zh-CN"/>
              </w:rPr>
            </w:pPr>
            <w:r>
              <w:rPr>
                <w:rFonts w:hint="eastAsia" w:ascii="宋体" w:hAnsi="Times New Roman" w:eastAsia="宋体" w:cs="Times New Roman"/>
                <w:lang w:val="en-US" w:eastAsia="zh-CN"/>
              </w:rPr>
              <w:t>启动预警响应，结合台风等级和路径明确运维重点区域及设施，成立应急运维小组，落实人员、物资、设备。</w:t>
            </w:r>
          </w:p>
        </w:tc>
        <w:tc>
          <w:tcPr>
            <w:tcW w:w="1731" w:type="dxa"/>
            <w:shd w:val="clear" w:color="auto" w:fill="auto"/>
            <w:vAlign w:val="center"/>
          </w:tcPr>
          <w:p w14:paraId="47748FED">
            <w:pPr>
              <w:pStyle w:val="178"/>
              <w:bidi w:val="0"/>
              <w:spacing w:line="240" w:lineRule="auto"/>
              <w:jc w:val="left"/>
              <w:rPr>
                <w:rFonts w:hint="eastAsia" w:ascii="宋体" w:hAnsi="Times New Roman" w:eastAsia="宋体" w:cs="Times New Roman"/>
                <w:lang w:val="en-US" w:eastAsia="zh-CN"/>
              </w:rPr>
            </w:pPr>
            <w:r>
              <w:rPr>
                <w:rFonts w:hint="eastAsia" w:ascii="宋体" w:hAnsi="Times New Roman" w:eastAsia="宋体" w:cs="Times New Roman"/>
                <w:lang w:val="en-US" w:eastAsia="zh-CN"/>
              </w:rPr>
              <w:t>人员、物资、设备全部到位。</w:t>
            </w:r>
          </w:p>
        </w:tc>
        <w:tc>
          <w:tcPr>
            <w:tcW w:w="1816" w:type="dxa"/>
            <w:shd w:val="clear" w:color="auto" w:fill="auto"/>
            <w:vAlign w:val="center"/>
          </w:tcPr>
          <w:p w14:paraId="15617D75">
            <w:pPr>
              <w:pStyle w:val="178"/>
              <w:bidi w:val="0"/>
              <w:spacing w:line="240" w:lineRule="auto"/>
              <w:jc w:val="left"/>
              <w:rPr>
                <w:rFonts w:hint="eastAsia" w:ascii="宋体" w:hAnsi="Times New Roman" w:eastAsia="宋体" w:cs="Times New Roman"/>
                <w:lang w:val="en-US" w:eastAsia="zh-CN"/>
              </w:rPr>
            </w:pPr>
            <w:r>
              <w:rPr>
                <w:rFonts w:hint="eastAsia" w:ascii="宋体" w:hAnsi="Times New Roman" w:eastAsia="宋体" w:cs="Times New Roman"/>
                <w:lang w:val="en-US" w:eastAsia="zh-CN"/>
              </w:rPr>
              <w:t>应急响应机制设计。</w:t>
            </w:r>
          </w:p>
        </w:tc>
      </w:tr>
      <w:tr w14:paraId="43F0EFF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810" w:type="dxa"/>
            <w:shd w:val="clear" w:color="auto" w:fill="auto"/>
            <w:vAlign w:val="center"/>
          </w:tcPr>
          <w:p w14:paraId="21379315">
            <w:pPr>
              <w:pStyle w:val="178"/>
              <w:bidi w:val="0"/>
              <w:spacing w:line="240" w:lineRule="auto"/>
              <w:jc w:val="center"/>
              <w:rPr>
                <w:rFonts w:hint="eastAsia" w:ascii="宋体" w:hAnsi="Times New Roman" w:eastAsia="宋体" w:cs="Times New Roman"/>
                <w:lang w:val="en-US" w:eastAsia="zh-CN"/>
              </w:rPr>
            </w:pPr>
            <w:r>
              <w:rPr>
                <w:rFonts w:hint="eastAsia" w:ascii="宋体" w:hAnsi="Times New Roman" w:eastAsia="宋体" w:cs="Times New Roman"/>
                <w:lang w:val="en-US" w:eastAsia="zh-CN"/>
              </w:rPr>
              <w:t>13</w:t>
            </w:r>
          </w:p>
        </w:tc>
        <w:tc>
          <w:tcPr>
            <w:tcW w:w="1097" w:type="dxa"/>
            <w:shd w:val="clear" w:color="auto" w:fill="auto"/>
            <w:vAlign w:val="center"/>
          </w:tcPr>
          <w:p w14:paraId="6652CCA1">
            <w:pPr>
              <w:pStyle w:val="178"/>
              <w:bidi w:val="0"/>
              <w:spacing w:line="240" w:lineRule="auto"/>
              <w:jc w:val="center"/>
              <w:rPr>
                <w:rFonts w:hint="eastAsia" w:ascii="宋体" w:hAnsi="Times New Roman" w:eastAsia="宋体" w:cs="Times New Roman"/>
                <w:lang w:val="en-US" w:eastAsia="zh-CN"/>
              </w:rPr>
            </w:pPr>
            <w:r>
              <w:rPr>
                <w:rFonts w:hint="eastAsia" w:ascii="宋体" w:hAnsi="Times New Roman" w:eastAsia="宋体" w:cs="Times New Roman"/>
                <w:lang w:val="en-US" w:eastAsia="zh-CN"/>
              </w:rPr>
              <w:t>台风前准备</w:t>
            </w:r>
          </w:p>
        </w:tc>
        <w:tc>
          <w:tcPr>
            <w:tcW w:w="1208" w:type="dxa"/>
            <w:shd w:val="clear" w:color="auto" w:fill="auto"/>
            <w:vAlign w:val="center"/>
          </w:tcPr>
          <w:p w14:paraId="36F3738C">
            <w:pPr>
              <w:pStyle w:val="178"/>
              <w:bidi w:val="0"/>
              <w:spacing w:line="240" w:lineRule="auto"/>
              <w:jc w:val="center"/>
              <w:rPr>
                <w:rFonts w:hint="eastAsia" w:ascii="宋体" w:hAnsi="Times New Roman" w:eastAsia="宋体" w:cs="Times New Roman"/>
                <w:lang w:val="en-US" w:eastAsia="zh-CN"/>
              </w:rPr>
            </w:pPr>
            <w:r>
              <w:rPr>
                <w:rFonts w:hint="eastAsia" w:ascii="宋体" w:hAnsi="Times New Roman" w:eastAsia="宋体" w:cs="Times New Roman"/>
                <w:lang w:val="en-US" w:eastAsia="zh-CN"/>
              </w:rPr>
              <w:t>专项排查加固-设备</w:t>
            </w:r>
          </w:p>
        </w:tc>
        <w:tc>
          <w:tcPr>
            <w:tcW w:w="2444" w:type="dxa"/>
            <w:shd w:val="clear" w:color="auto" w:fill="auto"/>
            <w:vAlign w:val="center"/>
          </w:tcPr>
          <w:p w14:paraId="35FD1877">
            <w:pPr>
              <w:pStyle w:val="178"/>
              <w:bidi w:val="0"/>
              <w:spacing w:line="240" w:lineRule="auto"/>
              <w:jc w:val="left"/>
              <w:rPr>
                <w:rFonts w:hint="eastAsia" w:ascii="宋体" w:hAnsi="Times New Roman" w:eastAsia="宋体" w:cs="Times New Roman"/>
                <w:lang w:val="en-US" w:eastAsia="zh-CN"/>
              </w:rPr>
            </w:pPr>
            <w:r>
              <w:rPr>
                <w:rFonts w:hint="eastAsia" w:ascii="宋体" w:hAnsi="Times New Roman" w:eastAsia="宋体" w:cs="Times New Roman"/>
                <w:lang w:val="en-US" w:eastAsia="zh-CN"/>
              </w:rPr>
              <w:t>全面紧固户外电气设备、构架、支架等，重点加固薄弱部位；为易受冲击设备加装临时防风防护装置；紧固导线、引流线，调整弧垂。</w:t>
            </w:r>
          </w:p>
        </w:tc>
        <w:tc>
          <w:tcPr>
            <w:tcW w:w="1731" w:type="dxa"/>
            <w:shd w:val="clear" w:color="auto" w:fill="auto"/>
            <w:vAlign w:val="center"/>
          </w:tcPr>
          <w:p w14:paraId="747F0A7C">
            <w:pPr>
              <w:pStyle w:val="178"/>
              <w:bidi w:val="0"/>
              <w:spacing w:line="240" w:lineRule="auto"/>
              <w:jc w:val="left"/>
              <w:rPr>
                <w:rFonts w:hint="eastAsia" w:ascii="宋体" w:hAnsi="Times New Roman" w:eastAsia="宋体" w:cs="Times New Roman"/>
                <w:lang w:val="en-US" w:eastAsia="zh-CN"/>
              </w:rPr>
            </w:pPr>
            <w:r>
              <w:rPr>
                <w:rFonts w:hint="eastAsia" w:ascii="宋体" w:hAnsi="Times New Roman" w:eastAsia="宋体" w:cs="Times New Roman"/>
                <w:lang w:val="en-US" w:eastAsia="zh-CN"/>
              </w:rPr>
              <w:t>符合设计抗风荷载要求，防范导线舞动导致相间短路。</w:t>
            </w:r>
          </w:p>
        </w:tc>
        <w:tc>
          <w:tcPr>
            <w:tcW w:w="1816" w:type="dxa"/>
            <w:shd w:val="clear" w:color="auto" w:fill="auto"/>
            <w:vAlign w:val="center"/>
          </w:tcPr>
          <w:p w14:paraId="257D6431">
            <w:pPr>
              <w:pStyle w:val="178"/>
              <w:bidi w:val="0"/>
              <w:spacing w:line="240" w:lineRule="auto"/>
              <w:jc w:val="left"/>
              <w:rPr>
                <w:rFonts w:hint="eastAsia" w:ascii="宋体" w:hAnsi="Times New Roman" w:eastAsia="宋体" w:cs="Times New Roman"/>
                <w:lang w:val="en-US" w:eastAsia="zh-CN"/>
              </w:rPr>
            </w:pPr>
            <w:r>
              <w:rPr>
                <w:rFonts w:hint="eastAsia" w:ascii="宋体" w:hAnsi="Times New Roman" w:eastAsia="宋体" w:cs="Times New Roman"/>
                <w:lang w:val="en-US" w:eastAsia="zh-CN"/>
              </w:rPr>
              <w:t>设备防风薄弱部位设计。</w:t>
            </w:r>
          </w:p>
        </w:tc>
      </w:tr>
      <w:tr w14:paraId="670030A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810" w:type="dxa"/>
            <w:shd w:val="clear" w:color="auto" w:fill="auto"/>
            <w:vAlign w:val="center"/>
          </w:tcPr>
          <w:p w14:paraId="54CD539F">
            <w:pPr>
              <w:pStyle w:val="178"/>
              <w:bidi w:val="0"/>
              <w:spacing w:line="240" w:lineRule="auto"/>
              <w:jc w:val="center"/>
              <w:rPr>
                <w:rFonts w:hint="eastAsia" w:ascii="宋体" w:hAnsi="Times New Roman" w:eastAsia="宋体" w:cs="Times New Roman"/>
                <w:lang w:val="en-US" w:eastAsia="zh-CN"/>
              </w:rPr>
            </w:pPr>
            <w:r>
              <w:rPr>
                <w:rFonts w:hint="eastAsia" w:ascii="宋体" w:hAnsi="Times New Roman" w:eastAsia="宋体" w:cs="Times New Roman"/>
                <w:lang w:val="en-US" w:eastAsia="zh-CN"/>
              </w:rPr>
              <w:t>14</w:t>
            </w:r>
          </w:p>
        </w:tc>
        <w:tc>
          <w:tcPr>
            <w:tcW w:w="1097" w:type="dxa"/>
            <w:shd w:val="clear" w:color="auto" w:fill="auto"/>
            <w:vAlign w:val="center"/>
          </w:tcPr>
          <w:p w14:paraId="0819F106">
            <w:pPr>
              <w:pStyle w:val="178"/>
              <w:bidi w:val="0"/>
              <w:spacing w:line="240" w:lineRule="auto"/>
              <w:jc w:val="center"/>
              <w:rPr>
                <w:rFonts w:hint="eastAsia" w:ascii="宋体" w:hAnsi="Times New Roman" w:eastAsia="宋体" w:cs="Times New Roman"/>
                <w:lang w:val="en-US" w:eastAsia="zh-CN"/>
              </w:rPr>
            </w:pPr>
            <w:r>
              <w:rPr>
                <w:rFonts w:hint="eastAsia" w:ascii="宋体" w:hAnsi="Times New Roman" w:eastAsia="宋体" w:cs="Times New Roman"/>
                <w:lang w:val="en-US" w:eastAsia="zh-CN"/>
              </w:rPr>
              <w:t>台风前准备</w:t>
            </w:r>
          </w:p>
        </w:tc>
        <w:tc>
          <w:tcPr>
            <w:tcW w:w="1208" w:type="dxa"/>
            <w:shd w:val="clear" w:color="auto" w:fill="auto"/>
            <w:vAlign w:val="center"/>
          </w:tcPr>
          <w:p w14:paraId="2B5E0AA0">
            <w:pPr>
              <w:pStyle w:val="178"/>
              <w:bidi w:val="0"/>
              <w:spacing w:line="240" w:lineRule="auto"/>
              <w:jc w:val="center"/>
              <w:rPr>
                <w:rFonts w:hint="eastAsia" w:ascii="宋体" w:hAnsi="Times New Roman" w:eastAsia="宋体" w:cs="Times New Roman"/>
                <w:lang w:val="en-US" w:eastAsia="zh-CN"/>
              </w:rPr>
            </w:pPr>
            <w:r>
              <w:rPr>
                <w:rFonts w:hint="eastAsia" w:ascii="宋体" w:hAnsi="Times New Roman" w:eastAsia="宋体" w:cs="Times New Roman"/>
                <w:lang w:val="en-US" w:eastAsia="zh-CN"/>
              </w:rPr>
              <w:t>专项排查加固-构筑物及附属设施</w:t>
            </w:r>
          </w:p>
        </w:tc>
        <w:tc>
          <w:tcPr>
            <w:tcW w:w="2444" w:type="dxa"/>
            <w:shd w:val="clear" w:color="auto" w:fill="auto"/>
            <w:vAlign w:val="center"/>
          </w:tcPr>
          <w:p w14:paraId="05E7ECF1">
            <w:pPr>
              <w:pStyle w:val="178"/>
              <w:bidi w:val="0"/>
              <w:spacing w:line="240" w:lineRule="auto"/>
              <w:jc w:val="left"/>
              <w:rPr>
                <w:rFonts w:hint="eastAsia" w:ascii="宋体" w:hAnsi="Times New Roman" w:eastAsia="宋体" w:cs="Times New Roman"/>
                <w:lang w:val="en-US" w:eastAsia="zh-CN"/>
              </w:rPr>
            </w:pPr>
            <w:r>
              <w:rPr>
                <w:rFonts w:hint="eastAsia" w:ascii="宋体" w:hAnsi="Times New Roman" w:eastAsia="宋体" w:cs="Times New Roman"/>
                <w:lang w:val="en-US" w:eastAsia="zh-CN"/>
              </w:rPr>
              <w:t>加固屋面部件、门窗玻璃，密封门窗缝隙；加固围墙、防风屏障等设施，清理周边杂物；清理排水系统，测试排水泵满负荷运行，降低集水池水位。</w:t>
            </w:r>
          </w:p>
        </w:tc>
        <w:tc>
          <w:tcPr>
            <w:tcW w:w="1731" w:type="dxa"/>
            <w:shd w:val="clear" w:color="auto" w:fill="auto"/>
            <w:vAlign w:val="center"/>
          </w:tcPr>
          <w:p w14:paraId="399AFF71">
            <w:pPr>
              <w:pStyle w:val="178"/>
              <w:bidi w:val="0"/>
              <w:spacing w:line="240" w:lineRule="auto"/>
              <w:jc w:val="left"/>
              <w:rPr>
                <w:rFonts w:hint="eastAsia" w:ascii="宋体" w:hAnsi="Times New Roman" w:eastAsia="宋体" w:cs="Times New Roman"/>
                <w:lang w:val="en-US" w:eastAsia="zh-CN"/>
              </w:rPr>
            </w:pPr>
            <w:r>
              <w:rPr>
                <w:rFonts w:hint="eastAsia" w:ascii="宋体" w:hAnsi="Times New Roman" w:eastAsia="宋体" w:cs="Times New Roman"/>
                <w:lang w:val="en-US" w:eastAsia="zh-CN"/>
              </w:rPr>
              <w:t>屋面、门窗、围墙等稳固，排水能力满足设计要求。</w:t>
            </w:r>
          </w:p>
        </w:tc>
        <w:tc>
          <w:tcPr>
            <w:tcW w:w="1816" w:type="dxa"/>
            <w:shd w:val="clear" w:color="auto" w:fill="auto"/>
            <w:vAlign w:val="center"/>
          </w:tcPr>
          <w:p w14:paraId="7609783D">
            <w:pPr>
              <w:pStyle w:val="178"/>
              <w:bidi w:val="0"/>
              <w:spacing w:line="240" w:lineRule="auto"/>
              <w:jc w:val="left"/>
              <w:rPr>
                <w:rFonts w:hint="eastAsia" w:ascii="宋体" w:hAnsi="Times New Roman" w:eastAsia="宋体" w:cs="Times New Roman"/>
                <w:lang w:val="en-US" w:eastAsia="zh-CN"/>
              </w:rPr>
            </w:pPr>
            <w:r>
              <w:rPr>
                <w:rFonts w:hint="eastAsia" w:ascii="宋体" w:hAnsi="Times New Roman" w:eastAsia="宋体" w:cs="Times New Roman"/>
                <w:lang w:val="en-US" w:eastAsia="zh-CN"/>
              </w:rPr>
              <w:t>防淹、防风加固设计。</w:t>
            </w:r>
          </w:p>
        </w:tc>
      </w:tr>
      <w:tr w14:paraId="6B0FF2B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810" w:type="dxa"/>
            <w:shd w:val="clear" w:color="auto" w:fill="auto"/>
            <w:vAlign w:val="center"/>
          </w:tcPr>
          <w:p w14:paraId="300F12FC">
            <w:pPr>
              <w:pStyle w:val="178"/>
              <w:bidi w:val="0"/>
              <w:spacing w:line="240" w:lineRule="auto"/>
              <w:jc w:val="center"/>
              <w:rPr>
                <w:rFonts w:hint="eastAsia" w:ascii="宋体" w:hAnsi="Times New Roman" w:eastAsia="宋体" w:cs="Times New Roman"/>
                <w:lang w:val="en-US" w:eastAsia="zh-CN"/>
              </w:rPr>
            </w:pPr>
            <w:r>
              <w:rPr>
                <w:rFonts w:hint="eastAsia" w:ascii="宋体" w:hAnsi="Times New Roman" w:eastAsia="宋体" w:cs="Times New Roman"/>
                <w:lang w:val="en-US" w:eastAsia="zh-CN"/>
              </w:rPr>
              <w:t>15</w:t>
            </w:r>
          </w:p>
        </w:tc>
        <w:tc>
          <w:tcPr>
            <w:tcW w:w="1097" w:type="dxa"/>
            <w:shd w:val="clear" w:color="auto" w:fill="auto"/>
            <w:vAlign w:val="center"/>
          </w:tcPr>
          <w:p w14:paraId="5A9FDAF9">
            <w:pPr>
              <w:pStyle w:val="178"/>
              <w:bidi w:val="0"/>
              <w:spacing w:line="240" w:lineRule="auto"/>
              <w:jc w:val="center"/>
              <w:rPr>
                <w:rFonts w:hint="eastAsia" w:ascii="宋体" w:hAnsi="Times New Roman" w:eastAsia="宋体" w:cs="Times New Roman"/>
                <w:lang w:val="en-US" w:eastAsia="zh-CN"/>
              </w:rPr>
            </w:pPr>
            <w:r>
              <w:rPr>
                <w:rFonts w:hint="eastAsia" w:ascii="宋体" w:hAnsi="Times New Roman" w:eastAsia="宋体" w:cs="Times New Roman"/>
                <w:lang w:val="en-US" w:eastAsia="zh-CN"/>
              </w:rPr>
              <w:t>台风前准备</w:t>
            </w:r>
          </w:p>
        </w:tc>
        <w:tc>
          <w:tcPr>
            <w:tcW w:w="1208" w:type="dxa"/>
            <w:shd w:val="clear" w:color="auto" w:fill="auto"/>
            <w:vAlign w:val="center"/>
          </w:tcPr>
          <w:p w14:paraId="36304455">
            <w:pPr>
              <w:pStyle w:val="178"/>
              <w:bidi w:val="0"/>
              <w:spacing w:line="240" w:lineRule="auto"/>
              <w:jc w:val="center"/>
              <w:rPr>
                <w:rFonts w:hint="eastAsia" w:ascii="宋体" w:hAnsi="Times New Roman" w:eastAsia="宋体" w:cs="Times New Roman"/>
                <w:lang w:val="en-US" w:eastAsia="zh-CN"/>
              </w:rPr>
            </w:pPr>
            <w:r>
              <w:rPr>
                <w:rFonts w:hint="eastAsia" w:ascii="宋体" w:hAnsi="Times New Roman" w:eastAsia="宋体" w:cs="Times New Roman"/>
                <w:lang w:val="en-US" w:eastAsia="zh-CN"/>
              </w:rPr>
              <w:t>专项排查加固-高风险区域</w:t>
            </w:r>
          </w:p>
        </w:tc>
        <w:tc>
          <w:tcPr>
            <w:tcW w:w="2444" w:type="dxa"/>
            <w:shd w:val="clear" w:color="auto" w:fill="auto"/>
            <w:vAlign w:val="center"/>
          </w:tcPr>
          <w:p w14:paraId="3CEC64BA">
            <w:pPr>
              <w:pStyle w:val="178"/>
              <w:bidi w:val="0"/>
              <w:spacing w:line="240" w:lineRule="auto"/>
              <w:jc w:val="left"/>
              <w:rPr>
                <w:rFonts w:hint="eastAsia" w:ascii="宋体" w:hAnsi="Times New Roman" w:eastAsia="宋体" w:cs="Times New Roman"/>
                <w:lang w:val="en-US" w:eastAsia="zh-CN"/>
              </w:rPr>
            </w:pPr>
            <w:r>
              <w:rPr>
                <w:rFonts w:hint="eastAsia" w:ascii="宋体" w:hAnsi="Times New Roman" w:eastAsia="宋体" w:cs="Times New Roman"/>
                <w:lang w:val="en-US" w:eastAsia="zh-CN"/>
              </w:rPr>
              <w:t>对台风高风险区域设置警示标识，严禁无关人员进入；对低洼易涝区域采取临时挡水措施，补充防水封堵材料。</w:t>
            </w:r>
          </w:p>
        </w:tc>
        <w:tc>
          <w:tcPr>
            <w:tcW w:w="1731" w:type="dxa"/>
            <w:shd w:val="clear" w:color="auto" w:fill="auto"/>
            <w:vAlign w:val="center"/>
          </w:tcPr>
          <w:p w14:paraId="71740C86">
            <w:pPr>
              <w:pStyle w:val="178"/>
              <w:bidi w:val="0"/>
              <w:spacing w:line="240" w:lineRule="auto"/>
              <w:jc w:val="left"/>
              <w:rPr>
                <w:rFonts w:hint="eastAsia" w:ascii="宋体" w:hAnsi="Times New Roman" w:eastAsia="宋体" w:cs="Times New Roman"/>
                <w:lang w:val="en-US" w:eastAsia="zh-CN"/>
              </w:rPr>
            </w:pPr>
            <w:r>
              <w:rPr>
                <w:rFonts w:hint="eastAsia" w:ascii="宋体" w:hAnsi="Times New Roman" w:eastAsia="宋体" w:cs="Times New Roman"/>
                <w:lang w:val="en-US" w:eastAsia="zh-CN"/>
              </w:rPr>
              <w:t>落实防淹要求，无人员误入风险。</w:t>
            </w:r>
          </w:p>
        </w:tc>
        <w:tc>
          <w:tcPr>
            <w:tcW w:w="1816" w:type="dxa"/>
            <w:shd w:val="clear" w:color="auto" w:fill="auto"/>
            <w:vAlign w:val="center"/>
          </w:tcPr>
          <w:p w14:paraId="2B5D650C">
            <w:pPr>
              <w:pStyle w:val="178"/>
              <w:bidi w:val="0"/>
              <w:spacing w:line="240" w:lineRule="auto"/>
              <w:jc w:val="left"/>
              <w:rPr>
                <w:rFonts w:hint="eastAsia" w:ascii="宋体" w:hAnsi="Times New Roman" w:eastAsia="宋体" w:cs="Times New Roman"/>
                <w:lang w:val="en-US" w:eastAsia="zh-CN"/>
              </w:rPr>
            </w:pPr>
            <w:r>
              <w:rPr>
                <w:rFonts w:hint="eastAsia" w:ascii="宋体" w:hAnsi="Times New Roman" w:eastAsia="宋体" w:cs="Times New Roman"/>
                <w:lang w:val="en-US" w:eastAsia="zh-CN"/>
              </w:rPr>
              <w:t>高风险区域划定设计，防淹设计。</w:t>
            </w:r>
          </w:p>
        </w:tc>
      </w:tr>
      <w:tr w14:paraId="09B4434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810" w:type="dxa"/>
            <w:shd w:val="clear" w:color="auto" w:fill="auto"/>
            <w:vAlign w:val="center"/>
          </w:tcPr>
          <w:p w14:paraId="5DD57125">
            <w:pPr>
              <w:pStyle w:val="178"/>
              <w:bidi w:val="0"/>
              <w:spacing w:line="240" w:lineRule="auto"/>
              <w:jc w:val="center"/>
              <w:rPr>
                <w:rFonts w:hint="eastAsia" w:ascii="宋体" w:hAnsi="Times New Roman" w:eastAsia="宋体" w:cs="Times New Roman"/>
                <w:lang w:val="en-US" w:eastAsia="zh-CN"/>
              </w:rPr>
            </w:pPr>
            <w:r>
              <w:rPr>
                <w:rFonts w:hint="eastAsia" w:ascii="宋体" w:hAnsi="Times New Roman" w:eastAsia="宋体" w:cs="Times New Roman"/>
                <w:lang w:val="en-US" w:eastAsia="zh-CN"/>
              </w:rPr>
              <w:t>16</w:t>
            </w:r>
          </w:p>
        </w:tc>
        <w:tc>
          <w:tcPr>
            <w:tcW w:w="1097" w:type="dxa"/>
            <w:shd w:val="clear" w:color="auto" w:fill="auto"/>
            <w:vAlign w:val="center"/>
          </w:tcPr>
          <w:p w14:paraId="07F08388">
            <w:pPr>
              <w:pStyle w:val="178"/>
              <w:bidi w:val="0"/>
              <w:spacing w:line="240" w:lineRule="auto"/>
              <w:jc w:val="center"/>
              <w:rPr>
                <w:rFonts w:hint="eastAsia" w:ascii="宋体" w:hAnsi="Times New Roman" w:eastAsia="宋体" w:cs="Times New Roman"/>
                <w:lang w:val="en-US" w:eastAsia="zh-CN"/>
              </w:rPr>
            </w:pPr>
            <w:r>
              <w:rPr>
                <w:rFonts w:hint="eastAsia" w:ascii="宋体" w:hAnsi="Times New Roman" w:eastAsia="宋体" w:cs="Times New Roman"/>
                <w:lang w:val="en-US" w:eastAsia="zh-CN"/>
              </w:rPr>
              <w:t>台风前准备</w:t>
            </w:r>
          </w:p>
        </w:tc>
        <w:tc>
          <w:tcPr>
            <w:tcW w:w="1208" w:type="dxa"/>
            <w:shd w:val="clear" w:color="auto" w:fill="auto"/>
            <w:vAlign w:val="center"/>
          </w:tcPr>
          <w:p w14:paraId="2FC2FAAD">
            <w:pPr>
              <w:pStyle w:val="178"/>
              <w:bidi w:val="0"/>
              <w:spacing w:line="240" w:lineRule="auto"/>
              <w:jc w:val="center"/>
              <w:rPr>
                <w:rFonts w:hint="eastAsia" w:ascii="宋体" w:hAnsi="Times New Roman" w:eastAsia="宋体" w:cs="Times New Roman"/>
                <w:lang w:val="en-US" w:eastAsia="zh-CN"/>
              </w:rPr>
            </w:pPr>
            <w:r>
              <w:rPr>
                <w:rFonts w:hint="eastAsia" w:ascii="宋体" w:hAnsi="Times New Roman" w:eastAsia="宋体" w:cs="Times New Roman"/>
                <w:lang w:val="en-US" w:eastAsia="zh-CN"/>
              </w:rPr>
              <w:t>应急物资与设备准备</w:t>
            </w:r>
          </w:p>
        </w:tc>
        <w:tc>
          <w:tcPr>
            <w:tcW w:w="2444" w:type="dxa"/>
            <w:shd w:val="clear" w:color="auto" w:fill="auto"/>
            <w:vAlign w:val="center"/>
          </w:tcPr>
          <w:p w14:paraId="4548FC37">
            <w:pPr>
              <w:pStyle w:val="178"/>
              <w:bidi w:val="0"/>
              <w:spacing w:line="240" w:lineRule="auto"/>
              <w:jc w:val="left"/>
              <w:rPr>
                <w:rFonts w:hint="eastAsia" w:ascii="宋体" w:hAnsi="Times New Roman" w:eastAsia="宋体" w:cs="Times New Roman"/>
                <w:lang w:val="en-US" w:eastAsia="zh-CN"/>
              </w:rPr>
            </w:pPr>
            <w:r>
              <w:rPr>
                <w:rFonts w:hint="eastAsia" w:ascii="宋体" w:hAnsi="Times New Roman" w:eastAsia="宋体" w:cs="Times New Roman"/>
                <w:lang w:val="en-US" w:eastAsia="zh-CN"/>
              </w:rPr>
              <w:t>核查应急物资储备，确保数量充足、性能完好（满足72小时连续抢修）；补充运维耗材；检查应急车辆、无人机、通信设备等运行状态，测试应急电源与关键设备联动功能。</w:t>
            </w:r>
          </w:p>
        </w:tc>
        <w:tc>
          <w:tcPr>
            <w:tcW w:w="1731" w:type="dxa"/>
            <w:shd w:val="clear" w:color="auto" w:fill="auto"/>
            <w:vAlign w:val="center"/>
          </w:tcPr>
          <w:p w14:paraId="77568499">
            <w:pPr>
              <w:pStyle w:val="178"/>
              <w:bidi w:val="0"/>
              <w:spacing w:line="240" w:lineRule="auto"/>
              <w:jc w:val="left"/>
              <w:rPr>
                <w:rFonts w:hint="eastAsia" w:ascii="宋体" w:hAnsi="Times New Roman" w:eastAsia="宋体" w:cs="Times New Roman"/>
                <w:lang w:val="en-US" w:eastAsia="zh-CN"/>
              </w:rPr>
            </w:pPr>
            <w:r>
              <w:rPr>
                <w:rFonts w:hint="eastAsia" w:ascii="宋体" w:hAnsi="Times New Roman" w:eastAsia="宋体" w:cs="Times New Roman"/>
                <w:lang w:val="en-US" w:eastAsia="zh-CN"/>
              </w:rPr>
              <w:t>应急物资及设备可正常投入使用。</w:t>
            </w:r>
          </w:p>
        </w:tc>
        <w:tc>
          <w:tcPr>
            <w:tcW w:w="1816" w:type="dxa"/>
            <w:shd w:val="clear" w:color="auto" w:fill="auto"/>
            <w:vAlign w:val="center"/>
          </w:tcPr>
          <w:p w14:paraId="6572EDCB">
            <w:pPr>
              <w:pStyle w:val="178"/>
              <w:bidi w:val="0"/>
              <w:spacing w:line="240" w:lineRule="auto"/>
              <w:jc w:val="left"/>
              <w:rPr>
                <w:rFonts w:hint="eastAsia" w:ascii="宋体" w:hAnsi="Times New Roman" w:eastAsia="宋体" w:cs="Times New Roman"/>
                <w:lang w:val="en-US" w:eastAsia="zh-CN"/>
              </w:rPr>
            </w:pPr>
            <w:r>
              <w:rPr>
                <w:rFonts w:hint="eastAsia" w:ascii="宋体" w:hAnsi="Times New Roman" w:eastAsia="宋体" w:cs="Times New Roman"/>
                <w:lang w:val="en-US" w:eastAsia="zh-CN"/>
              </w:rPr>
              <w:t>应急物资储备标准设计。</w:t>
            </w:r>
          </w:p>
        </w:tc>
      </w:tr>
      <w:tr w14:paraId="735CBE8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810" w:type="dxa"/>
            <w:shd w:val="clear" w:color="auto" w:fill="auto"/>
            <w:vAlign w:val="center"/>
          </w:tcPr>
          <w:p w14:paraId="4445A297">
            <w:pPr>
              <w:pStyle w:val="178"/>
              <w:bidi w:val="0"/>
              <w:spacing w:line="240" w:lineRule="auto"/>
              <w:jc w:val="center"/>
              <w:rPr>
                <w:rFonts w:hint="eastAsia" w:ascii="宋体" w:hAnsi="Times New Roman" w:eastAsia="宋体" w:cs="Times New Roman"/>
                <w:lang w:val="en-US" w:eastAsia="zh-CN"/>
              </w:rPr>
            </w:pPr>
            <w:r>
              <w:rPr>
                <w:rFonts w:hint="eastAsia" w:ascii="宋体" w:hAnsi="Times New Roman" w:eastAsia="宋体" w:cs="Times New Roman"/>
                <w:lang w:val="en-US" w:eastAsia="zh-CN"/>
              </w:rPr>
              <w:t>17</w:t>
            </w:r>
          </w:p>
        </w:tc>
        <w:tc>
          <w:tcPr>
            <w:tcW w:w="1097" w:type="dxa"/>
            <w:shd w:val="clear" w:color="auto" w:fill="auto"/>
            <w:vAlign w:val="center"/>
          </w:tcPr>
          <w:p w14:paraId="7D16FD45">
            <w:pPr>
              <w:pStyle w:val="178"/>
              <w:bidi w:val="0"/>
              <w:spacing w:line="240" w:lineRule="auto"/>
              <w:jc w:val="center"/>
              <w:rPr>
                <w:rFonts w:hint="eastAsia" w:ascii="宋体" w:hAnsi="Times New Roman" w:eastAsia="宋体" w:cs="Times New Roman"/>
                <w:lang w:val="en-US" w:eastAsia="zh-CN"/>
              </w:rPr>
            </w:pPr>
            <w:r>
              <w:rPr>
                <w:rFonts w:hint="eastAsia" w:ascii="宋体" w:hAnsi="Times New Roman" w:eastAsia="宋体" w:cs="Times New Roman"/>
                <w:lang w:val="en-US" w:eastAsia="zh-CN"/>
              </w:rPr>
              <w:t>台风前准备</w:t>
            </w:r>
          </w:p>
        </w:tc>
        <w:tc>
          <w:tcPr>
            <w:tcW w:w="1208" w:type="dxa"/>
            <w:shd w:val="clear" w:color="auto" w:fill="auto"/>
            <w:vAlign w:val="center"/>
          </w:tcPr>
          <w:p w14:paraId="1B9A8864">
            <w:pPr>
              <w:pStyle w:val="178"/>
              <w:bidi w:val="0"/>
              <w:spacing w:line="240" w:lineRule="auto"/>
              <w:jc w:val="center"/>
              <w:rPr>
                <w:rFonts w:hint="eastAsia" w:ascii="宋体" w:hAnsi="Times New Roman" w:eastAsia="宋体" w:cs="Times New Roman"/>
                <w:lang w:val="en-US" w:eastAsia="zh-CN"/>
              </w:rPr>
            </w:pPr>
            <w:r>
              <w:rPr>
                <w:rFonts w:hint="eastAsia" w:ascii="宋体" w:hAnsi="Times New Roman" w:eastAsia="宋体" w:cs="Times New Roman"/>
                <w:lang w:val="en-US" w:eastAsia="zh-CN"/>
              </w:rPr>
              <w:t>人员与方案准备</w:t>
            </w:r>
          </w:p>
        </w:tc>
        <w:tc>
          <w:tcPr>
            <w:tcW w:w="2444" w:type="dxa"/>
            <w:shd w:val="clear" w:color="auto" w:fill="auto"/>
            <w:vAlign w:val="center"/>
          </w:tcPr>
          <w:p w14:paraId="78DA1F46">
            <w:pPr>
              <w:pStyle w:val="178"/>
              <w:bidi w:val="0"/>
              <w:spacing w:line="240" w:lineRule="auto"/>
              <w:jc w:val="left"/>
              <w:rPr>
                <w:rFonts w:hint="eastAsia" w:ascii="宋体" w:hAnsi="Times New Roman" w:eastAsia="宋体" w:cs="Times New Roman"/>
                <w:lang w:val="en-US" w:eastAsia="zh-CN"/>
              </w:rPr>
            </w:pPr>
            <w:r>
              <w:rPr>
                <w:rFonts w:hint="eastAsia" w:ascii="宋体" w:hAnsi="Times New Roman" w:eastAsia="宋体" w:cs="Times New Roman"/>
                <w:lang w:val="en-US" w:eastAsia="zh-CN"/>
              </w:rPr>
              <w:t>实行24小时值班制度，开展应急演练；梳理设计图纸、设备参数及应急处置预案，对接相关部门获取预警信息。</w:t>
            </w:r>
          </w:p>
        </w:tc>
        <w:tc>
          <w:tcPr>
            <w:tcW w:w="1731" w:type="dxa"/>
            <w:shd w:val="clear" w:color="auto" w:fill="auto"/>
            <w:vAlign w:val="center"/>
          </w:tcPr>
          <w:p w14:paraId="020C6D1F">
            <w:pPr>
              <w:pStyle w:val="178"/>
              <w:bidi w:val="0"/>
              <w:spacing w:line="240" w:lineRule="auto"/>
              <w:jc w:val="left"/>
              <w:rPr>
                <w:rFonts w:hint="eastAsia" w:ascii="宋体" w:hAnsi="Times New Roman" w:eastAsia="宋体" w:cs="Times New Roman"/>
                <w:lang w:val="en-US" w:eastAsia="zh-CN"/>
              </w:rPr>
            </w:pPr>
            <w:r>
              <w:rPr>
                <w:rFonts w:hint="eastAsia" w:ascii="宋体" w:hAnsi="Times New Roman" w:eastAsia="宋体" w:cs="Times New Roman"/>
                <w:lang w:val="en-US" w:eastAsia="zh-CN"/>
              </w:rPr>
              <w:t>人员熟悉应急流程，可动态调整运维准备措施。</w:t>
            </w:r>
          </w:p>
        </w:tc>
        <w:tc>
          <w:tcPr>
            <w:tcW w:w="1816" w:type="dxa"/>
            <w:shd w:val="clear" w:color="auto" w:fill="auto"/>
            <w:vAlign w:val="center"/>
          </w:tcPr>
          <w:p w14:paraId="4013E33F">
            <w:pPr>
              <w:pStyle w:val="178"/>
              <w:bidi w:val="0"/>
              <w:spacing w:line="240" w:lineRule="auto"/>
              <w:jc w:val="left"/>
              <w:rPr>
                <w:rFonts w:hint="eastAsia" w:ascii="宋体" w:hAnsi="Times New Roman" w:eastAsia="宋体" w:cs="Times New Roman"/>
                <w:lang w:val="en-US" w:eastAsia="zh-CN"/>
              </w:rPr>
            </w:pPr>
            <w:r>
              <w:rPr>
                <w:rFonts w:hint="eastAsia" w:ascii="宋体" w:hAnsi="Times New Roman" w:eastAsia="宋体" w:cs="Times New Roman"/>
                <w:lang w:val="en-US" w:eastAsia="zh-CN"/>
              </w:rPr>
              <w:t>应急处置流程设计。</w:t>
            </w:r>
          </w:p>
        </w:tc>
      </w:tr>
      <w:tr w14:paraId="7FB2A11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810" w:type="dxa"/>
            <w:shd w:val="clear" w:color="auto" w:fill="auto"/>
            <w:vAlign w:val="center"/>
          </w:tcPr>
          <w:p w14:paraId="4359CB25">
            <w:pPr>
              <w:pStyle w:val="178"/>
              <w:bidi w:val="0"/>
              <w:spacing w:line="240" w:lineRule="auto"/>
              <w:jc w:val="center"/>
              <w:rPr>
                <w:rFonts w:hint="eastAsia" w:ascii="宋体" w:hAnsi="Times New Roman" w:eastAsia="宋体" w:cs="Times New Roman"/>
                <w:lang w:val="en-US" w:eastAsia="zh-CN"/>
              </w:rPr>
            </w:pPr>
            <w:r>
              <w:rPr>
                <w:rFonts w:hint="eastAsia" w:ascii="宋体" w:hAnsi="Times New Roman" w:eastAsia="宋体" w:cs="Times New Roman"/>
                <w:lang w:val="en-US" w:eastAsia="zh-CN"/>
              </w:rPr>
              <w:t>18</w:t>
            </w:r>
          </w:p>
        </w:tc>
        <w:tc>
          <w:tcPr>
            <w:tcW w:w="1097" w:type="dxa"/>
            <w:shd w:val="clear" w:color="auto" w:fill="auto"/>
            <w:vAlign w:val="center"/>
          </w:tcPr>
          <w:p w14:paraId="627A6EF4">
            <w:pPr>
              <w:pStyle w:val="178"/>
              <w:bidi w:val="0"/>
              <w:spacing w:line="240" w:lineRule="auto"/>
              <w:jc w:val="center"/>
              <w:rPr>
                <w:rFonts w:hint="eastAsia" w:ascii="宋体" w:hAnsi="Times New Roman" w:eastAsia="宋体" w:cs="Times New Roman"/>
                <w:lang w:val="en-US" w:eastAsia="zh-CN"/>
              </w:rPr>
            </w:pPr>
            <w:r>
              <w:rPr>
                <w:rFonts w:hint="eastAsia" w:ascii="宋体" w:hAnsi="Times New Roman" w:eastAsia="宋体" w:cs="Times New Roman"/>
                <w:lang w:val="en-US" w:eastAsia="zh-CN"/>
              </w:rPr>
              <w:t>台风中处置</w:t>
            </w:r>
          </w:p>
        </w:tc>
        <w:tc>
          <w:tcPr>
            <w:tcW w:w="1208" w:type="dxa"/>
            <w:shd w:val="clear" w:color="auto" w:fill="auto"/>
            <w:vAlign w:val="center"/>
          </w:tcPr>
          <w:p w14:paraId="6CA2E1B0">
            <w:pPr>
              <w:pStyle w:val="178"/>
              <w:bidi w:val="0"/>
              <w:spacing w:line="240" w:lineRule="auto"/>
              <w:jc w:val="center"/>
              <w:rPr>
                <w:rFonts w:hint="eastAsia" w:ascii="宋体" w:hAnsi="Times New Roman" w:eastAsia="宋体" w:cs="Times New Roman"/>
                <w:lang w:val="en-US" w:eastAsia="zh-CN"/>
              </w:rPr>
            </w:pPr>
            <w:r>
              <w:rPr>
                <w:rFonts w:hint="eastAsia" w:ascii="宋体" w:hAnsi="Times New Roman" w:eastAsia="宋体" w:cs="Times New Roman"/>
                <w:lang w:val="en-US" w:eastAsia="zh-CN"/>
              </w:rPr>
              <w:t>现场值守管控</w:t>
            </w:r>
          </w:p>
        </w:tc>
        <w:tc>
          <w:tcPr>
            <w:tcW w:w="2444" w:type="dxa"/>
            <w:shd w:val="clear" w:color="auto" w:fill="auto"/>
            <w:vAlign w:val="center"/>
          </w:tcPr>
          <w:p w14:paraId="4C390F3D">
            <w:pPr>
              <w:pStyle w:val="178"/>
              <w:bidi w:val="0"/>
              <w:spacing w:line="240" w:lineRule="auto"/>
              <w:jc w:val="left"/>
              <w:rPr>
                <w:rFonts w:hint="eastAsia" w:ascii="宋体" w:hAnsi="Times New Roman" w:eastAsia="宋体" w:cs="Times New Roman"/>
                <w:lang w:val="en-US" w:eastAsia="zh-CN"/>
              </w:rPr>
            </w:pPr>
            <w:r>
              <w:rPr>
                <w:rFonts w:hint="eastAsia" w:ascii="宋体" w:hAnsi="Times New Roman" w:eastAsia="宋体" w:cs="Times New Roman"/>
                <w:lang w:val="en-US" w:eastAsia="zh-CN"/>
              </w:rPr>
              <w:t>值守人员坚守岗位，监测站内风速、风向、积水深度等数据，记录设备及构筑物运行状态；强风时段严禁户外运维作业，确需处置需保障人员安全。</w:t>
            </w:r>
          </w:p>
        </w:tc>
        <w:tc>
          <w:tcPr>
            <w:tcW w:w="1731" w:type="dxa"/>
            <w:shd w:val="clear" w:color="auto" w:fill="auto"/>
            <w:vAlign w:val="center"/>
          </w:tcPr>
          <w:p w14:paraId="6234A567">
            <w:pPr>
              <w:pStyle w:val="178"/>
              <w:bidi w:val="0"/>
              <w:spacing w:line="240" w:lineRule="auto"/>
              <w:jc w:val="left"/>
              <w:rPr>
                <w:rFonts w:hint="eastAsia" w:ascii="宋体" w:hAnsi="Times New Roman" w:eastAsia="宋体" w:cs="Times New Roman"/>
                <w:lang w:val="en-US" w:eastAsia="zh-CN"/>
              </w:rPr>
            </w:pPr>
            <w:r>
              <w:rPr>
                <w:rFonts w:hint="eastAsia" w:ascii="宋体" w:hAnsi="Times New Roman" w:eastAsia="宋体" w:cs="Times New Roman"/>
                <w:lang w:val="en-US" w:eastAsia="zh-CN"/>
              </w:rPr>
              <w:t>实时掌握现场情况，人员安全得到保障。</w:t>
            </w:r>
          </w:p>
        </w:tc>
        <w:tc>
          <w:tcPr>
            <w:tcW w:w="1816" w:type="dxa"/>
            <w:shd w:val="clear" w:color="auto" w:fill="auto"/>
            <w:vAlign w:val="center"/>
          </w:tcPr>
          <w:p w14:paraId="307CBB71">
            <w:pPr>
              <w:pStyle w:val="178"/>
              <w:bidi w:val="0"/>
              <w:spacing w:line="240" w:lineRule="auto"/>
              <w:jc w:val="left"/>
              <w:rPr>
                <w:rFonts w:hint="eastAsia" w:ascii="宋体" w:hAnsi="Times New Roman" w:eastAsia="宋体" w:cs="Times New Roman"/>
                <w:lang w:val="en-US" w:eastAsia="zh-CN"/>
              </w:rPr>
            </w:pPr>
            <w:r>
              <w:rPr>
                <w:rFonts w:hint="eastAsia" w:ascii="宋体" w:hAnsi="Times New Roman" w:eastAsia="宋体" w:cs="Times New Roman"/>
                <w:lang w:val="en-US" w:eastAsia="zh-CN"/>
              </w:rPr>
              <w:t>运维作业风速限值设计。</w:t>
            </w:r>
          </w:p>
        </w:tc>
      </w:tr>
      <w:tr w14:paraId="40C7554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810" w:type="dxa"/>
            <w:shd w:val="clear" w:color="auto" w:fill="auto"/>
            <w:vAlign w:val="center"/>
          </w:tcPr>
          <w:p w14:paraId="6F0E1CA2">
            <w:pPr>
              <w:pStyle w:val="178"/>
              <w:bidi w:val="0"/>
              <w:spacing w:line="240" w:lineRule="auto"/>
              <w:jc w:val="center"/>
              <w:rPr>
                <w:rFonts w:hint="eastAsia" w:ascii="宋体" w:hAnsi="Times New Roman" w:eastAsia="宋体" w:cs="Times New Roman"/>
                <w:lang w:val="en-US" w:eastAsia="zh-CN"/>
              </w:rPr>
            </w:pPr>
            <w:r>
              <w:rPr>
                <w:rFonts w:hint="eastAsia" w:ascii="宋体" w:hAnsi="Times New Roman" w:eastAsia="宋体" w:cs="Times New Roman"/>
                <w:lang w:val="en-US" w:eastAsia="zh-CN"/>
              </w:rPr>
              <w:t>19</w:t>
            </w:r>
          </w:p>
        </w:tc>
        <w:tc>
          <w:tcPr>
            <w:tcW w:w="1097" w:type="dxa"/>
            <w:shd w:val="clear" w:color="auto" w:fill="auto"/>
            <w:vAlign w:val="center"/>
          </w:tcPr>
          <w:p w14:paraId="0F0A5815">
            <w:pPr>
              <w:pStyle w:val="178"/>
              <w:bidi w:val="0"/>
              <w:spacing w:line="240" w:lineRule="auto"/>
              <w:jc w:val="center"/>
              <w:rPr>
                <w:rFonts w:hint="eastAsia" w:ascii="宋体" w:hAnsi="Times New Roman" w:eastAsia="宋体" w:cs="Times New Roman"/>
                <w:lang w:val="en-US" w:eastAsia="zh-CN"/>
              </w:rPr>
            </w:pPr>
            <w:r>
              <w:rPr>
                <w:rFonts w:hint="eastAsia" w:ascii="宋体" w:hAnsi="Times New Roman" w:eastAsia="宋体" w:cs="Times New Roman"/>
                <w:lang w:val="en-US" w:eastAsia="zh-CN"/>
              </w:rPr>
              <w:t>台风中处置</w:t>
            </w:r>
          </w:p>
        </w:tc>
        <w:tc>
          <w:tcPr>
            <w:tcW w:w="1208" w:type="dxa"/>
            <w:shd w:val="clear" w:color="auto" w:fill="auto"/>
            <w:vAlign w:val="center"/>
          </w:tcPr>
          <w:p w14:paraId="609CE796">
            <w:pPr>
              <w:pStyle w:val="178"/>
              <w:bidi w:val="0"/>
              <w:spacing w:line="240" w:lineRule="auto"/>
              <w:jc w:val="center"/>
              <w:rPr>
                <w:rFonts w:hint="eastAsia" w:ascii="宋体" w:hAnsi="Times New Roman" w:eastAsia="宋体" w:cs="Times New Roman"/>
                <w:lang w:val="en-US" w:eastAsia="zh-CN"/>
              </w:rPr>
            </w:pPr>
            <w:r>
              <w:rPr>
                <w:rFonts w:hint="eastAsia" w:ascii="宋体" w:hAnsi="Times New Roman" w:eastAsia="宋体" w:cs="Times New Roman"/>
                <w:lang w:val="en-US" w:eastAsia="zh-CN"/>
              </w:rPr>
              <w:t>异常情况处置-设备</w:t>
            </w:r>
          </w:p>
        </w:tc>
        <w:tc>
          <w:tcPr>
            <w:tcW w:w="2444" w:type="dxa"/>
            <w:shd w:val="clear" w:color="auto" w:fill="auto"/>
            <w:vAlign w:val="center"/>
          </w:tcPr>
          <w:p w14:paraId="2B466778">
            <w:pPr>
              <w:pStyle w:val="178"/>
              <w:bidi w:val="0"/>
              <w:spacing w:line="240" w:lineRule="auto"/>
              <w:jc w:val="left"/>
              <w:rPr>
                <w:rFonts w:hint="eastAsia" w:ascii="宋体" w:hAnsi="Times New Roman" w:eastAsia="宋体" w:cs="Times New Roman"/>
                <w:lang w:val="en-US" w:eastAsia="zh-CN"/>
              </w:rPr>
            </w:pPr>
            <w:r>
              <w:rPr>
                <w:rFonts w:hint="eastAsia" w:ascii="宋体" w:hAnsi="Times New Roman" w:eastAsia="宋体" w:cs="Times New Roman"/>
                <w:lang w:val="en-US" w:eastAsia="zh-CN"/>
              </w:rPr>
              <w:t>设备异常时立即切断电源，启动应急流程，采取临时防护措施；设备进水时停止运行，排查原因并排水烘干。</w:t>
            </w:r>
          </w:p>
        </w:tc>
        <w:tc>
          <w:tcPr>
            <w:tcW w:w="1731" w:type="dxa"/>
            <w:shd w:val="clear" w:color="auto" w:fill="auto"/>
            <w:vAlign w:val="center"/>
          </w:tcPr>
          <w:p w14:paraId="0B7ABEEC">
            <w:pPr>
              <w:pStyle w:val="178"/>
              <w:bidi w:val="0"/>
              <w:spacing w:line="240" w:lineRule="auto"/>
              <w:jc w:val="left"/>
              <w:rPr>
                <w:rFonts w:hint="eastAsia" w:ascii="宋体" w:hAnsi="Times New Roman" w:eastAsia="宋体" w:cs="Times New Roman"/>
                <w:lang w:val="en-US" w:eastAsia="zh-CN"/>
              </w:rPr>
            </w:pPr>
            <w:r>
              <w:rPr>
                <w:rFonts w:hint="eastAsia" w:ascii="宋体" w:hAnsi="Times New Roman" w:eastAsia="宋体" w:cs="Times New Roman"/>
                <w:lang w:val="en-US" w:eastAsia="zh-CN"/>
              </w:rPr>
              <w:t>防止故障扩大，避免设备绝缘损坏。</w:t>
            </w:r>
          </w:p>
        </w:tc>
        <w:tc>
          <w:tcPr>
            <w:tcW w:w="1816" w:type="dxa"/>
            <w:shd w:val="clear" w:color="auto" w:fill="auto"/>
            <w:vAlign w:val="center"/>
          </w:tcPr>
          <w:p w14:paraId="04448869">
            <w:pPr>
              <w:pStyle w:val="178"/>
              <w:bidi w:val="0"/>
              <w:spacing w:line="240" w:lineRule="auto"/>
              <w:jc w:val="left"/>
              <w:rPr>
                <w:rFonts w:hint="eastAsia" w:ascii="宋体" w:hAnsi="Times New Roman" w:eastAsia="宋体" w:cs="Times New Roman"/>
                <w:lang w:val="en-US" w:eastAsia="zh-CN"/>
              </w:rPr>
            </w:pPr>
            <w:r>
              <w:rPr>
                <w:rFonts w:hint="eastAsia" w:ascii="宋体" w:hAnsi="Times New Roman" w:eastAsia="宋体" w:cs="Times New Roman"/>
                <w:lang w:val="en-US" w:eastAsia="zh-CN"/>
              </w:rPr>
              <w:t>设备防护设计要求。</w:t>
            </w:r>
          </w:p>
        </w:tc>
      </w:tr>
      <w:tr w14:paraId="407267A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810" w:type="dxa"/>
            <w:shd w:val="clear" w:color="auto" w:fill="auto"/>
            <w:vAlign w:val="center"/>
          </w:tcPr>
          <w:p w14:paraId="18D49639">
            <w:pPr>
              <w:pStyle w:val="178"/>
              <w:bidi w:val="0"/>
              <w:spacing w:line="240" w:lineRule="auto"/>
              <w:jc w:val="center"/>
              <w:rPr>
                <w:rFonts w:hint="eastAsia" w:ascii="宋体" w:hAnsi="Times New Roman" w:eastAsia="宋体" w:cs="Times New Roman"/>
                <w:lang w:val="en-US" w:eastAsia="zh-CN"/>
              </w:rPr>
            </w:pPr>
            <w:r>
              <w:rPr>
                <w:rFonts w:hint="eastAsia" w:ascii="宋体" w:hAnsi="Times New Roman" w:eastAsia="宋体" w:cs="Times New Roman"/>
                <w:lang w:val="en-US" w:eastAsia="zh-CN"/>
              </w:rPr>
              <w:t>20</w:t>
            </w:r>
          </w:p>
        </w:tc>
        <w:tc>
          <w:tcPr>
            <w:tcW w:w="1097" w:type="dxa"/>
            <w:shd w:val="clear" w:color="auto" w:fill="auto"/>
            <w:vAlign w:val="center"/>
          </w:tcPr>
          <w:p w14:paraId="38E85C3C">
            <w:pPr>
              <w:pStyle w:val="178"/>
              <w:bidi w:val="0"/>
              <w:spacing w:line="240" w:lineRule="auto"/>
              <w:jc w:val="center"/>
              <w:rPr>
                <w:rFonts w:hint="eastAsia" w:ascii="宋体" w:hAnsi="Times New Roman" w:eastAsia="宋体" w:cs="Times New Roman"/>
                <w:lang w:val="en-US" w:eastAsia="zh-CN"/>
              </w:rPr>
            </w:pPr>
            <w:r>
              <w:rPr>
                <w:rFonts w:hint="eastAsia" w:ascii="宋体" w:hAnsi="Times New Roman" w:eastAsia="宋体" w:cs="Times New Roman"/>
                <w:lang w:val="en-US" w:eastAsia="zh-CN"/>
              </w:rPr>
              <w:t>台风中处置</w:t>
            </w:r>
          </w:p>
        </w:tc>
        <w:tc>
          <w:tcPr>
            <w:tcW w:w="1208" w:type="dxa"/>
            <w:shd w:val="clear" w:color="auto" w:fill="auto"/>
            <w:vAlign w:val="center"/>
          </w:tcPr>
          <w:p w14:paraId="50D5732D">
            <w:pPr>
              <w:pStyle w:val="178"/>
              <w:bidi w:val="0"/>
              <w:spacing w:line="240" w:lineRule="auto"/>
              <w:jc w:val="center"/>
              <w:rPr>
                <w:rFonts w:hint="eastAsia" w:ascii="宋体" w:hAnsi="Times New Roman" w:eastAsia="宋体" w:cs="Times New Roman"/>
                <w:lang w:val="en-US" w:eastAsia="zh-CN"/>
              </w:rPr>
            </w:pPr>
            <w:r>
              <w:rPr>
                <w:rFonts w:hint="eastAsia" w:ascii="宋体" w:hAnsi="Times New Roman" w:eastAsia="宋体" w:cs="Times New Roman"/>
                <w:lang w:val="en-US" w:eastAsia="zh-CN"/>
              </w:rPr>
              <w:t>异常情况处置-构筑物</w:t>
            </w:r>
          </w:p>
        </w:tc>
        <w:tc>
          <w:tcPr>
            <w:tcW w:w="2444" w:type="dxa"/>
            <w:shd w:val="clear" w:color="auto" w:fill="auto"/>
            <w:vAlign w:val="center"/>
          </w:tcPr>
          <w:p w14:paraId="3B234863">
            <w:pPr>
              <w:pStyle w:val="178"/>
              <w:bidi w:val="0"/>
              <w:spacing w:line="240" w:lineRule="auto"/>
              <w:jc w:val="left"/>
              <w:rPr>
                <w:rFonts w:hint="eastAsia" w:ascii="宋体" w:hAnsi="Times New Roman" w:eastAsia="宋体" w:cs="Times New Roman"/>
                <w:lang w:val="en-US" w:eastAsia="zh-CN"/>
              </w:rPr>
            </w:pPr>
            <w:r>
              <w:rPr>
                <w:rFonts w:hint="eastAsia" w:ascii="宋体" w:hAnsi="Times New Roman" w:eastAsia="宋体" w:cs="Times New Roman"/>
                <w:lang w:val="en-US" w:eastAsia="zh-CN"/>
              </w:rPr>
              <w:t>构筑物异常时撤离周边人员，设置警戒区域；挡土墙、护坡出现隐患时启动应急加固。</w:t>
            </w:r>
          </w:p>
        </w:tc>
        <w:tc>
          <w:tcPr>
            <w:tcW w:w="1731" w:type="dxa"/>
            <w:shd w:val="clear" w:color="auto" w:fill="auto"/>
            <w:vAlign w:val="center"/>
          </w:tcPr>
          <w:p w14:paraId="6691289B">
            <w:pPr>
              <w:pStyle w:val="178"/>
              <w:bidi w:val="0"/>
              <w:spacing w:line="240" w:lineRule="auto"/>
              <w:jc w:val="left"/>
              <w:rPr>
                <w:rFonts w:hint="eastAsia" w:ascii="宋体" w:hAnsi="Times New Roman" w:eastAsia="宋体" w:cs="Times New Roman"/>
                <w:lang w:val="en-US" w:eastAsia="zh-CN"/>
              </w:rPr>
            </w:pPr>
            <w:r>
              <w:rPr>
                <w:rFonts w:hint="eastAsia" w:ascii="宋体" w:hAnsi="Times New Roman" w:eastAsia="宋体" w:cs="Times New Roman"/>
                <w:lang w:val="en-US" w:eastAsia="zh-CN"/>
              </w:rPr>
              <w:t>避免二次伤害，防范次生灾害扩大。</w:t>
            </w:r>
          </w:p>
        </w:tc>
        <w:tc>
          <w:tcPr>
            <w:tcW w:w="1816" w:type="dxa"/>
            <w:shd w:val="clear" w:color="auto" w:fill="auto"/>
            <w:vAlign w:val="center"/>
          </w:tcPr>
          <w:p w14:paraId="77F8E72C">
            <w:pPr>
              <w:pStyle w:val="178"/>
              <w:bidi w:val="0"/>
              <w:spacing w:line="240" w:lineRule="auto"/>
              <w:jc w:val="left"/>
              <w:rPr>
                <w:rFonts w:hint="eastAsia" w:ascii="宋体" w:hAnsi="Times New Roman" w:eastAsia="宋体" w:cs="Times New Roman"/>
                <w:lang w:val="en-US" w:eastAsia="zh-CN"/>
              </w:rPr>
            </w:pPr>
            <w:r>
              <w:rPr>
                <w:rFonts w:hint="eastAsia" w:ascii="宋体" w:hAnsi="Times New Roman" w:eastAsia="宋体" w:cs="Times New Roman"/>
                <w:lang w:val="en-US" w:eastAsia="zh-CN"/>
              </w:rPr>
              <w:t>构筑物抗风抗震设计。</w:t>
            </w:r>
          </w:p>
        </w:tc>
      </w:tr>
      <w:tr w14:paraId="244D13C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810" w:type="dxa"/>
            <w:shd w:val="clear" w:color="auto" w:fill="auto"/>
            <w:vAlign w:val="center"/>
          </w:tcPr>
          <w:p w14:paraId="3EFC70EE">
            <w:pPr>
              <w:pStyle w:val="178"/>
              <w:bidi w:val="0"/>
              <w:spacing w:line="240" w:lineRule="auto"/>
              <w:jc w:val="center"/>
              <w:rPr>
                <w:rFonts w:hint="eastAsia" w:ascii="宋体" w:hAnsi="Times New Roman" w:eastAsia="宋体" w:cs="Times New Roman"/>
                <w:lang w:val="en-US" w:eastAsia="zh-CN"/>
              </w:rPr>
            </w:pPr>
            <w:r>
              <w:rPr>
                <w:rFonts w:hint="eastAsia" w:ascii="宋体" w:hAnsi="Times New Roman" w:eastAsia="宋体" w:cs="Times New Roman"/>
                <w:lang w:val="en-US" w:eastAsia="zh-CN"/>
              </w:rPr>
              <w:t>21</w:t>
            </w:r>
          </w:p>
        </w:tc>
        <w:tc>
          <w:tcPr>
            <w:tcW w:w="1097" w:type="dxa"/>
            <w:shd w:val="clear" w:color="auto" w:fill="auto"/>
            <w:vAlign w:val="center"/>
          </w:tcPr>
          <w:p w14:paraId="4353C1A4">
            <w:pPr>
              <w:pStyle w:val="178"/>
              <w:bidi w:val="0"/>
              <w:spacing w:line="240" w:lineRule="auto"/>
              <w:jc w:val="center"/>
              <w:rPr>
                <w:rFonts w:hint="eastAsia" w:ascii="宋体" w:hAnsi="Times New Roman" w:eastAsia="宋体" w:cs="Times New Roman"/>
                <w:lang w:val="en-US" w:eastAsia="zh-CN"/>
              </w:rPr>
            </w:pPr>
            <w:r>
              <w:rPr>
                <w:rFonts w:hint="eastAsia" w:ascii="宋体" w:hAnsi="Times New Roman" w:eastAsia="宋体" w:cs="Times New Roman"/>
                <w:lang w:val="en-US" w:eastAsia="zh-CN"/>
              </w:rPr>
              <w:t>台风中处置</w:t>
            </w:r>
          </w:p>
        </w:tc>
        <w:tc>
          <w:tcPr>
            <w:tcW w:w="1208" w:type="dxa"/>
            <w:shd w:val="clear" w:color="auto" w:fill="auto"/>
            <w:vAlign w:val="center"/>
          </w:tcPr>
          <w:p w14:paraId="533B51C2">
            <w:pPr>
              <w:pStyle w:val="178"/>
              <w:bidi w:val="0"/>
              <w:spacing w:line="240" w:lineRule="auto"/>
              <w:jc w:val="center"/>
              <w:rPr>
                <w:rFonts w:hint="eastAsia" w:ascii="宋体" w:hAnsi="Times New Roman" w:eastAsia="宋体" w:cs="Times New Roman"/>
                <w:lang w:val="en-US" w:eastAsia="zh-CN"/>
              </w:rPr>
            </w:pPr>
            <w:r>
              <w:rPr>
                <w:rFonts w:hint="eastAsia" w:ascii="宋体" w:hAnsi="Times New Roman" w:eastAsia="宋体" w:cs="Times New Roman"/>
                <w:lang w:val="en-US" w:eastAsia="zh-CN"/>
              </w:rPr>
              <w:t>异常情况处置-积水</w:t>
            </w:r>
          </w:p>
        </w:tc>
        <w:tc>
          <w:tcPr>
            <w:tcW w:w="2444" w:type="dxa"/>
            <w:shd w:val="clear" w:color="auto" w:fill="auto"/>
            <w:vAlign w:val="center"/>
          </w:tcPr>
          <w:p w14:paraId="025F139B">
            <w:pPr>
              <w:pStyle w:val="178"/>
              <w:bidi w:val="0"/>
              <w:spacing w:line="240" w:lineRule="auto"/>
              <w:jc w:val="left"/>
              <w:rPr>
                <w:rFonts w:hint="eastAsia" w:ascii="宋体" w:hAnsi="Times New Roman" w:eastAsia="宋体" w:cs="Times New Roman"/>
                <w:lang w:val="en-US" w:eastAsia="zh-CN"/>
              </w:rPr>
            </w:pPr>
            <w:r>
              <w:rPr>
                <w:rFonts w:hint="eastAsia" w:ascii="宋体" w:hAnsi="Times New Roman" w:eastAsia="宋体" w:cs="Times New Roman"/>
                <w:lang w:val="en-US" w:eastAsia="zh-CN"/>
              </w:rPr>
              <w:t>积水超设计限值时启动所有排水泵，排查积水原因；积水严重时切断设备电源，转移关键设备及物资。</w:t>
            </w:r>
          </w:p>
        </w:tc>
        <w:tc>
          <w:tcPr>
            <w:tcW w:w="1731" w:type="dxa"/>
            <w:shd w:val="clear" w:color="auto" w:fill="auto"/>
            <w:vAlign w:val="center"/>
          </w:tcPr>
          <w:p w14:paraId="13175CD1">
            <w:pPr>
              <w:pStyle w:val="178"/>
              <w:bidi w:val="0"/>
              <w:spacing w:line="240" w:lineRule="auto"/>
              <w:jc w:val="left"/>
              <w:rPr>
                <w:rFonts w:hint="eastAsia" w:ascii="宋体" w:hAnsi="Times New Roman" w:eastAsia="宋体" w:cs="Times New Roman"/>
                <w:lang w:val="en-US" w:eastAsia="zh-CN"/>
              </w:rPr>
            </w:pPr>
            <w:r>
              <w:rPr>
                <w:rFonts w:hint="eastAsia" w:ascii="宋体" w:hAnsi="Times New Roman" w:eastAsia="宋体" w:cs="Times New Roman"/>
                <w:lang w:val="en-US" w:eastAsia="zh-CN"/>
              </w:rPr>
              <w:t>确保人员及设备安全。</w:t>
            </w:r>
          </w:p>
        </w:tc>
        <w:tc>
          <w:tcPr>
            <w:tcW w:w="1816" w:type="dxa"/>
            <w:shd w:val="clear" w:color="auto" w:fill="auto"/>
            <w:vAlign w:val="center"/>
          </w:tcPr>
          <w:p w14:paraId="52DE412E">
            <w:pPr>
              <w:pStyle w:val="178"/>
              <w:bidi w:val="0"/>
              <w:spacing w:line="240" w:lineRule="auto"/>
              <w:jc w:val="left"/>
              <w:rPr>
                <w:rFonts w:hint="eastAsia" w:ascii="宋体" w:hAnsi="Times New Roman" w:eastAsia="宋体" w:cs="Times New Roman"/>
                <w:lang w:val="en-US" w:eastAsia="zh-CN"/>
              </w:rPr>
            </w:pPr>
            <w:r>
              <w:rPr>
                <w:rFonts w:hint="eastAsia" w:ascii="宋体" w:hAnsi="Times New Roman" w:eastAsia="宋体" w:cs="Times New Roman"/>
                <w:lang w:val="en-US" w:eastAsia="zh-CN"/>
              </w:rPr>
              <w:t>排水能力设计限值。</w:t>
            </w:r>
          </w:p>
        </w:tc>
      </w:tr>
      <w:tr w14:paraId="694E6BC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810" w:type="dxa"/>
            <w:shd w:val="clear" w:color="auto" w:fill="auto"/>
            <w:vAlign w:val="center"/>
          </w:tcPr>
          <w:p w14:paraId="4572259B">
            <w:pPr>
              <w:pStyle w:val="178"/>
              <w:bidi w:val="0"/>
              <w:spacing w:line="240" w:lineRule="auto"/>
              <w:jc w:val="center"/>
              <w:rPr>
                <w:rFonts w:hint="eastAsia" w:ascii="宋体" w:hAnsi="Times New Roman" w:eastAsia="宋体" w:cs="Times New Roman"/>
                <w:lang w:val="en-US" w:eastAsia="zh-CN"/>
              </w:rPr>
            </w:pPr>
            <w:r>
              <w:rPr>
                <w:rFonts w:hint="eastAsia" w:ascii="宋体" w:hAnsi="Times New Roman" w:eastAsia="宋体" w:cs="Times New Roman"/>
                <w:lang w:val="en-US" w:eastAsia="zh-CN"/>
              </w:rPr>
              <w:t>22</w:t>
            </w:r>
          </w:p>
        </w:tc>
        <w:tc>
          <w:tcPr>
            <w:tcW w:w="1097" w:type="dxa"/>
            <w:shd w:val="clear" w:color="auto" w:fill="auto"/>
            <w:vAlign w:val="center"/>
          </w:tcPr>
          <w:p w14:paraId="2401BD6D">
            <w:pPr>
              <w:pStyle w:val="178"/>
              <w:bidi w:val="0"/>
              <w:spacing w:line="240" w:lineRule="auto"/>
              <w:jc w:val="center"/>
              <w:rPr>
                <w:rFonts w:hint="eastAsia" w:ascii="宋体" w:hAnsi="Times New Roman" w:eastAsia="宋体" w:cs="Times New Roman"/>
                <w:lang w:val="en-US" w:eastAsia="zh-CN"/>
              </w:rPr>
            </w:pPr>
            <w:r>
              <w:rPr>
                <w:rFonts w:hint="eastAsia" w:ascii="宋体" w:hAnsi="Times New Roman" w:eastAsia="宋体" w:cs="Times New Roman"/>
                <w:lang w:val="en-US" w:eastAsia="zh-CN"/>
              </w:rPr>
              <w:t>台风中处置</w:t>
            </w:r>
          </w:p>
        </w:tc>
        <w:tc>
          <w:tcPr>
            <w:tcW w:w="1208" w:type="dxa"/>
            <w:shd w:val="clear" w:color="auto" w:fill="auto"/>
            <w:vAlign w:val="center"/>
          </w:tcPr>
          <w:p w14:paraId="61EB95A4">
            <w:pPr>
              <w:pStyle w:val="178"/>
              <w:bidi w:val="0"/>
              <w:spacing w:line="240" w:lineRule="auto"/>
              <w:jc w:val="center"/>
              <w:rPr>
                <w:rFonts w:hint="eastAsia" w:ascii="宋体" w:hAnsi="Times New Roman" w:eastAsia="宋体" w:cs="Times New Roman"/>
                <w:lang w:val="en-US" w:eastAsia="zh-CN"/>
              </w:rPr>
            </w:pPr>
            <w:r>
              <w:rPr>
                <w:rFonts w:hint="eastAsia" w:ascii="宋体" w:hAnsi="Times New Roman" w:eastAsia="宋体" w:cs="Times New Roman"/>
                <w:lang w:val="en-US" w:eastAsia="zh-CN"/>
              </w:rPr>
              <w:t>信息上报与联动</w:t>
            </w:r>
          </w:p>
        </w:tc>
        <w:tc>
          <w:tcPr>
            <w:tcW w:w="2444" w:type="dxa"/>
            <w:shd w:val="clear" w:color="auto" w:fill="auto"/>
            <w:vAlign w:val="center"/>
          </w:tcPr>
          <w:p w14:paraId="153531B5">
            <w:pPr>
              <w:pStyle w:val="178"/>
              <w:bidi w:val="0"/>
              <w:spacing w:line="240" w:lineRule="auto"/>
              <w:jc w:val="left"/>
              <w:rPr>
                <w:rFonts w:hint="eastAsia" w:ascii="宋体" w:hAnsi="Times New Roman" w:eastAsia="宋体" w:cs="Times New Roman"/>
                <w:lang w:val="en-US" w:eastAsia="zh-CN"/>
              </w:rPr>
            </w:pPr>
            <w:r>
              <w:rPr>
                <w:rFonts w:hint="eastAsia" w:ascii="宋体" w:hAnsi="Times New Roman" w:eastAsia="宋体" w:cs="Times New Roman"/>
                <w:lang w:val="en-US" w:eastAsia="zh-CN"/>
              </w:rPr>
              <w:t>及时上报设施运行状态、异常情况及处置进展；加强与应急、气象等部门联动，重大情况请求支援。</w:t>
            </w:r>
          </w:p>
        </w:tc>
        <w:tc>
          <w:tcPr>
            <w:tcW w:w="1731" w:type="dxa"/>
            <w:shd w:val="clear" w:color="auto" w:fill="auto"/>
            <w:vAlign w:val="center"/>
          </w:tcPr>
          <w:p w14:paraId="188D68D7">
            <w:pPr>
              <w:pStyle w:val="178"/>
              <w:bidi w:val="0"/>
              <w:spacing w:line="240" w:lineRule="auto"/>
              <w:jc w:val="left"/>
              <w:rPr>
                <w:rFonts w:hint="eastAsia" w:ascii="宋体" w:hAnsi="Times New Roman" w:eastAsia="宋体" w:cs="Times New Roman"/>
                <w:lang w:val="en-US" w:eastAsia="zh-CN"/>
              </w:rPr>
            </w:pPr>
            <w:r>
              <w:rPr>
                <w:rFonts w:hint="eastAsia" w:ascii="宋体" w:hAnsi="Times New Roman" w:eastAsia="宋体" w:cs="Times New Roman"/>
                <w:lang w:val="en-US" w:eastAsia="zh-CN"/>
              </w:rPr>
              <w:t>不迟报、漏报、瞒报，协同处置重大问题。</w:t>
            </w:r>
          </w:p>
        </w:tc>
        <w:tc>
          <w:tcPr>
            <w:tcW w:w="1816" w:type="dxa"/>
            <w:shd w:val="clear" w:color="auto" w:fill="auto"/>
            <w:vAlign w:val="center"/>
          </w:tcPr>
          <w:p w14:paraId="5F60F267">
            <w:pPr>
              <w:pStyle w:val="178"/>
              <w:bidi w:val="0"/>
              <w:spacing w:line="240" w:lineRule="auto"/>
              <w:jc w:val="left"/>
              <w:rPr>
                <w:rFonts w:hint="eastAsia" w:ascii="宋体" w:hAnsi="Times New Roman" w:eastAsia="宋体" w:cs="Times New Roman"/>
                <w:lang w:val="en-US" w:eastAsia="zh-CN"/>
              </w:rPr>
            </w:pPr>
            <w:r>
              <w:rPr>
                <w:rFonts w:hint="eastAsia" w:ascii="宋体" w:hAnsi="Times New Roman" w:eastAsia="宋体" w:cs="Times New Roman"/>
                <w:lang w:val="en-US" w:eastAsia="zh-CN"/>
              </w:rPr>
              <w:t>应急指挥联动设计。</w:t>
            </w:r>
          </w:p>
        </w:tc>
      </w:tr>
      <w:tr w14:paraId="22D9998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810" w:type="dxa"/>
            <w:shd w:val="clear" w:color="auto" w:fill="auto"/>
            <w:vAlign w:val="center"/>
          </w:tcPr>
          <w:p w14:paraId="6D3FEC74">
            <w:pPr>
              <w:pStyle w:val="178"/>
              <w:bidi w:val="0"/>
              <w:spacing w:line="240" w:lineRule="auto"/>
              <w:jc w:val="center"/>
              <w:rPr>
                <w:rFonts w:hint="eastAsia" w:ascii="宋体" w:hAnsi="Times New Roman" w:eastAsia="宋体" w:cs="Times New Roman"/>
                <w:lang w:val="en-US" w:eastAsia="zh-CN"/>
              </w:rPr>
            </w:pPr>
            <w:r>
              <w:rPr>
                <w:rFonts w:hint="eastAsia" w:ascii="宋体" w:hAnsi="Times New Roman" w:eastAsia="宋体" w:cs="Times New Roman"/>
                <w:lang w:val="en-US" w:eastAsia="zh-CN"/>
              </w:rPr>
              <w:t>23</w:t>
            </w:r>
          </w:p>
        </w:tc>
        <w:tc>
          <w:tcPr>
            <w:tcW w:w="1097" w:type="dxa"/>
            <w:shd w:val="clear" w:color="auto" w:fill="auto"/>
            <w:vAlign w:val="center"/>
          </w:tcPr>
          <w:p w14:paraId="1770CFBF">
            <w:pPr>
              <w:pStyle w:val="178"/>
              <w:bidi w:val="0"/>
              <w:spacing w:line="240" w:lineRule="auto"/>
              <w:jc w:val="center"/>
              <w:rPr>
                <w:rFonts w:hint="eastAsia" w:ascii="宋体" w:hAnsi="Times New Roman" w:eastAsia="宋体" w:cs="Times New Roman"/>
                <w:lang w:val="en-US" w:eastAsia="zh-CN"/>
              </w:rPr>
            </w:pPr>
            <w:r>
              <w:rPr>
                <w:rFonts w:hint="eastAsia" w:ascii="宋体" w:hAnsi="Times New Roman" w:eastAsia="宋体" w:cs="Times New Roman"/>
                <w:lang w:val="en-US" w:eastAsia="zh-CN"/>
              </w:rPr>
              <w:t>台风后恢复</w:t>
            </w:r>
          </w:p>
        </w:tc>
        <w:tc>
          <w:tcPr>
            <w:tcW w:w="1208" w:type="dxa"/>
            <w:shd w:val="clear" w:color="auto" w:fill="auto"/>
            <w:vAlign w:val="center"/>
          </w:tcPr>
          <w:p w14:paraId="4DA98833">
            <w:pPr>
              <w:pStyle w:val="178"/>
              <w:bidi w:val="0"/>
              <w:spacing w:line="240" w:lineRule="auto"/>
              <w:jc w:val="center"/>
              <w:rPr>
                <w:rFonts w:hint="eastAsia" w:ascii="宋体" w:hAnsi="Times New Roman" w:eastAsia="宋体" w:cs="Times New Roman"/>
                <w:lang w:val="en-US" w:eastAsia="zh-CN"/>
              </w:rPr>
            </w:pPr>
            <w:r>
              <w:rPr>
                <w:rFonts w:hint="eastAsia" w:ascii="宋体" w:hAnsi="Times New Roman" w:eastAsia="宋体" w:cs="Times New Roman"/>
                <w:lang w:val="en-US" w:eastAsia="zh-CN"/>
              </w:rPr>
              <w:t>安全排查评估</w:t>
            </w:r>
          </w:p>
        </w:tc>
        <w:tc>
          <w:tcPr>
            <w:tcW w:w="2444" w:type="dxa"/>
            <w:shd w:val="clear" w:color="auto" w:fill="auto"/>
            <w:vAlign w:val="center"/>
          </w:tcPr>
          <w:p w14:paraId="0F600CF8">
            <w:pPr>
              <w:pStyle w:val="178"/>
              <w:bidi w:val="0"/>
              <w:spacing w:line="240" w:lineRule="auto"/>
              <w:jc w:val="left"/>
              <w:rPr>
                <w:rFonts w:hint="eastAsia" w:ascii="宋体" w:hAnsi="Times New Roman" w:eastAsia="宋体" w:cs="Times New Roman"/>
                <w:lang w:val="en-US" w:eastAsia="zh-CN"/>
              </w:rPr>
            </w:pPr>
            <w:r>
              <w:rPr>
                <w:rFonts w:hint="eastAsia" w:ascii="宋体" w:hAnsi="Times New Roman" w:eastAsia="宋体" w:cs="Times New Roman"/>
                <w:lang w:val="en-US" w:eastAsia="zh-CN"/>
              </w:rPr>
              <w:t>风速降至安全范围后开展全面排查，结合无人机巡检；联合设计单位及专业人员对受损严重设施进行技术评估。</w:t>
            </w:r>
          </w:p>
        </w:tc>
        <w:tc>
          <w:tcPr>
            <w:tcW w:w="1731" w:type="dxa"/>
            <w:shd w:val="clear" w:color="auto" w:fill="auto"/>
            <w:vAlign w:val="center"/>
          </w:tcPr>
          <w:p w14:paraId="051E8803">
            <w:pPr>
              <w:pStyle w:val="178"/>
              <w:bidi w:val="0"/>
              <w:spacing w:line="240" w:lineRule="auto"/>
              <w:jc w:val="left"/>
              <w:rPr>
                <w:rFonts w:hint="eastAsia" w:ascii="宋体" w:hAnsi="Times New Roman" w:eastAsia="宋体" w:cs="Times New Roman"/>
                <w:lang w:val="en-US" w:eastAsia="zh-CN"/>
              </w:rPr>
            </w:pPr>
            <w:r>
              <w:rPr>
                <w:rFonts w:hint="eastAsia" w:ascii="宋体" w:hAnsi="Times New Roman" w:eastAsia="宋体" w:cs="Times New Roman"/>
                <w:lang w:val="en-US" w:eastAsia="zh-CN"/>
              </w:rPr>
              <w:t>全覆盖排查隐患，明确修复方向。</w:t>
            </w:r>
          </w:p>
        </w:tc>
        <w:tc>
          <w:tcPr>
            <w:tcW w:w="1816" w:type="dxa"/>
            <w:shd w:val="clear" w:color="auto" w:fill="auto"/>
            <w:vAlign w:val="center"/>
          </w:tcPr>
          <w:p w14:paraId="79847392">
            <w:pPr>
              <w:pStyle w:val="178"/>
              <w:bidi w:val="0"/>
              <w:spacing w:line="240" w:lineRule="auto"/>
              <w:jc w:val="left"/>
              <w:rPr>
                <w:rFonts w:hint="eastAsia" w:ascii="宋体" w:hAnsi="Times New Roman" w:eastAsia="宋体" w:cs="Times New Roman"/>
                <w:lang w:val="en-US" w:eastAsia="zh-CN"/>
              </w:rPr>
            </w:pPr>
            <w:r>
              <w:rPr>
                <w:rFonts w:hint="eastAsia" w:ascii="宋体" w:hAnsi="Times New Roman" w:eastAsia="宋体" w:cs="Times New Roman"/>
                <w:lang w:val="en-US" w:eastAsia="zh-CN"/>
              </w:rPr>
              <w:t>设计标准及抗台风设计功能要求。</w:t>
            </w:r>
          </w:p>
        </w:tc>
      </w:tr>
      <w:tr w14:paraId="5719547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810" w:type="dxa"/>
            <w:shd w:val="clear" w:color="auto" w:fill="auto"/>
            <w:vAlign w:val="center"/>
          </w:tcPr>
          <w:p w14:paraId="1B829D37">
            <w:pPr>
              <w:pStyle w:val="178"/>
              <w:bidi w:val="0"/>
              <w:spacing w:line="240" w:lineRule="auto"/>
              <w:jc w:val="center"/>
              <w:rPr>
                <w:rFonts w:hint="eastAsia" w:ascii="宋体" w:hAnsi="Times New Roman" w:eastAsia="宋体" w:cs="Times New Roman"/>
                <w:lang w:val="en-US" w:eastAsia="zh-CN"/>
              </w:rPr>
            </w:pPr>
            <w:r>
              <w:rPr>
                <w:rFonts w:hint="eastAsia" w:ascii="宋体" w:hAnsi="Times New Roman" w:eastAsia="宋体" w:cs="Times New Roman"/>
                <w:lang w:val="en-US" w:eastAsia="zh-CN"/>
              </w:rPr>
              <w:t>24</w:t>
            </w:r>
          </w:p>
        </w:tc>
        <w:tc>
          <w:tcPr>
            <w:tcW w:w="1097" w:type="dxa"/>
            <w:shd w:val="clear" w:color="auto" w:fill="auto"/>
            <w:vAlign w:val="center"/>
          </w:tcPr>
          <w:p w14:paraId="5213C0BE">
            <w:pPr>
              <w:pStyle w:val="178"/>
              <w:bidi w:val="0"/>
              <w:spacing w:line="240" w:lineRule="auto"/>
              <w:jc w:val="center"/>
              <w:rPr>
                <w:rFonts w:hint="eastAsia" w:ascii="宋体" w:hAnsi="Times New Roman" w:eastAsia="宋体" w:cs="Times New Roman"/>
                <w:lang w:val="en-US" w:eastAsia="zh-CN"/>
              </w:rPr>
            </w:pPr>
            <w:r>
              <w:rPr>
                <w:rFonts w:hint="eastAsia" w:ascii="宋体" w:hAnsi="Times New Roman" w:eastAsia="宋体" w:cs="Times New Roman"/>
                <w:lang w:val="en-US" w:eastAsia="zh-CN"/>
              </w:rPr>
              <w:t>台风后恢复</w:t>
            </w:r>
          </w:p>
        </w:tc>
        <w:tc>
          <w:tcPr>
            <w:tcW w:w="1208" w:type="dxa"/>
            <w:shd w:val="clear" w:color="auto" w:fill="auto"/>
            <w:vAlign w:val="center"/>
          </w:tcPr>
          <w:p w14:paraId="186E1449">
            <w:pPr>
              <w:pStyle w:val="178"/>
              <w:bidi w:val="0"/>
              <w:spacing w:line="240" w:lineRule="auto"/>
              <w:jc w:val="center"/>
              <w:rPr>
                <w:rFonts w:hint="eastAsia" w:ascii="宋体" w:hAnsi="Times New Roman" w:eastAsia="宋体" w:cs="Times New Roman"/>
                <w:lang w:val="en-US" w:eastAsia="zh-CN"/>
              </w:rPr>
            </w:pPr>
            <w:r>
              <w:rPr>
                <w:rFonts w:hint="eastAsia" w:ascii="宋体" w:hAnsi="Times New Roman" w:eastAsia="宋体" w:cs="Times New Roman"/>
                <w:lang w:val="en-US" w:eastAsia="zh-CN"/>
              </w:rPr>
              <w:t>设施修复处置-设备</w:t>
            </w:r>
          </w:p>
        </w:tc>
        <w:tc>
          <w:tcPr>
            <w:tcW w:w="2444" w:type="dxa"/>
            <w:shd w:val="clear" w:color="auto" w:fill="auto"/>
            <w:vAlign w:val="center"/>
          </w:tcPr>
          <w:p w14:paraId="29ACAAE9">
            <w:pPr>
              <w:pStyle w:val="178"/>
              <w:bidi w:val="0"/>
              <w:spacing w:line="240" w:lineRule="auto"/>
              <w:jc w:val="left"/>
              <w:rPr>
                <w:rFonts w:hint="eastAsia" w:ascii="宋体" w:hAnsi="Times New Roman" w:eastAsia="宋体" w:cs="Times New Roman"/>
                <w:lang w:val="en-US" w:eastAsia="zh-CN"/>
              </w:rPr>
            </w:pPr>
            <w:r>
              <w:rPr>
                <w:rFonts w:hint="eastAsia" w:ascii="宋体" w:hAnsi="Times New Roman" w:eastAsia="宋体" w:cs="Times New Roman"/>
                <w:lang w:val="en-US" w:eastAsia="zh-CN"/>
              </w:rPr>
              <w:t>按设计标准复位紧固倾斜移位设备；更换破损部件；排水、烘干、检测进水设备，合格后恢复运行。</w:t>
            </w:r>
          </w:p>
        </w:tc>
        <w:tc>
          <w:tcPr>
            <w:tcW w:w="1731" w:type="dxa"/>
            <w:shd w:val="clear" w:color="auto" w:fill="auto"/>
            <w:vAlign w:val="center"/>
          </w:tcPr>
          <w:p w14:paraId="4DB4026C">
            <w:pPr>
              <w:pStyle w:val="178"/>
              <w:bidi w:val="0"/>
              <w:spacing w:line="240" w:lineRule="auto"/>
              <w:jc w:val="left"/>
              <w:rPr>
                <w:rFonts w:hint="eastAsia" w:ascii="宋体" w:hAnsi="Times New Roman" w:eastAsia="宋体" w:cs="Times New Roman"/>
                <w:lang w:val="en-US" w:eastAsia="zh-CN"/>
              </w:rPr>
            </w:pPr>
            <w:r>
              <w:rPr>
                <w:rFonts w:hint="eastAsia" w:ascii="宋体" w:hAnsi="Times New Roman" w:eastAsia="宋体" w:cs="Times New Roman"/>
                <w:lang w:val="en-US" w:eastAsia="zh-CN"/>
              </w:rPr>
              <w:t>设备抗台风性能不降低。</w:t>
            </w:r>
          </w:p>
        </w:tc>
        <w:tc>
          <w:tcPr>
            <w:tcW w:w="1816" w:type="dxa"/>
            <w:shd w:val="clear" w:color="auto" w:fill="auto"/>
            <w:vAlign w:val="center"/>
          </w:tcPr>
          <w:p w14:paraId="6D454B3D">
            <w:pPr>
              <w:pStyle w:val="178"/>
              <w:bidi w:val="0"/>
              <w:spacing w:line="240" w:lineRule="auto"/>
              <w:jc w:val="left"/>
              <w:rPr>
                <w:rFonts w:hint="eastAsia" w:ascii="宋体" w:hAnsi="Times New Roman" w:eastAsia="宋体" w:cs="Times New Roman"/>
                <w:lang w:val="en-US" w:eastAsia="zh-CN"/>
              </w:rPr>
            </w:pPr>
            <w:r>
              <w:rPr>
                <w:rFonts w:hint="eastAsia" w:ascii="宋体" w:hAnsi="Times New Roman" w:eastAsia="宋体" w:cs="Times New Roman"/>
                <w:lang w:val="en-US" w:eastAsia="zh-CN"/>
              </w:rPr>
              <w:t>原抗台风设计要求。</w:t>
            </w:r>
          </w:p>
        </w:tc>
      </w:tr>
      <w:tr w14:paraId="693BF22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810" w:type="dxa"/>
            <w:shd w:val="clear" w:color="auto" w:fill="auto"/>
            <w:vAlign w:val="center"/>
          </w:tcPr>
          <w:p w14:paraId="10F02D2D">
            <w:pPr>
              <w:pStyle w:val="178"/>
              <w:bidi w:val="0"/>
              <w:spacing w:line="240" w:lineRule="auto"/>
              <w:jc w:val="center"/>
              <w:rPr>
                <w:rFonts w:hint="eastAsia" w:ascii="宋体" w:hAnsi="Times New Roman" w:eastAsia="宋体" w:cs="Times New Roman"/>
                <w:lang w:val="en-US" w:eastAsia="zh-CN"/>
              </w:rPr>
            </w:pPr>
            <w:r>
              <w:rPr>
                <w:rFonts w:hint="eastAsia" w:ascii="宋体" w:hAnsi="Times New Roman" w:eastAsia="宋体" w:cs="Times New Roman"/>
                <w:lang w:val="en-US" w:eastAsia="zh-CN"/>
              </w:rPr>
              <w:t>25</w:t>
            </w:r>
          </w:p>
        </w:tc>
        <w:tc>
          <w:tcPr>
            <w:tcW w:w="1097" w:type="dxa"/>
            <w:shd w:val="clear" w:color="auto" w:fill="auto"/>
            <w:vAlign w:val="center"/>
          </w:tcPr>
          <w:p w14:paraId="36845968">
            <w:pPr>
              <w:pStyle w:val="178"/>
              <w:bidi w:val="0"/>
              <w:spacing w:line="240" w:lineRule="auto"/>
              <w:jc w:val="center"/>
              <w:rPr>
                <w:rFonts w:hint="eastAsia" w:ascii="宋体" w:hAnsi="Times New Roman" w:eastAsia="宋体" w:cs="Times New Roman"/>
                <w:lang w:val="en-US" w:eastAsia="zh-CN"/>
              </w:rPr>
            </w:pPr>
            <w:r>
              <w:rPr>
                <w:rFonts w:hint="eastAsia" w:ascii="宋体" w:hAnsi="Times New Roman" w:eastAsia="宋体" w:cs="Times New Roman"/>
                <w:lang w:val="en-US" w:eastAsia="zh-CN"/>
              </w:rPr>
              <w:t>台风后恢复</w:t>
            </w:r>
          </w:p>
        </w:tc>
        <w:tc>
          <w:tcPr>
            <w:tcW w:w="1208" w:type="dxa"/>
            <w:shd w:val="clear" w:color="auto" w:fill="auto"/>
            <w:vAlign w:val="center"/>
          </w:tcPr>
          <w:p w14:paraId="15BBAA6F">
            <w:pPr>
              <w:pStyle w:val="178"/>
              <w:bidi w:val="0"/>
              <w:spacing w:line="240" w:lineRule="auto"/>
              <w:jc w:val="center"/>
              <w:rPr>
                <w:rFonts w:hint="eastAsia" w:ascii="宋体" w:hAnsi="Times New Roman" w:eastAsia="宋体" w:cs="Times New Roman"/>
                <w:lang w:val="en-US" w:eastAsia="zh-CN"/>
              </w:rPr>
            </w:pPr>
            <w:r>
              <w:rPr>
                <w:rFonts w:hint="eastAsia" w:ascii="宋体" w:hAnsi="Times New Roman" w:eastAsia="宋体" w:cs="Times New Roman"/>
                <w:lang w:val="en-US" w:eastAsia="zh-CN"/>
              </w:rPr>
              <w:t>设施修复处置-构筑物</w:t>
            </w:r>
          </w:p>
        </w:tc>
        <w:tc>
          <w:tcPr>
            <w:tcW w:w="2444" w:type="dxa"/>
            <w:shd w:val="clear" w:color="auto" w:fill="auto"/>
            <w:vAlign w:val="center"/>
          </w:tcPr>
          <w:p w14:paraId="70020BA2">
            <w:pPr>
              <w:pStyle w:val="178"/>
              <w:bidi w:val="0"/>
              <w:spacing w:line="240" w:lineRule="auto"/>
              <w:jc w:val="left"/>
              <w:rPr>
                <w:rFonts w:hint="eastAsia" w:ascii="宋体" w:hAnsi="Times New Roman" w:eastAsia="宋体" w:cs="Times New Roman"/>
                <w:lang w:val="en-US" w:eastAsia="zh-CN"/>
              </w:rPr>
            </w:pPr>
            <w:r>
              <w:rPr>
                <w:rFonts w:hint="eastAsia" w:ascii="宋体" w:hAnsi="Times New Roman" w:eastAsia="宋体" w:cs="Times New Roman"/>
                <w:lang w:val="en-US" w:eastAsia="zh-CN"/>
              </w:rPr>
              <w:t>按原设计标准重建加固坍塌倾斜构筑物；更换修复破损屋面、门窗；对锈蚀部件除锈防腐。</w:t>
            </w:r>
          </w:p>
        </w:tc>
        <w:tc>
          <w:tcPr>
            <w:tcW w:w="1731" w:type="dxa"/>
            <w:shd w:val="clear" w:color="auto" w:fill="auto"/>
            <w:vAlign w:val="center"/>
          </w:tcPr>
          <w:p w14:paraId="13498583">
            <w:pPr>
              <w:pStyle w:val="178"/>
              <w:bidi w:val="0"/>
              <w:spacing w:line="240" w:lineRule="auto"/>
              <w:jc w:val="left"/>
              <w:rPr>
                <w:rFonts w:hint="eastAsia" w:ascii="宋体" w:hAnsi="Times New Roman" w:eastAsia="宋体" w:cs="Times New Roman"/>
                <w:lang w:val="en-US" w:eastAsia="zh-CN"/>
              </w:rPr>
            </w:pPr>
            <w:r>
              <w:rPr>
                <w:rFonts w:hint="eastAsia" w:ascii="宋体" w:hAnsi="Times New Roman" w:eastAsia="宋体" w:cs="Times New Roman"/>
                <w:lang w:val="en-US" w:eastAsia="zh-CN"/>
              </w:rPr>
              <w:t>恢复结构抗风承载力，屋面及门窗性能达标。</w:t>
            </w:r>
          </w:p>
        </w:tc>
        <w:tc>
          <w:tcPr>
            <w:tcW w:w="1816" w:type="dxa"/>
            <w:shd w:val="clear" w:color="auto" w:fill="auto"/>
            <w:vAlign w:val="center"/>
          </w:tcPr>
          <w:p w14:paraId="5C6F8C1D">
            <w:pPr>
              <w:pStyle w:val="178"/>
              <w:bidi w:val="0"/>
              <w:spacing w:line="240" w:lineRule="auto"/>
              <w:jc w:val="left"/>
              <w:rPr>
                <w:rFonts w:hint="eastAsia" w:ascii="宋体" w:hAnsi="Times New Roman" w:eastAsia="宋体" w:cs="Times New Roman"/>
                <w:lang w:val="en-US" w:eastAsia="zh-CN"/>
              </w:rPr>
            </w:pPr>
            <w:r>
              <w:rPr>
                <w:rFonts w:hint="eastAsia" w:ascii="宋体" w:hAnsi="Times New Roman" w:eastAsia="宋体" w:cs="Times New Roman"/>
                <w:lang w:val="en-US" w:eastAsia="zh-CN"/>
              </w:rPr>
              <w:t>原抗台风设计标准。</w:t>
            </w:r>
          </w:p>
        </w:tc>
      </w:tr>
      <w:tr w14:paraId="58F3BDD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810" w:type="dxa"/>
            <w:shd w:val="clear" w:color="auto" w:fill="auto"/>
            <w:vAlign w:val="center"/>
          </w:tcPr>
          <w:p w14:paraId="33FE1784">
            <w:pPr>
              <w:pStyle w:val="178"/>
              <w:bidi w:val="0"/>
              <w:spacing w:line="240" w:lineRule="auto"/>
              <w:jc w:val="center"/>
              <w:rPr>
                <w:rFonts w:hint="eastAsia" w:ascii="宋体" w:hAnsi="Times New Roman" w:eastAsia="宋体" w:cs="Times New Roman"/>
                <w:lang w:val="en-US" w:eastAsia="zh-CN"/>
              </w:rPr>
            </w:pPr>
            <w:r>
              <w:rPr>
                <w:rFonts w:hint="eastAsia" w:ascii="宋体" w:hAnsi="Times New Roman" w:eastAsia="宋体" w:cs="Times New Roman"/>
                <w:lang w:val="en-US" w:eastAsia="zh-CN"/>
              </w:rPr>
              <w:t>26</w:t>
            </w:r>
          </w:p>
        </w:tc>
        <w:tc>
          <w:tcPr>
            <w:tcW w:w="1097" w:type="dxa"/>
            <w:shd w:val="clear" w:color="auto" w:fill="auto"/>
            <w:vAlign w:val="center"/>
          </w:tcPr>
          <w:p w14:paraId="6F5DAD06">
            <w:pPr>
              <w:pStyle w:val="178"/>
              <w:bidi w:val="0"/>
              <w:spacing w:line="240" w:lineRule="auto"/>
              <w:jc w:val="center"/>
              <w:rPr>
                <w:rFonts w:hint="eastAsia" w:ascii="宋体" w:hAnsi="Times New Roman" w:eastAsia="宋体" w:cs="Times New Roman"/>
                <w:lang w:val="en-US" w:eastAsia="zh-CN"/>
              </w:rPr>
            </w:pPr>
            <w:r>
              <w:rPr>
                <w:rFonts w:hint="eastAsia" w:ascii="宋体" w:hAnsi="Times New Roman" w:eastAsia="宋体" w:cs="Times New Roman"/>
                <w:lang w:val="en-US" w:eastAsia="zh-CN"/>
              </w:rPr>
              <w:t>台风后恢复</w:t>
            </w:r>
          </w:p>
        </w:tc>
        <w:tc>
          <w:tcPr>
            <w:tcW w:w="1208" w:type="dxa"/>
            <w:shd w:val="clear" w:color="auto" w:fill="auto"/>
            <w:vAlign w:val="center"/>
          </w:tcPr>
          <w:p w14:paraId="250E5B05">
            <w:pPr>
              <w:pStyle w:val="178"/>
              <w:bidi w:val="0"/>
              <w:spacing w:line="240" w:lineRule="auto"/>
              <w:jc w:val="center"/>
              <w:rPr>
                <w:rFonts w:hint="eastAsia" w:ascii="宋体" w:hAnsi="Times New Roman" w:eastAsia="宋体" w:cs="Times New Roman"/>
                <w:lang w:val="en-US" w:eastAsia="zh-CN"/>
              </w:rPr>
            </w:pPr>
            <w:r>
              <w:rPr>
                <w:rFonts w:hint="eastAsia" w:ascii="宋体" w:hAnsi="Times New Roman" w:eastAsia="宋体" w:cs="Times New Roman"/>
                <w:lang w:val="en-US" w:eastAsia="zh-CN"/>
              </w:rPr>
              <w:t>设施修复处置-附属设施</w:t>
            </w:r>
          </w:p>
        </w:tc>
        <w:tc>
          <w:tcPr>
            <w:tcW w:w="2444" w:type="dxa"/>
            <w:shd w:val="clear" w:color="auto" w:fill="auto"/>
            <w:vAlign w:val="center"/>
          </w:tcPr>
          <w:p w14:paraId="569E8A8E">
            <w:pPr>
              <w:pStyle w:val="178"/>
              <w:bidi w:val="0"/>
              <w:spacing w:line="240" w:lineRule="auto"/>
              <w:jc w:val="left"/>
              <w:rPr>
                <w:rFonts w:hint="eastAsia" w:ascii="宋体" w:hAnsi="Times New Roman" w:eastAsia="宋体" w:cs="Times New Roman"/>
                <w:lang w:val="en-US" w:eastAsia="zh-CN"/>
              </w:rPr>
            </w:pPr>
            <w:r>
              <w:rPr>
                <w:rFonts w:hint="eastAsia" w:ascii="宋体" w:hAnsi="Times New Roman" w:eastAsia="宋体" w:cs="Times New Roman"/>
                <w:lang w:val="en-US" w:eastAsia="zh-CN"/>
              </w:rPr>
              <w:t>清理排水系统杂物淤泥，修复损坏设施；修复防风屏障、监测传感器等，校准监测系统；清理站内及周边杂物。</w:t>
            </w:r>
          </w:p>
        </w:tc>
        <w:tc>
          <w:tcPr>
            <w:tcW w:w="1731" w:type="dxa"/>
            <w:shd w:val="clear" w:color="auto" w:fill="auto"/>
            <w:vAlign w:val="center"/>
          </w:tcPr>
          <w:p w14:paraId="5847000D">
            <w:pPr>
              <w:pStyle w:val="178"/>
              <w:bidi w:val="0"/>
              <w:spacing w:line="240" w:lineRule="auto"/>
              <w:jc w:val="left"/>
              <w:rPr>
                <w:rFonts w:hint="eastAsia" w:ascii="宋体" w:hAnsi="Times New Roman" w:eastAsia="宋体" w:cs="Times New Roman"/>
                <w:lang w:val="en-US" w:eastAsia="zh-CN"/>
              </w:rPr>
            </w:pPr>
            <w:r>
              <w:rPr>
                <w:rFonts w:hint="eastAsia" w:ascii="宋体" w:hAnsi="Times New Roman" w:eastAsia="宋体" w:cs="Times New Roman"/>
                <w:lang w:val="en-US" w:eastAsia="zh-CN"/>
              </w:rPr>
              <w:t>排水系统、防护设施、监测系统正常运行。</w:t>
            </w:r>
          </w:p>
        </w:tc>
        <w:tc>
          <w:tcPr>
            <w:tcW w:w="1816" w:type="dxa"/>
            <w:shd w:val="clear" w:color="auto" w:fill="auto"/>
            <w:vAlign w:val="center"/>
          </w:tcPr>
          <w:p w14:paraId="00ACF9AA">
            <w:pPr>
              <w:pStyle w:val="178"/>
              <w:bidi w:val="0"/>
              <w:spacing w:line="240" w:lineRule="auto"/>
              <w:jc w:val="left"/>
              <w:rPr>
                <w:rFonts w:hint="eastAsia" w:ascii="宋体" w:hAnsi="Times New Roman" w:eastAsia="宋体" w:cs="Times New Roman"/>
                <w:lang w:val="en-US" w:eastAsia="zh-CN"/>
              </w:rPr>
            </w:pPr>
            <w:r>
              <w:rPr>
                <w:rFonts w:hint="eastAsia" w:ascii="宋体" w:hAnsi="Times New Roman" w:eastAsia="宋体" w:cs="Times New Roman"/>
                <w:lang w:val="en-US" w:eastAsia="zh-CN"/>
              </w:rPr>
              <w:t>原设计功能要求。</w:t>
            </w:r>
          </w:p>
        </w:tc>
      </w:tr>
      <w:tr w14:paraId="0213C95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810" w:type="dxa"/>
            <w:shd w:val="clear" w:color="auto" w:fill="auto"/>
            <w:vAlign w:val="center"/>
          </w:tcPr>
          <w:p w14:paraId="1DAFB74A">
            <w:pPr>
              <w:pStyle w:val="178"/>
              <w:bidi w:val="0"/>
              <w:spacing w:line="240" w:lineRule="auto"/>
              <w:jc w:val="center"/>
              <w:rPr>
                <w:rFonts w:hint="eastAsia" w:ascii="宋体" w:hAnsi="Times New Roman" w:eastAsia="宋体" w:cs="Times New Roman"/>
                <w:lang w:val="en-US" w:eastAsia="zh-CN"/>
              </w:rPr>
            </w:pPr>
            <w:r>
              <w:rPr>
                <w:rFonts w:hint="eastAsia" w:ascii="宋体" w:hAnsi="Times New Roman" w:eastAsia="宋体" w:cs="Times New Roman"/>
                <w:lang w:val="en-US" w:eastAsia="zh-CN"/>
              </w:rPr>
              <w:t>27</w:t>
            </w:r>
          </w:p>
        </w:tc>
        <w:tc>
          <w:tcPr>
            <w:tcW w:w="1097" w:type="dxa"/>
            <w:shd w:val="clear" w:color="auto" w:fill="auto"/>
            <w:vAlign w:val="center"/>
          </w:tcPr>
          <w:p w14:paraId="0F82E735">
            <w:pPr>
              <w:pStyle w:val="178"/>
              <w:bidi w:val="0"/>
              <w:spacing w:line="240" w:lineRule="auto"/>
              <w:jc w:val="center"/>
              <w:rPr>
                <w:rFonts w:hint="eastAsia" w:ascii="宋体" w:hAnsi="Times New Roman" w:eastAsia="宋体" w:cs="Times New Roman"/>
                <w:lang w:val="en-US" w:eastAsia="zh-CN"/>
              </w:rPr>
            </w:pPr>
            <w:r>
              <w:rPr>
                <w:rFonts w:hint="eastAsia" w:ascii="宋体" w:hAnsi="Times New Roman" w:eastAsia="宋体" w:cs="Times New Roman"/>
                <w:lang w:val="en-US" w:eastAsia="zh-CN"/>
              </w:rPr>
              <w:t>台风后恢复</w:t>
            </w:r>
          </w:p>
        </w:tc>
        <w:tc>
          <w:tcPr>
            <w:tcW w:w="1208" w:type="dxa"/>
            <w:shd w:val="clear" w:color="auto" w:fill="auto"/>
            <w:vAlign w:val="center"/>
          </w:tcPr>
          <w:p w14:paraId="272BB350">
            <w:pPr>
              <w:pStyle w:val="178"/>
              <w:bidi w:val="0"/>
              <w:spacing w:line="240" w:lineRule="auto"/>
              <w:jc w:val="center"/>
              <w:rPr>
                <w:rFonts w:hint="eastAsia" w:ascii="宋体" w:hAnsi="Times New Roman" w:eastAsia="宋体" w:cs="Times New Roman"/>
                <w:lang w:val="en-US" w:eastAsia="zh-CN"/>
              </w:rPr>
            </w:pPr>
            <w:r>
              <w:rPr>
                <w:rFonts w:hint="eastAsia" w:ascii="宋体" w:hAnsi="Times New Roman" w:eastAsia="宋体" w:cs="Times New Roman"/>
                <w:lang w:val="en-US" w:eastAsia="zh-CN"/>
              </w:rPr>
              <w:t>系统测试与恢复供电</w:t>
            </w:r>
          </w:p>
        </w:tc>
        <w:tc>
          <w:tcPr>
            <w:tcW w:w="2444" w:type="dxa"/>
            <w:shd w:val="clear" w:color="auto" w:fill="auto"/>
            <w:vAlign w:val="center"/>
          </w:tcPr>
          <w:p w14:paraId="52F0A547">
            <w:pPr>
              <w:pStyle w:val="178"/>
              <w:bidi w:val="0"/>
              <w:spacing w:line="240" w:lineRule="auto"/>
              <w:jc w:val="left"/>
              <w:rPr>
                <w:rFonts w:hint="eastAsia" w:ascii="宋体" w:hAnsi="Times New Roman" w:eastAsia="宋体" w:cs="Times New Roman"/>
                <w:lang w:val="en-US" w:eastAsia="zh-CN"/>
              </w:rPr>
            </w:pPr>
            <w:r>
              <w:rPr>
                <w:rFonts w:hint="eastAsia" w:ascii="宋体" w:hAnsi="Times New Roman" w:eastAsia="宋体" w:cs="Times New Roman"/>
                <w:lang w:val="en-US" w:eastAsia="zh-CN"/>
              </w:rPr>
              <w:t>对所有设备、系统进行全面测试；按“先重要后一般、先主干后分支”原则恢复供电，恢复后24小时值守监测。</w:t>
            </w:r>
          </w:p>
        </w:tc>
        <w:tc>
          <w:tcPr>
            <w:tcW w:w="1731" w:type="dxa"/>
            <w:shd w:val="clear" w:color="auto" w:fill="auto"/>
            <w:vAlign w:val="center"/>
          </w:tcPr>
          <w:p w14:paraId="39741176">
            <w:pPr>
              <w:pStyle w:val="178"/>
              <w:bidi w:val="0"/>
              <w:spacing w:line="240" w:lineRule="auto"/>
              <w:jc w:val="left"/>
              <w:rPr>
                <w:rFonts w:hint="eastAsia" w:ascii="宋体" w:hAnsi="Times New Roman" w:eastAsia="宋体" w:cs="Times New Roman"/>
                <w:lang w:val="en-US" w:eastAsia="zh-CN"/>
              </w:rPr>
            </w:pPr>
            <w:r>
              <w:rPr>
                <w:rFonts w:hint="eastAsia" w:ascii="宋体" w:hAnsi="Times New Roman" w:eastAsia="宋体" w:cs="Times New Roman"/>
                <w:lang w:val="en-US" w:eastAsia="zh-CN"/>
              </w:rPr>
              <w:t>符合原抗台风设计要求，设备运行稳定。</w:t>
            </w:r>
          </w:p>
        </w:tc>
        <w:tc>
          <w:tcPr>
            <w:tcW w:w="1816" w:type="dxa"/>
            <w:shd w:val="clear" w:color="auto" w:fill="auto"/>
            <w:vAlign w:val="center"/>
          </w:tcPr>
          <w:p w14:paraId="76609058">
            <w:pPr>
              <w:pStyle w:val="178"/>
              <w:bidi w:val="0"/>
              <w:spacing w:line="240" w:lineRule="auto"/>
              <w:jc w:val="left"/>
              <w:rPr>
                <w:rFonts w:hint="eastAsia" w:ascii="宋体" w:hAnsi="Times New Roman" w:eastAsia="宋体" w:cs="Times New Roman"/>
                <w:lang w:val="en-US" w:eastAsia="zh-CN"/>
              </w:rPr>
            </w:pPr>
            <w:r>
              <w:rPr>
                <w:rFonts w:hint="eastAsia" w:ascii="宋体" w:hAnsi="Times New Roman" w:eastAsia="宋体" w:cs="Times New Roman"/>
                <w:lang w:val="en-US" w:eastAsia="zh-CN"/>
              </w:rPr>
              <w:t>原设计性能指标要求。</w:t>
            </w:r>
          </w:p>
        </w:tc>
      </w:tr>
      <w:tr w14:paraId="36877DC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810" w:type="dxa"/>
            <w:shd w:val="clear" w:color="auto" w:fill="auto"/>
            <w:vAlign w:val="center"/>
          </w:tcPr>
          <w:p w14:paraId="78AAACE4">
            <w:pPr>
              <w:pStyle w:val="178"/>
              <w:bidi w:val="0"/>
              <w:spacing w:line="240" w:lineRule="auto"/>
              <w:jc w:val="center"/>
              <w:rPr>
                <w:rFonts w:hint="eastAsia" w:ascii="宋体" w:hAnsi="Times New Roman" w:eastAsia="宋体" w:cs="Times New Roman"/>
                <w:lang w:val="en-US" w:eastAsia="zh-CN"/>
              </w:rPr>
            </w:pPr>
            <w:r>
              <w:rPr>
                <w:rFonts w:hint="eastAsia" w:ascii="宋体" w:hAnsi="Times New Roman" w:eastAsia="宋体" w:cs="Times New Roman"/>
                <w:lang w:val="en-US" w:eastAsia="zh-CN"/>
              </w:rPr>
              <w:t>28</w:t>
            </w:r>
          </w:p>
        </w:tc>
        <w:tc>
          <w:tcPr>
            <w:tcW w:w="1097" w:type="dxa"/>
            <w:shd w:val="clear" w:color="auto" w:fill="auto"/>
            <w:vAlign w:val="center"/>
          </w:tcPr>
          <w:p w14:paraId="10F08E90">
            <w:pPr>
              <w:pStyle w:val="178"/>
              <w:bidi w:val="0"/>
              <w:spacing w:line="240" w:lineRule="auto"/>
              <w:jc w:val="center"/>
              <w:rPr>
                <w:rFonts w:hint="eastAsia" w:ascii="宋体" w:hAnsi="Times New Roman" w:eastAsia="宋体" w:cs="Times New Roman"/>
                <w:lang w:val="en-US" w:eastAsia="zh-CN"/>
              </w:rPr>
            </w:pPr>
            <w:r>
              <w:rPr>
                <w:rFonts w:hint="eastAsia" w:ascii="宋体" w:hAnsi="Times New Roman" w:eastAsia="宋体" w:cs="Times New Roman"/>
                <w:lang w:val="en-US" w:eastAsia="zh-CN"/>
              </w:rPr>
              <w:t>台风后恢复</w:t>
            </w:r>
          </w:p>
        </w:tc>
        <w:tc>
          <w:tcPr>
            <w:tcW w:w="1208" w:type="dxa"/>
            <w:shd w:val="clear" w:color="auto" w:fill="auto"/>
            <w:vAlign w:val="center"/>
          </w:tcPr>
          <w:p w14:paraId="7253ACFD">
            <w:pPr>
              <w:pStyle w:val="178"/>
              <w:bidi w:val="0"/>
              <w:spacing w:line="240" w:lineRule="auto"/>
              <w:jc w:val="center"/>
              <w:rPr>
                <w:rFonts w:hint="eastAsia" w:ascii="宋体" w:hAnsi="Times New Roman" w:eastAsia="宋体" w:cs="Times New Roman"/>
                <w:lang w:val="en-US" w:eastAsia="zh-CN"/>
              </w:rPr>
            </w:pPr>
            <w:r>
              <w:rPr>
                <w:rFonts w:hint="eastAsia" w:ascii="宋体" w:hAnsi="Times New Roman" w:eastAsia="宋体" w:cs="Times New Roman"/>
                <w:lang w:val="en-US" w:eastAsia="zh-CN"/>
              </w:rPr>
              <w:t>总结评估与设计优化</w:t>
            </w:r>
          </w:p>
        </w:tc>
        <w:tc>
          <w:tcPr>
            <w:tcW w:w="2444" w:type="dxa"/>
            <w:shd w:val="clear" w:color="auto" w:fill="auto"/>
            <w:vAlign w:val="center"/>
          </w:tcPr>
          <w:p w14:paraId="71618AA1">
            <w:pPr>
              <w:pStyle w:val="178"/>
              <w:bidi w:val="0"/>
              <w:spacing w:line="240" w:lineRule="auto"/>
              <w:jc w:val="left"/>
              <w:rPr>
                <w:rFonts w:hint="eastAsia" w:ascii="宋体" w:hAnsi="Times New Roman" w:eastAsia="宋体" w:cs="Times New Roman"/>
                <w:lang w:val="en-US" w:eastAsia="zh-CN"/>
              </w:rPr>
            </w:pPr>
            <w:r>
              <w:rPr>
                <w:rFonts w:hint="eastAsia" w:ascii="宋体" w:hAnsi="Times New Roman" w:eastAsia="宋体" w:cs="Times New Roman"/>
                <w:lang w:val="en-US" w:eastAsia="zh-CN"/>
              </w:rPr>
              <w:t>开展总结评估，梳理经验不足，形成报告；针对设计薄弱环节提出优化建议，完善设计及运维方案。</w:t>
            </w:r>
          </w:p>
        </w:tc>
        <w:tc>
          <w:tcPr>
            <w:tcW w:w="1731" w:type="dxa"/>
            <w:shd w:val="clear" w:color="auto" w:fill="auto"/>
            <w:vAlign w:val="center"/>
          </w:tcPr>
          <w:p w14:paraId="7984A769">
            <w:pPr>
              <w:pStyle w:val="178"/>
              <w:bidi w:val="0"/>
              <w:spacing w:line="240" w:lineRule="auto"/>
              <w:jc w:val="left"/>
              <w:rPr>
                <w:rFonts w:hint="eastAsia" w:ascii="宋体" w:hAnsi="Times New Roman" w:eastAsia="宋体" w:cs="Times New Roman"/>
                <w:lang w:val="en-US" w:eastAsia="zh-CN"/>
              </w:rPr>
            </w:pPr>
            <w:r>
              <w:rPr>
                <w:rFonts w:hint="eastAsia" w:ascii="宋体" w:hAnsi="Times New Roman" w:eastAsia="宋体" w:cs="Times New Roman"/>
                <w:lang w:val="en-US" w:eastAsia="zh-CN"/>
              </w:rPr>
              <w:t>提升变电工程抗台风能力。</w:t>
            </w:r>
          </w:p>
        </w:tc>
        <w:tc>
          <w:tcPr>
            <w:tcW w:w="1816" w:type="dxa"/>
            <w:shd w:val="clear" w:color="auto" w:fill="auto"/>
            <w:vAlign w:val="center"/>
          </w:tcPr>
          <w:p w14:paraId="53A921E9">
            <w:pPr>
              <w:pStyle w:val="178"/>
              <w:bidi w:val="0"/>
              <w:spacing w:line="240" w:lineRule="auto"/>
              <w:jc w:val="left"/>
              <w:rPr>
                <w:rFonts w:hint="eastAsia" w:ascii="宋体" w:hAnsi="Times New Roman" w:eastAsia="宋体" w:cs="Times New Roman"/>
                <w:lang w:val="en-US" w:eastAsia="zh-CN"/>
              </w:rPr>
            </w:pPr>
            <w:r>
              <w:rPr>
                <w:rFonts w:hint="eastAsia" w:ascii="宋体" w:hAnsi="Times New Roman" w:eastAsia="宋体" w:cs="Times New Roman"/>
                <w:lang w:val="en-US" w:eastAsia="zh-CN"/>
              </w:rPr>
              <w:t>抗台风设计方案优化需求。</w:t>
            </w:r>
          </w:p>
        </w:tc>
      </w:tr>
    </w:tbl>
    <w:p w14:paraId="6656EF17">
      <w:pPr>
        <w:pStyle w:val="56"/>
        <w:bidi w:val="0"/>
      </w:pPr>
    </w:p>
    <w:p w14:paraId="4456131E">
      <w:pPr>
        <w:pStyle w:val="56"/>
        <w:bidi w:val="0"/>
      </w:pPr>
    </w:p>
    <w:sectPr>
      <w:headerReference r:id="rId11" w:type="default"/>
      <w:footerReference r:id="rId13" w:type="default"/>
      <w:headerReference r:id="rId12" w:type="even"/>
      <w:footerReference r:id="rId14" w:type="even"/>
      <w:pgSz w:w="11906" w:h="16838"/>
      <w:pgMar w:top="1928"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E1954E">
    <w:pPr>
      <w:pStyle w:val="17"/>
    </w:pPr>
    <w:r>
      <w:fldChar w:fldCharType="begin"/>
    </w:r>
    <w:r>
      <w:instrText xml:space="preserve">PAGE   \* MERGEFORMAT</w:instrText>
    </w:r>
    <w:r>
      <w:fldChar w:fldCharType="separate"/>
    </w:r>
    <w:r>
      <w:rPr>
        <w:lang w:val="zh-CN"/>
      </w:rPr>
      <w:t>16</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5AFFD5">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696F24">
    <w:pPr>
      <w:pStyle w:val="52"/>
    </w:pPr>
    <w:r>
      <w:fldChar w:fldCharType="begin"/>
    </w:r>
    <w:r>
      <w:instrText xml:space="preserve">PAGE   \* MERGEFORMAT</w:instrText>
    </w:r>
    <w:r>
      <w:fldChar w:fldCharType="separate"/>
    </w:r>
    <w:r>
      <w:rPr>
        <w:lang w:val="zh-CN"/>
      </w:rPr>
      <w:t>15</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14EA8F">
    <w:pPr>
      <w:pStyle w:val="52"/>
    </w:pPr>
    <w:r>
      <w:fldChar w:fldCharType="begin"/>
    </w:r>
    <w:r>
      <w:instrText xml:space="preserve">PAGE   \* MERGEFORMAT</w:instrText>
    </w:r>
    <w:r>
      <w:fldChar w:fldCharType="separate"/>
    </w:r>
    <w:r>
      <w:rPr>
        <w:lang w:val="zh-CN"/>
      </w:rPr>
      <w:t>22</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A49A25">
    <w:pPr>
      <w:pStyle w:val="17"/>
    </w:pPr>
    <w:r>
      <w:fldChar w:fldCharType="begin"/>
    </w:r>
    <w:r>
      <w:instrText xml:space="preserve">PAGE   \* MERGEFORMAT</w:instrText>
    </w:r>
    <w:r>
      <w:fldChar w:fldCharType="separate"/>
    </w:r>
    <w:r>
      <w:rPr>
        <w:lang w:val="zh-CN"/>
      </w:rPr>
      <w:t>20</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52907E">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64DD14">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CC49E6">
    <w:pPr>
      <w:pStyle w:val="61"/>
    </w:pPr>
    <w:r>
      <w:fldChar w:fldCharType="begin"/>
    </w:r>
    <w:r>
      <w:instrText xml:space="preserve"> STYLEREF  标准文件_文件编号  \* MERGEFORMAT </w:instrText>
    </w:r>
    <w:r>
      <w:fldChar w:fldCharType="separate"/>
    </w:r>
    <w:r>
      <w:t>T/CEPCA XXXX—2025</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2C3AAB">
    <w:pPr>
      <w:pStyle w:val="61"/>
    </w:pPr>
    <w:r>
      <w:fldChar w:fldCharType="begin"/>
    </w:r>
    <w:r>
      <w:instrText xml:space="preserve"> STYLEREF  标准文件_文件编号  \* MERGEFORMAT </w:instrText>
    </w:r>
    <w:r>
      <w:fldChar w:fldCharType="separate"/>
    </w:r>
    <w:r>
      <w:t>T/CEPCA XXXX—2025</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EE0F8F">
    <w:pPr>
      <w:pStyle w:val="18"/>
      <w:jc w:val="right"/>
    </w:pPr>
    <w:r>
      <w:fldChar w:fldCharType="begin"/>
    </w:r>
    <w:r>
      <w:instrText xml:space="preserve"> STYLEREF  标准文件_文件编号  \* MERGEFORMAT </w:instrText>
    </w:r>
    <w:r>
      <w:fldChar w:fldCharType="separate"/>
    </w:r>
    <w:r>
      <w:t>T/CEPCA XXXX—2025</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2F21E75"/>
    <w:multiLevelType w:val="multilevel"/>
    <w:tmpl w:val="62F21E75"/>
    <w:lvl w:ilvl="0" w:tentative="0">
      <w:start w:val="1"/>
      <w:numFmt w:val="decimal"/>
      <w:suff w:val="nothing"/>
      <w:lvlText w:val="表%1　"/>
      <w:lvlJc w:val="left"/>
      <w:pPr>
        <w:ind w:left="0" w:firstLine="0"/>
      </w:pPr>
      <w:rPr>
        <w:rFonts w:hint="default" w:ascii="Times New Roman" w:hAnsi="Times New Roman" w:cs="Times New Roman"/>
      </w:rPr>
    </w:lvl>
    <w:lvl w:ilvl="1" w:tentative="0">
      <w:start w:val="1"/>
      <w:numFmt w:val="decimal"/>
      <w:lvlText w:val="%1.%2"/>
      <w:lvlJc w:val="left"/>
      <w:pPr>
        <w:tabs>
          <w:tab w:val="left" w:pos="992"/>
        </w:tabs>
        <w:ind w:left="992" w:hanging="567"/>
      </w:pPr>
      <w:rPr>
        <w:rFonts w:hint="default" w:ascii="Times New Roman" w:hAnsi="Times New Roman" w:cs="Times New Roman"/>
      </w:rPr>
    </w:lvl>
    <w:lvl w:ilvl="2" w:tentative="0">
      <w:start w:val="1"/>
      <w:numFmt w:val="decimal"/>
      <w:lvlText w:val="%1.%2.%3"/>
      <w:lvlJc w:val="left"/>
      <w:pPr>
        <w:tabs>
          <w:tab w:val="left" w:pos="1417"/>
        </w:tabs>
        <w:ind w:left="1417" w:hanging="567"/>
      </w:pPr>
      <w:rPr>
        <w:rFonts w:hint="default" w:ascii="Times New Roman" w:hAnsi="Times New Roman" w:cs="Times New Roman"/>
      </w:rPr>
    </w:lvl>
    <w:lvl w:ilvl="3" w:tentative="0">
      <w:start w:val="1"/>
      <w:numFmt w:val="decimal"/>
      <w:lvlText w:val="%1.%2.%3.%4"/>
      <w:lvlJc w:val="left"/>
      <w:pPr>
        <w:tabs>
          <w:tab w:val="left" w:pos="1984"/>
        </w:tabs>
        <w:ind w:left="1984" w:hanging="708"/>
      </w:pPr>
      <w:rPr>
        <w:rFonts w:hint="default" w:ascii="Times New Roman" w:hAnsi="Times New Roman" w:cs="Times New Roman"/>
      </w:rPr>
    </w:lvl>
    <w:lvl w:ilvl="4" w:tentative="0">
      <w:start w:val="1"/>
      <w:numFmt w:val="decimal"/>
      <w:lvlText w:val="%1.%2.%3.%4.%5"/>
      <w:lvlJc w:val="left"/>
      <w:pPr>
        <w:tabs>
          <w:tab w:val="left" w:pos="2551"/>
        </w:tabs>
        <w:ind w:left="2551" w:hanging="850"/>
      </w:pPr>
      <w:rPr>
        <w:rFonts w:hint="default" w:ascii="Times New Roman" w:hAnsi="Times New Roman" w:cs="Times New Roman"/>
      </w:rPr>
    </w:lvl>
    <w:lvl w:ilvl="5" w:tentative="0">
      <w:start w:val="1"/>
      <w:numFmt w:val="decimal"/>
      <w:lvlText w:val="%1.%2.%3.%4.%5.%6"/>
      <w:lvlJc w:val="left"/>
      <w:pPr>
        <w:tabs>
          <w:tab w:val="left" w:pos="3260"/>
        </w:tabs>
        <w:ind w:left="3260" w:hanging="1134"/>
      </w:pPr>
      <w:rPr>
        <w:rFonts w:hint="default" w:ascii="Times New Roman" w:hAnsi="Times New Roman" w:cs="Times New Roman"/>
      </w:rPr>
    </w:lvl>
    <w:lvl w:ilvl="6" w:tentative="0">
      <w:start w:val="1"/>
      <w:numFmt w:val="decimal"/>
      <w:lvlText w:val="%1.%2.%3.%4.%5.%6.%7"/>
      <w:lvlJc w:val="left"/>
      <w:pPr>
        <w:tabs>
          <w:tab w:val="left" w:pos="3827"/>
        </w:tabs>
        <w:ind w:left="3827" w:hanging="1276"/>
      </w:pPr>
      <w:rPr>
        <w:rFonts w:hint="default" w:ascii="Times New Roman" w:hAnsi="Times New Roman" w:cs="Times New Roman"/>
      </w:rPr>
    </w:lvl>
    <w:lvl w:ilvl="7" w:tentative="0">
      <w:start w:val="1"/>
      <w:numFmt w:val="decimal"/>
      <w:lvlText w:val="%1.%2.%3.%4.%5.%6.%7.%8"/>
      <w:lvlJc w:val="left"/>
      <w:pPr>
        <w:tabs>
          <w:tab w:val="left" w:pos="4394"/>
        </w:tabs>
        <w:ind w:left="4394" w:hanging="1418"/>
      </w:pPr>
      <w:rPr>
        <w:rFonts w:hint="default" w:ascii="Times New Roman" w:hAnsi="Times New Roman" w:cs="Times New Roman"/>
      </w:rPr>
    </w:lvl>
    <w:lvl w:ilvl="8" w:tentative="0">
      <w:start w:val="1"/>
      <w:numFmt w:val="decimal"/>
      <w:lvlText w:val="%1.%2.%3.%4.%5.%6.%7.%8.%9"/>
      <w:lvlJc w:val="left"/>
      <w:pPr>
        <w:tabs>
          <w:tab w:val="left" w:pos="5102"/>
        </w:tabs>
        <w:ind w:left="5102" w:hanging="1700"/>
      </w:pPr>
      <w:rPr>
        <w:rFonts w:hint="default" w:ascii="Times New Roman" w:hAnsi="Times New Roman" w:cs="Times New Roman"/>
      </w:rPr>
    </w:lvl>
  </w:abstractNum>
  <w:abstractNum w:abstractNumId="21">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8"/>
  </w:num>
  <w:num w:numId="6">
    <w:abstractNumId w:val="13"/>
  </w:num>
  <w:num w:numId="7">
    <w:abstractNumId w:val="8"/>
  </w:num>
  <w:num w:numId="8">
    <w:abstractNumId w:val="3"/>
  </w:num>
  <w:num w:numId="9">
    <w:abstractNumId w:val="9"/>
  </w:num>
  <w:num w:numId="10">
    <w:abstractNumId w:val="16"/>
  </w:num>
  <w:num w:numId="11">
    <w:abstractNumId w:val="26"/>
  </w:num>
  <w:num w:numId="12">
    <w:abstractNumId w:val="11"/>
  </w:num>
  <w:num w:numId="13">
    <w:abstractNumId w:val="12"/>
  </w:num>
  <w:num w:numId="14">
    <w:abstractNumId w:val="7"/>
  </w:num>
  <w:num w:numId="15">
    <w:abstractNumId w:val="19"/>
  </w:num>
  <w:num w:numId="16">
    <w:abstractNumId w:val="22"/>
  </w:num>
  <w:num w:numId="17">
    <w:abstractNumId w:val="17"/>
  </w:num>
  <w:num w:numId="18">
    <w:abstractNumId w:val="30"/>
  </w:num>
  <w:num w:numId="19">
    <w:abstractNumId w:val="15"/>
  </w:num>
  <w:num w:numId="20">
    <w:abstractNumId w:val="1"/>
  </w:num>
  <w:num w:numId="21">
    <w:abstractNumId w:val="10"/>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4"/>
  </w:num>
  <w:num w:numId="30">
    <w:abstractNumId w:val="25"/>
  </w:num>
  <w:num w:numId="31">
    <w:abstractNumId w:val="23"/>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02F5"/>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7F6"/>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0584"/>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3488"/>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556"/>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46B"/>
    <w:rsid w:val="002B7F51"/>
    <w:rsid w:val="002C09E7"/>
    <w:rsid w:val="002C1E06"/>
    <w:rsid w:val="002C3F07"/>
    <w:rsid w:val="002C5278"/>
    <w:rsid w:val="002C7EBB"/>
    <w:rsid w:val="002D06C1"/>
    <w:rsid w:val="002D42B5"/>
    <w:rsid w:val="002D4F1A"/>
    <w:rsid w:val="002D6EC6"/>
    <w:rsid w:val="002D79AC"/>
    <w:rsid w:val="002E039D"/>
    <w:rsid w:val="002E4D5A"/>
    <w:rsid w:val="002E62C8"/>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218B9"/>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94837"/>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1FC0"/>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4FB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7DAD"/>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4E"/>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D7CA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5497"/>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035"/>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B6A"/>
    <w:rsid w:val="00A36DD1"/>
    <w:rsid w:val="00A4006C"/>
    <w:rsid w:val="00A40091"/>
    <w:rsid w:val="00A4030F"/>
    <w:rsid w:val="00A41C79"/>
    <w:rsid w:val="00A41CB5"/>
    <w:rsid w:val="00A42CDF"/>
    <w:rsid w:val="00A4452E"/>
    <w:rsid w:val="00A4472C"/>
    <w:rsid w:val="00A44E69"/>
    <w:rsid w:val="00A4661E"/>
    <w:rsid w:val="00A51EF4"/>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6D75"/>
    <w:rsid w:val="00BA7C9A"/>
    <w:rsid w:val="00BB5F8F"/>
    <w:rsid w:val="00BB657A"/>
    <w:rsid w:val="00BC1A4E"/>
    <w:rsid w:val="00BC5DC7"/>
    <w:rsid w:val="00BC6B8B"/>
    <w:rsid w:val="00BC73D8"/>
    <w:rsid w:val="00BD52D7"/>
    <w:rsid w:val="00BD5AD2"/>
    <w:rsid w:val="00BE22F3"/>
    <w:rsid w:val="00BE5B52"/>
    <w:rsid w:val="00BE7B8D"/>
    <w:rsid w:val="00BF02F5"/>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75671"/>
    <w:rsid w:val="00C80CB8"/>
    <w:rsid w:val="00C819F8"/>
    <w:rsid w:val="00C8248C"/>
    <w:rsid w:val="00C84E33"/>
    <w:rsid w:val="00C86D6F"/>
    <w:rsid w:val="00C905FC"/>
    <w:rsid w:val="00C92A0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6FCD"/>
    <w:rsid w:val="00CF7BCA"/>
    <w:rsid w:val="00D008FD"/>
    <w:rsid w:val="00D0321C"/>
    <w:rsid w:val="00D035EC"/>
    <w:rsid w:val="00D06AB1"/>
    <w:rsid w:val="00D06FC1"/>
    <w:rsid w:val="00D072ED"/>
    <w:rsid w:val="00D0767C"/>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931"/>
    <w:rsid w:val="00D72A9C"/>
    <w:rsid w:val="00D77031"/>
    <w:rsid w:val="00D84941"/>
    <w:rsid w:val="00D84FA1"/>
    <w:rsid w:val="00D851F0"/>
    <w:rsid w:val="00D86DB7"/>
    <w:rsid w:val="00D87BF5"/>
    <w:rsid w:val="00D90721"/>
    <w:rsid w:val="00D926D0"/>
    <w:rsid w:val="00D93030"/>
    <w:rsid w:val="00D935AE"/>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0493"/>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30DE"/>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2E5F5403"/>
    <w:rsid w:val="7DBA67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uiPriority="39" w:semiHidden="0" w:name="toc 7"/>
    <w:lsdException w:uiPriority="0" w:name="toc 8"/>
    <w:lsdException w:uiPriority="0" w:name="toc 9"/>
    <w:lsdException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4"/>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unhideWhenUsed/>
    <w:uiPriority w:val="1"/>
  </w:style>
  <w:style w:type="table" w:default="1" w:styleId="26">
    <w:name w:val="Normal Table"/>
    <w:semiHidden/>
    <w:unhideWhenUsed/>
    <w:uiPriority w:val="99"/>
    <w:tblPr>
      <w:tblCellMar>
        <w:top w:w="0" w:type="dxa"/>
        <w:left w:w="108" w:type="dxa"/>
        <w:bottom w:w="0" w:type="dxa"/>
        <w:right w:w="108" w:type="dxa"/>
      </w:tblCellMar>
    </w:tblPr>
  </w:style>
  <w:style w:type="paragraph" w:styleId="11">
    <w:name w:val="toc 7"/>
    <w:basedOn w:val="1"/>
    <w:next w:val="1"/>
    <w:autoRedefine/>
    <w:unhideWhenUsed/>
    <w:uiPriority w:val="39"/>
    <w:pPr>
      <w:tabs>
        <w:tab w:val="right" w:leader="dot" w:pos="9344"/>
      </w:tabs>
      <w:spacing w:line="300" w:lineRule="exact"/>
      <w:ind w:left="1259"/>
    </w:pPr>
    <w:rPr>
      <w:rFonts w:ascii="宋体"/>
    </w:rPr>
  </w:style>
  <w:style w:type="paragraph" w:styleId="12">
    <w:name w:val="Normal Indent"/>
    <w:basedOn w:val="1"/>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uiPriority w:val="0"/>
    <w:rPr>
      <w:rFonts w:ascii="宋体" w:hAnsi="宋体" w:eastAsia="宋体" w:cs="Times New Roman"/>
      <w:spacing w:val="0"/>
      <w:sz w:val="18"/>
      <w:vertAlign w:val="superscript"/>
    </w:rPr>
  </w:style>
  <w:style w:type="character" w:customStyle="1" w:styleId="34">
    <w:name w:val="标题 3 Char"/>
    <w:link w:val="4"/>
    <w:qFormat/>
    <w:uiPriority w:val="0"/>
    <w:rPr>
      <w:b/>
      <w:bCs/>
      <w:kern w:val="2"/>
      <w:sz w:val="32"/>
      <w:szCs w:val="32"/>
    </w:rPr>
  </w:style>
  <w:style w:type="character" w:customStyle="1" w:styleId="35">
    <w:name w:val="标题 1 Char"/>
    <w:link w:val="2"/>
    <w:qFormat/>
    <w:uiPriority w:val="0"/>
    <w:rPr>
      <w:b/>
      <w:bCs/>
      <w:kern w:val="44"/>
      <w:sz w:val="44"/>
      <w:szCs w:val="44"/>
    </w:rPr>
  </w:style>
  <w:style w:type="character" w:customStyle="1" w:styleId="36">
    <w:name w:val="标题 2 Char"/>
    <w:link w:val="3"/>
    <w:qFormat/>
    <w:uiPriority w:val="0"/>
    <w:rPr>
      <w:rFonts w:ascii="Arial" w:hAnsi="Arial" w:eastAsia="黑体"/>
      <w:b/>
      <w:bCs/>
      <w:kern w:val="2"/>
      <w:sz w:val="32"/>
      <w:szCs w:val="32"/>
    </w:rPr>
  </w:style>
  <w:style w:type="character" w:customStyle="1" w:styleId="37">
    <w:name w:val="标题 4 Char"/>
    <w:link w:val="5"/>
    <w:qFormat/>
    <w:uiPriority w:val="0"/>
    <w:rPr>
      <w:rFonts w:ascii="Arial" w:hAnsi="Arial" w:eastAsia="黑体"/>
      <w:b/>
      <w:bCs/>
      <w:kern w:val="2"/>
      <w:sz w:val="28"/>
      <w:szCs w:val="28"/>
    </w:rPr>
  </w:style>
  <w:style w:type="character" w:customStyle="1" w:styleId="38">
    <w:name w:val="标题 5 Char"/>
    <w:link w:val="6"/>
    <w:qFormat/>
    <w:uiPriority w:val="0"/>
    <w:rPr>
      <w:b/>
      <w:bCs/>
      <w:kern w:val="2"/>
      <w:sz w:val="28"/>
      <w:szCs w:val="28"/>
    </w:rPr>
  </w:style>
  <w:style w:type="character" w:customStyle="1" w:styleId="39">
    <w:name w:val="标题 6 Char"/>
    <w:link w:val="7"/>
    <w:qFormat/>
    <w:uiPriority w:val="0"/>
    <w:rPr>
      <w:rFonts w:ascii="Arial" w:hAnsi="Arial" w:eastAsia="黑体"/>
      <w:b/>
      <w:bCs/>
      <w:kern w:val="2"/>
      <w:sz w:val="24"/>
      <w:szCs w:val="24"/>
    </w:rPr>
  </w:style>
  <w:style w:type="character" w:customStyle="1" w:styleId="40">
    <w:name w:val="标题 7 Char"/>
    <w:link w:val="8"/>
    <w:qFormat/>
    <w:uiPriority w:val="0"/>
    <w:rPr>
      <w:b/>
      <w:bCs/>
      <w:kern w:val="2"/>
      <w:sz w:val="24"/>
      <w:szCs w:val="24"/>
    </w:rPr>
  </w:style>
  <w:style w:type="character" w:customStyle="1" w:styleId="41">
    <w:name w:val="标题 8 Char"/>
    <w:link w:val="9"/>
    <w:qFormat/>
    <w:uiPriority w:val="0"/>
    <w:rPr>
      <w:rFonts w:ascii="Arial" w:hAnsi="Arial" w:eastAsia="黑体"/>
      <w:kern w:val="2"/>
      <w:sz w:val="24"/>
      <w:szCs w:val="24"/>
    </w:rPr>
  </w:style>
  <w:style w:type="character" w:customStyle="1" w:styleId="42">
    <w:name w:val="标题 9 Char"/>
    <w:link w:val="10"/>
    <w:qFormat/>
    <w:uiPriority w:val="0"/>
    <w:rPr>
      <w:rFonts w:ascii="Arial" w:hAnsi="Arial" w:eastAsia="黑体"/>
      <w:kern w:val="2"/>
      <w:sz w:val="21"/>
      <w:szCs w:val="21"/>
    </w:rPr>
  </w:style>
  <w:style w:type="character" w:customStyle="1" w:styleId="43">
    <w:name w:val="页眉 Char"/>
    <w:link w:val="18"/>
    <w:qFormat/>
    <w:uiPriority w:val="99"/>
    <w:rPr>
      <w:kern w:val="2"/>
      <w:sz w:val="18"/>
      <w:szCs w:val="18"/>
    </w:rPr>
  </w:style>
  <w:style w:type="character" w:customStyle="1" w:styleId="44">
    <w:name w:val="页脚 Char"/>
    <w:link w:val="17"/>
    <w:qFormat/>
    <w:uiPriority w:val="99"/>
    <w:rPr>
      <w:rFonts w:ascii="宋体"/>
      <w:kern w:val="2"/>
      <w:sz w:val="18"/>
      <w:szCs w:val="18"/>
    </w:rPr>
  </w:style>
  <w:style w:type="character" w:customStyle="1" w:styleId="45">
    <w:name w:val="批注框文本 Char"/>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Char"/>
    <w:link w:val="46"/>
    <w:qFormat/>
    <w:uiPriority w:val="29"/>
    <w:rPr>
      <w:i/>
      <w:iCs/>
      <w:color w:val="000000"/>
      <w:kern w:val="2"/>
      <w:sz w:val="21"/>
      <w:szCs w:val="21"/>
    </w:rPr>
  </w:style>
  <w:style w:type="character" w:customStyle="1" w:styleId="48">
    <w:name w:val="标题 Char"/>
    <w:link w:val="25"/>
    <w:uiPriority w:val="0"/>
    <w:rPr>
      <w:rFonts w:ascii="Arial" w:hAnsi="Arial" w:cs="Arial"/>
      <w:b/>
      <w:bCs/>
      <w:kern w:val="2"/>
      <w:sz w:val="32"/>
      <w:szCs w:val="32"/>
    </w:rPr>
  </w:style>
  <w:style w:type="paragraph" w:customStyle="1" w:styleId="49">
    <w:name w:val="标准标志"/>
    <w:next w:val="1"/>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4">
    <w:name w:val="标准文件_参考文献条目"/>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Char"/>
    <w:link w:val="13"/>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uiPriority w:val="0"/>
    <w:pPr>
      <w:ind w:left="488" w:leftChars="200" w:hanging="289" w:hangingChars="290"/>
    </w:pPr>
  </w:style>
  <w:style w:type="paragraph" w:customStyle="1" w:styleId="89">
    <w:name w:val="标准文件_前言、引言标题"/>
    <w:next w:val="1"/>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uiPriority w:val="0"/>
    <w:pPr>
      <w:adjustRightInd/>
      <w:spacing w:line="240" w:lineRule="auto"/>
      <w:ind w:firstLine="200" w:firstLineChars="200"/>
    </w:pPr>
    <w:rPr>
      <w:sz w:val="18"/>
      <w:szCs w:val="24"/>
    </w:rPr>
  </w:style>
  <w:style w:type="paragraph" w:customStyle="1" w:styleId="97">
    <w:name w:val="标准文件_数字编号列项"/>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Char"/>
    <w:link w:val="21"/>
    <w:semiHidden/>
    <w:uiPriority w:val="0"/>
    <w:rPr>
      <w:rFonts w:ascii="宋体"/>
      <w:kern w:val="2"/>
      <w:sz w:val="18"/>
      <w:szCs w:val="18"/>
    </w:rPr>
  </w:style>
  <w:style w:type="paragraph" w:customStyle="1" w:styleId="100">
    <w:name w:val="标准文件_条文脚注"/>
    <w:basedOn w:val="21"/>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uiPriority w:val="0"/>
    <w:rPr>
      <w:rFonts w:ascii="宋体" w:hAnsi="宋体" w:eastAsia="宋体" w:cs="Times New Roman"/>
      <w:spacing w:val="0"/>
      <w:sz w:val="18"/>
      <w:vertAlign w:val="superscript"/>
    </w:rPr>
  </w:style>
  <w:style w:type="paragraph" w:customStyle="1" w:styleId="103">
    <w:name w:val="标准文件_五级条标题"/>
    <w:next w:val="56"/>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uiPriority w:val="0"/>
    <w:pPr>
      <w:numPr>
        <w:ilvl w:val="2"/>
      </w:numPr>
      <w:spacing w:before="50" w:beforeLines="50" w:after="50" w:afterLines="50"/>
      <w:outlineLvl w:val="1"/>
    </w:pPr>
  </w:style>
  <w:style w:type="paragraph" w:customStyle="1" w:styleId="106">
    <w:name w:val="标准文件_一致程度"/>
    <w:basedOn w:val="1"/>
    <w:uiPriority w:val="0"/>
    <w:pPr>
      <w:spacing w:line="440" w:lineRule="exact"/>
      <w:jc w:val="center"/>
    </w:pPr>
    <w:rPr>
      <w:sz w:val="28"/>
    </w:rPr>
  </w:style>
  <w:style w:type="paragraph" w:customStyle="1" w:styleId="107">
    <w:name w:val="标准文件_引言标题"/>
    <w:next w:val="1"/>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uiPriority w:val="0"/>
    <w:pPr>
      <w:numPr>
        <w:ilvl w:val="3"/>
        <w:numId w:val="20"/>
      </w:numPr>
      <w:adjustRightInd/>
      <w:spacing w:line="240" w:lineRule="auto"/>
    </w:pPr>
    <w:rPr>
      <w:rFonts w:ascii="宋体" w:hAnsi="宋体"/>
      <w:szCs w:val="24"/>
    </w:rPr>
  </w:style>
  <w:style w:type="paragraph" w:customStyle="1" w:styleId="119">
    <w:name w:val="发布部门"/>
    <w:next w:val="56"/>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uiPriority w:val="0"/>
    <w:pPr>
      <w:adjustRightInd/>
      <w:spacing w:line="240" w:lineRule="auto"/>
      <w:jc w:val="left"/>
    </w:pPr>
    <w:rPr>
      <w:bCs/>
      <w:iCs/>
    </w:rPr>
  </w:style>
  <w:style w:type="paragraph" w:customStyle="1" w:styleId="143">
    <w:name w:val="目录 31"/>
    <w:basedOn w:val="1"/>
    <w:next w:val="1"/>
    <w:autoRedefine/>
    <w:semiHidden/>
    <w:uiPriority w:val="0"/>
    <w:pPr>
      <w:spacing w:line="240" w:lineRule="auto"/>
    </w:pPr>
    <w:rPr>
      <w:rFonts w:ascii="宋体" w:hAnsi="宋体"/>
      <w:iCs/>
    </w:rPr>
  </w:style>
  <w:style w:type="paragraph" w:customStyle="1" w:styleId="144">
    <w:name w:val="目录 41"/>
    <w:basedOn w:val="1"/>
    <w:next w:val="1"/>
    <w:autoRedefine/>
    <w:semiHidden/>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7" Type="http://schemas.openxmlformats.org/officeDocument/2006/relationships/glossaryDocument" Target="glossary/document.xml"/><Relationship Id="rId26" Type="http://schemas.openxmlformats.org/officeDocument/2006/relationships/fontTable" Target="fontTable.xml"/><Relationship Id="rId25" Type="http://schemas.openxmlformats.org/officeDocument/2006/relationships/customXml" Target="../customXml/item3.xml"/><Relationship Id="rId24" Type="http://schemas.openxmlformats.org/officeDocument/2006/relationships/customXml" Target="../customXml/item2.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image" Target="media/image6.png"/><Relationship Id="rId20" Type="http://schemas.openxmlformats.org/officeDocument/2006/relationships/image" Target="media/image5.jpeg"/><Relationship Id="rId2" Type="http://schemas.openxmlformats.org/officeDocument/2006/relationships/settings" Target="settings.xml"/><Relationship Id="rId19" Type="http://schemas.openxmlformats.org/officeDocument/2006/relationships/image" Target="media/image4.jpeg"/><Relationship Id="rId18" Type="http://schemas.openxmlformats.org/officeDocument/2006/relationships/image" Target="media/image3.jpeg"/><Relationship Id="rId17" Type="http://schemas.openxmlformats.org/officeDocument/2006/relationships/image" Target="media/image2.jpeg"/><Relationship Id="rId16" Type="http://schemas.openxmlformats.org/officeDocument/2006/relationships/image" Target="media/image1.jpeg"/><Relationship Id="rId15" Type="http://schemas.openxmlformats.org/officeDocument/2006/relationships/theme" Target="theme/theme1.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5973E4E77D58426CA22153ABCD81CF52"/>
        <w:style w:val=""/>
        <w:category>
          <w:name w:val="常规"/>
          <w:gallery w:val="placeholder"/>
        </w:category>
        <w:types>
          <w:type w:val="bbPlcHdr"/>
        </w:types>
        <w:behaviors>
          <w:behavior w:val="content"/>
        </w:behaviors>
        <w:description w:val=""/>
        <w:guid w:val="{11444382-6F57-43FB-A0DE-E6D8EB24B5ED}"/>
      </w:docPartPr>
      <w:docPartBody>
        <w:p w14:paraId="421351D1">
          <w:pPr>
            <w:pStyle w:val="5"/>
          </w:pPr>
          <w:r>
            <w:rPr>
              <w:rStyle w:val="4"/>
              <w:rFonts w:hint="eastAsia"/>
            </w:rPr>
            <w:t>单击或点击此处输入文字。</w:t>
          </w:r>
        </w:p>
      </w:docPartBody>
    </w:docPart>
    <w:docPart>
      <w:docPartPr>
        <w:name w:val="2E2248B248B84D0DBE4F3700CD0FF82E"/>
        <w:style w:val=""/>
        <w:category>
          <w:name w:val="常规"/>
          <w:gallery w:val="placeholder"/>
        </w:category>
        <w:types>
          <w:type w:val="bbPlcHdr"/>
        </w:types>
        <w:behaviors>
          <w:behavior w:val="content"/>
        </w:behaviors>
        <w:description w:val=""/>
        <w:guid w:val="{44100108-ABE0-487F-A408-549B971F5FEB}"/>
      </w:docPartPr>
      <w:docPartBody>
        <w:p w14:paraId="6DFFD9E5">
          <w:pPr>
            <w:pStyle w:val="6"/>
          </w:pPr>
          <w:r>
            <w:rPr>
              <w:rStyle w:val="4"/>
              <w:rFonts w:hint="eastAsia"/>
            </w:rPr>
            <w:t>选择一项。</w:t>
          </w:r>
        </w:p>
      </w:docPartBody>
    </w:docPart>
    <w:docPart>
      <w:docPartPr>
        <w:name w:val="5F86F553DE1D4B6B8D1F89B8289FF4B2"/>
        <w:style w:val=""/>
        <w:category>
          <w:name w:val="常规"/>
          <w:gallery w:val="placeholder"/>
        </w:category>
        <w:types>
          <w:type w:val="bbPlcHdr"/>
        </w:types>
        <w:behaviors>
          <w:behavior w:val="content"/>
        </w:behaviors>
        <w:description w:val=""/>
        <w:guid w:val="{C6646A0C-774B-4CC5-9DFA-CC4EFBED9A91}"/>
      </w:docPartPr>
      <w:docPartBody>
        <w:p w14:paraId="142B6379">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3B36"/>
    <w:rsid w:val="00313B36"/>
    <w:rsid w:val="008E21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5973E4E77D58426CA22153ABCD81CF52"/>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2E2248B248B84D0DBE4F3700CD0FF82E"/>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5F86F553DE1D4B6B8D1F89B8289FF4B2"/>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contractReview xmlns="http://schemas.wps.cn/vas-ai-hub/contract-review">
  <reviewItems>
    <reviewItem>
      <errorID>d4995b1f-e63b-41c8-a93d-e527c586cab9</errorID>
      <errorWord>  </errorWord>
      <group>L1_Format</group>
      <groupName>格式问题</groupName>
      <ability>L2_Whitespace</ability>
      <abilityName>空白字符</abilityName>
      <candidateList>
        <item/>
      </candidateList>
      <explain>文本间存在多余的空白字符。</explain>
      <paraID>78213F66</paraID>
      <start>3</start>
      <end>5</end>
      <status>unmodified</status>
      <modifiedWord/>
      <trackRevisions>false</trackRevisions>
    </reviewItem>
    <reviewItem>
      <errorID>b51d048a-95c3-4fc2-9517-14e5cb1ec5f6</errorID>
      <errorWord>  </errorWord>
      <group>L1_Format</group>
      <groupName>格式问题</groupName>
      <ability>L2_Whitespace</ability>
      <abilityName>空白字符</abilityName>
      <candidateList>
        <item/>
      </candidateList>
      <explain>文本间存在多余的空白字符。</explain>
      <paraID>74AC8C82</paraID>
      <start>3</start>
      <end>5</end>
      <status>unmodified</status>
      <modifiedWord/>
      <trackRevisions>false</trackRevisions>
    </reviewItem>
    <reviewItem>
      <errorID>94c3e7e8-8fd1-4e9b-8323-6e31396d3d12</errorID>
      <errorWord>  </errorWord>
      <group>L1_Format</group>
      <groupName>格式问题</groupName>
      <ability>L2_Whitespace</ability>
      <abilityName>空白字符</abilityName>
      <candidateList>
        <item/>
      </candidateList>
      <explain>文本间存在多余的空白字符。</explain>
      <paraID>5E0C8BD7</paraID>
      <start>26</start>
      <end>28</end>
      <status>unmodified</status>
      <modifiedWord/>
      <trackRevisions>false</trackRevisions>
    </reviewItem>
    <reviewItem>
      <errorID/>
      <errorWord>变电工程抗台风设计技术规程
</errorWord>
      <group>L1_Other</group>
      <groupName>其他问题</groupName>
      <ability>L2_RepeatSentence</ability>
      <abilityName>重句检查</abilityName>
      <candidateList>
        <item/>
      </candidateList>
      <explain>重句检查</explain>
      <paraID>40B38D02</paraID>
      <start>0</start>
      <end>16</end>
      <status>unmodified</status>
      <modifiedWord/>
      <trackRevisions>false</trackRevisions>
    </reviewItem>
    <reviewItem>
      <errorID>af0e2ccd-38a8-44e7-a475-aeec73c39b92</errorID>
      <errorWord>刚架</errorWord>
      <group>L1_Word</group>
      <groupName>字词问题</groupName>
      <ability>L2_Typo</ability>
      <abilityName>字词错误</abilityName>
      <candidateList>
        <item>钢架</item>
      </candidateList>
      <explain/>
      <paraID>4B6E6FA3</paraID>
      <start>11</start>
      <end>13</end>
      <status>unmodified</status>
      <modifiedWord/>
      <trackRevisions>false</trackRevisions>
    </reviewItem>
    <reviewItem>
      <errorID>9273b7b4-8704-4218-a192-fcc50f315920</errorID>
      <errorWord> </errorWord>
      <group>L1_Format</group>
      <groupName>格式问题</groupName>
      <ability>L2_Whitespace</ability>
      <abilityName>空白字符</abilityName>
      <candidateList>
        <item/>
      </candidateList>
      <explain>文本间存在多余的空白字符。</explain>
      <paraID>4BC3E304</paraID>
      <start>16</start>
      <end>17</end>
      <status>unmodified</status>
      <modifiedWord/>
      <trackRevisions>false</trackRevisions>
    </reviewItem>
    <reviewItem>
      <errorID>905348ab-3b12-4b52-b232-24ed5bc24a2a</errorID>
      <errorWord> </errorWord>
      <group>L1_Format</group>
      <groupName>格式问题</groupName>
      <ability>L2_Whitespace</ability>
      <abilityName>空白字符</abilityName>
      <candidateList>
        <item/>
      </candidateList>
      <explain>文本间存在多余的空白字符。</explain>
      <paraID>602C17B9</paraID>
      <start>20</start>
      <end>21</end>
      <status>unmodified</status>
      <modifiedWord/>
      <trackRevisions>false</trackRevisions>
    </reviewItem>
    <reviewItem>
      <errorID>95ad6d6b-5be4-45fe-b2d4-67a374f397ad</errorID>
      <errorWord> </errorWord>
      <group>L1_Format</group>
      <groupName>格式问题</groupName>
      <ability>L2_Whitespace</ability>
      <abilityName>空白字符</abilityName>
      <candidateList>
        <item/>
      </candidateList>
      <explain>文本间存在多余的空白字符。</explain>
      <paraID> 67937C5</paraID>
      <start>23</start>
      <end>24</end>
      <status>unmodified</status>
      <modifiedWord/>
      <trackRevisions>false</trackRevisions>
    </reviewItem>
    <reviewItem>
      <errorID>718b689a-8b12-4d5e-b6dc-deb452708def</errorID>
      <errorWord> </errorWord>
      <group>L1_Format</group>
      <groupName>格式问题</groupName>
      <ability>L2_Whitespace</ability>
      <abilityName>空白字符</abilityName>
      <candidateList>
        <item/>
      </candidateList>
      <explain>文本间存在多余的空白字符。</explain>
      <paraID>6764982E</paraID>
      <start>6</start>
      <end>7</end>
      <status>unmodified</status>
      <modifiedWord/>
      <trackRevisions>false</trackRevisions>
    </reviewItem>
    <reviewItem>
      <errorID>4a16f5f6-62cb-4c80-91e0-fda9a2949faf</errorID>
      <errorWord> </errorWord>
      <group>L1_Format</group>
      <groupName>格式问题</groupName>
      <ability>L2_Whitespace</ability>
      <abilityName>空白字符</abilityName>
      <candidateList>
        <item/>
      </candidateList>
      <explain>文本间存在多余的空白字符。</explain>
      <paraID>41D8794A</paraID>
      <start>4</start>
      <end>5</end>
      <status>unmodified</status>
      <modifiedWord/>
      <trackRevisions>false</trackRevisions>
    </reviewItem>
    <reviewItem>
      <errorID>5cc5298e-651b-46f5-b2d6-bc25c623f5fe</errorID>
      <errorWord> </errorWord>
      <group>L1_Format</group>
      <groupName>格式问题</groupName>
      <ability>L2_Whitespace</ability>
      <abilityName>空白字符</abilityName>
      <candidateList>
        <item/>
      </candidateList>
      <explain>文本间存在多余的空白字符。</explain>
      <paraID>3259E684</paraID>
      <start>2</start>
      <end>3</end>
      <status>unmodified</status>
      <modifiedWord/>
      <trackRevisions>false</trackRevisions>
    </reviewItem>
    <reviewItem>
      <errorID/>
      <errorWord>GB/T19201-2006，</errorWord>
      <group>L1_Other</group>
      <groupName>其他问题</groupName>
      <ability>L2_RepeatSentence</ability>
      <abilityName>重句检查</abilityName>
      <candidateList>
        <item/>
      </candidateList>
      <explain>重句检查</explain>
      <paraID>43B7DC2B</paraID>
      <start>4</start>
      <end>19</end>
      <status>unmodified</status>
      <modifiedWord/>
      <trackRevisions>false</trackRevisions>
    </reviewItem>
    <reviewItem>
      <errorID>48421a5f-25aa-43c3-a25b-0c3c3717e4d8</errorID>
      <errorWord> </errorWord>
      <group>L1_Format</group>
      <groupName>格式问题</groupName>
      <ability>L2_Whitespace</ability>
      <abilityName>空白字符</abilityName>
      <candidateList>
        <item/>
      </candidateList>
      <explain>文本间存在多余的空白字符。</explain>
      <paraID>7C704837</paraID>
      <start>4</start>
      <end>5</end>
      <status>unmodified</status>
      <modifiedWord/>
      <trackRevisions>false</trackRevisions>
    </reviewItem>
    <reviewItem>
      <errorID>5e0da2ee-7649-44c4-9594-9edb7e1c1664</errorID>
      <errorWord> </errorWord>
      <group>L1_Format</group>
      <groupName>格式问题</groupName>
      <ability>L2_Whitespace</ability>
      <abilityName>空白字符</abilityName>
      <candidateList>
        <item/>
      </candidateList>
      <explain>文本间存在多余的空白字符。</explain>
      <paraID> 99EA8D1</paraID>
      <start>4</start>
      <end>5</end>
      <status>unmodified</status>
      <modifiedWord/>
      <trackRevisions>false</trackRevisions>
    </reviewItem>
    <reviewItem>
      <errorID/>
      <errorWord>底层中心附近最大平均风速32.</errorWord>
      <group>L1_Other</group>
      <groupName>其他问题</groupName>
      <ability>L2_RepeatSentence</ability>
      <abilityName>重句检查</abilityName>
      <candidateList>
        <item/>
      </candidateList>
      <explain>重句检查</explain>
      <paraID>260FD90C</paraID>
      <start>0</start>
      <end>15</end>
      <status>unmodified</status>
      <modifiedWord/>
      <trackRevisions>false</trackRevisions>
    </reviewItem>
    <reviewItem>
      <errorID/>
      <errorWord>7m/s及以上的热带气旋，</errorWord>
      <group>L1_Other</group>
      <groupName>其他问题</groupName>
      <ability>L2_RepeatSentence</ability>
      <abilityName>重句检查</abilityName>
      <candidateList>
        <item/>
      </candidateList>
      <explain>重句检查</explain>
      <paraID>260FD90C</paraID>
      <start>15</start>
      <end>28</end>
      <status>unmodified</status>
      <modifiedWord/>
      <trackRevisions>false</trackRevisions>
    </reviewItem>
    <reviewItem>
      <errorID/>
      <errorWord>经概率统计得出相应重现期最大值后确定的风速。</errorWord>
      <group>L1_Other</group>
      <groupName>其他问题</groupName>
      <ability>L2_RepeatSentence</ability>
      <abilityName>重句检查</abilityName>
      <candidateList>
        <item/>
      </candidateList>
      <explain>重句检查</explain>
      <paraID>260FD90C</paraID>
      <start>60</start>
      <end>82</end>
      <status>unmodified</status>
      <modifiedWord/>
      <trackRevisions>false</trackRevisions>
    </reviewItem>
    <reviewItem>
      <errorID/>
      <errorWord>GB/T19201-2006，</errorWord>
      <group>L1_Other</group>
      <groupName>其他问题</groupName>
      <ability>L2_RepeatSentence</ability>
      <abilityName>重句检查</abilityName>
      <candidateList>
        <item/>
      </candidateList>
      <explain>重句检查</explain>
      <paraID>57E0E689</paraID>
      <start>4</start>
      <end>19</end>
      <status>unmodified</status>
      <modifiedWord/>
      <trackRevisions>false</trackRevisions>
    </reviewItem>
    <reviewItem>
      <errorID/>
      <errorWord>此处平均风速时距为2min]
</errorWord>
      <group>L1_Other</group>
      <groupName>其他问题</groupName>
      <ability>L2_RepeatSentence</ability>
      <abilityName>重句检查</abilityName>
      <candidateList>
        <item/>
      </candidateList>
      <explain>重句检查</explain>
      <paraID>57E0E689</paraID>
      <start>25</start>
      <end>40</end>
      <status>unmodified</status>
      <modifiedWord/>
      <trackRevisions>false</trackRevisions>
    </reviewItem>
    <reviewItem>
      <errorID>3d4cbadf-e728-4df5-8e30-ebefa649d277</errorID>
      <errorWord>  </errorWord>
      <group>L1_Format</group>
      <groupName>格式问题</groupName>
      <ability>L2_Whitespace</ability>
      <abilityName>空白字符</abilityName>
      <candidateList>
        <item/>
      </candidateList>
      <explain>文本间存在多余的空白字符。</explain>
      <paraID>442E7A53</paraID>
      <start>4</start>
      <end>6</end>
      <status>unmodified</status>
      <modifiedWord/>
      <trackRevisions>false</trackRevisions>
    </reviewItem>
    <reviewItem>
      <errorID>4edc01a0-34cf-4371-917a-96284b019f7a</errorID>
      <errorWord>  </errorWord>
      <group>L1_Format</group>
      <groupName>格式问题</groupName>
      <ability>L2_Whitespace</ability>
      <abilityName>空白字符</abilityName>
      <candidateList>
        <item/>
      </candidateList>
      <explain>文本间存在多余的空白字符。</explain>
      <paraID>2311574C</paraID>
      <start>5</start>
      <end>7</end>
      <status>unmodified</status>
      <modifiedWord/>
      <trackRevisions>false</trackRevisions>
    </reviewItem>
    <reviewItem>
      <errorID>fc79ed9a-777d-45a6-b176-e2f49aa9847a</errorID>
      <errorWord> </errorWord>
      <group>L1_Format</group>
      <groupName>格式问题</groupName>
      <ability>L2_Whitespace</ability>
      <abilityName>空白字符</abilityName>
      <candidateList>
        <item/>
      </candidateList>
      <explain>文本间存在多余的空白字符。</explain>
      <paraID>1FAE6DB4</paraID>
      <start>5</start>
      <end>6</end>
      <status>unmodified</status>
      <modifiedWord/>
      <trackRevisions>false</trackRevisions>
    </reviewItem>
    <reviewItem>
      <errorID/>
      <errorWord>GB50009-2012，</errorWord>
      <group>L1_Other</group>
      <groupName>其他问题</groupName>
      <ability>L2_RepeatSentence</ability>
      <abilityName>重句检查</abilityName>
      <candidateList>
        <item/>
      </candidateList>
      <explain>重句检查</explain>
      <paraID>1C80E871</paraID>
      <start>4</start>
      <end>4</end>
      <status>modified</status>
      <modifiedWord/>
      <trackRevisions>false</trackRevisions>
    </reviewItem>
    <reviewItem>
      <errorID>acb88c64-bb3f-4ca6-87e3-0e6405208ab5</errorID>
      <errorWord>海拔高度</errorWord>
      <group>L1_Word</group>
      <groupName>字词问题</groupName>
      <ability>L2_Typo</ability>
      <abilityName>字词错误</abilityName>
      <candidateList>
        <item>海拔</item>
      </candidateList>
      <explain>〈名〉从平均海平面起算的高度。</explain>
      <paraID>265C5E52</paraID>
      <start>13</start>
      <end>17</end>
      <status>unmodified</status>
      <modifiedWord/>
      <trackRevisions>false</trackRevisions>
    </reviewItem>
    <reviewItem>
      <errorID>36fa0411-9d57-483f-baf3-b38e32bf4486</errorID>
      <errorWord>)</errorWord>
      <group>L1_Format</group>
      <groupName>格式问题</groupName>
      <ability>L2_HalfPunc</ability>
      <abilityName>全半角检查</abilityName>
      <candidateList>
        <item>）</item>
      </candidateList>
      <explain>文本全半角错误。</explain>
      <paraID> B728940</paraID>
      <start>3</start>
      <end>4</end>
      <status>modified</status>
      <modifiedWord>）</modifiedWord>
      <trackRevisions>false</trackRevisions>
    </reviewItem>
    <reviewItem>
      <errorID>7d250c7c-9d2f-40ff-9bab-4801b2b7798e</errorID>
      <errorWord> </errorWord>
      <group>L1_Format</group>
      <groupName>格式问题</groupName>
      <ability>L2_Whitespace</ability>
      <abilityName>空白字符</abilityName>
      <candidateList>
        <item/>
      </candidateList>
      <explain>文本间存在多余的空白字符。</explain>
      <paraID> 4DBFA68</paraID>
      <start>1</start>
      <end>2</end>
      <status>unmodified</status>
      <modifiedWord/>
      <trackRevisions>false</trackRevisions>
    </reviewItem>
    <reviewItem>
      <errorID>0b34c732-27b6-4488-91a9-c67a92eda2b2</errorID>
      <errorWord> </errorWord>
      <group>L1_Format</group>
      <groupName>格式问题</groupName>
      <ability>L2_Whitespace</ability>
      <abilityName>空白字符</abilityName>
      <candidateList>
        <item/>
      </candidateList>
      <explain>文本间存在多余的空白字符。</explain>
      <paraID>6855A100</paraID>
      <start>1</start>
      <end>2</end>
      <status>unmodified</status>
      <modifiedWord/>
      <trackRevisions>false</trackRevisions>
    </reviewItem>
    <reviewItem>
      <errorID>7fd89cad-f1ab-4b67-8c46-c97a192d0602</errorID>
      <errorWord> </errorWord>
      <group>L1_Format</group>
      <groupName>格式问题</groupName>
      <ability>L2_Whitespace</ability>
      <abilityName>空白字符</abilityName>
      <candidateList>
        <item/>
      </candidateList>
      <explain>文本间存在多余的空白字符。</explain>
      <paraID>634F3645</paraID>
      <start>1</start>
      <end>2</end>
      <status>unmodified</status>
      <modifiedWord/>
      <trackRevisions>false</trackRevisions>
    </reviewItem>
    <reviewItem>
      <errorID>b5d17ebc-62c6-477d-a075-9d205533cbec</errorID>
      <errorWord> </errorWord>
      <group>L1_Format</group>
      <groupName>格式问题</groupName>
      <ability>L2_Whitespace</ability>
      <abilityName>空白字符</abilityName>
      <candidateList>
        <item/>
      </candidateList>
      <explain>文本间存在多余的空白字符。</explain>
      <paraID>6E2CDA91</paraID>
      <start>1</start>
      <end>2</end>
      <status>unmodified</status>
      <modifiedWord/>
      <trackRevisions>false</trackRevisions>
    </reviewItem>
    <reviewItem>
      <errorID>0f8da993-435d-4389-9a4b-def7e5114a28</errorID>
      <errorWord>增大</errorWord>
      <group>L1_Grammar</group>
      <groupName>语法问题</groupName>
      <ability>L2_Grammar</ability>
      <abilityName>语法错误</abilityName>
      <candidateList>
        <item>扩大</item>
      </candidateList>
      <explain>“增大～影响”搭配不当，建议修改为“扩大～影响”。</explain>
      <paraID>4F07A14C</paraID>
      <start>54</start>
      <end>56</end>
      <status>unmodified</status>
      <modifiedWord/>
      <trackRevisions>false</trackRevisions>
    </reviewItem>
    <reviewItem>
      <errorID/>
      <errorWord>距海岸越远取值越大）
</errorWord>
      <group>L1_Other</group>
      <groupName>其他问题</groupName>
      <ability>L2_RepeatSentence</ability>
      <abilityName>重句检查</abilityName>
      <candidateList>
        <item/>
      </candidateList>
      <explain>重句检查</explain>
      <paraID>35704148</paraID>
      <start>13</start>
      <end>24</end>
      <status>unmodified</status>
      <modifiedWord/>
      <trackRevisions>false</trackRevisions>
    </reviewItem>
    <reviewItem>
      <errorID>537079e1-c978-4627-a983-b1f2e62ef080</errorID>
      <errorWord>其它</errorWord>
      <group>L1_Word</group>
      <groupName>字词问题</groupName>
      <ability>L2_Alias</ability>
      <abilityName>也作/曾用词</abilityName>
      <candidateList>
        <item>其他</item>
      </candidateList>
      <explain>词汇[其它]为不规范表述或旧称，其规范书面表述为[其他]。</explain>
      <paraID> 4987A27</paraID>
      <start>0</start>
      <end>2</end>
      <status>unmodified</status>
      <modifiedWord/>
      <trackRevisions>false</trackRevisions>
    </reviewItem>
    <reviewItem>
      <errorID>defa7a81-fd96-42bf-baf9-5dd8a374da3a</errorID>
      <errorWord> </errorWord>
      <group>L1_Format</group>
      <groupName>格式问题</groupName>
      <ability>L2_Whitespace</ability>
      <abilityName>空白字符</abilityName>
      <candidateList>
        <item/>
      </candidateList>
      <explain>文本间存在多余的空白字符。</explain>
      <paraID>3B52D8F3</paraID>
      <start>50</start>
      <end>51</end>
      <status>unmodified</status>
      <modifiedWord/>
      <trackRevisions>false</trackRevisions>
    </reviewItem>
    <reviewItem>
      <errorID>de4849c5-1135-4c0c-b118-ab974d3b7996</errorID>
      <errorWord>粘结</errorWord>
      <group>L1_Word</group>
      <groupName>字词问题</groupName>
      <ability>L2_Typo</ability>
      <abilityName>字词错误</abilityName>
      <candidateList>
        <item>黏结</item>
      </candidateList>
      <explain>存在发音相同字词的误用。</explain>
      <paraID>6730D1AF</paraID>
      <start>83</start>
      <end>85</end>
      <status>unmodified</status>
      <modifiedWord/>
      <trackRevisions>false</trackRevisions>
    </reviewItem>
    <reviewItem>
      <errorID/>
      <errorWord>并与主体结构可靠锚固，</errorWord>
      <group>L1_Other</group>
      <groupName>其他问题</groupName>
      <ability>L2_RepeatSentence</ability>
      <abilityName>重句检查</abilityName>
      <candidateList>
        <item/>
      </candidateList>
      <explain>重句检查</explain>
      <paraID>71B302D2</paraID>
      <start>38</start>
      <end>49</end>
      <status>unmodified</status>
      <modifiedWord/>
      <trackRevisions>false</trackRevisions>
    </reviewItem>
    <reviewItem>
      <errorID>ae78f754-be7d-49e2-889c-49d287fb26ad</errorID>
      <errorWord>-</errorWord>
      <group>L1_Format</group>
      <groupName>格式问题</groupName>
      <ability>L2_HalfPunc</ability>
      <abilityName>全半角检查</abilityName>
      <candidateList>
        <item>－</item>
      </candidateList>
      <explain>文本全半角错误。</explain>
      <paraID>4FD5EAFB</paraID>
      <start>38</start>
      <end>39</end>
      <status>unmodified</status>
      <modifiedWord/>
      <trackRevisions>false</trackRevisions>
    </reviewItem>
    <reviewItem>
      <errorID>05a9d3ba-d52c-478a-a9f6-edb92bcdbc48</errorID>
      <errorWord>刚架</errorWord>
      <group>L1_Word</group>
      <groupName>字词问题</groupName>
      <ability>L2_Typo</ability>
      <abilityName>字词错误</abilityName>
      <candidateList>
        <item>钢架</item>
      </candidateList>
      <explain/>
      <paraID>245EFA1D</paraID>
      <start>23</start>
      <end>25</end>
      <status>unmodified</status>
      <modifiedWord/>
      <trackRevisions>false</trackRevisions>
    </reviewItem>
    <reviewItem>
      <errorID>176fd02d-08fe-418f-b5ef-d7d82bbf8c28</errorID>
      <errorWord>刚架</errorWord>
      <group>L1_Word</group>
      <groupName>字词问题</groupName>
      <ability>L2_Typo</ability>
      <abilityName>字词错误</abilityName>
      <candidateList>
        <item>钢架</item>
      </candidateList>
      <explain/>
      <paraID>245EFA1D</paraID>
      <start>39</start>
      <end>41</end>
      <status>unmodified</status>
      <modifiedWord/>
      <trackRevisions>false</trackRevisions>
    </reviewItem>
    <reviewItem>
      <errorID>c779773f-630d-4d9e-91d3-db6e1b3c4c92</errorID>
      <errorWord>-</errorWord>
      <group>L1_Format</group>
      <groupName>格式问题</groupName>
      <ability>L2_HalfPunc</ability>
      <abilityName>全半角检查</abilityName>
      <candidateList>
        <item>－</item>
      </candidateList>
      <explain>文本全半角错误。</explain>
      <paraID> A6064CD</paraID>
      <start>43</start>
      <end>44</end>
      <status>unmodified</status>
      <modifiedWord/>
      <trackRevisions>false</trackRevisions>
    </reviewItem>
    <reviewItem>
      <errorID>936b93b9-3cbf-41dd-8ce4-275587819382</errorID>
      <errorWord>增大</errorWord>
      <group>L1_Grammar</group>
      <groupName>语法问题</groupName>
      <ability>L2_Grammar</ability>
      <abilityName>语法错误</abilityName>
      <candidateList>
        <item>扩大</item>
      </candidateList>
      <explain>“增大～影响”搭配不当，建议修改为“扩大～影响”。</explain>
      <paraID>7A54D4D0</paraID>
      <start>29</start>
      <end>31</end>
      <status>unmodified</status>
      <modifiedWord/>
      <trackRevisions>false</trackRevisions>
    </reviewItem>
    <reviewItem>
      <errorID>38e55abb-052b-44dd-b829-0da0b687377c</errorID>
      <errorWord> </errorWord>
      <group>L1_Format</group>
      <groupName>格式问题</groupName>
      <ability>L2_Whitespace</ability>
      <abilityName>空白字符</abilityName>
      <candidateList>
        <item/>
      </candidateList>
      <explain>文本间存在多余的空白字符。</explain>
      <paraID>7A54D4D0</paraID>
      <start>35</start>
      <end>36</end>
      <status>unmodified</status>
      <modifiedWord/>
      <trackRevisions>false</trackRevisions>
    </reviewItem>
    <reviewItem>
      <errorID>ace2856c-d1a3-4b79-a92b-03ce98329a05</errorID>
      <errorWord>其它构筑物</errorWord>
      <group>L1_Word</group>
      <groupName>字词问题</groupName>
      <ability>L2_Alias</ability>
      <abilityName>也作/曾用词</abilityName>
      <candidateList>
        <item>其他构筑物</item>
      </candidateList>
      <explain>词汇[其它构筑物]为不规范表述或旧称，其规范书面表述为[其他构筑物]。</explain>
      <paraID>63FC4688</paraID>
      <start>0</start>
      <end>5</end>
      <status>unmodified</status>
      <modifiedWord/>
      <trackRevisions>false</trackRevisions>
    </reviewItem>
    <reviewItem>
      <errorID>46b2e16f-d381-46df-9c3a-68a570bd4529</errorID>
      <errorWord>临近</errorWord>
      <group>L1_Word</group>
      <groupName>字词问题</groupName>
      <ability>L2_Typo</ability>
      <abilityName>字词错误</abilityName>
      <candidateList>
        <item>邻近</item>
      </candidateList>
      <explain>存在发音相同字词的误用。</explain>
      <paraID> 75CC1BC</paraID>
      <start>38</start>
      <end>40</end>
      <status>modified</status>
      <modifiedWord>邻近</modifiedWord>
      <trackRevisions>false</trackRevisions>
    </reviewItem>
    <reviewItem>
      <errorID>fc4b26de-b429-4d92-bded-25380cab4f90</errorID>
      <errorWord>-</errorWord>
      <group>L1_Format</group>
      <groupName>格式问题</groupName>
      <ability>L2_HalfPunc</ability>
      <abilityName>全半角检查</abilityName>
      <candidateList>
        <item>－</item>
      </candidateList>
      <explain>文本全半角错误。</explain>
      <paraID>451C2AAB</paraID>
      <start>4</start>
      <end>5</end>
      <status>unmodified</status>
      <modifiedWord/>
      <trackRevisions>false</trackRevisions>
    </reviewItem>
    <reviewItem>
      <errorID>5823132c-0aaf-4496-bf33-6d9a70401a68</errorID>
      <errorWord>-</errorWord>
      <group>L1_Format</group>
      <groupName>格式问题</groupName>
      <ability>L2_HalfPunc</ability>
      <abilityName>全半角检查</abilityName>
      <candidateList>
        <item>－</item>
      </candidateList>
      <explain>文本全半角错误。</explain>
      <paraID>323E3E16</paraID>
      <start>4</start>
      <end>5</end>
      <status>unmodified</status>
      <modifiedWord/>
      <trackRevisions>false</trackRevisions>
    </reviewItem>
    <reviewItem>
      <errorID>86282c39-bb2c-471d-9e95-b9c4a29101f5</errorID>
      <errorWord>-</errorWord>
      <group>L1_Format</group>
      <groupName>格式问题</groupName>
      <ability>L2_HalfPunc</ability>
      <abilityName>全半角检查</abilityName>
      <candidateList>
        <item>－</item>
      </candidateList>
      <explain>文本全半角错误。</explain>
      <paraID>3EFA9897</paraID>
      <start>4</start>
      <end>5</end>
      <status>unmodified</status>
      <modifiedWord/>
      <trackRevisions>false</trackRevisions>
    </reviewItem>
    <reviewItem>
      <errorID>bfdfbda7-0e21-49f7-af01-5c0d78d1bf51</errorID>
      <errorWord>-</errorWord>
      <group>L1_Format</group>
      <groupName>格式问题</groupName>
      <ability>L2_HalfPunc</ability>
      <abilityName>全半角检查</abilityName>
      <candidateList>
        <item>－</item>
      </candidateList>
      <explain>文本全半角错误。</explain>
      <paraID>55F85D47</paraID>
      <start>5</start>
      <end>6</end>
      <status>unmodified</status>
      <modifiedWord/>
      <trackRevisions>false</trackRevisions>
    </reviewItem>
    <reviewItem>
      <errorID>5e62c98a-9e35-4c7b-90fb-791dda32af2c</errorID>
      <errorWord>-</errorWord>
      <group>L1_Format</group>
      <groupName>格式问题</groupName>
      <ability>L2_HalfPunc</ability>
      <abilityName>全半角检查</abilityName>
      <candidateList>
        <item>－</item>
      </candidateList>
      <explain>文本全半角错误。</explain>
      <paraID>28BAC4F0</paraID>
      <start>5</start>
      <end>6</end>
      <status>unmodified</status>
      <modifiedWord/>
      <trackRevisions>false</trackRevisions>
    </reviewItem>
    <reviewItem>
      <errorID>88d1a79d-de04-4fd3-a26f-bf50bb8314d8</errorID>
      <errorWord>超</errorWord>
      <group>L1_Word</group>
      <groupName>字词问题</groupName>
      <ability>L2_Typo</ability>
      <abilityName>字词错误</abilityName>
      <candidateList>
        <item>超过</item>
      </candidateList>
      <explain/>
      <paraID>2D41D5E4</paraID>
      <start>96</start>
      <end>97</end>
      <status>unmodified</status>
      <modifiedWord/>
      <trackRevisions>false</trackRevisions>
    </reviewItem>
    <reviewItem>
      <errorID>a2ea5d4c-e26e-47b9-b9fc-555abf750537</errorID>
      <errorWord>-</errorWord>
      <group>L1_Format</group>
      <groupName>格式问题</groupName>
      <ability>L2_HalfPunc</ability>
      <abilityName>全半角检查</abilityName>
      <candidateList>
        <item>－</item>
      </candidateList>
      <explain>文本全半角错误。</explain>
      <paraID>4D7D52AD</paraID>
      <start>5</start>
      <end>6</end>
      <status>unmodified</status>
      <modifiedWord/>
      <trackRevisions>false</trackRevisions>
    </reviewItem>
    <reviewItem>
      <errorID>9c1c9277-4bd5-4ddf-9662-509f7e57bebb</errorID>
      <errorWord>-</errorWord>
      <group>L1_Format</group>
      <groupName>格式问题</groupName>
      <ability>L2_HalfPunc</ability>
      <abilityName>全半角检查</abilityName>
      <candidateList>
        <item>－</item>
      </candidateList>
      <explain>文本全半角错误。</explain>
      <paraID>4EA6988F</paraID>
      <start>6</start>
      <end>7</end>
      <status>unmodified</status>
      <modifiedWord/>
      <trackRevisions>false</trackRevisions>
    </reviewItem>
    <reviewItem>
      <errorID>6be5b87e-f11c-419e-91cb-9aefb28a18fb</errorID>
      <errorWord>-</errorWord>
      <group>L1_Format</group>
      <groupName>格式问题</groupName>
      <ability>L2_HalfPunc</ability>
      <abilityName>全半角检查</abilityName>
      <candidateList>
        <item>－</item>
      </candidateList>
      <explain>文本全半角错误。</explain>
      <paraID>235BE273</paraID>
      <start>6</start>
      <end>7</end>
      <status>unmodified</status>
      <modifiedWord/>
      <trackRevisions>false</trackRevisions>
    </reviewItem>
    <reviewItem>
      <errorID>b8f5d53c-8014-4f7e-bffa-d391c5eaa1eb</errorID>
      <errorWord>-</errorWord>
      <group>L1_Format</group>
      <groupName>格式问题</groupName>
      <ability>L2_HalfPunc</ability>
      <abilityName>全半角检查</abilityName>
      <candidateList>
        <item>－</item>
      </candidateList>
      <explain>文本全半角错误。</explain>
      <paraID>63883C61</paraID>
      <start>6</start>
      <end>7</end>
      <status>unmodified</status>
      <modifiedWord/>
      <trackRevisions>false</trackRevisions>
    </reviewItem>
    <reviewItem>
      <errorID/>
      <errorWord>台风前准备
</errorWord>
      <group>L1_Other</group>
      <groupName>其他问题</groupName>
      <ability>L2_RepeatSentence</ability>
      <abilityName>重句检查</abilityName>
      <candidateList>
        <item/>
      </candidateList>
      <explain>重句检查</explain>
      <paraID> 92978E9</paraID>
      <start>0</start>
      <end>6</end>
      <status>unmodified</status>
      <modifiedWord/>
      <trackRevisions>false</trackRevisions>
    </reviewItem>
    <reviewItem>
      <errorID>26198b9f-9c4c-4070-9483-a4ec2e8ec04a</errorID>
      <errorWord>-</errorWord>
      <group>L1_Format</group>
      <groupName>格式问题</groupName>
      <ability>L2_HalfPunc</ability>
      <abilityName>全半角检查</abilityName>
      <candidateList>
        <item>－</item>
      </candidateList>
      <explain>文本全半角错误。</explain>
      <paraID>76D20D2C</paraID>
      <start>6</start>
      <end>7</end>
      <status>unmodified</status>
      <modifiedWord/>
      <trackRevisions>false</trackRevisions>
    </reviewItem>
    <reviewItem>
      <errorID/>
      <errorWord>符合设计抗风荷载要求，</errorWord>
      <group>L1_Other</group>
      <groupName>其他问题</groupName>
      <ability>L2_RepeatSentence</ability>
      <abilityName>重句检查</abilityName>
      <candidateList>
        <item/>
      </candidateList>
      <explain>重句检查</explain>
      <paraID>66B35ED6</paraID>
      <start>0</start>
      <end>11</end>
      <status>unmodified</status>
      <modifiedWord/>
      <trackRevisions>false</trackRevisions>
    </reviewItem>
    <reviewItem>
      <errorID/>
      <errorWord>台风前准备
</errorWord>
      <group>L1_Other</group>
      <groupName>其他问题</groupName>
      <ability>L2_RepeatSentence</ability>
      <abilityName>重句检查</abilityName>
      <candidateList>
        <item/>
      </candidateList>
      <explain>重句检查</explain>
      <paraID>18773D3D</paraID>
      <start>0</start>
      <end>6</end>
      <status>unmodified</status>
      <modifiedWord/>
      <trackRevisions>false</trackRevisions>
    </reviewItem>
    <reviewItem>
      <errorID>736bc2ed-7355-4201-ba76-a8eb74f0322f</errorID>
      <errorWord>-</errorWord>
      <group>L1_Format</group>
      <groupName>格式问题</groupName>
      <ability>L2_HalfPunc</ability>
      <abilityName>全半角检查</abilityName>
      <candidateList>
        <item>－</item>
      </candidateList>
      <explain>文本全半角错误。</explain>
      <paraID>79D3482E</paraID>
      <start>6</start>
      <end>7</end>
      <status>unmodified</status>
      <modifiedWord/>
      <trackRevisions>false</trackRevisions>
    </reviewItem>
    <reviewItem>
      <errorID/>
      <errorWord>台风前准备
</errorWord>
      <group>L1_Other</group>
      <groupName>其他问题</groupName>
      <ability>L2_RepeatSentence</ability>
      <abilityName>重句检查</abilityName>
      <candidateList>
        <item/>
      </candidateList>
      <explain>重句检查</explain>
      <paraID>1B8CBF46</paraID>
      <start>0</start>
      <end>6</end>
      <status>unmodified</status>
      <modifiedWord/>
      <trackRevisions>false</trackRevisions>
    </reviewItem>
    <reviewItem>
      <errorID>fb5d908d-9060-43c7-9e9f-7972d87ff814</errorID>
      <errorWord>-</errorWord>
      <group>L1_Format</group>
      <groupName>格式问题</groupName>
      <ability>L2_HalfPunc</ability>
      <abilityName>全半角检查</abilityName>
      <candidateList>
        <item>－</item>
      </candidateList>
      <explain>文本全半角错误。</explain>
      <paraID>632EA725</paraID>
      <start>6</start>
      <end>7</end>
      <status>unmodified</status>
      <modifiedWord/>
      <trackRevisions>false</trackRevisions>
    </reviewItem>
    <reviewItem>
      <errorID/>
      <errorWord>台风前准备
</errorWord>
      <group>L1_Other</group>
      <groupName>其他问题</groupName>
      <ability>L2_RepeatSentence</ability>
      <abilityName>重句检查</abilityName>
      <candidateList>
        <item/>
      </candidateList>
      <explain>重句检查</explain>
      <paraID>3806FA0B</paraID>
      <start>0</start>
      <end>6</end>
      <status>unmodified</status>
      <modifiedWord/>
      <trackRevisions>false</trackRevisions>
    </reviewItem>
    <reviewItem>
      <errorID/>
      <errorWord>台风前准备
</errorWord>
      <group>L1_Other</group>
      <groupName>其他问题</groupName>
      <ability>L2_RepeatSentence</ability>
      <abilityName>重句检查</abilityName>
      <candidateList>
        <item/>
      </candidateList>
      <explain>重句检查</explain>
      <paraID> 68CF15F</paraID>
      <start>0</start>
      <end>6</end>
      <status>unmodified</status>
      <modifiedWord/>
      <trackRevisions>false</trackRevisions>
    </reviewItem>
    <reviewItem>
      <errorID/>
      <errorWord>台风中处置
</errorWord>
      <group>L1_Other</group>
      <groupName>其他问题</groupName>
      <ability>L2_RepeatSentence</ability>
      <abilityName>重句检查</abilityName>
      <candidateList>
        <item/>
      </candidateList>
      <explain>重句检查</explain>
      <paraID>63210A40</paraID>
      <start>0</start>
      <end>6</end>
      <status>unmodified</status>
      <modifiedWord/>
      <trackRevisions>false</trackRevisions>
    </reviewItem>
    <reviewItem>
      <errorID>8c4d5787-e140-469b-adb1-00b576a475c5</errorID>
      <errorWord>-</errorWord>
      <group>L1_Format</group>
      <groupName>格式问题</groupName>
      <ability>L2_HalfPunc</ability>
      <abilityName>全半角检查</abilityName>
      <candidateList>
        <item>－</item>
      </candidateList>
      <explain>文本全半角错误。</explain>
      <paraID>7161EE14</paraID>
      <start>6</start>
      <end>7</end>
      <status>unmodified</status>
      <modifiedWord/>
      <trackRevisions>false</trackRevisions>
    </reviewItem>
    <reviewItem>
      <errorID/>
      <errorWord>台风中处置
</errorWord>
      <group>L1_Other</group>
      <groupName>其他问题</groupName>
      <ability>L2_RepeatSentence</ability>
      <abilityName>重句检查</abilityName>
      <candidateList>
        <item/>
      </candidateList>
      <explain>重句检查</explain>
      <paraID>57AA1E98</paraID>
      <start>0</start>
      <end>6</end>
      <status>unmodified</status>
      <modifiedWord/>
      <trackRevisions>false</trackRevisions>
    </reviewItem>
    <reviewItem>
      <errorID>76191aed-8093-4e87-ad90-879b7c06bd19</errorID>
      <errorWord>-</errorWord>
      <group>L1_Format</group>
      <groupName>格式问题</groupName>
      <ability>L2_HalfPunc</ability>
      <abilityName>全半角检查</abilityName>
      <candidateList>
        <item>－</item>
      </candidateList>
      <explain>文本全半角错误。</explain>
      <paraID> 7B83393</paraID>
      <start>6</start>
      <end>7</end>
      <status>unmodified</status>
      <modifiedWord/>
      <trackRevisions>false</trackRevisions>
    </reviewItem>
    <reviewItem>
      <errorID/>
      <errorWord>台风中处置
</errorWord>
      <group>L1_Other</group>
      <groupName>其他问题</groupName>
      <ability>L2_RepeatSentence</ability>
      <abilityName>重句检查</abilityName>
      <candidateList>
        <item/>
      </candidateList>
      <explain>重句检查</explain>
      <paraID>3B3B19DF</paraID>
      <start>0</start>
      <end>6</end>
      <status>unmodified</status>
      <modifiedWord/>
      <trackRevisions>false</trackRevisions>
    </reviewItem>
    <reviewItem>
      <errorID>13f0068f-fc8c-41d0-a45b-0aaae42c89f5</errorID>
      <errorWord>超</errorWord>
      <group>L1_Word</group>
      <groupName>字词问题</groupName>
      <ability>L2_Typo</ability>
      <abilityName>字词错误</abilityName>
      <candidateList>
        <item>超过</item>
      </candidateList>
      <explain/>
      <paraID>474B4D99</paraID>
      <start>2</start>
      <end>3</end>
      <status>unmodified</status>
      <modifiedWord/>
      <trackRevisions>false</trackRevisions>
    </reviewItem>
    <reviewItem>
      <errorID/>
      <errorWord>台风中处置
</errorWord>
      <group>L1_Other</group>
      <groupName>其他问题</groupName>
      <ability>L2_RepeatSentence</ability>
      <abilityName>重句检查</abilityName>
      <candidateList>
        <item/>
      </candidateList>
      <explain>重句检查</explain>
      <paraID>1A47267A</paraID>
      <start>0</start>
      <end>6</end>
      <status>unmodified</status>
      <modifiedWord/>
      <trackRevisions>false</trackRevisions>
    </reviewItem>
    <reviewItem>
      <errorID/>
      <errorWord>台风后恢复
</errorWord>
      <group>L1_Other</group>
      <groupName>其他问题</groupName>
      <ability>L2_RepeatSentence</ability>
      <abilityName>重句检查</abilityName>
      <candidateList>
        <item/>
      </candidateList>
      <explain>重句检查</explain>
      <paraID> 2C18455</paraID>
      <start>0</start>
      <end>6</end>
      <status>unmodified</status>
      <modifiedWord/>
      <trackRevisions>false</trackRevisions>
    </reviewItem>
    <reviewItem>
      <errorID>d7948f46-6f06-423c-bd5e-fbd90da1ff7b</errorID>
      <errorWord>-</errorWord>
      <group>L1_Format</group>
      <groupName>格式问题</groupName>
      <ability>L2_HalfPunc</ability>
      <abilityName>全半角检查</abilityName>
      <candidateList>
        <item>－</item>
      </candidateList>
      <explain>文本全半角错误。</explain>
      <paraID>10747EC6</paraID>
      <start>6</start>
      <end>7</end>
      <status>unmodified</status>
      <modifiedWord/>
      <trackRevisions>false</trackRevisions>
    </reviewItem>
    <reviewItem>
      <errorID/>
      <errorWord>台风后恢复
</errorWord>
      <group>L1_Other</group>
      <groupName>其他问题</groupName>
      <ability>L2_RepeatSentence</ability>
      <abilityName>重句检查</abilityName>
      <candidateList>
        <item/>
      </candidateList>
      <explain>重句检查</explain>
      <paraID>1F889F61</paraID>
      <start>0</start>
      <end>6</end>
      <status>unmodified</status>
      <modifiedWord/>
      <trackRevisions>false</trackRevisions>
    </reviewItem>
    <reviewItem>
      <errorID>ee86e487-6aa3-4e96-a176-968b40a89935</errorID>
      <errorWord>-</errorWord>
      <group>L1_Format</group>
      <groupName>格式问题</groupName>
      <ability>L2_HalfPunc</ability>
      <abilityName>全半角检查</abilityName>
      <candidateList>
        <item>－</item>
      </candidateList>
      <explain>文本全半角错误。</explain>
      <paraID>3356E90B</paraID>
      <start>6</start>
      <end>7</end>
      <status>unmodified</status>
      <modifiedWord/>
      <trackRevisions>false</trackRevisions>
    </reviewItem>
    <reviewItem>
      <errorID/>
      <errorWord>台风后恢复
</errorWord>
      <group>L1_Other</group>
      <groupName>其他问题</groupName>
      <ability>L2_RepeatSentence</ability>
      <abilityName>重句检查</abilityName>
      <candidateList>
        <item/>
      </candidateList>
      <explain>重句检查</explain>
      <paraID>5AAAC8F5</paraID>
      <start>0</start>
      <end>6</end>
      <status>unmodified</status>
      <modifiedWord/>
      <trackRevisions>false</trackRevisions>
    </reviewItem>
    <reviewItem>
      <errorID>07421a8a-d07e-4a58-9679-d2f17afaa4c0</errorID>
      <errorWord>-</errorWord>
      <group>L1_Format</group>
      <groupName>格式问题</groupName>
      <ability>L2_HalfPunc</ability>
      <abilityName>全半角检查</abilityName>
      <candidateList>
        <item>－</item>
      </candidateList>
      <explain>文本全半角错误。</explain>
      <paraID>76CE7E48</paraID>
      <start>6</start>
      <end>7</end>
      <status>unmodified</status>
      <modifiedWord/>
      <trackRevisions>false</trackRevisions>
    </reviewItem>
    <reviewItem>
      <errorID/>
      <errorWord>台风后恢复
</errorWord>
      <group>L1_Other</group>
      <groupName>其他问题</groupName>
      <ability>L2_RepeatSentence</ability>
      <abilityName>重句检查</abilityName>
      <candidateList>
        <item/>
      </candidateList>
      <explain>重句检查</explain>
      <paraID>3CBAEB42</paraID>
      <start>0</start>
      <end>6</end>
      <status>unmodified</status>
      <modifiedWord/>
      <trackRevisions>false</trackRevisions>
    </reviewItem>
    <reviewItem>
      <errorID/>
      <errorWord>台风后恢复
</errorWord>
      <group>L1_Other</group>
      <groupName>其他问题</groupName>
      <ability>L2_RepeatSentence</ability>
      <abilityName>重句检查</abilityName>
      <candidateList>
        <item/>
      </candidateList>
      <explain>重句检查</explain>
      <paraID>52B02F71</paraID>
      <start>0</start>
      <end>6</end>
      <status>unmodified</status>
      <modifiedWord/>
      <trackRevisions>false</trackRevisions>
    </reviewItem>
  </reviewItems>
  <config/>
</contractReview>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cb07c2a-9d38-4698-a672-a819a5567cb7}">
  <ds:schemaRefs/>
</ds:datastoreItem>
</file>

<file path=customXml/itemProps3.xml><?xml version="1.0" encoding="utf-8"?>
<ds:datastoreItem xmlns:ds="http://schemas.openxmlformats.org/officeDocument/2006/customXml" ds:itemID="{45901214-3F13-4D39-A25C-923A91DC6B28}">
  <ds:schemaRefs/>
</ds:datastoreItem>
</file>

<file path=docProps/app.xml><?xml version="1.0" encoding="utf-8"?>
<Properties xmlns="http://schemas.openxmlformats.org/officeDocument/2006/extended-properties" xmlns:vt="http://schemas.openxmlformats.org/officeDocument/2006/docPropsVTypes">
  <Template>团体标准.dotx</Template>
  <Company>PCMI</Company>
  <Pages>22</Pages>
  <Words>10517</Words>
  <Characters>11411</Characters>
  <Lines>139</Lines>
  <Paragraphs>39</Paragraphs>
  <TotalTime>0</TotalTime>
  <ScaleCrop>false</ScaleCrop>
  <LinksUpToDate>false</LinksUpToDate>
  <CharactersWithSpaces>11544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2026-05-06T02:58:00Z</dcterms:created>
  <dc:creator>xin han</dc:creator>
  <dc:description>&lt;config cover="true" show_menu="true" version="1.0.0" doctype="SDKXY"&gt;_x000d_
&lt;/config&gt;</dc:description>
  <cp:lastModifiedBy>王嵩</cp:lastModifiedBy>
  <cp:lastPrinted>2021-02-02T08:22:00Z</cp:lastPrinted>
  <dcterms:modified xsi:type="dcterms:W3CDTF">2026-05-11T07:48:32Z</dcterms:modified>
  <dc:title>团体标准</dc:title>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eyJoZGlkIjoiNDYyNGFiOWVjNmUyNDJkMjQ4ZjU3YWM4YTY1MmJjYzMiLCJ1c2VySWQiOiIxNTgwMzA1OTc1In0=</vt:lpwstr>
  </property>
  <property fmtid="{D5CDD505-2E9C-101B-9397-08002B2CF9AE}" pid="15" name="KSOProductBuildVer">
    <vt:lpwstr>2052-12.1.0.25865</vt:lpwstr>
  </property>
  <property fmtid="{D5CDD505-2E9C-101B-9397-08002B2CF9AE}" pid="16" name="ICV">
    <vt:lpwstr>37005322E8AC45DD9AE3B8CCC419421F_12</vt:lpwstr>
  </property>
</Properties>
</file>