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B4F0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93C25DC">
            <w:pPr>
              <w:pStyle w:val="19"/>
              <w:framePr w:h="1581" w:hRule="exact" w:wrap="notBeside" w:vAnchor="page" w:hAnchor="page" w:x="1372" w:y="590"/>
              <w:tabs>
                <w:tab w:val="clear" w:pos="4153"/>
                <w:tab w:val="clear" w:pos="8306"/>
              </w:tabs>
              <w:spacing w:line="240" w:lineRule="auto"/>
              <w:jc w:val="left"/>
              <w:rPr>
                <w:rFonts w:hint="eastAsia" w:ascii="黑体" w:hAnsi="黑体" w:eastAsia="黑体"/>
                <w:sz w:val="21"/>
                <w:szCs w:val="21"/>
                <w:highlight w:val="none"/>
              </w:rPr>
            </w:pPr>
            <w:bookmarkStart w:id="234" w:name="_GoBack"/>
            <w:bookmarkEnd w:id="234"/>
            <w:r>
              <w:rPr>
                <w:rFonts w:ascii="Times New Roman" w:hAnsi="Times New Roman" w:eastAsia="黑体"/>
                <w:sz w:val="21"/>
                <w:szCs w:val="21"/>
                <w:highlight w:val="none"/>
              </w:rPr>
              <w:t>ICS</w:t>
            </w:r>
            <w:r>
              <w:rPr>
                <w:rFonts w:ascii="黑体" w:hAnsi="黑体" w:eastAsia="黑体"/>
                <w:sz w:val="21"/>
                <w:szCs w:val="21"/>
                <w:highlight w:val="none"/>
              </w:rPr>
              <w:t xml:space="preserve">  </w:t>
            </w:r>
          </w:p>
        </w:tc>
        <w:tc>
          <w:tcPr>
            <w:tcW w:w="8855" w:type="dxa"/>
          </w:tcPr>
          <w:p w14:paraId="65B5A0A1">
            <w:pPr>
              <w:pStyle w:val="19"/>
              <w:framePr w:h="1581" w:hRule="exact" w:wrap="notBeside" w:vAnchor="page" w:hAnchor="page" w:x="1372" w:y="590"/>
              <w:tabs>
                <w:tab w:val="clear" w:pos="4153"/>
                <w:tab w:val="clear" w:pos="8306"/>
              </w:tabs>
              <w:spacing w:line="240" w:lineRule="auto"/>
              <w:jc w:val="both"/>
              <w:rPr>
                <w:rFonts w:hint="eastAsia" w:ascii="黑体" w:hAnsi="黑体" w:eastAsia="黑体"/>
                <w:sz w:val="21"/>
                <w:szCs w:val="21"/>
                <w:highlight w:val="none"/>
              </w:rPr>
            </w:pPr>
            <w:r>
              <w:rPr>
                <w:rFonts w:ascii="黑体" w:hAnsi="黑体" w:eastAsia="黑体"/>
                <w:sz w:val="21"/>
                <w:szCs w:val="21"/>
                <w:highlight w:val="none"/>
              </w:rPr>
              <w:fldChar w:fldCharType="begin">
                <w:ffData>
                  <w:name w:val="ICS"/>
                  <w:enabled/>
                  <w:calcOnExit w:val="0"/>
                  <w:textInput>
                    <w:default w:val="点击此处添加ICS号"/>
                  </w:textInput>
                </w:ffData>
              </w:fldChar>
            </w:r>
            <w:bookmarkStart w:id="0" w:name="ICS"/>
            <w:r>
              <w:rPr>
                <w:rFonts w:ascii="黑体" w:hAnsi="黑体" w:eastAsia="黑体"/>
                <w:sz w:val="21"/>
                <w:szCs w:val="21"/>
                <w:highlight w:val="none"/>
              </w:rPr>
              <w:instrText xml:space="preserve"> FORMTEXT </w:instrText>
            </w:r>
            <w:r>
              <w:rPr>
                <w:rFonts w:ascii="黑体" w:hAnsi="黑体" w:eastAsia="黑体"/>
                <w:sz w:val="21"/>
                <w:szCs w:val="21"/>
                <w:highlight w:val="none"/>
              </w:rPr>
              <w:fldChar w:fldCharType="separate"/>
            </w:r>
            <w:r>
              <w:rPr>
                <w:rFonts w:ascii="黑体" w:hAnsi="黑体" w:eastAsia="黑体"/>
                <w:sz w:val="21"/>
                <w:szCs w:val="21"/>
                <w:highlight w:val="none"/>
              </w:rPr>
              <w:t>     </w:t>
            </w:r>
            <w:r>
              <w:rPr>
                <w:rFonts w:ascii="黑体" w:hAnsi="黑体" w:eastAsia="黑体"/>
                <w:sz w:val="21"/>
                <w:szCs w:val="21"/>
                <w:highlight w:val="none"/>
              </w:rPr>
              <w:fldChar w:fldCharType="end"/>
            </w:r>
            <w:bookmarkEnd w:id="0"/>
          </w:p>
        </w:tc>
      </w:tr>
      <w:tr w14:paraId="1C7AA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35512AD">
            <w:pPr>
              <w:pStyle w:val="19"/>
              <w:framePr w:h="1581" w:hRule="exact" w:wrap="notBeside" w:vAnchor="page" w:hAnchor="page" w:x="1372" w:y="590"/>
              <w:tabs>
                <w:tab w:val="clear" w:pos="4153"/>
                <w:tab w:val="clear" w:pos="8306"/>
              </w:tabs>
              <w:spacing w:before="40" w:line="240" w:lineRule="auto"/>
              <w:jc w:val="left"/>
              <w:rPr>
                <w:rFonts w:hint="eastAsia" w:ascii="黑体" w:hAnsi="黑体" w:eastAsia="黑体"/>
                <w:sz w:val="21"/>
                <w:szCs w:val="21"/>
                <w:highlight w:val="none"/>
              </w:rPr>
            </w:pPr>
            <w:r>
              <w:rPr>
                <w:rFonts w:ascii="Times New Roman" w:hAnsi="Times New Roman" w:eastAsia="黑体"/>
                <w:sz w:val="21"/>
                <w:szCs w:val="21"/>
                <w:highlight w:val="none"/>
              </w:rPr>
              <w:t xml:space="preserve">CCS </w:t>
            </w:r>
            <w:r>
              <w:rPr>
                <w:rFonts w:ascii="黑体" w:hAnsi="黑体" w:eastAsia="黑体"/>
                <w:sz w:val="21"/>
                <w:szCs w:val="21"/>
                <w:highlight w:val="none"/>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0ACDB8C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75C3C844">
                  <w:pPr>
                    <w:pStyle w:val="51"/>
                    <w:framePr w:h="1581" w:hRule="exact" w:wrap="notBeside" w:vAnchor="page" w:hAnchor="page" w:x="1372" w:y="590"/>
                    <w:ind w:left="420" w:right="624"/>
                    <w:jc w:val="center"/>
                    <w:rPr>
                      <w:rFonts w:hint="eastAsia" w:ascii="宋体" w:hAnsi="宋体"/>
                      <w:sz w:val="28"/>
                      <w:szCs w:val="28"/>
                      <w:highlight w:val="none"/>
                    </w:rPr>
                  </w:pPr>
                  <w:r>
                    <w:rPr>
                      <w:rFonts w:hint="eastAsia" w:ascii="宋体" w:hAnsi="宋体"/>
                      <w:sz w:val="28"/>
                      <w:szCs w:val="28"/>
                      <w:highlight w:val="none"/>
                    </w:rPr>
                    <w:drawing>
                      <wp:anchor distT="0" distB="0" distL="114300" distR="114300" simplePos="0" relativeHeight="251662336" behindDoc="0" locked="0" layoutInCell="1" allowOverlap="1">
                        <wp:simplePos x="0" y="0"/>
                        <wp:positionH relativeFrom="column">
                          <wp:posOffset>23495</wp:posOffset>
                        </wp:positionH>
                        <wp:positionV relativeFrom="paragraph">
                          <wp:posOffset>19685</wp:posOffset>
                        </wp:positionV>
                        <wp:extent cx="657225" cy="657225"/>
                        <wp:effectExtent l="0" t="0" r="1270" b="1270"/>
                        <wp:wrapSquare wrapText="bothSides"/>
                        <wp:docPr id="11" name="图片 11" descr="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标1"/>
                                <pic:cNvPicPr>
                                  <a:picLocks noChangeAspect="1"/>
                                </pic:cNvPicPr>
                              </pic:nvPicPr>
                              <pic:blipFill>
                                <a:blip r:embed="rId21"/>
                                <a:stretch>
                                  <a:fillRect/>
                                </a:stretch>
                              </pic:blipFill>
                              <pic:spPr>
                                <a:xfrm>
                                  <a:off x="0" y="0"/>
                                  <a:ext cx="657225" cy="657225"/>
                                </a:xfrm>
                                <a:prstGeom prst="rect">
                                  <a:avLst/>
                                </a:prstGeom>
                              </pic:spPr>
                            </pic:pic>
                          </a:graphicData>
                        </a:graphic>
                      </wp:anchor>
                    </w:drawing>
                  </w:r>
                </w:p>
              </w:tc>
            </w:tr>
          </w:tbl>
          <w:p w14:paraId="260F3715">
            <w:pPr>
              <w:pStyle w:val="19"/>
              <w:framePr w:h="1581" w:hRule="exact" w:wrap="notBeside" w:vAnchor="page" w:hAnchor="page" w:x="1372" w:y="590"/>
              <w:tabs>
                <w:tab w:val="clear" w:pos="4153"/>
                <w:tab w:val="clear" w:pos="8306"/>
              </w:tabs>
              <w:spacing w:before="40" w:line="240" w:lineRule="auto"/>
              <w:jc w:val="left"/>
              <w:rPr>
                <w:rFonts w:hint="eastAsia" w:ascii="黑体" w:hAnsi="黑体" w:eastAsia="黑体"/>
                <w:sz w:val="21"/>
                <w:szCs w:val="21"/>
                <w:highlight w:val="none"/>
              </w:rPr>
            </w:pPr>
            <w:r>
              <w:rPr>
                <w:rFonts w:ascii="黑体" w:hAnsi="黑体" w:eastAsia="黑体"/>
                <w:sz w:val="21"/>
                <w:szCs w:val="21"/>
                <w:highlight w:val="none"/>
              </w:rPr>
              <w:fldChar w:fldCharType="begin">
                <w:ffData>
                  <w:name w:val="CSDN"/>
                  <w:enabled/>
                  <w:calcOnExit w:val="0"/>
                  <w:textInput>
                    <w:default w:val="点击此处添加CCS号"/>
                  </w:textInput>
                </w:ffData>
              </w:fldChar>
            </w:r>
            <w:bookmarkStart w:id="1" w:name="CSDN"/>
            <w:r>
              <w:rPr>
                <w:rFonts w:ascii="黑体" w:hAnsi="黑体" w:eastAsia="黑体"/>
                <w:sz w:val="21"/>
                <w:szCs w:val="21"/>
                <w:highlight w:val="none"/>
              </w:rPr>
              <w:instrText xml:space="preserve"> FORMTEXT </w:instrText>
            </w:r>
            <w:r>
              <w:rPr>
                <w:rFonts w:ascii="黑体" w:hAnsi="黑体" w:eastAsia="黑体"/>
                <w:sz w:val="21"/>
                <w:szCs w:val="21"/>
                <w:highlight w:val="none"/>
              </w:rPr>
              <w:fldChar w:fldCharType="separate"/>
            </w:r>
            <w:r>
              <w:rPr>
                <w:rFonts w:ascii="黑体" w:hAnsi="黑体" w:eastAsia="黑体"/>
                <w:sz w:val="21"/>
                <w:szCs w:val="21"/>
                <w:highlight w:val="none"/>
              </w:rPr>
              <w:t>     </w:t>
            </w:r>
            <w:r>
              <w:rPr>
                <w:rFonts w:ascii="黑体" w:hAnsi="黑体" w:eastAsia="黑体"/>
                <w:sz w:val="21"/>
                <w:szCs w:val="21"/>
                <w:highlight w:val="none"/>
              </w:rPr>
              <w:fldChar w:fldCharType="end"/>
            </w:r>
            <w:bookmarkEnd w:id="1"/>
          </w:p>
        </w:tc>
      </w:tr>
    </w:tbl>
    <w:p w14:paraId="3237ED3B">
      <w:pPr>
        <w:pStyle w:val="52"/>
        <w:framePr w:w="9639" w:h="624" w:hRule="exact" w:hSpace="181" w:vSpace="181" w:wrap="around" w:hAnchor="page" w:x="1305" w:y="2269"/>
        <w:rPr>
          <w:rFonts w:hint="eastAsia" w:ascii="黑体" w:hAnsi="黑体" w:eastAsia="黑体"/>
          <w:b w:val="0"/>
          <w:bCs w:val="0"/>
          <w:w w:val="100"/>
          <w:sz w:val="48"/>
          <w:szCs w:val="48"/>
          <w:highlight w:val="none"/>
        </w:rPr>
      </w:pPr>
      <w:bookmarkStart w:id="2" w:name="_Hlk26473981"/>
      <w:r>
        <w:rPr>
          <w:rFonts w:hint="eastAsia" w:ascii="黑体" w:eastAsia="黑体"/>
          <w:b w:val="0"/>
          <w:w w:val="100"/>
          <w:sz w:val="48"/>
          <w:highlight w:val="none"/>
        </w:rPr>
        <w:t>团体</w:t>
      </w:r>
      <w:r>
        <w:rPr>
          <w:rFonts w:hint="eastAsia" w:ascii="黑体" w:hAnsi="黑体" w:eastAsia="黑体"/>
          <w:b w:val="0"/>
          <w:bCs w:val="0"/>
          <w:w w:val="100"/>
          <w:sz w:val="48"/>
          <w:szCs w:val="48"/>
          <w:highlight w:val="none"/>
        </w:rPr>
        <w:t>标准</w:t>
      </w:r>
    </w:p>
    <w:bookmarkEnd w:id="2"/>
    <w:p w14:paraId="37F47B4A">
      <w:pPr>
        <w:pStyle w:val="197"/>
        <w:rPr>
          <w:highlight w:val="none"/>
        </w:rPr>
      </w:pPr>
      <w:r>
        <w:rPr>
          <w:highlight w:val="none"/>
        </w:rPr>
        <w:t>T/</w:t>
      </w:r>
      <w:r>
        <w:rPr>
          <w:highlight w:val="none"/>
        </w:rPr>
        <w:fldChar w:fldCharType="begin">
          <w:ffData>
            <w:name w:val="文字1"/>
            <w:enabled/>
            <w:calcOnExit w:val="0"/>
            <w:textInput>
              <w:default w:val="XXX"/>
            </w:textInput>
          </w:ffData>
        </w:fldChar>
      </w:r>
      <w:bookmarkStart w:id="3" w:name="文字1"/>
      <w:r>
        <w:rPr>
          <w:highlight w:val="none"/>
        </w:rPr>
        <w:instrText xml:space="preserve"> FORMTEXT </w:instrText>
      </w:r>
      <w:r>
        <w:rPr>
          <w:highlight w:val="none"/>
        </w:rPr>
        <w:fldChar w:fldCharType="separate"/>
      </w:r>
      <w:r>
        <w:rPr>
          <w:highlight w:val="none"/>
        </w:rPr>
        <w:t>XXX</w:t>
      </w:r>
      <w:r>
        <w:rPr>
          <w:highlight w:val="none"/>
        </w:rPr>
        <w:fldChar w:fldCharType="end"/>
      </w:r>
      <w:bookmarkEnd w:id="3"/>
      <w:r>
        <w:rPr>
          <w:highlight w:val="none"/>
        </w:rPr>
        <w:t xml:space="preserve"> </w:t>
      </w:r>
      <w:r>
        <w:rPr>
          <w:highlight w:val="none"/>
        </w:rPr>
        <w:fldChar w:fldCharType="begin">
          <w:ffData>
            <w:name w:val="NSTD_CODE_F"/>
            <w:enabled/>
            <w:calcOnExit w:val="0"/>
            <w:textInput>
              <w:default w:val="XXXX"/>
            </w:textInput>
          </w:ffData>
        </w:fldChar>
      </w:r>
      <w:bookmarkStart w:id="4" w:name="NSTD_CODE_F"/>
      <w:r>
        <w:rPr>
          <w:highlight w:val="none"/>
        </w:rPr>
        <w:instrText xml:space="preserve"> FORMTEXT </w:instrText>
      </w:r>
      <w:r>
        <w:rPr>
          <w:highlight w:val="none"/>
        </w:rPr>
        <w:fldChar w:fldCharType="separate"/>
      </w:r>
      <w:r>
        <w:rPr>
          <w:highlight w:val="none"/>
        </w:rPr>
        <w:t>XXXX</w:t>
      </w:r>
      <w:r>
        <w:rPr>
          <w:highlight w:val="none"/>
        </w:rPr>
        <w:fldChar w:fldCharType="end"/>
      </w:r>
      <w:bookmarkEnd w:id="4"/>
      <w:r>
        <w:rPr>
          <w:rFonts w:hAnsi="黑体"/>
          <w:highlight w:val="none"/>
        </w:rPr>
        <w:t>—</w:t>
      </w:r>
      <w:r>
        <w:rPr>
          <w:highlight w:val="none"/>
        </w:rPr>
        <w:fldChar w:fldCharType="begin">
          <w:ffData>
            <w:name w:val="NSTD_CODE_B"/>
            <w:enabled/>
            <w:calcOnExit w:val="0"/>
            <w:textInput>
              <w:default w:val="XXXX"/>
            </w:textInput>
          </w:ffData>
        </w:fldChar>
      </w:r>
      <w:bookmarkStart w:id="5" w:name="NSTD_CODE_B"/>
      <w:r>
        <w:rPr>
          <w:highlight w:val="none"/>
        </w:rPr>
        <w:instrText xml:space="preserve"> FORMTEXT </w:instrText>
      </w:r>
      <w:r>
        <w:rPr>
          <w:highlight w:val="none"/>
        </w:rPr>
        <w:fldChar w:fldCharType="separate"/>
      </w:r>
      <w:r>
        <w:rPr>
          <w:highlight w:val="none"/>
        </w:rPr>
        <w:t>XXXX</w:t>
      </w:r>
      <w:r>
        <w:rPr>
          <w:highlight w:val="none"/>
        </w:rPr>
        <w:fldChar w:fldCharType="end"/>
      </w:r>
      <w:bookmarkEnd w:id="5"/>
    </w:p>
    <w:p w14:paraId="0B3B1923">
      <w:pPr>
        <w:pStyle w:val="198"/>
        <w:rPr>
          <w:rFonts w:hint="eastAsia" w:hAnsi="黑体"/>
          <w:highlight w:val="none"/>
        </w:rPr>
      </w:pPr>
      <w:r>
        <w:rPr>
          <w:rFonts w:hAnsi="黑体"/>
          <w:highlight w:val="none"/>
        </w:rPr>
        <w:fldChar w:fldCharType="begin">
          <w:ffData>
            <w:name w:val="OSTD_CODE"/>
            <w:enabled/>
            <w:calcOnExit w:val="0"/>
            <w:textInput/>
          </w:ffData>
        </w:fldChar>
      </w:r>
      <w:bookmarkStart w:id="6" w:name="OSTD_CODE"/>
      <w:r>
        <w:rPr>
          <w:rFonts w:hAnsi="黑体"/>
          <w:highlight w:val="none"/>
        </w:rPr>
        <w:instrText xml:space="preserve"> FORMTEXT </w:instrText>
      </w:r>
      <w:r>
        <w:rPr>
          <w:rFonts w:hAnsi="黑体"/>
          <w:highlight w:val="none"/>
        </w:rPr>
        <w:fldChar w:fldCharType="separate"/>
      </w:r>
      <w:r>
        <w:rPr>
          <w:rFonts w:hAnsi="黑体"/>
          <w:highlight w:val="none"/>
        </w:rPr>
        <w:t>     </w:t>
      </w:r>
      <w:r>
        <w:rPr>
          <w:rFonts w:hAnsi="黑体"/>
          <w:highlight w:val="none"/>
        </w:rPr>
        <w:fldChar w:fldCharType="end"/>
      </w:r>
      <w:bookmarkEnd w:id="6"/>
    </w:p>
    <w:p w14:paraId="6B2A89AE">
      <w:pPr>
        <w:pBdr>
          <w:top w:val="none" w:color="auto" w:sz="0" w:space="0"/>
          <w:left w:val="none" w:color="auto" w:sz="0" w:space="0"/>
          <w:bottom w:val="none" w:color="auto" w:sz="0" w:space="0"/>
          <w:right w:val="none" w:color="auto" w:sz="0" w:space="0"/>
        </w:pBdr>
        <w:spacing w:line="240" w:lineRule="auto"/>
        <w:rPr>
          <w:rFonts w:hint="eastAsia" w:ascii="黑体" w:hAnsi="黑体" w:eastAsia="黑体"/>
          <w:kern w:val="0"/>
          <w:sz w:val="10"/>
          <w:szCs w:val="10"/>
          <w:highlight w:val="none"/>
        </w:rPr>
      </w:pPr>
      <w:r>
        <w:rPr>
          <w:sz w:val="28"/>
        </w:rPr>
        <mc:AlternateContent>
          <mc:Choice Requires="wps">
            <w:drawing>
              <wp:anchor distT="0" distB="0" distL="114300" distR="114300" simplePos="0" relativeHeight="251667456" behindDoc="0" locked="0" layoutInCell="1" allowOverlap="1">
                <wp:simplePos x="0" y="0"/>
                <wp:positionH relativeFrom="column">
                  <wp:posOffset>-1080770</wp:posOffset>
                </wp:positionH>
                <wp:positionV relativeFrom="paragraph">
                  <wp:posOffset>-1386205</wp:posOffset>
                </wp:positionV>
                <wp:extent cx="914400" cy="470535"/>
                <wp:effectExtent l="0" t="0" r="0" b="0"/>
                <wp:wrapNone/>
                <wp:docPr id="9" name="文本框 9"/>
                <wp:cNvGraphicFramePr/>
                <a:graphic xmlns:a="http://schemas.openxmlformats.org/drawingml/2006/main">
                  <a:graphicData uri="http://schemas.microsoft.com/office/word/2010/wordprocessingShape">
                    <wps:wsp>
                      <wps:cNvSpPr txBox="1"/>
                      <wps:spPr>
                        <a:xfrm>
                          <a:off x="0" y="0"/>
                          <a:ext cx="914400" cy="4705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B6F5C9">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附件3</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5.1pt;margin-top:-109.15pt;height:37.05pt;width:72pt;z-index:251667456;mso-width-relative:page;mso-height-relative:page;" filled="f" stroked="f" coordsize="21600,21600" o:gfxdata="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&#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rRvI7dAAAADgEAAA8AAAAAAAAAAQAgAAAAIgAAAGRy&#10;cy9kb3ducmV2LnhtbFBLAQIUABQAAAAIAIdO4kADyFHqOQIAAGUEAAAOAAAAAAAAAAEAIAAAACwB&#10;AABkcnMvZTJvRG9jLnhtbFBLBQYAAAAABgAGAFkBAADXBQAAAAA=&#10;">
                <v:fill on="f" focussize="0,0"/>
                <v:stroke on="f" weight="0.5pt"/>
                <v:imagedata o:title=""/>
                <o:lock v:ext="edit" aspectratio="f"/>
                <v:textbox>
                  <w:txbxContent>
                    <w:p w14:paraId="25B6F5C9">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附件3</w:t>
                      </w:r>
                    </w:p>
                  </w:txbxContent>
                </v:textbox>
              </v:shape>
            </w:pict>
          </mc:Fallback>
        </mc:AlternateContent>
      </w:r>
      <w:r>
        <w:rPr>
          <w:rFonts w:ascii="黑体" w:hAnsi="黑体" w:eastAsia="黑体"/>
          <w:kern w:val="0"/>
          <w:sz w:val="10"/>
          <w:szCs w:val="10"/>
          <w:highlight w:val="none"/>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F319BA4">
      <w:pPr>
        <w:pStyle w:val="52"/>
        <w:framePr w:w="9639" w:h="6976" w:hRule="exact" w:hSpace="0" w:vSpace="0" w:wrap="around" w:hAnchor="page" w:y="6408"/>
        <w:jc w:val="center"/>
        <w:rPr>
          <w:rFonts w:hint="eastAsia" w:ascii="黑体" w:hAnsi="黑体" w:eastAsia="黑体"/>
          <w:b w:val="0"/>
          <w:bCs w:val="0"/>
          <w:w w:val="100"/>
          <w:highlight w:val="none"/>
        </w:rPr>
      </w:pPr>
    </w:p>
    <w:p w14:paraId="10601C5F">
      <w:pPr>
        <w:pStyle w:val="199"/>
        <w:framePr w:h="6974" w:hRule="exact" w:wrap="around" w:x="1419" w:anchorLock="1"/>
        <w:rPr>
          <w:rFonts w:hint="eastAsia"/>
          <w:highlight w:val="none"/>
        </w:rPr>
      </w:pPr>
      <w:r>
        <w:rPr>
          <w:highlight w:val="none"/>
        </w:rPr>
        <w:fldChar w:fldCharType="begin">
          <w:ffData>
            <w:name w:val="CSTD_NAME"/>
            <w:enabled/>
            <w:calcOnExit w:val="0"/>
            <w:textInput>
              <w:default w:val="点击此处添加标准名称"/>
            </w:textInput>
          </w:ffData>
        </w:fldChar>
      </w:r>
      <w:bookmarkStart w:id="7" w:name="CSTD_NAME"/>
      <w:r>
        <w:rPr>
          <w:highlight w:val="none"/>
        </w:rPr>
        <w:instrText xml:space="preserve"> FORMTEXT </w:instrText>
      </w:r>
      <w:r>
        <w:rPr>
          <w:highlight w:val="none"/>
        </w:rPr>
        <w:fldChar w:fldCharType="separate"/>
      </w:r>
      <w:r>
        <w:rPr>
          <w:rFonts w:hint="eastAsia"/>
          <w:highlight w:val="none"/>
        </w:rPr>
        <w:t>架空输电线路抗台风设计技术规程</w:t>
      </w:r>
      <w:r>
        <w:rPr>
          <w:highlight w:val="none"/>
        </w:rPr>
        <w:fldChar w:fldCharType="end"/>
      </w:r>
      <w:bookmarkEnd w:id="7"/>
    </w:p>
    <w:p w14:paraId="15F66BD1">
      <w:pPr>
        <w:framePr w:w="9639" w:h="6974" w:hRule="exact" w:wrap="around" w:vAnchor="page" w:hAnchor="page" w:x="1419" w:y="6408" w:anchorLock="1"/>
        <w:ind w:left="-1418"/>
        <w:rPr>
          <w:highlight w:val="none"/>
        </w:rPr>
      </w:pPr>
    </w:p>
    <w:p w14:paraId="29535DC3">
      <w:pPr>
        <w:pStyle w:val="127"/>
        <w:framePr w:w="9639" w:h="6974" w:hRule="exact" w:wrap="around" w:vAnchor="page" w:hAnchor="page" w:x="1419" w:y="6408" w:anchorLock="1"/>
        <w:textAlignment w:val="bottom"/>
        <w:rPr>
          <w:rFonts w:eastAsia="黑体"/>
          <w:szCs w:val="28"/>
          <w:highlight w:val="none"/>
        </w:rPr>
      </w:pPr>
      <w:r>
        <w:rPr>
          <w:rFonts w:eastAsia="黑体"/>
          <w:szCs w:val="28"/>
          <w:highlight w:val="none"/>
        </w:rPr>
        <w:fldChar w:fldCharType="begin">
          <w:ffData>
            <w:name w:val="ESTD_NAME"/>
            <w:enabled/>
            <w:calcOnExit w:val="0"/>
            <w:textInput>
              <w:default w:val="点击此处添加标准名称的英文译名"/>
            </w:textInput>
          </w:ffData>
        </w:fldChar>
      </w:r>
      <w:bookmarkStart w:id="8" w:name="ESTD_NAME"/>
      <w:r>
        <w:rPr>
          <w:rFonts w:eastAsia="黑体"/>
          <w:szCs w:val="28"/>
          <w:highlight w:val="none"/>
        </w:rPr>
        <w:instrText xml:space="preserve"> FORMTEXT </w:instrText>
      </w:r>
      <w:r>
        <w:rPr>
          <w:rFonts w:eastAsia="黑体"/>
          <w:szCs w:val="28"/>
          <w:highlight w:val="none"/>
        </w:rPr>
        <w:fldChar w:fldCharType="separate"/>
      </w:r>
      <w:r>
        <w:rPr>
          <w:rFonts w:hint="eastAsia" w:eastAsia="黑体"/>
          <w:szCs w:val="28"/>
          <w:highlight w:val="none"/>
        </w:rPr>
        <w:t>Code of Practice for Typhoon Resistant Design of Overhead Transmission Lines</w:t>
      </w:r>
      <w:r>
        <w:rPr>
          <w:rFonts w:eastAsia="黑体"/>
          <w:szCs w:val="28"/>
          <w:highlight w:val="none"/>
        </w:rPr>
        <w:fldChar w:fldCharType="end"/>
      </w:r>
      <w:bookmarkEnd w:id="8"/>
    </w:p>
    <w:p w14:paraId="3DF625A1">
      <w:pPr>
        <w:framePr w:w="9639" w:h="6974" w:hRule="exact" w:wrap="around" w:vAnchor="page" w:hAnchor="page" w:x="1419" w:y="6408" w:anchorLock="1"/>
        <w:spacing w:line="760" w:lineRule="exact"/>
        <w:ind w:left="-1418"/>
        <w:rPr>
          <w:highlight w:val="none"/>
        </w:rPr>
      </w:pPr>
    </w:p>
    <w:p w14:paraId="5A24AF99">
      <w:pPr>
        <w:pStyle w:val="127"/>
        <w:framePr w:w="9639" w:h="6974" w:hRule="exact" w:wrap="around" w:vAnchor="page" w:hAnchor="page" w:x="1419" w:y="6408" w:anchorLock="1"/>
        <w:textAlignment w:val="bottom"/>
        <w:rPr>
          <w:rFonts w:eastAsia="黑体"/>
          <w:szCs w:val="28"/>
          <w:highlight w:val="none"/>
        </w:rPr>
      </w:pPr>
    </w:p>
    <w:p w14:paraId="76D13AF2">
      <w:pPr>
        <w:pStyle w:val="127"/>
        <w:framePr w:w="9639" w:h="6974" w:hRule="exact" w:wrap="around" w:vAnchor="page" w:hAnchor="page" w:x="1419" w:y="6408" w:anchorLock="1"/>
        <w:spacing w:before="440" w:after="160"/>
        <w:textAlignment w:val="bottom"/>
        <w:rPr>
          <w:sz w:val="24"/>
          <w:szCs w:val="28"/>
          <w:highlight w:val="none"/>
        </w:rPr>
      </w:pPr>
      <w:r>
        <w:rPr>
          <w:sz w:val="24"/>
          <w:szCs w:val="28"/>
          <w:highlight w:val="none"/>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highlight w:val="none"/>
        </w:rPr>
        <w:instrText xml:space="preserve"> FORMDROPDOWN </w:instrText>
      </w:r>
      <w:r>
        <w:rPr>
          <w:sz w:val="24"/>
          <w:szCs w:val="28"/>
          <w:highlight w:val="none"/>
        </w:rPr>
        <w:fldChar w:fldCharType="separate"/>
      </w:r>
      <w:r>
        <w:rPr>
          <w:sz w:val="24"/>
          <w:szCs w:val="28"/>
          <w:highlight w:val="none"/>
        </w:rPr>
        <w:fldChar w:fldCharType="end"/>
      </w:r>
      <w:bookmarkEnd w:id="9"/>
    </w:p>
    <w:p w14:paraId="0DA3B609">
      <w:pPr>
        <w:pStyle w:val="127"/>
        <w:framePr w:w="9639" w:h="6974" w:hRule="exact" w:wrap="around" w:vAnchor="page" w:hAnchor="page" w:x="1419" w:y="6408" w:anchorLock="1"/>
        <w:spacing w:before="180" w:line="240" w:lineRule="atLeast"/>
        <w:textAlignment w:val="bottom"/>
        <w:rPr>
          <w:sz w:val="21"/>
          <w:szCs w:val="28"/>
          <w:highlight w:val="none"/>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026.05.06</w:t>
      </w:r>
      <w:r>
        <w:rPr>
          <w:rFonts w:hint="eastAsia"/>
          <w:sz w:val="21"/>
          <w:szCs w:val="28"/>
        </w:rPr>
        <w:t>）</w:t>
      </w:r>
      <w:r>
        <w:rPr>
          <w:sz w:val="21"/>
          <w:szCs w:val="28"/>
        </w:rPr>
        <w:fldChar w:fldCharType="end"/>
      </w:r>
      <w:bookmarkEnd w:id="10"/>
    </w:p>
    <w:p w14:paraId="486C429D">
      <w:pPr>
        <w:pStyle w:val="127"/>
        <w:framePr w:w="9639" w:h="6974" w:hRule="exact" w:wrap="around" w:vAnchor="page" w:hAnchor="page" w:x="1419" w:y="6408" w:anchorLock="1"/>
        <w:spacing w:before="720" w:beforeLines="300" w:after="72" w:afterLines="30" w:line="240" w:lineRule="auto"/>
        <w:textAlignment w:val="bottom"/>
        <w:rPr>
          <w:b/>
          <w:sz w:val="21"/>
          <w:szCs w:val="28"/>
          <w:highlight w:val="none"/>
        </w:rPr>
      </w:pPr>
      <w:bookmarkStart w:id="11" w:name="下拉2"/>
      <w:r>
        <w:rPr>
          <w:rFonts w:ascii="Times New Roman" w:hAnsi="Times New Roman" w:eastAsia="宋体" w:cs="Times New Roman"/>
          <w:b/>
          <w:sz w:val="21"/>
          <w:szCs w:val="28"/>
          <w:highlight w:val="none"/>
          <w:lang w:val="en-US" w:eastAsia="zh-CN" w:bidi="ar-SA"/>
        </w:rPr>
        <w:fldChar w:fldCharType="begin">
          <w:ffData>
            <w:name w:val="下拉2"/>
            <w:enabled/>
            <w:calcOnExit w:val="0"/>
            <w:ddList>
              <w:listEntry w:val="在提交反馈意见时，请将您知道的相关专利连同支持性文件一并附上。"/>
            </w:ddList>
          </w:ffData>
        </w:fldChar>
      </w:r>
      <w:r>
        <w:rPr>
          <w:rFonts w:ascii="Times New Roman" w:hAnsi="Times New Roman" w:eastAsia="宋体" w:cs="Times New Roman"/>
          <w:b/>
          <w:sz w:val="21"/>
          <w:szCs w:val="28"/>
          <w:highlight w:val="none"/>
          <w:lang w:val="en-US" w:eastAsia="zh-CN" w:bidi="ar-SA"/>
        </w:rPr>
        <w:instrText xml:space="preserve">FORMDROPDOWN</w:instrText>
      </w:r>
      <w:r>
        <w:rPr>
          <w:rFonts w:ascii="Times New Roman" w:hAnsi="Times New Roman" w:eastAsia="宋体" w:cs="Times New Roman"/>
          <w:b/>
          <w:sz w:val="21"/>
          <w:szCs w:val="28"/>
          <w:highlight w:val="none"/>
          <w:lang w:val="en-US" w:eastAsia="zh-CN" w:bidi="ar-SA"/>
        </w:rPr>
        <w:fldChar w:fldCharType="separate"/>
      </w:r>
      <w:r>
        <w:rPr>
          <w:rFonts w:ascii="Times New Roman" w:hAnsi="Times New Roman" w:eastAsia="宋体" w:cs="Times New Roman"/>
          <w:b/>
          <w:sz w:val="21"/>
          <w:szCs w:val="28"/>
          <w:highlight w:val="none"/>
          <w:lang w:val="en-US" w:eastAsia="zh-CN" w:bidi="ar-SA"/>
        </w:rPr>
        <w:fldChar w:fldCharType="end"/>
      </w:r>
      <w:bookmarkEnd w:id="11"/>
    </w:p>
    <w:p w14:paraId="577F91AD">
      <w:pPr>
        <w:pStyle w:val="195"/>
        <w:framePr w:wrap="around" w:y="14176"/>
        <w:rPr>
          <w:highlight w:val="none"/>
        </w:rPr>
      </w:pPr>
      <w:r>
        <w:rPr>
          <w:rFonts w:ascii="黑体"/>
          <w:highlight w:val="none"/>
        </w:rPr>
        <w:fldChar w:fldCharType="begin">
          <w:ffData>
            <w:name w:val="PLSH_DATE_Y"/>
            <w:enabled/>
            <w:calcOnExit w:val="0"/>
            <w:textInput>
              <w:default w:val="XXXX"/>
              <w:maxLength w:val="4"/>
            </w:textInput>
          </w:ffData>
        </w:fldChar>
      </w:r>
      <w:bookmarkStart w:id="12" w:name="PLSH_DATE_Y"/>
      <w:r>
        <w:rPr>
          <w:rFonts w:ascii="黑体"/>
          <w:highlight w:val="none"/>
        </w:rPr>
        <w:instrText xml:space="preserve"> FORMTEXT </w:instrText>
      </w:r>
      <w:r>
        <w:rPr>
          <w:rFonts w:ascii="黑体"/>
          <w:highlight w:val="none"/>
        </w:rPr>
        <w:fldChar w:fldCharType="separate"/>
      </w:r>
      <w:r>
        <w:rPr>
          <w:rFonts w:ascii="黑体"/>
          <w:highlight w:val="none"/>
        </w:rPr>
        <w:t>XXXX</w:t>
      </w:r>
      <w:r>
        <w:rPr>
          <w:rFonts w:ascii="黑体"/>
          <w:highlight w:val="none"/>
        </w:rPr>
        <w:fldChar w:fldCharType="end"/>
      </w:r>
      <w:bookmarkEnd w:id="12"/>
      <w:r>
        <w:rPr>
          <w:highlight w:val="none"/>
        </w:rPr>
        <w:t xml:space="preserve"> </w:t>
      </w:r>
      <w:r>
        <w:rPr>
          <w:rFonts w:ascii="黑体"/>
          <w:highlight w:val="none"/>
        </w:rPr>
        <w:t>-</w:t>
      </w:r>
      <w:r>
        <w:rPr>
          <w:highlight w:val="none"/>
        </w:rPr>
        <w:t xml:space="preserve"> </w:t>
      </w:r>
      <w:r>
        <w:rPr>
          <w:rFonts w:ascii="黑体"/>
          <w:highlight w:val="none"/>
        </w:rPr>
        <w:fldChar w:fldCharType="begin">
          <w:ffData>
            <w:name w:val="PLSH_DATE_M"/>
            <w:enabled/>
            <w:calcOnExit w:val="0"/>
            <w:textInput>
              <w:default w:val="XX"/>
              <w:maxLength w:val="2"/>
            </w:textInput>
          </w:ffData>
        </w:fldChar>
      </w:r>
      <w:bookmarkStart w:id="13" w:name="PLSH_DATE_M"/>
      <w:r>
        <w:rPr>
          <w:rFonts w:ascii="黑体"/>
          <w:highlight w:val="none"/>
        </w:rPr>
        <w:instrText xml:space="preserve"> FORMTEXT </w:instrText>
      </w:r>
      <w:r>
        <w:rPr>
          <w:rFonts w:ascii="黑体"/>
          <w:highlight w:val="none"/>
        </w:rPr>
        <w:fldChar w:fldCharType="separate"/>
      </w:r>
      <w:r>
        <w:rPr>
          <w:rFonts w:ascii="黑体"/>
          <w:highlight w:val="none"/>
        </w:rPr>
        <w:t>XX</w:t>
      </w:r>
      <w:r>
        <w:rPr>
          <w:rFonts w:ascii="黑体"/>
          <w:highlight w:val="none"/>
        </w:rPr>
        <w:fldChar w:fldCharType="end"/>
      </w:r>
      <w:bookmarkEnd w:id="13"/>
      <w:r>
        <w:rPr>
          <w:highlight w:val="none"/>
        </w:rPr>
        <w:t xml:space="preserve"> </w:t>
      </w:r>
      <w:r>
        <w:rPr>
          <w:rFonts w:ascii="黑体"/>
          <w:highlight w:val="none"/>
        </w:rPr>
        <w:t>-</w:t>
      </w:r>
      <w:r>
        <w:rPr>
          <w:highlight w:val="none"/>
        </w:rPr>
        <w:t xml:space="preserve"> </w:t>
      </w:r>
      <w:r>
        <w:rPr>
          <w:rFonts w:ascii="黑体"/>
          <w:highlight w:val="none"/>
        </w:rPr>
        <w:fldChar w:fldCharType="begin">
          <w:ffData>
            <w:name w:val="PLSH_DATE_D"/>
            <w:enabled/>
            <w:calcOnExit w:val="0"/>
            <w:textInput>
              <w:default w:val="XX"/>
              <w:maxLength w:val="2"/>
            </w:textInput>
          </w:ffData>
        </w:fldChar>
      </w:r>
      <w:bookmarkStart w:id="14" w:name="PLSH_DATE_D"/>
      <w:r>
        <w:rPr>
          <w:rFonts w:ascii="黑体"/>
          <w:highlight w:val="none"/>
        </w:rPr>
        <w:instrText xml:space="preserve"> FORMTEXT </w:instrText>
      </w:r>
      <w:r>
        <w:rPr>
          <w:rFonts w:ascii="黑体"/>
          <w:highlight w:val="none"/>
        </w:rPr>
        <w:fldChar w:fldCharType="separate"/>
      </w:r>
      <w:r>
        <w:rPr>
          <w:rFonts w:ascii="黑体"/>
          <w:highlight w:val="none"/>
        </w:rPr>
        <w:t>XX</w:t>
      </w:r>
      <w:r>
        <w:rPr>
          <w:rFonts w:ascii="黑体"/>
          <w:highlight w:val="none"/>
        </w:rPr>
        <w:fldChar w:fldCharType="end"/>
      </w:r>
      <w:bookmarkEnd w:id="14"/>
      <w:r>
        <w:rPr>
          <w:rFonts w:hint="eastAsia"/>
          <w:highlight w:val="none"/>
        </w:rPr>
        <w:t>发布</w:t>
      </w:r>
    </w:p>
    <w:p w14:paraId="3B23145D">
      <w:pPr>
        <w:pStyle w:val="196"/>
        <w:framePr w:wrap="around" w:y="14176"/>
        <w:rPr>
          <w:highlight w:val="none"/>
        </w:rPr>
      </w:pPr>
      <w:r>
        <w:rPr>
          <w:rFonts w:ascii="黑体"/>
          <w:highlight w:val="none"/>
        </w:rPr>
        <w:fldChar w:fldCharType="begin">
          <w:ffData>
            <w:name w:val="CROT_DATE_Y"/>
            <w:enabled/>
            <w:calcOnExit w:val="0"/>
            <w:textInput>
              <w:default w:val="XXXX"/>
              <w:maxLength w:val="4"/>
            </w:textInput>
          </w:ffData>
        </w:fldChar>
      </w:r>
      <w:bookmarkStart w:id="15" w:name="CROT_DATE_Y"/>
      <w:r>
        <w:rPr>
          <w:rFonts w:ascii="黑体"/>
          <w:highlight w:val="none"/>
        </w:rPr>
        <w:instrText xml:space="preserve"> FORMTEXT </w:instrText>
      </w:r>
      <w:r>
        <w:rPr>
          <w:rFonts w:ascii="黑体"/>
          <w:highlight w:val="none"/>
        </w:rPr>
        <w:fldChar w:fldCharType="separate"/>
      </w:r>
      <w:r>
        <w:rPr>
          <w:rFonts w:ascii="黑体"/>
          <w:highlight w:val="none"/>
        </w:rPr>
        <w:t>XXXX</w:t>
      </w:r>
      <w:r>
        <w:rPr>
          <w:rFonts w:ascii="黑体"/>
          <w:highlight w:val="none"/>
        </w:rPr>
        <w:fldChar w:fldCharType="end"/>
      </w:r>
      <w:bookmarkEnd w:id="15"/>
      <w:r>
        <w:rPr>
          <w:highlight w:val="none"/>
        </w:rPr>
        <w:t xml:space="preserve"> </w:t>
      </w:r>
      <w:r>
        <w:rPr>
          <w:rFonts w:ascii="黑体"/>
          <w:highlight w:val="none"/>
        </w:rPr>
        <w:t>-</w:t>
      </w:r>
      <w:r>
        <w:rPr>
          <w:highlight w:val="none"/>
        </w:rPr>
        <w:t xml:space="preserve"> </w:t>
      </w:r>
      <w:r>
        <w:rPr>
          <w:rFonts w:ascii="黑体"/>
          <w:highlight w:val="none"/>
        </w:rPr>
        <w:fldChar w:fldCharType="begin">
          <w:ffData>
            <w:name w:val="CROT_DATE_M"/>
            <w:enabled/>
            <w:calcOnExit w:val="0"/>
            <w:textInput>
              <w:default w:val="XX"/>
              <w:maxLength w:val="2"/>
            </w:textInput>
          </w:ffData>
        </w:fldChar>
      </w:r>
      <w:bookmarkStart w:id="16" w:name="CROT_DATE_M"/>
      <w:r>
        <w:rPr>
          <w:rFonts w:ascii="黑体"/>
          <w:highlight w:val="none"/>
        </w:rPr>
        <w:instrText xml:space="preserve"> FORMTEXT </w:instrText>
      </w:r>
      <w:r>
        <w:rPr>
          <w:rFonts w:ascii="黑体"/>
          <w:highlight w:val="none"/>
        </w:rPr>
        <w:fldChar w:fldCharType="separate"/>
      </w:r>
      <w:r>
        <w:rPr>
          <w:rFonts w:ascii="黑体"/>
          <w:highlight w:val="none"/>
        </w:rPr>
        <w:t>XX</w:t>
      </w:r>
      <w:r>
        <w:rPr>
          <w:rFonts w:ascii="黑体"/>
          <w:highlight w:val="none"/>
        </w:rPr>
        <w:fldChar w:fldCharType="end"/>
      </w:r>
      <w:bookmarkEnd w:id="16"/>
      <w:r>
        <w:rPr>
          <w:highlight w:val="none"/>
        </w:rPr>
        <w:t xml:space="preserve"> </w:t>
      </w:r>
      <w:r>
        <w:rPr>
          <w:rFonts w:ascii="黑体"/>
          <w:highlight w:val="none"/>
        </w:rPr>
        <w:t>-</w:t>
      </w:r>
      <w:r>
        <w:rPr>
          <w:highlight w:val="none"/>
        </w:rPr>
        <w:t xml:space="preserve"> </w:t>
      </w:r>
      <w:r>
        <w:rPr>
          <w:rFonts w:ascii="黑体"/>
          <w:highlight w:val="none"/>
        </w:rPr>
        <w:fldChar w:fldCharType="begin">
          <w:ffData>
            <w:name w:val="CROT_DATE_D"/>
            <w:enabled/>
            <w:calcOnExit w:val="0"/>
            <w:textInput>
              <w:default w:val="XX"/>
              <w:maxLength w:val="2"/>
            </w:textInput>
          </w:ffData>
        </w:fldChar>
      </w:r>
      <w:bookmarkStart w:id="17" w:name="CROT_DATE_D"/>
      <w:r>
        <w:rPr>
          <w:rFonts w:ascii="黑体"/>
          <w:highlight w:val="none"/>
        </w:rPr>
        <w:instrText xml:space="preserve"> FORMTEXT </w:instrText>
      </w:r>
      <w:r>
        <w:rPr>
          <w:rFonts w:ascii="黑体"/>
          <w:highlight w:val="none"/>
        </w:rPr>
        <w:fldChar w:fldCharType="separate"/>
      </w:r>
      <w:r>
        <w:rPr>
          <w:rFonts w:ascii="黑体"/>
          <w:highlight w:val="none"/>
        </w:rPr>
        <w:t>XX</w:t>
      </w:r>
      <w:r>
        <w:rPr>
          <w:rFonts w:ascii="黑体"/>
          <w:highlight w:val="none"/>
        </w:rPr>
        <w:fldChar w:fldCharType="end"/>
      </w:r>
      <w:bookmarkEnd w:id="17"/>
      <w:r>
        <w:rPr>
          <w:rFonts w:hint="eastAsia"/>
          <w:highlight w:val="none"/>
        </w:rPr>
        <w:t>实施</w:t>
      </w:r>
    </w:p>
    <w:p w14:paraId="2C6DCF07">
      <w:pPr>
        <w:pStyle w:val="153"/>
        <w:framePr w:h="584" w:hRule="exact" w:hSpace="181" w:vSpace="181" w:wrap="around" w:y="14800"/>
        <w:rPr>
          <w:rFonts w:hint="eastAsia" w:hAnsi="黑体"/>
          <w:highlight w:val="none"/>
        </w:rPr>
      </w:pPr>
      <w:r>
        <w:rPr>
          <w:rFonts w:hAnsi="黑体"/>
          <w:w w:val="100"/>
          <w:sz w:val="28"/>
          <w:highlight w:val="none"/>
        </w:rPr>
        <w:fldChar w:fldCharType="begin">
          <w:ffData>
            <w:name w:val="fm"/>
            <w:enabled/>
            <w:calcOnExit w:val="0"/>
            <w:textInput/>
          </w:ffData>
        </w:fldChar>
      </w:r>
      <w:bookmarkStart w:id="18" w:name="fm"/>
      <w:r>
        <w:rPr>
          <w:rFonts w:hAnsi="黑体"/>
          <w:w w:val="100"/>
          <w:sz w:val="28"/>
          <w:highlight w:val="none"/>
        </w:rPr>
        <w:instrText xml:space="preserve"> FORMTEXT </w:instrText>
      </w:r>
      <w:r>
        <w:rPr>
          <w:rFonts w:hAnsi="黑体"/>
          <w:w w:val="100"/>
          <w:sz w:val="28"/>
          <w:highlight w:val="none"/>
        </w:rPr>
        <w:fldChar w:fldCharType="separate"/>
      </w:r>
      <w:r>
        <w:rPr>
          <w:rFonts w:hAnsi="黑体"/>
          <w:w w:val="100"/>
          <w:sz w:val="28"/>
          <w:highlight w:val="none"/>
        </w:rPr>
        <w:t>     </w:t>
      </w:r>
      <w:r>
        <w:rPr>
          <w:rFonts w:hAnsi="黑体"/>
          <w:w w:val="100"/>
          <w:sz w:val="28"/>
          <w:highlight w:val="none"/>
        </w:rPr>
        <w:fldChar w:fldCharType="end"/>
      </w:r>
      <w:bookmarkEnd w:id="18"/>
      <w:r>
        <w:rPr>
          <w:rFonts w:ascii="Times New Roman"/>
          <w:w w:val="100"/>
          <w:sz w:val="28"/>
          <w:highlight w:val="none"/>
        </w:rPr>
        <w:t>  </w:t>
      </w:r>
      <w:r>
        <w:rPr>
          <w:rStyle w:val="231"/>
          <w:rFonts w:hint="eastAsia" w:hAnsi="黑体"/>
          <w:position w:val="0"/>
          <w:highlight w:val="none"/>
        </w:rPr>
        <w:t>发</w:t>
      </w:r>
      <w:r>
        <w:rPr>
          <w:rStyle w:val="231"/>
          <w:rFonts w:hint="eastAsia" w:hAnsi="黑体"/>
          <w:spacing w:val="0"/>
          <w:position w:val="0"/>
          <w:highlight w:val="none"/>
        </w:rPr>
        <w:t>布</w:t>
      </w:r>
    </w:p>
    <w:p w14:paraId="3F495684">
      <w:pPr>
        <w:rPr>
          <w:rFonts w:hint="eastAsia" w:ascii="宋体" w:hAnsi="宋体"/>
          <w:sz w:val="28"/>
          <w:szCs w:val="28"/>
          <w:highlight w:val="none"/>
        </w:rPr>
        <w:sectPr>
          <w:headerReference r:id="rId7" w:type="first"/>
          <w:footerReference r:id="rId9" w:type="first"/>
          <w:headerReference r:id="rId5" w:type="default"/>
          <w:headerReference r:id="rId6" w:type="even"/>
          <w:footerReference r:id="rId8" w:type="even"/>
          <w:type w:val="continuous"/>
          <w:pgSz w:w="11906" w:h="16838"/>
          <w:pgMar w:top="1417" w:right="1134" w:bottom="1134" w:left="1417" w:header="1418" w:footer="1134" w:gutter="283"/>
          <w:pgBorders>
            <w:top w:val="none" w:sz="0" w:space="0"/>
            <w:left w:val="none" w:sz="0" w:space="0"/>
            <w:bottom w:val="none" w:sz="0" w:space="0"/>
            <w:right w:val="none" w:sz="0" w:space="0"/>
          </w:pgBorders>
          <w:pgNumType w:fmt="upperRoman"/>
          <w:cols w:space="0" w:num="1"/>
          <w:rtlGutter w:val="0"/>
          <w:docGrid w:linePitch="312" w:charSpace="0"/>
        </w:sectPr>
      </w:pPr>
      <w:r>
        <w:rPr>
          <w:rFonts w:hint="eastAsia" w:ascii="宋体" w:hAnsi="宋体"/>
          <w:sz w:val="28"/>
          <w:szCs w:val="28"/>
          <w:highlight w:val="none"/>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BAAB116">
      <w:pPr>
        <w:pStyle w:val="93"/>
        <w:bidi w:val="0"/>
        <w:rPr>
          <w:rFonts w:hint="eastAsia"/>
          <w:highlight w:val="none"/>
          <w:lang w:eastAsia="zh-CN"/>
        </w:rPr>
      </w:pPr>
      <w:bookmarkStart w:id="19" w:name="BookMark1"/>
      <w:bookmarkStart w:id="20" w:name="_Toc24055"/>
      <w:bookmarkStart w:id="21" w:name="_Toc30429"/>
      <w:bookmarkStart w:id="22" w:name="_Toc30272"/>
      <w:r>
        <w:rPr>
          <w:rFonts w:hint="eastAsia"/>
          <w:spacing w:val="320"/>
          <w:highlight w:val="none"/>
          <w:lang w:eastAsia="zh-CN"/>
        </w:rPr>
        <w:t>目</w:t>
      </w:r>
      <w:r>
        <w:rPr>
          <w:rFonts w:hint="eastAsia"/>
          <w:highlight w:val="none"/>
          <w:lang w:eastAsia="zh-CN"/>
        </w:rPr>
        <w:t>次</w:t>
      </w:r>
    </w:p>
    <w:p w14:paraId="1D89F810">
      <w:pPr>
        <w:pStyle w:val="20"/>
        <w:tabs>
          <w:tab w:val="right" w:leader="dot" w:pos="9072"/>
        </w:tabs>
      </w:pPr>
      <w:r>
        <w:rPr>
          <w:rFonts w:hint="eastAsia"/>
          <w:spacing w:val="0"/>
          <w:highlight w:val="none"/>
          <w:lang w:eastAsia="zh-CN"/>
        </w:rPr>
        <w:fldChar w:fldCharType="begin"/>
      </w:r>
      <w:r>
        <w:rPr>
          <w:rFonts w:hint="eastAsia"/>
          <w:spacing w:val="0"/>
          <w:highlight w:val="none"/>
          <w:lang w:eastAsia="zh-CN"/>
        </w:rPr>
        <w:instrText xml:space="preserve">TOC \o "1-1" \t "标准文件_一级条标题,2,标准文件_二级条标题,3,标准文件_三级条标题,4,标准文件_四级条标题,5,标准文件_五级条标题,6,标准文件_附录一级条标题,2,标准文件_附录二级条标题,3,标准文件_附录三级条标题,4,标准文件_附录四级条标题,5,标准文件_附录五级条标题,6," \h</w:instrText>
      </w:r>
      <w:r>
        <w:rPr>
          <w:rFonts w:hint="eastAsia"/>
          <w:spacing w:val="0"/>
          <w:highlight w:val="none"/>
          <w:lang w:eastAsia="zh-CN"/>
        </w:rPr>
        <w:fldChar w:fldCharType="separate"/>
      </w:r>
      <w:r>
        <w:rPr>
          <w:rFonts w:hint="eastAsia"/>
          <w:spacing w:val="0"/>
          <w:highlight w:val="none"/>
          <w:lang w:eastAsia="zh-CN"/>
        </w:rPr>
        <w:fldChar w:fldCharType="begin"/>
      </w:r>
      <w:r>
        <w:rPr>
          <w:rFonts w:hint="eastAsia"/>
          <w:spacing w:val="0"/>
          <w:highlight w:val="none"/>
          <w:lang w:eastAsia="zh-CN"/>
        </w:rPr>
        <w:instrText xml:space="preserve"> HYPERLINK \l _Toc30036 </w:instrText>
      </w:r>
      <w:r>
        <w:rPr>
          <w:rFonts w:hint="eastAsia"/>
          <w:spacing w:val="0"/>
          <w:highlight w:val="none"/>
          <w:lang w:eastAsia="zh-CN"/>
        </w:rPr>
        <w:fldChar w:fldCharType="separate"/>
      </w:r>
      <w:r>
        <w:rPr>
          <w:rFonts w:hint="eastAsia"/>
          <w:highlight w:val="none"/>
          <w:lang w:eastAsia="zh-CN"/>
        </w:rPr>
        <w:t>前言</w:t>
      </w:r>
      <w:r>
        <w:tab/>
      </w:r>
      <w:r>
        <w:fldChar w:fldCharType="begin"/>
      </w:r>
      <w:r>
        <w:instrText xml:space="preserve"> PAGEREF _Toc30036 \h </w:instrText>
      </w:r>
      <w:r>
        <w:fldChar w:fldCharType="separate"/>
      </w:r>
      <w:r>
        <w:t>III</w:t>
      </w:r>
      <w:r>
        <w:fldChar w:fldCharType="end"/>
      </w:r>
      <w:r>
        <w:rPr>
          <w:rFonts w:hint="eastAsia"/>
          <w:spacing w:val="0"/>
          <w:highlight w:val="none"/>
          <w:lang w:eastAsia="zh-CN"/>
        </w:rPr>
        <w:fldChar w:fldCharType="end"/>
      </w:r>
    </w:p>
    <w:p w14:paraId="2A19ADB9">
      <w:pPr>
        <w:pStyle w:val="20"/>
        <w:tabs>
          <w:tab w:val="right" w:leader="dot" w:pos="9072"/>
        </w:tabs>
      </w:pPr>
      <w:r>
        <w:rPr>
          <w:rFonts w:hint="eastAsia"/>
          <w:highlight w:val="none"/>
          <w:lang w:eastAsia="zh-CN"/>
        </w:rPr>
        <w:fldChar w:fldCharType="begin"/>
      </w:r>
      <w:r>
        <w:rPr>
          <w:rFonts w:hint="eastAsia"/>
          <w:highlight w:val="none"/>
          <w:lang w:eastAsia="zh-CN"/>
        </w:rPr>
        <w:instrText xml:space="preserve"> HYPERLINK \l _Toc4147 </w:instrText>
      </w:r>
      <w:r>
        <w:rPr>
          <w:rFonts w:hint="eastAsia"/>
          <w:highlight w:val="none"/>
          <w:lang w:eastAsia="zh-CN"/>
        </w:rPr>
        <w:fldChar w:fldCharType="separate"/>
      </w:r>
      <w:r>
        <w:rPr>
          <w:rFonts w:hint="eastAsia" w:ascii="黑体" w:eastAsia="黑体"/>
          <w:i w:val="0"/>
        </w:rPr>
        <w:t xml:space="preserve">1 </w:t>
      </w:r>
      <w:r>
        <w:rPr>
          <w:rFonts w:hint="eastAsia"/>
          <w:highlight w:val="none"/>
        </w:rPr>
        <w:t>范围</w:t>
      </w:r>
      <w:r>
        <w:tab/>
      </w:r>
      <w:r>
        <w:fldChar w:fldCharType="begin"/>
      </w:r>
      <w:r>
        <w:instrText xml:space="preserve"> PAGEREF _Toc4147 \h </w:instrText>
      </w:r>
      <w:r>
        <w:fldChar w:fldCharType="separate"/>
      </w:r>
      <w:r>
        <w:t>1</w:t>
      </w:r>
      <w:r>
        <w:fldChar w:fldCharType="end"/>
      </w:r>
      <w:r>
        <w:rPr>
          <w:rFonts w:hint="eastAsia"/>
          <w:highlight w:val="none"/>
          <w:lang w:eastAsia="zh-CN"/>
        </w:rPr>
        <w:fldChar w:fldCharType="end"/>
      </w:r>
    </w:p>
    <w:p w14:paraId="1235E5AA">
      <w:pPr>
        <w:pStyle w:val="20"/>
        <w:tabs>
          <w:tab w:val="right" w:leader="dot" w:pos="9072"/>
        </w:tabs>
      </w:pPr>
      <w:r>
        <w:rPr>
          <w:rFonts w:hint="eastAsia"/>
          <w:highlight w:val="none"/>
          <w:lang w:eastAsia="zh-CN"/>
        </w:rPr>
        <w:fldChar w:fldCharType="begin"/>
      </w:r>
      <w:r>
        <w:rPr>
          <w:rFonts w:hint="eastAsia"/>
          <w:highlight w:val="none"/>
          <w:lang w:eastAsia="zh-CN"/>
        </w:rPr>
        <w:instrText xml:space="preserve"> HYPERLINK \l _Toc18577 </w:instrText>
      </w:r>
      <w:r>
        <w:rPr>
          <w:rFonts w:hint="eastAsia"/>
          <w:highlight w:val="none"/>
          <w:lang w:eastAsia="zh-CN"/>
        </w:rPr>
        <w:fldChar w:fldCharType="separate"/>
      </w:r>
      <w:r>
        <w:rPr>
          <w:rFonts w:hint="eastAsia" w:ascii="黑体" w:eastAsia="黑体"/>
          <w:i w:val="0"/>
        </w:rPr>
        <w:t xml:space="preserve">2 </w:t>
      </w:r>
      <w:r>
        <w:rPr>
          <w:rFonts w:hint="eastAsia"/>
          <w:highlight w:val="none"/>
        </w:rPr>
        <w:t>规范性引用文件</w:t>
      </w:r>
      <w:r>
        <w:tab/>
      </w:r>
      <w:r>
        <w:fldChar w:fldCharType="begin"/>
      </w:r>
      <w:r>
        <w:instrText xml:space="preserve"> PAGEREF _Toc18577 \h </w:instrText>
      </w:r>
      <w:r>
        <w:fldChar w:fldCharType="separate"/>
      </w:r>
      <w:r>
        <w:t>1</w:t>
      </w:r>
      <w:r>
        <w:fldChar w:fldCharType="end"/>
      </w:r>
      <w:r>
        <w:rPr>
          <w:rFonts w:hint="eastAsia"/>
          <w:highlight w:val="none"/>
          <w:lang w:eastAsia="zh-CN"/>
        </w:rPr>
        <w:fldChar w:fldCharType="end"/>
      </w:r>
    </w:p>
    <w:p w14:paraId="19E0B4DE">
      <w:pPr>
        <w:pStyle w:val="20"/>
        <w:tabs>
          <w:tab w:val="right" w:leader="dot" w:pos="9072"/>
        </w:tabs>
      </w:pPr>
      <w:r>
        <w:rPr>
          <w:rFonts w:hint="eastAsia"/>
          <w:highlight w:val="none"/>
          <w:lang w:eastAsia="zh-CN"/>
        </w:rPr>
        <w:fldChar w:fldCharType="begin"/>
      </w:r>
      <w:r>
        <w:rPr>
          <w:rFonts w:hint="eastAsia"/>
          <w:highlight w:val="none"/>
          <w:lang w:eastAsia="zh-CN"/>
        </w:rPr>
        <w:instrText xml:space="preserve"> HYPERLINK \l _Toc1019 </w:instrText>
      </w:r>
      <w:r>
        <w:rPr>
          <w:rFonts w:hint="eastAsia"/>
          <w:highlight w:val="none"/>
          <w:lang w:eastAsia="zh-CN"/>
        </w:rPr>
        <w:fldChar w:fldCharType="separate"/>
      </w:r>
      <w:r>
        <w:rPr>
          <w:rFonts w:hint="eastAsia" w:ascii="黑体" w:eastAsia="黑体"/>
          <w:i w:val="0"/>
        </w:rPr>
        <w:t xml:space="preserve">3 </w:t>
      </w:r>
      <w:r>
        <w:rPr>
          <w:rFonts w:hint="eastAsia"/>
        </w:rPr>
        <w:t>术语和定义</w:t>
      </w:r>
      <w:r>
        <w:tab/>
      </w:r>
      <w:r>
        <w:fldChar w:fldCharType="begin"/>
      </w:r>
      <w:r>
        <w:instrText xml:space="preserve"> PAGEREF _Toc1019 \h </w:instrText>
      </w:r>
      <w:r>
        <w:fldChar w:fldCharType="separate"/>
      </w:r>
      <w:r>
        <w:t>2</w:t>
      </w:r>
      <w:r>
        <w:fldChar w:fldCharType="end"/>
      </w:r>
      <w:r>
        <w:rPr>
          <w:rFonts w:hint="eastAsia"/>
          <w:highlight w:val="none"/>
          <w:lang w:eastAsia="zh-CN"/>
        </w:rPr>
        <w:fldChar w:fldCharType="end"/>
      </w:r>
    </w:p>
    <w:p w14:paraId="2B5F29B9">
      <w:pPr>
        <w:pStyle w:val="20"/>
        <w:tabs>
          <w:tab w:val="right" w:leader="dot" w:pos="9072"/>
        </w:tabs>
      </w:pPr>
      <w:r>
        <w:rPr>
          <w:rFonts w:hint="eastAsia"/>
          <w:highlight w:val="none"/>
          <w:lang w:eastAsia="zh-CN"/>
        </w:rPr>
        <w:fldChar w:fldCharType="begin"/>
      </w:r>
      <w:r>
        <w:rPr>
          <w:rFonts w:hint="eastAsia"/>
          <w:highlight w:val="none"/>
          <w:lang w:eastAsia="zh-CN"/>
        </w:rPr>
        <w:instrText xml:space="preserve"> HYPERLINK \l _Toc23834 </w:instrText>
      </w:r>
      <w:r>
        <w:rPr>
          <w:rFonts w:hint="eastAsia"/>
          <w:highlight w:val="none"/>
          <w:lang w:eastAsia="zh-CN"/>
        </w:rPr>
        <w:fldChar w:fldCharType="separate"/>
      </w:r>
      <w:r>
        <w:rPr>
          <w:rFonts w:hint="eastAsia" w:ascii="黑体" w:eastAsia="黑体"/>
          <w:i w:val="0"/>
          <w:lang w:eastAsia="zh-CN"/>
        </w:rPr>
        <w:t xml:space="preserve">4 </w:t>
      </w:r>
      <w:r>
        <w:rPr>
          <w:rFonts w:hint="eastAsia"/>
          <w:highlight w:val="none"/>
          <w:lang w:val="en-US" w:eastAsia="zh-CN"/>
        </w:rPr>
        <w:t>符号</w:t>
      </w:r>
      <w:r>
        <w:tab/>
      </w:r>
      <w:r>
        <w:fldChar w:fldCharType="begin"/>
      </w:r>
      <w:r>
        <w:instrText xml:space="preserve"> PAGEREF _Toc23834 \h </w:instrText>
      </w:r>
      <w:r>
        <w:fldChar w:fldCharType="separate"/>
      </w:r>
      <w:r>
        <w:t>3</w:t>
      </w:r>
      <w:r>
        <w:fldChar w:fldCharType="end"/>
      </w:r>
      <w:r>
        <w:rPr>
          <w:rFonts w:hint="eastAsia"/>
          <w:highlight w:val="none"/>
          <w:lang w:eastAsia="zh-CN"/>
        </w:rPr>
        <w:fldChar w:fldCharType="end"/>
      </w:r>
    </w:p>
    <w:p w14:paraId="69507D80">
      <w:pPr>
        <w:pStyle w:val="20"/>
        <w:tabs>
          <w:tab w:val="right" w:leader="dot" w:pos="9072"/>
        </w:tabs>
      </w:pPr>
      <w:r>
        <w:rPr>
          <w:rFonts w:hint="eastAsia"/>
          <w:highlight w:val="none"/>
          <w:lang w:eastAsia="zh-CN"/>
        </w:rPr>
        <w:fldChar w:fldCharType="begin"/>
      </w:r>
      <w:r>
        <w:rPr>
          <w:rFonts w:hint="eastAsia"/>
          <w:highlight w:val="none"/>
          <w:lang w:eastAsia="zh-CN"/>
        </w:rPr>
        <w:instrText xml:space="preserve"> HYPERLINK \l _Toc19892 </w:instrText>
      </w:r>
      <w:r>
        <w:rPr>
          <w:rFonts w:hint="eastAsia"/>
          <w:highlight w:val="none"/>
          <w:lang w:eastAsia="zh-CN"/>
        </w:rPr>
        <w:fldChar w:fldCharType="separate"/>
      </w:r>
      <w:r>
        <w:rPr>
          <w:rFonts w:hint="eastAsia" w:ascii="黑体" w:eastAsia="黑体"/>
          <w:i w:val="0"/>
        </w:rPr>
        <w:t xml:space="preserve">5 </w:t>
      </w:r>
      <w:r>
        <w:rPr>
          <w:rFonts w:hint="eastAsia"/>
          <w:highlight w:val="none"/>
        </w:rPr>
        <w:t>基本规定</w:t>
      </w:r>
      <w:r>
        <w:tab/>
      </w:r>
      <w:r>
        <w:fldChar w:fldCharType="begin"/>
      </w:r>
      <w:r>
        <w:instrText xml:space="preserve"> PAGEREF _Toc19892 \h </w:instrText>
      </w:r>
      <w:r>
        <w:fldChar w:fldCharType="separate"/>
      </w:r>
      <w:r>
        <w:t>4</w:t>
      </w:r>
      <w:r>
        <w:fldChar w:fldCharType="end"/>
      </w:r>
      <w:r>
        <w:rPr>
          <w:rFonts w:hint="eastAsia"/>
          <w:highlight w:val="none"/>
          <w:lang w:eastAsia="zh-CN"/>
        </w:rPr>
        <w:fldChar w:fldCharType="end"/>
      </w:r>
    </w:p>
    <w:p w14:paraId="17564B67">
      <w:pPr>
        <w:pStyle w:val="20"/>
        <w:tabs>
          <w:tab w:val="right" w:leader="dot" w:pos="9072"/>
        </w:tabs>
      </w:pPr>
      <w:r>
        <w:rPr>
          <w:rFonts w:hint="eastAsia"/>
          <w:highlight w:val="none"/>
          <w:lang w:eastAsia="zh-CN"/>
        </w:rPr>
        <w:fldChar w:fldCharType="begin"/>
      </w:r>
      <w:r>
        <w:rPr>
          <w:rFonts w:hint="eastAsia"/>
          <w:highlight w:val="none"/>
          <w:lang w:eastAsia="zh-CN"/>
        </w:rPr>
        <w:instrText xml:space="preserve"> HYPERLINK \l _Toc23136 </w:instrText>
      </w:r>
      <w:r>
        <w:rPr>
          <w:rFonts w:hint="eastAsia"/>
          <w:highlight w:val="none"/>
          <w:lang w:eastAsia="zh-CN"/>
        </w:rPr>
        <w:fldChar w:fldCharType="separate"/>
      </w:r>
      <w:r>
        <w:rPr>
          <w:rFonts w:hint="eastAsia" w:ascii="黑体" w:eastAsia="黑体"/>
          <w:i w:val="0"/>
        </w:rPr>
        <w:t xml:space="preserve">6 </w:t>
      </w:r>
      <w:r>
        <w:rPr>
          <w:rFonts w:hint="eastAsia"/>
          <w:highlight w:val="none"/>
        </w:rPr>
        <w:t>气象条件</w:t>
      </w:r>
      <w:r>
        <w:tab/>
      </w:r>
      <w:r>
        <w:fldChar w:fldCharType="begin"/>
      </w:r>
      <w:r>
        <w:instrText xml:space="preserve"> PAGEREF _Toc23136 \h </w:instrText>
      </w:r>
      <w:r>
        <w:fldChar w:fldCharType="separate"/>
      </w:r>
      <w:r>
        <w:t>4</w:t>
      </w:r>
      <w:r>
        <w:fldChar w:fldCharType="end"/>
      </w:r>
      <w:r>
        <w:rPr>
          <w:rFonts w:hint="eastAsia"/>
          <w:highlight w:val="none"/>
          <w:lang w:eastAsia="zh-CN"/>
        </w:rPr>
        <w:fldChar w:fldCharType="end"/>
      </w:r>
    </w:p>
    <w:p w14:paraId="2CFD7540">
      <w:pPr>
        <w:pStyle w:val="20"/>
        <w:tabs>
          <w:tab w:val="right" w:leader="dot" w:pos="9072"/>
        </w:tabs>
      </w:pPr>
      <w:r>
        <w:rPr>
          <w:rFonts w:hint="eastAsia"/>
          <w:highlight w:val="none"/>
          <w:lang w:eastAsia="zh-CN"/>
        </w:rPr>
        <w:fldChar w:fldCharType="begin"/>
      </w:r>
      <w:r>
        <w:rPr>
          <w:rFonts w:hint="eastAsia"/>
          <w:highlight w:val="none"/>
          <w:lang w:eastAsia="zh-CN"/>
        </w:rPr>
        <w:instrText xml:space="preserve"> HYPERLINK \l _Toc17827 </w:instrText>
      </w:r>
      <w:r>
        <w:rPr>
          <w:rFonts w:hint="eastAsia"/>
          <w:highlight w:val="none"/>
          <w:lang w:eastAsia="zh-CN"/>
        </w:rPr>
        <w:fldChar w:fldCharType="separate"/>
      </w:r>
      <w:r>
        <w:rPr>
          <w:rFonts w:hint="eastAsia" w:ascii="黑体" w:eastAsia="黑体"/>
          <w:i w:val="0"/>
          <w:lang w:eastAsia="zh-CN"/>
        </w:rPr>
        <w:t xml:space="preserve">7 </w:t>
      </w:r>
      <w:r>
        <w:rPr>
          <w:rFonts w:hint="eastAsia"/>
          <w:highlight w:val="none"/>
          <w:lang w:val="en-US" w:eastAsia="zh-CN"/>
        </w:rPr>
        <w:t>路径选择</w:t>
      </w:r>
      <w:r>
        <w:tab/>
      </w:r>
      <w:r>
        <w:fldChar w:fldCharType="begin"/>
      </w:r>
      <w:r>
        <w:instrText xml:space="preserve"> PAGEREF _Toc17827 \h </w:instrText>
      </w:r>
      <w:r>
        <w:fldChar w:fldCharType="separate"/>
      </w:r>
      <w:r>
        <w:t>5</w:t>
      </w:r>
      <w:r>
        <w:fldChar w:fldCharType="end"/>
      </w:r>
      <w:r>
        <w:rPr>
          <w:rFonts w:hint="eastAsia"/>
          <w:highlight w:val="none"/>
          <w:lang w:eastAsia="zh-CN"/>
        </w:rPr>
        <w:fldChar w:fldCharType="end"/>
      </w:r>
    </w:p>
    <w:p w14:paraId="65231550">
      <w:pPr>
        <w:pStyle w:val="20"/>
        <w:tabs>
          <w:tab w:val="right" w:leader="dot" w:pos="9072"/>
        </w:tabs>
      </w:pPr>
      <w:r>
        <w:rPr>
          <w:rFonts w:hint="eastAsia"/>
          <w:highlight w:val="none"/>
          <w:lang w:eastAsia="zh-CN"/>
        </w:rPr>
        <w:fldChar w:fldCharType="begin"/>
      </w:r>
      <w:r>
        <w:rPr>
          <w:rFonts w:hint="eastAsia"/>
          <w:highlight w:val="none"/>
          <w:lang w:eastAsia="zh-CN"/>
        </w:rPr>
        <w:instrText xml:space="preserve"> HYPERLINK \l _Toc32241 </w:instrText>
      </w:r>
      <w:r>
        <w:rPr>
          <w:rFonts w:hint="eastAsia"/>
          <w:highlight w:val="none"/>
          <w:lang w:eastAsia="zh-CN"/>
        </w:rPr>
        <w:fldChar w:fldCharType="separate"/>
      </w:r>
      <w:r>
        <w:rPr>
          <w:rFonts w:hint="eastAsia" w:ascii="黑体" w:eastAsia="黑体"/>
          <w:i w:val="0"/>
        </w:rPr>
        <w:t xml:space="preserve">8 </w:t>
      </w:r>
      <w:r>
        <w:rPr>
          <w:rFonts w:hint="eastAsia"/>
          <w:highlight w:val="none"/>
        </w:rPr>
        <w:t>导线和地线</w:t>
      </w:r>
      <w:r>
        <w:tab/>
      </w:r>
      <w:r>
        <w:fldChar w:fldCharType="begin"/>
      </w:r>
      <w:r>
        <w:instrText xml:space="preserve"> PAGEREF _Toc32241 \h </w:instrText>
      </w:r>
      <w:r>
        <w:fldChar w:fldCharType="separate"/>
      </w:r>
      <w:r>
        <w:t>6</w:t>
      </w:r>
      <w:r>
        <w:fldChar w:fldCharType="end"/>
      </w:r>
      <w:r>
        <w:rPr>
          <w:rFonts w:hint="eastAsia"/>
          <w:highlight w:val="none"/>
          <w:lang w:eastAsia="zh-CN"/>
        </w:rPr>
        <w:fldChar w:fldCharType="end"/>
      </w:r>
    </w:p>
    <w:p w14:paraId="28FF69BB">
      <w:pPr>
        <w:pStyle w:val="20"/>
        <w:tabs>
          <w:tab w:val="right" w:leader="dot" w:pos="9072"/>
        </w:tabs>
      </w:pPr>
      <w:r>
        <w:rPr>
          <w:rFonts w:hint="eastAsia"/>
          <w:highlight w:val="none"/>
          <w:lang w:eastAsia="zh-CN"/>
        </w:rPr>
        <w:fldChar w:fldCharType="begin"/>
      </w:r>
      <w:r>
        <w:rPr>
          <w:rFonts w:hint="eastAsia"/>
          <w:highlight w:val="none"/>
          <w:lang w:eastAsia="zh-CN"/>
        </w:rPr>
        <w:instrText xml:space="preserve"> HYPERLINK \l _Toc7885 </w:instrText>
      </w:r>
      <w:r>
        <w:rPr>
          <w:rFonts w:hint="eastAsia"/>
          <w:highlight w:val="none"/>
          <w:lang w:eastAsia="zh-CN"/>
        </w:rPr>
        <w:fldChar w:fldCharType="separate"/>
      </w:r>
      <w:r>
        <w:rPr>
          <w:rFonts w:hint="eastAsia" w:ascii="黑体" w:eastAsia="黑体"/>
          <w:i w:val="0"/>
        </w:rPr>
        <w:t xml:space="preserve">9 </w:t>
      </w:r>
      <w:r>
        <w:rPr>
          <w:rFonts w:hint="eastAsia"/>
          <w:highlight w:val="none"/>
        </w:rPr>
        <w:t>绝缘子和金具</w:t>
      </w:r>
      <w:r>
        <w:tab/>
      </w:r>
      <w:r>
        <w:fldChar w:fldCharType="begin"/>
      </w:r>
      <w:r>
        <w:instrText xml:space="preserve"> PAGEREF _Toc7885 \h </w:instrText>
      </w:r>
      <w:r>
        <w:fldChar w:fldCharType="separate"/>
      </w:r>
      <w:r>
        <w:t>6</w:t>
      </w:r>
      <w:r>
        <w:fldChar w:fldCharType="end"/>
      </w:r>
      <w:r>
        <w:rPr>
          <w:rFonts w:hint="eastAsia"/>
          <w:highlight w:val="none"/>
          <w:lang w:eastAsia="zh-CN"/>
        </w:rPr>
        <w:fldChar w:fldCharType="end"/>
      </w:r>
    </w:p>
    <w:p w14:paraId="172EFFC9">
      <w:pPr>
        <w:pStyle w:val="20"/>
        <w:tabs>
          <w:tab w:val="right" w:leader="dot" w:pos="9072"/>
        </w:tabs>
      </w:pPr>
      <w:r>
        <w:rPr>
          <w:rFonts w:hint="eastAsia"/>
          <w:highlight w:val="none"/>
          <w:lang w:eastAsia="zh-CN"/>
        </w:rPr>
        <w:fldChar w:fldCharType="begin"/>
      </w:r>
      <w:r>
        <w:rPr>
          <w:rFonts w:hint="eastAsia"/>
          <w:highlight w:val="none"/>
          <w:lang w:eastAsia="zh-CN"/>
        </w:rPr>
        <w:instrText xml:space="preserve"> HYPERLINK \l _Toc18126 </w:instrText>
      </w:r>
      <w:r>
        <w:rPr>
          <w:rFonts w:hint="eastAsia"/>
          <w:highlight w:val="none"/>
          <w:lang w:eastAsia="zh-CN"/>
        </w:rPr>
        <w:fldChar w:fldCharType="separate"/>
      </w:r>
      <w:r>
        <w:rPr>
          <w:rFonts w:hint="eastAsia" w:ascii="黑体" w:eastAsia="黑体"/>
          <w:i w:val="0"/>
        </w:rPr>
        <w:t xml:space="preserve">10 </w:t>
      </w:r>
      <w:r>
        <w:rPr>
          <w:rFonts w:hint="eastAsia"/>
          <w:highlight w:val="none"/>
          <w:lang w:eastAsia="zh"/>
        </w:rPr>
        <w:t>风</w:t>
      </w:r>
      <w:r>
        <w:rPr>
          <w:rFonts w:hint="eastAsia"/>
          <w:highlight w:val="none"/>
        </w:rPr>
        <w:t>荷载</w:t>
      </w:r>
      <w:r>
        <w:tab/>
      </w:r>
      <w:r>
        <w:fldChar w:fldCharType="begin"/>
      </w:r>
      <w:r>
        <w:instrText xml:space="preserve"> PAGEREF _Toc18126 \h </w:instrText>
      </w:r>
      <w:r>
        <w:fldChar w:fldCharType="separate"/>
      </w:r>
      <w:r>
        <w:t>7</w:t>
      </w:r>
      <w:r>
        <w:fldChar w:fldCharType="end"/>
      </w:r>
      <w:r>
        <w:rPr>
          <w:rFonts w:hint="eastAsia"/>
          <w:highlight w:val="none"/>
          <w:lang w:eastAsia="zh-CN"/>
        </w:rPr>
        <w:fldChar w:fldCharType="end"/>
      </w:r>
    </w:p>
    <w:p w14:paraId="36A4534A">
      <w:pPr>
        <w:pStyle w:val="20"/>
        <w:tabs>
          <w:tab w:val="right" w:leader="dot" w:pos="9072"/>
        </w:tabs>
      </w:pPr>
      <w:r>
        <w:rPr>
          <w:rFonts w:hint="eastAsia"/>
          <w:highlight w:val="none"/>
          <w:lang w:eastAsia="zh-CN"/>
        </w:rPr>
        <w:fldChar w:fldCharType="begin"/>
      </w:r>
      <w:r>
        <w:rPr>
          <w:rFonts w:hint="eastAsia"/>
          <w:highlight w:val="none"/>
          <w:lang w:eastAsia="zh-CN"/>
        </w:rPr>
        <w:instrText xml:space="preserve"> HYPERLINK \l _Toc24019 </w:instrText>
      </w:r>
      <w:r>
        <w:rPr>
          <w:rFonts w:hint="eastAsia"/>
          <w:highlight w:val="none"/>
          <w:lang w:eastAsia="zh-CN"/>
        </w:rPr>
        <w:fldChar w:fldCharType="separate"/>
      </w:r>
      <w:r>
        <w:rPr>
          <w:rFonts w:hint="eastAsia" w:ascii="黑体" w:eastAsia="黑体"/>
          <w:i w:val="0"/>
        </w:rPr>
        <w:t xml:space="preserve">11 </w:t>
      </w:r>
      <w:r>
        <w:rPr>
          <w:rFonts w:hint="eastAsia"/>
          <w:highlight w:val="none"/>
        </w:rPr>
        <w:t>杆塔</w:t>
      </w:r>
      <w:r>
        <w:tab/>
      </w:r>
      <w:r>
        <w:fldChar w:fldCharType="begin"/>
      </w:r>
      <w:r>
        <w:instrText xml:space="preserve"> PAGEREF _Toc24019 \h </w:instrText>
      </w:r>
      <w:r>
        <w:fldChar w:fldCharType="separate"/>
      </w:r>
      <w:r>
        <w:t>10</w:t>
      </w:r>
      <w:r>
        <w:fldChar w:fldCharType="end"/>
      </w:r>
      <w:r>
        <w:rPr>
          <w:rFonts w:hint="eastAsia"/>
          <w:highlight w:val="none"/>
          <w:lang w:eastAsia="zh-CN"/>
        </w:rPr>
        <w:fldChar w:fldCharType="end"/>
      </w:r>
    </w:p>
    <w:p w14:paraId="6AB318AB">
      <w:pPr>
        <w:pStyle w:val="20"/>
        <w:tabs>
          <w:tab w:val="right" w:leader="dot" w:pos="9072"/>
        </w:tabs>
      </w:pPr>
      <w:r>
        <w:rPr>
          <w:rFonts w:hint="eastAsia"/>
          <w:highlight w:val="none"/>
          <w:lang w:eastAsia="zh-CN"/>
        </w:rPr>
        <w:fldChar w:fldCharType="begin"/>
      </w:r>
      <w:r>
        <w:rPr>
          <w:rFonts w:hint="eastAsia"/>
          <w:highlight w:val="none"/>
          <w:lang w:eastAsia="zh-CN"/>
        </w:rPr>
        <w:instrText xml:space="preserve"> HYPERLINK \l _Toc23286 </w:instrText>
      </w:r>
      <w:r>
        <w:rPr>
          <w:rFonts w:hint="eastAsia"/>
          <w:highlight w:val="none"/>
          <w:lang w:eastAsia="zh-CN"/>
        </w:rPr>
        <w:fldChar w:fldCharType="separate"/>
      </w:r>
      <w:r>
        <w:rPr>
          <w:rFonts w:hint="eastAsia" w:ascii="黑体" w:eastAsia="黑体"/>
          <w:i w:val="0"/>
          <w:lang w:val="en-US" w:eastAsia="zh-CN"/>
        </w:rPr>
        <w:t xml:space="preserve">12 </w:t>
      </w:r>
      <w:r>
        <w:rPr>
          <w:rFonts w:hint="eastAsia"/>
          <w:highlight w:val="none"/>
          <w:lang w:val="en-US" w:eastAsia="zh-CN"/>
        </w:rPr>
        <w:t>基础</w:t>
      </w:r>
      <w:r>
        <w:tab/>
      </w:r>
      <w:r>
        <w:fldChar w:fldCharType="begin"/>
      </w:r>
      <w:r>
        <w:instrText xml:space="preserve"> PAGEREF _Toc23286 \h </w:instrText>
      </w:r>
      <w:r>
        <w:fldChar w:fldCharType="separate"/>
      </w:r>
      <w:r>
        <w:t>11</w:t>
      </w:r>
      <w:r>
        <w:fldChar w:fldCharType="end"/>
      </w:r>
      <w:r>
        <w:rPr>
          <w:rFonts w:hint="eastAsia"/>
          <w:highlight w:val="none"/>
          <w:lang w:eastAsia="zh-CN"/>
        </w:rPr>
        <w:fldChar w:fldCharType="end"/>
      </w:r>
    </w:p>
    <w:p w14:paraId="2B540DA4">
      <w:pPr>
        <w:pStyle w:val="20"/>
        <w:tabs>
          <w:tab w:val="right" w:leader="dot" w:pos="9072"/>
        </w:tabs>
      </w:pPr>
      <w:r>
        <w:rPr>
          <w:rFonts w:hint="eastAsia"/>
          <w:highlight w:val="none"/>
          <w:lang w:eastAsia="zh-CN"/>
        </w:rPr>
        <w:fldChar w:fldCharType="begin"/>
      </w:r>
      <w:r>
        <w:rPr>
          <w:rFonts w:hint="eastAsia"/>
          <w:highlight w:val="none"/>
          <w:lang w:eastAsia="zh-CN"/>
        </w:rPr>
        <w:instrText xml:space="preserve"> HYPERLINK \l _Toc18936 </w:instrText>
      </w:r>
      <w:r>
        <w:rPr>
          <w:rFonts w:hint="eastAsia"/>
          <w:highlight w:val="none"/>
          <w:lang w:eastAsia="zh-CN"/>
        </w:rPr>
        <w:fldChar w:fldCharType="separate"/>
      </w:r>
      <w:r>
        <w:rPr>
          <w:rFonts w:hint="eastAsia" w:ascii="黑体" w:eastAsia="黑体"/>
          <w:i w:val="0"/>
          <w:lang w:val="en-US" w:eastAsia="zh-CN"/>
        </w:rPr>
        <w:t xml:space="preserve">13 </w:t>
      </w:r>
      <w:r>
        <w:rPr>
          <w:rFonts w:hint="eastAsia"/>
          <w:highlight w:val="none"/>
          <w:lang w:val="en-US" w:eastAsia="zh-CN"/>
        </w:rPr>
        <w:t>附属设施</w:t>
      </w:r>
      <w:r>
        <w:tab/>
      </w:r>
      <w:r>
        <w:fldChar w:fldCharType="begin"/>
      </w:r>
      <w:r>
        <w:instrText xml:space="preserve"> PAGEREF _Toc18936 \h </w:instrText>
      </w:r>
      <w:r>
        <w:fldChar w:fldCharType="separate"/>
      </w:r>
      <w:r>
        <w:t>12</w:t>
      </w:r>
      <w:r>
        <w:fldChar w:fldCharType="end"/>
      </w:r>
      <w:r>
        <w:rPr>
          <w:rFonts w:hint="eastAsia"/>
          <w:highlight w:val="none"/>
          <w:lang w:eastAsia="zh-CN"/>
        </w:rPr>
        <w:fldChar w:fldCharType="end"/>
      </w:r>
    </w:p>
    <w:p w14:paraId="715D0855">
      <w:pPr>
        <w:pStyle w:val="20"/>
        <w:tabs>
          <w:tab w:val="right" w:leader="dot" w:pos="9072"/>
        </w:tabs>
      </w:pPr>
      <w:r>
        <w:rPr>
          <w:rFonts w:hint="eastAsia"/>
          <w:highlight w:val="none"/>
          <w:lang w:eastAsia="zh-CN"/>
        </w:rPr>
        <w:fldChar w:fldCharType="begin"/>
      </w:r>
      <w:r>
        <w:rPr>
          <w:rFonts w:hint="eastAsia"/>
          <w:highlight w:val="none"/>
          <w:lang w:eastAsia="zh-CN"/>
        </w:rPr>
        <w:instrText xml:space="preserve"> HYPERLINK \l _Toc9537 </w:instrText>
      </w:r>
      <w:r>
        <w:rPr>
          <w:rFonts w:hint="eastAsia"/>
          <w:highlight w:val="none"/>
          <w:lang w:eastAsia="zh-CN"/>
        </w:rPr>
        <w:fldChar w:fldCharType="separate"/>
      </w:r>
      <w:r>
        <w:rPr>
          <w:rFonts w:hint="eastAsia" w:ascii="黑体" w:eastAsia="黑体"/>
          <w:i w:val="0"/>
          <w:lang w:val="en-US" w:eastAsia="zh-CN"/>
        </w:rPr>
        <w:t xml:space="preserve">14 </w:t>
      </w:r>
      <w:r>
        <w:rPr>
          <w:rFonts w:hint="eastAsia"/>
          <w:highlight w:val="none"/>
          <w:lang w:val="en-US" w:eastAsia="zh-CN"/>
        </w:rPr>
        <w:t>台风次生灾害防治</w:t>
      </w:r>
      <w:r>
        <w:tab/>
      </w:r>
      <w:r>
        <w:fldChar w:fldCharType="begin"/>
      </w:r>
      <w:r>
        <w:instrText xml:space="preserve"> PAGEREF _Toc9537 \h </w:instrText>
      </w:r>
      <w:r>
        <w:fldChar w:fldCharType="separate"/>
      </w:r>
      <w:r>
        <w:t>12</w:t>
      </w:r>
      <w:r>
        <w:fldChar w:fldCharType="end"/>
      </w:r>
      <w:r>
        <w:rPr>
          <w:rFonts w:hint="eastAsia"/>
          <w:highlight w:val="none"/>
          <w:lang w:eastAsia="zh-CN"/>
        </w:rPr>
        <w:fldChar w:fldCharType="end"/>
      </w:r>
    </w:p>
    <w:p w14:paraId="5AB3489C">
      <w:pPr>
        <w:pStyle w:val="20"/>
        <w:tabs>
          <w:tab w:val="right" w:leader="dot" w:pos="9072"/>
        </w:tabs>
      </w:pPr>
      <w:r>
        <w:rPr>
          <w:rFonts w:hint="eastAsia"/>
          <w:highlight w:val="none"/>
          <w:lang w:eastAsia="zh-CN"/>
        </w:rPr>
        <w:fldChar w:fldCharType="begin"/>
      </w:r>
      <w:r>
        <w:rPr>
          <w:rFonts w:hint="eastAsia"/>
          <w:highlight w:val="none"/>
          <w:lang w:eastAsia="zh-CN"/>
        </w:rPr>
        <w:instrText xml:space="preserve"> HYPERLINK \l _Toc29162 </w:instrText>
      </w:r>
      <w:r>
        <w:rPr>
          <w:rFonts w:hint="eastAsia"/>
          <w:highlight w:val="none"/>
          <w:lang w:eastAsia="zh-CN"/>
        </w:rPr>
        <w:fldChar w:fldCharType="separate"/>
      </w:r>
      <w:r>
        <w:rPr>
          <w:rFonts w:hint="eastAsia" w:ascii="黑体" w:eastAsia="黑体"/>
          <w:i w:val="0"/>
          <w:lang w:val="en-US" w:eastAsia="zh-CN"/>
        </w:rPr>
        <w:t xml:space="preserve">15 </w:t>
      </w:r>
      <w:r>
        <w:rPr>
          <w:rFonts w:hint="eastAsia"/>
          <w:highlight w:val="none"/>
          <w:lang w:val="en-US" w:eastAsia="zh-CN"/>
        </w:rPr>
        <w:t>运行与维护</w:t>
      </w:r>
      <w:r>
        <w:rPr>
          <w:rFonts w:hint="eastAsia"/>
        </w:rPr>
        <w:t>及灾后评估与修复</w:t>
      </w:r>
      <w:r>
        <w:tab/>
      </w:r>
      <w:r>
        <w:fldChar w:fldCharType="begin"/>
      </w:r>
      <w:r>
        <w:instrText xml:space="preserve"> PAGEREF _Toc29162 \h </w:instrText>
      </w:r>
      <w:r>
        <w:fldChar w:fldCharType="separate"/>
      </w:r>
      <w:r>
        <w:t>13</w:t>
      </w:r>
      <w:r>
        <w:fldChar w:fldCharType="end"/>
      </w:r>
      <w:r>
        <w:rPr>
          <w:rFonts w:hint="eastAsia"/>
          <w:highlight w:val="none"/>
          <w:lang w:eastAsia="zh-CN"/>
        </w:rPr>
        <w:fldChar w:fldCharType="end"/>
      </w:r>
    </w:p>
    <w:p w14:paraId="33F05645">
      <w:pPr>
        <w:pStyle w:val="20"/>
        <w:tabs>
          <w:tab w:val="right" w:leader="dot" w:pos="9072"/>
        </w:tabs>
      </w:pPr>
      <w:r>
        <w:rPr>
          <w:rFonts w:hint="eastAsia"/>
          <w:highlight w:val="none"/>
          <w:lang w:eastAsia="zh-CN"/>
        </w:rPr>
        <w:fldChar w:fldCharType="begin"/>
      </w:r>
      <w:r>
        <w:rPr>
          <w:rFonts w:hint="eastAsia"/>
          <w:highlight w:val="none"/>
          <w:lang w:eastAsia="zh-CN"/>
        </w:rPr>
        <w:instrText xml:space="preserve"> HYPERLINK \l _Toc10775 </w:instrText>
      </w:r>
      <w:r>
        <w:rPr>
          <w:rFonts w:hint="eastAsia"/>
          <w:highlight w:val="none"/>
          <w:lang w:eastAsia="zh-CN"/>
        </w:rPr>
        <w:fldChar w:fldCharType="separate"/>
      </w:r>
      <w:r>
        <w:rPr>
          <w:rFonts w:hint="eastAsia"/>
          <w:spacing w:val="100"/>
        </w:rPr>
        <w:t xml:space="preserve">附录A </w:t>
      </w:r>
      <w:r>
        <w:rPr>
          <w:highlight w:val="none"/>
        </w:rPr>
        <w:t xml:space="preserve"> </w:t>
      </w:r>
      <w:r>
        <w:rPr>
          <w:rFonts w:hint="eastAsia"/>
          <w:highlight w:val="none"/>
          <w:lang w:eastAsia="zh-CN"/>
        </w:rPr>
        <w:t xml:space="preserve">（规范性） </w:t>
      </w:r>
      <w:r>
        <w:rPr>
          <w:rFonts w:hint="eastAsia"/>
          <w:highlight w:val="none"/>
        </w:rPr>
        <w:t>不同设计基本风速值抵御台风能力</w:t>
      </w:r>
      <w:r>
        <w:tab/>
      </w:r>
      <w:r>
        <w:fldChar w:fldCharType="begin"/>
      </w:r>
      <w:r>
        <w:instrText xml:space="preserve"> PAGEREF _Toc10775 \h </w:instrText>
      </w:r>
      <w:r>
        <w:fldChar w:fldCharType="separate"/>
      </w:r>
      <w:r>
        <w:t>14</w:t>
      </w:r>
      <w:r>
        <w:fldChar w:fldCharType="end"/>
      </w:r>
      <w:r>
        <w:rPr>
          <w:rFonts w:hint="eastAsia"/>
          <w:highlight w:val="none"/>
          <w:lang w:eastAsia="zh-CN"/>
        </w:rPr>
        <w:fldChar w:fldCharType="end"/>
      </w:r>
    </w:p>
    <w:p w14:paraId="58951EAD">
      <w:pPr>
        <w:pStyle w:val="20"/>
        <w:tabs>
          <w:tab w:val="right" w:leader="dot" w:pos="9072"/>
        </w:tabs>
      </w:pPr>
      <w:r>
        <w:rPr>
          <w:rFonts w:hint="eastAsia"/>
          <w:highlight w:val="none"/>
          <w:lang w:eastAsia="zh-CN"/>
        </w:rPr>
        <w:fldChar w:fldCharType="begin"/>
      </w:r>
      <w:r>
        <w:rPr>
          <w:rFonts w:hint="eastAsia"/>
          <w:highlight w:val="none"/>
          <w:lang w:eastAsia="zh-CN"/>
        </w:rPr>
        <w:instrText xml:space="preserve"> HYPERLINK \l _Toc14856 </w:instrText>
      </w:r>
      <w:r>
        <w:rPr>
          <w:rFonts w:hint="eastAsia"/>
          <w:highlight w:val="none"/>
          <w:lang w:eastAsia="zh-CN"/>
        </w:rPr>
        <w:fldChar w:fldCharType="separate"/>
      </w:r>
      <w:r>
        <w:rPr>
          <w:rFonts w:hint="eastAsia"/>
          <w:spacing w:val="100"/>
        </w:rPr>
        <w:t xml:space="preserve">附录B </w:t>
      </w:r>
      <w:r>
        <w:rPr>
          <w:highlight w:val="none"/>
        </w:rPr>
        <w:t xml:space="preserve"> </w:t>
      </w:r>
      <w:r>
        <w:rPr>
          <w:rFonts w:hint="eastAsia"/>
          <w:highlight w:val="none"/>
          <w:lang w:eastAsia="zh-CN"/>
        </w:rPr>
        <w:t>（</w:t>
      </w:r>
      <w:r>
        <w:rPr>
          <w:rFonts w:hint="eastAsia"/>
          <w:highlight w:val="none"/>
          <w:lang w:val="en-US" w:eastAsia="zh-CN"/>
        </w:rPr>
        <w:t>资料</w:t>
      </w:r>
      <w:r>
        <w:rPr>
          <w:rFonts w:hint="eastAsia"/>
          <w:highlight w:val="none"/>
          <w:lang w:eastAsia="zh-CN"/>
        </w:rPr>
        <w:t xml:space="preserve">性） </w:t>
      </w:r>
      <w:r>
        <w:rPr>
          <w:rFonts w:hint="eastAsia"/>
          <w:highlight w:val="none"/>
          <w:lang w:val="en-US" w:eastAsia="zh-CN"/>
        </w:rPr>
        <w:t>输</w:t>
      </w:r>
      <w:r>
        <w:rPr>
          <w:highlight w:val="none"/>
        </w:rPr>
        <w:t>电</w:t>
      </w:r>
      <w:r>
        <w:rPr>
          <w:rFonts w:hint="eastAsia"/>
          <w:highlight w:val="none"/>
          <w:lang w:val="en-US" w:eastAsia="zh-CN"/>
        </w:rPr>
        <w:t>线路</w:t>
      </w:r>
      <w:r>
        <w:rPr>
          <w:highlight w:val="none"/>
        </w:rPr>
        <w:t>抗台风运维相关事项汇总表</w:t>
      </w:r>
      <w:r>
        <w:tab/>
      </w:r>
      <w:r>
        <w:fldChar w:fldCharType="begin"/>
      </w:r>
      <w:r>
        <w:instrText xml:space="preserve"> PAGEREF _Toc14856 \h </w:instrText>
      </w:r>
      <w:r>
        <w:fldChar w:fldCharType="separate"/>
      </w:r>
      <w:r>
        <w:t>15</w:t>
      </w:r>
      <w:r>
        <w:fldChar w:fldCharType="end"/>
      </w:r>
      <w:r>
        <w:rPr>
          <w:rFonts w:hint="eastAsia"/>
          <w:highlight w:val="none"/>
          <w:lang w:eastAsia="zh-CN"/>
        </w:rPr>
        <w:fldChar w:fldCharType="end"/>
      </w:r>
    </w:p>
    <w:p w14:paraId="149CF7DB">
      <w:pPr>
        <w:pStyle w:val="93"/>
        <w:bidi w:val="0"/>
        <w:rPr>
          <w:rFonts w:hint="eastAsia"/>
          <w:highlight w:val="none"/>
          <w:lang w:eastAsia="zh-CN"/>
        </w:rPr>
        <w:sectPr>
          <w:headerReference r:id="rId10" w:type="default"/>
          <w:footerReference r:id="rId12" w:type="default"/>
          <w:headerReference r:id="rId11" w:type="even"/>
          <w:footerReference r:id="rId13" w:type="even"/>
          <w:pgSz w:w="11906" w:h="16838"/>
          <w:pgMar w:top="1417" w:right="1134" w:bottom="1134" w:left="1417" w:header="1418" w:footer="1134" w:gutter="283"/>
          <w:pgBorders>
            <w:top w:val="none" w:sz="0" w:space="0"/>
            <w:left w:val="none" w:sz="0" w:space="0"/>
            <w:bottom w:val="none" w:sz="0" w:space="0"/>
            <w:right w:val="none" w:sz="0" w:space="0"/>
          </w:pgBorders>
          <w:pgNumType w:fmt="upperRoman"/>
          <w:cols w:space="0" w:num="1"/>
          <w:formProt w:val="0"/>
          <w:rtlGutter w:val="0"/>
          <w:docGrid w:linePitch="312" w:charSpace="0"/>
        </w:sectPr>
      </w:pPr>
      <w:r>
        <w:rPr>
          <w:rFonts w:hint="eastAsia"/>
          <w:highlight w:val="none"/>
          <w:lang w:eastAsia="zh-CN"/>
        </w:rPr>
        <w:fldChar w:fldCharType="end"/>
      </w:r>
      <w:bookmarkEnd w:id="19"/>
      <w:bookmarkStart w:id="23" w:name="BookMark2"/>
    </w:p>
    <w:p w14:paraId="1D28B832">
      <w:pPr>
        <w:pStyle w:val="91"/>
        <w:bidi w:val="0"/>
        <w:ind w:left="425" w:leftChars="0" w:hanging="425" w:firstLineChars="0"/>
        <w:rPr>
          <w:rFonts w:hint="eastAsia"/>
          <w:highlight w:val="none"/>
          <w:lang w:eastAsia="zh-CN"/>
        </w:rPr>
      </w:pPr>
      <w:bookmarkStart w:id="24" w:name="_Toc30036"/>
      <w:r>
        <w:rPr>
          <w:rFonts w:hint="eastAsia"/>
          <w:highlight w:val="none"/>
          <w:lang w:eastAsia="zh-CN"/>
        </w:rPr>
        <w:t>前言</w:t>
      </w:r>
      <w:bookmarkEnd w:id="20"/>
      <w:bookmarkEnd w:id="21"/>
      <w:bookmarkEnd w:id="22"/>
      <w:bookmarkEnd w:id="24"/>
    </w:p>
    <w:p w14:paraId="114911B7">
      <w:pPr>
        <w:pStyle w:val="58"/>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highlight w:val="none"/>
          <w:lang w:eastAsia="zh-CN"/>
        </w:rPr>
      </w:pPr>
      <w:r>
        <w:rPr>
          <w:rFonts w:hint="eastAsia"/>
          <w:highlight w:val="none"/>
          <w:lang w:eastAsia="zh-CN"/>
        </w:rPr>
        <w:t>本文件按照GB/T 1.1—2020《标准化工作导则  第1部分：标准化文件的结构和起草规则》的规定起草。</w:t>
      </w:r>
    </w:p>
    <w:p w14:paraId="5B338E7E">
      <w:pPr>
        <w:pStyle w:val="58"/>
        <w:keepNext w:val="0"/>
        <w:keepLines w:val="0"/>
        <w:pageBreakBefore w:val="0"/>
        <w:widowControl/>
        <w:kinsoku/>
        <w:wordWrap/>
        <w:overflowPunct/>
        <w:topLinePunct w:val="0"/>
        <w:autoSpaceDE w:val="0"/>
        <w:autoSpaceDN w:val="0"/>
        <w:bidi w:val="0"/>
        <w:adjustRightInd/>
        <w:snapToGrid/>
        <w:spacing w:line="360" w:lineRule="auto"/>
        <w:textAlignment w:val="auto"/>
        <w:rPr>
          <w:highlight w:val="none"/>
        </w:rPr>
      </w:pPr>
      <w:r>
        <w:rPr>
          <w:rFonts w:hint="eastAsia"/>
          <w:highlight w:val="none"/>
        </w:rPr>
        <w:t>请注意本文件的某些内容可能涉及专利。本文件的发布机构不承担识别专利的责任。</w:t>
      </w:r>
    </w:p>
    <w:p w14:paraId="2CB7A5BD">
      <w:pPr>
        <w:pStyle w:val="58"/>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highlight w:val="none"/>
          <w:lang w:eastAsia="zh-CN"/>
        </w:rPr>
      </w:pPr>
      <w:r>
        <w:rPr>
          <w:rFonts w:hint="eastAsia"/>
          <w:highlight w:val="none"/>
          <w:lang w:eastAsia="zh-CN"/>
        </w:rPr>
        <w:t>本文件由</w:t>
      </w:r>
      <w:r>
        <w:rPr>
          <w:rFonts w:hint="eastAsia"/>
          <w:highlight w:val="none"/>
        </w:rPr>
        <w:t>中国电力建设企业协会</w:t>
      </w:r>
      <w:r>
        <w:rPr>
          <w:rFonts w:hint="eastAsia"/>
          <w:highlight w:val="none"/>
          <w:lang w:val="en-US" w:eastAsia="zh-CN"/>
        </w:rPr>
        <w:t>提出并</w:t>
      </w:r>
      <w:r>
        <w:rPr>
          <w:rFonts w:hint="eastAsia"/>
          <w:highlight w:val="none"/>
          <w:lang w:eastAsia="zh-CN"/>
        </w:rPr>
        <w:t>归口。</w:t>
      </w:r>
    </w:p>
    <w:p w14:paraId="39F31130">
      <w:pPr>
        <w:pStyle w:val="58"/>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highlight w:val="none"/>
          <w:lang w:eastAsia="zh-CN"/>
        </w:rPr>
      </w:pPr>
      <w:r>
        <w:rPr>
          <w:rFonts w:hint="eastAsia"/>
          <w:highlight w:val="none"/>
          <w:lang w:eastAsia="zh-CN"/>
        </w:rPr>
        <w:t>本文件起草单位：</w:t>
      </w:r>
    </w:p>
    <w:p w14:paraId="7ED1E5B6">
      <w:pPr>
        <w:pStyle w:val="58"/>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highlight w:val="none"/>
          <w:lang w:eastAsia="zh-CN"/>
        </w:rPr>
      </w:pPr>
      <w:r>
        <w:rPr>
          <w:rFonts w:hint="eastAsia"/>
          <w:highlight w:val="none"/>
          <w:lang w:eastAsia="zh-CN"/>
        </w:rPr>
        <w:t>本文件主要起草人：</w:t>
      </w:r>
    </w:p>
    <w:p w14:paraId="50EE8CEC">
      <w:pPr>
        <w:pStyle w:val="58"/>
        <w:keepNext w:val="0"/>
        <w:keepLines w:val="0"/>
        <w:pageBreakBefore w:val="0"/>
        <w:widowControl/>
        <w:kinsoku/>
        <w:wordWrap/>
        <w:overflowPunct/>
        <w:topLinePunct w:val="0"/>
        <w:autoSpaceDE w:val="0"/>
        <w:autoSpaceDN w:val="0"/>
        <w:bidi w:val="0"/>
        <w:adjustRightInd/>
        <w:snapToGrid/>
        <w:spacing w:line="360" w:lineRule="auto"/>
        <w:textAlignment w:val="auto"/>
        <w:rPr>
          <w:highlight w:val="none"/>
        </w:rPr>
      </w:pPr>
      <w:r>
        <w:rPr>
          <w:rFonts w:hint="eastAsia"/>
          <w:highlight w:val="none"/>
        </w:rPr>
        <w:t>本文件在执行过程中的意见或建议反馈至中国电力建设企业协会（北京市丰台区西四环南路35号中都科技大厦3层）</w:t>
      </w:r>
    </w:p>
    <w:p w14:paraId="03AA3729">
      <w:pPr>
        <w:pStyle w:val="58"/>
        <w:bidi w:val="0"/>
        <w:rPr>
          <w:rFonts w:hint="eastAsia"/>
          <w:highlight w:val="none"/>
          <w:lang w:eastAsia="zh-CN"/>
        </w:rPr>
      </w:pPr>
    </w:p>
    <w:p w14:paraId="28D5C200">
      <w:pPr>
        <w:pStyle w:val="58"/>
        <w:bidi w:val="0"/>
        <w:rPr>
          <w:rFonts w:hint="eastAsia"/>
          <w:highlight w:val="none"/>
          <w:lang w:eastAsia="zh-CN"/>
        </w:rPr>
      </w:pPr>
    </w:p>
    <w:p w14:paraId="3C82CC31">
      <w:pPr>
        <w:pStyle w:val="58"/>
        <w:bidi w:val="0"/>
        <w:rPr>
          <w:rFonts w:hint="eastAsia"/>
          <w:highlight w:val="none"/>
          <w:lang w:eastAsia="zh-CN"/>
        </w:rPr>
        <w:sectPr>
          <w:footerReference r:id="rId14" w:type="default"/>
          <w:footerReference r:id="rId15" w:type="even"/>
          <w:pgSz w:w="11906" w:h="16838"/>
          <w:pgMar w:top="1417" w:right="1134" w:bottom="1134" w:left="1417" w:header="1418" w:footer="1134" w:gutter="283"/>
          <w:pgBorders>
            <w:top w:val="none" w:sz="0" w:space="0"/>
            <w:left w:val="none" w:sz="0" w:space="0"/>
            <w:bottom w:val="none" w:sz="0" w:space="0"/>
            <w:right w:val="none" w:sz="0" w:space="0"/>
          </w:pgBorders>
          <w:pgNumType w:fmt="upperRoman"/>
          <w:cols w:space="0" w:num="1"/>
          <w:formProt w:val="0"/>
          <w:rtlGutter w:val="0"/>
          <w:docGrid w:linePitch="312" w:charSpace="0"/>
        </w:sectPr>
      </w:pPr>
    </w:p>
    <w:bookmarkEnd w:id="23"/>
    <w:p w14:paraId="0E9C8CB5">
      <w:pPr>
        <w:spacing w:line="20" w:lineRule="exact"/>
        <w:jc w:val="center"/>
        <w:rPr>
          <w:rFonts w:hint="eastAsia" w:ascii="黑体" w:hAnsi="黑体" w:eastAsia="黑体"/>
          <w:sz w:val="32"/>
          <w:szCs w:val="32"/>
          <w:highlight w:val="none"/>
        </w:rPr>
      </w:pPr>
      <w:bookmarkStart w:id="25" w:name="BookMark4"/>
    </w:p>
    <w:p w14:paraId="2E0055D3">
      <w:pPr>
        <w:spacing w:line="20" w:lineRule="exact"/>
        <w:jc w:val="center"/>
        <w:rPr>
          <w:rFonts w:hint="eastAsia" w:ascii="黑体" w:hAnsi="黑体" w:eastAsia="黑体"/>
          <w:sz w:val="32"/>
          <w:szCs w:val="32"/>
          <w:highlight w:val="none"/>
        </w:rPr>
      </w:pPr>
    </w:p>
    <w:sdt>
      <w:sdtPr>
        <w:rPr>
          <w:highlight w:val="none"/>
        </w:rPr>
        <w:tag w:val="NEW_STAND_NAME"/>
        <w:id w:val="595910757"/>
        <w:lock w:val="sdtLocked"/>
        <w:placeholder>
          <w:docPart w:val="9B3BEDB4F2724F9D81F4444A5CCE266D"/>
        </w:placeholder>
      </w:sdtPr>
      <w:sdtEndPr>
        <w:rPr>
          <w:highlight w:val="none"/>
        </w:rPr>
      </w:sdtEndPr>
      <w:sdtContent>
        <w:p w14:paraId="083CBE42">
          <w:pPr>
            <w:pStyle w:val="179"/>
            <w:bidi w:val="0"/>
            <w:spacing w:before="313" w:beforeLines="100" w:after="687" w:afterLines="220"/>
            <w:rPr>
              <w:rFonts w:hint="eastAsia"/>
              <w:highlight w:val="none"/>
            </w:rPr>
          </w:pPr>
          <w:bookmarkStart w:id="26" w:name="NEW_STAND_NAME"/>
          <w:r>
            <w:rPr>
              <w:rFonts w:hint="eastAsia"/>
              <w:highlight w:val="none"/>
              <w:lang w:eastAsia="zh-CN"/>
            </w:rPr>
            <w:t>架空输电线路抗台风设计技术规程</w:t>
          </w:r>
        </w:p>
      </w:sdtContent>
    </w:sdt>
    <w:bookmarkEnd w:id="26"/>
    <w:p w14:paraId="1FF360C1">
      <w:pPr>
        <w:pStyle w:val="106"/>
        <w:keepNext w:val="0"/>
        <w:keepLines w:val="0"/>
        <w:pageBreakBefore w:val="0"/>
        <w:widowControl/>
        <w:kinsoku/>
        <w:wordWrap/>
        <w:overflowPunct/>
        <w:topLinePunct w:val="0"/>
        <w:bidi w:val="0"/>
        <w:adjustRightInd/>
        <w:snapToGrid/>
        <w:spacing w:before="240" w:after="240" w:line="360" w:lineRule="auto"/>
        <w:textAlignment w:val="auto"/>
        <w:rPr>
          <w:highlight w:val="none"/>
        </w:rPr>
      </w:pPr>
      <w:bookmarkStart w:id="27" w:name="_Toc26986771"/>
      <w:bookmarkStart w:id="28" w:name="_Toc4147"/>
      <w:bookmarkStart w:id="29" w:name="_Toc24884211"/>
      <w:bookmarkStart w:id="30" w:name="_Toc7422"/>
      <w:bookmarkStart w:id="31" w:name="_Toc97192964"/>
      <w:bookmarkStart w:id="32" w:name="_Toc26986530"/>
      <w:bookmarkStart w:id="33" w:name="_Toc24884218"/>
      <w:bookmarkStart w:id="34" w:name="_Toc30972"/>
      <w:bookmarkStart w:id="35" w:name="_Toc26718930"/>
      <w:bookmarkStart w:id="36" w:name="_Toc15960"/>
      <w:bookmarkStart w:id="37" w:name="_Toc26648465"/>
      <w:bookmarkStart w:id="38" w:name="_Toc17233333"/>
      <w:bookmarkStart w:id="39" w:name="_Toc16200"/>
      <w:bookmarkStart w:id="40" w:name="_Toc17233325"/>
      <w:r>
        <w:rPr>
          <w:rFonts w:hint="eastAsia"/>
          <w:highlight w:val="none"/>
        </w:rPr>
        <w:t>范围</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7CDF767">
      <w:pPr>
        <w:pStyle w:val="58"/>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highlight w:val="none"/>
        </w:rPr>
      </w:pPr>
      <w:r>
        <w:rPr>
          <w:rFonts w:hint="eastAsia"/>
          <w:highlight w:val="none"/>
        </w:rPr>
        <w:t>本文件规定了架空输电线路的抗台风设计技术，包括气象条件、路径选择、导线和地线、绝缘子和金具、风荷载、杆塔、基础、附属设施、台风次生灾害防治、运行与维护</w:t>
      </w:r>
      <w:r>
        <w:rPr>
          <w:rFonts w:hint="eastAsia"/>
          <w:highlight w:val="none"/>
          <w:lang w:val="en-US" w:eastAsia="zh-CN"/>
        </w:rPr>
        <w:t>及灾后评估与修复</w:t>
      </w:r>
      <w:r>
        <w:rPr>
          <w:rFonts w:hint="eastAsia"/>
          <w:highlight w:val="none"/>
        </w:rPr>
        <w:t>方面内容。</w:t>
      </w:r>
    </w:p>
    <w:p w14:paraId="208C9FC9">
      <w:pPr>
        <w:pStyle w:val="58"/>
        <w:keepNext w:val="0"/>
        <w:keepLines w:val="0"/>
        <w:pageBreakBefore w:val="0"/>
        <w:widowControl/>
        <w:kinsoku/>
        <w:wordWrap/>
        <w:overflowPunct/>
        <w:topLinePunct w:val="0"/>
        <w:autoSpaceDE w:val="0"/>
        <w:autoSpaceDN w:val="0"/>
        <w:bidi w:val="0"/>
        <w:adjustRightInd/>
        <w:snapToGrid/>
        <w:spacing w:line="360" w:lineRule="auto"/>
        <w:textAlignment w:val="auto"/>
        <w:rPr>
          <w:highlight w:val="none"/>
        </w:rPr>
      </w:pPr>
      <w:r>
        <w:rPr>
          <w:rFonts w:hint="eastAsia"/>
          <w:highlight w:val="none"/>
        </w:rPr>
        <w:t>本文件适用于新建、改建的交、直流</w:t>
      </w:r>
      <w:r>
        <w:rPr>
          <w:rFonts w:hint="eastAsia"/>
          <w:highlight w:val="none"/>
          <w:lang w:val="en-US" w:eastAsia="zh-CN"/>
        </w:rPr>
        <w:t>架空</w:t>
      </w:r>
      <w:r>
        <w:rPr>
          <w:rFonts w:hint="eastAsia"/>
          <w:highlight w:val="none"/>
        </w:rPr>
        <w:t>输电线路的抗台风设计。</w:t>
      </w:r>
    </w:p>
    <w:p w14:paraId="2EEB80D6">
      <w:pPr>
        <w:pStyle w:val="106"/>
        <w:keepNext w:val="0"/>
        <w:keepLines w:val="0"/>
        <w:pageBreakBefore w:val="0"/>
        <w:widowControl/>
        <w:kinsoku/>
        <w:wordWrap/>
        <w:overflowPunct/>
        <w:topLinePunct w:val="0"/>
        <w:bidi w:val="0"/>
        <w:adjustRightInd/>
        <w:snapToGrid/>
        <w:spacing w:before="240" w:after="240" w:line="360" w:lineRule="auto"/>
        <w:textAlignment w:val="auto"/>
        <w:rPr>
          <w:highlight w:val="none"/>
        </w:rPr>
      </w:pPr>
      <w:bookmarkStart w:id="41" w:name="_Toc26718931"/>
      <w:bookmarkStart w:id="42" w:name="_Toc17233326"/>
      <w:bookmarkStart w:id="43" w:name="_Toc26986772"/>
      <w:bookmarkStart w:id="44" w:name="_Toc18577"/>
      <w:bookmarkStart w:id="45" w:name="_Toc24884212"/>
      <w:bookmarkStart w:id="46" w:name="_Toc17233334"/>
      <w:bookmarkStart w:id="47" w:name="_Toc97192965"/>
      <w:bookmarkStart w:id="48" w:name="_Toc12908"/>
      <w:bookmarkStart w:id="49" w:name="_Toc30819"/>
      <w:bookmarkStart w:id="50" w:name="_Toc11960"/>
      <w:bookmarkStart w:id="51" w:name="_Toc24884219"/>
      <w:bookmarkStart w:id="52" w:name="_Toc26648466"/>
      <w:bookmarkStart w:id="53" w:name="_Toc7321"/>
      <w:bookmarkStart w:id="54" w:name="_Toc26986531"/>
      <w:r>
        <w:rPr>
          <w:rFonts w:hint="eastAsia"/>
          <w:highlight w:val="none"/>
        </w:rPr>
        <w:t>规范性引用文件</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B36E47F">
      <w:pPr>
        <w:pStyle w:val="58"/>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highlight w:val="none"/>
        </w:rPr>
      </w:pPr>
      <w:sdt>
        <w:sdtPr>
          <w:rPr>
            <w:rFonts w:hint="eastAsia"/>
            <w:highlight w:val="none"/>
          </w:rPr>
          <w:id w:val="715848253"/>
          <w:placeholder>
            <w:docPart w:val="78956B8278AF41489B4C226600D2E8C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highlight w:val="none"/>
          </w:rPr>
        </w:sdtEndPr>
        <w:sdtContent>
          <w:r>
            <w:rPr>
              <w:rFonts w:hint="eastAsia"/>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p>
    <w:p w14:paraId="35981034">
      <w:pPr>
        <w:pStyle w:val="58"/>
        <w:adjustRightInd w:val="0"/>
        <w:snapToGrid w:val="0"/>
        <w:spacing w:line="360" w:lineRule="auto"/>
        <w:ind w:firstLine="420"/>
        <w:rPr>
          <w:rFonts w:hint="eastAsia" w:ascii="宋体" w:eastAsia="宋体"/>
          <w:lang w:val="en-US" w:eastAsia="zh-CN" w:bidi="ar-SA"/>
        </w:rPr>
      </w:pPr>
      <w:r>
        <w:rPr>
          <w:rFonts w:hint="eastAsia" w:ascii="宋体" w:eastAsia="宋体"/>
          <w:lang w:val="en-US" w:eastAsia="zh" w:bidi="ar-SA"/>
        </w:rPr>
        <w:t>GB 50007《建筑地基基础设计规范》</w:t>
      </w:r>
    </w:p>
    <w:p w14:paraId="3DF827D9">
      <w:pPr>
        <w:pStyle w:val="58"/>
        <w:adjustRightInd w:val="0"/>
        <w:snapToGrid w:val="0"/>
        <w:spacing w:line="360" w:lineRule="auto"/>
        <w:ind w:firstLine="420"/>
        <w:rPr>
          <w:rFonts w:hint="eastAsia" w:ascii="宋体" w:eastAsia="宋体"/>
          <w:lang w:val="en-US" w:eastAsia="zh" w:bidi="ar-SA"/>
        </w:rPr>
      </w:pPr>
      <w:r>
        <w:rPr>
          <w:rFonts w:hint="eastAsia" w:ascii="宋体" w:eastAsia="宋体"/>
          <w:lang w:val="en-US" w:eastAsia="zh" w:bidi="ar-SA"/>
        </w:rPr>
        <w:t>GB 50009《建筑结构荷载规范》</w:t>
      </w:r>
    </w:p>
    <w:p w14:paraId="45F666A7">
      <w:pPr>
        <w:pStyle w:val="58"/>
        <w:adjustRightInd w:val="0"/>
        <w:snapToGrid w:val="0"/>
        <w:spacing w:line="360" w:lineRule="auto"/>
        <w:ind w:firstLine="420"/>
        <w:rPr>
          <w:rFonts w:hint="eastAsia" w:ascii="宋体" w:eastAsia="宋体"/>
          <w:lang w:val="en-US" w:eastAsia="zh" w:bidi="ar-SA"/>
        </w:rPr>
      </w:pPr>
      <w:r>
        <w:rPr>
          <w:rFonts w:hint="eastAsia" w:ascii="宋体" w:eastAsia="宋体"/>
          <w:lang w:val="en-US" w:eastAsia="zh" w:bidi="ar-SA"/>
        </w:rPr>
        <w:t>GB 55001《工程结构通用规范》</w:t>
      </w:r>
    </w:p>
    <w:p w14:paraId="6843E01A">
      <w:pPr>
        <w:pStyle w:val="58"/>
        <w:adjustRightInd w:val="0"/>
        <w:snapToGrid w:val="0"/>
        <w:spacing w:line="360" w:lineRule="auto"/>
        <w:ind w:firstLine="420"/>
        <w:rPr>
          <w:rFonts w:hint="eastAsia" w:ascii="宋体" w:eastAsia="宋体"/>
          <w:lang w:val="en-US" w:eastAsia="zh" w:bidi="ar-SA"/>
        </w:rPr>
      </w:pPr>
      <w:r>
        <w:rPr>
          <w:rFonts w:hint="eastAsia" w:ascii="宋体" w:eastAsia="宋体"/>
          <w:lang w:val="en-US" w:eastAsia="zh" w:bidi="ar-SA"/>
        </w:rPr>
        <w:t>GB 50017《钢结构设计标准》</w:t>
      </w:r>
    </w:p>
    <w:p w14:paraId="5D998F07">
      <w:pPr>
        <w:pStyle w:val="58"/>
        <w:adjustRightInd w:val="0"/>
        <w:snapToGrid w:val="0"/>
        <w:spacing w:line="360" w:lineRule="auto"/>
        <w:ind w:firstLine="420"/>
        <w:rPr>
          <w:rFonts w:hint="eastAsia" w:ascii="宋体" w:eastAsia="宋体"/>
          <w:lang w:val="en-US" w:eastAsia="zh" w:bidi="ar-SA"/>
        </w:rPr>
      </w:pPr>
      <w:r>
        <w:rPr>
          <w:rFonts w:hint="eastAsia" w:ascii="宋体" w:eastAsia="宋体"/>
          <w:lang w:val="en-US" w:eastAsia="zh" w:bidi="ar-SA"/>
        </w:rPr>
        <w:t>GB</w:t>
      </w:r>
      <w:r>
        <w:rPr>
          <w:rFonts w:hint="eastAsia" w:ascii="宋体" w:eastAsia="宋体"/>
          <w:lang w:val="en-US" w:eastAsia="zh-CN" w:bidi="ar-SA"/>
        </w:rPr>
        <w:t xml:space="preserve"> </w:t>
      </w:r>
      <w:r>
        <w:rPr>
          <w:rFonts w:hint="eastAsia" w:ascii="宋体" w:eastAsia="宋体"/>
          <w:lang w:val="en-US" w:eastAsia="zh" w:bidi="ar-SA"/>
        </w:rPr>
        <w:t>50545《110kV～750kV架空输电线路设计规范》</w:t>
      </w:r>
    </w:p>
    <w:p w14:paraId="022599A8">
      <w:pPr>
        <w:pStyle w:val="58"/>
        <w:adjustRightInd w:val="0"/>
        <w:snapToGrid w:val="0"/>
        <w:spacing w:line="360" w:lineRule="auto"/>
        <w:ind w:firstLine="420"/>
        <w:rPr>
          <w:rFonts w:hint="eastAsia" w:ascii="宋体" w:eastAsia="宋体"/>
          <w:lang w:val="en-US" w:eastAsia="zh" w:bidi="ar-SA"/>
        </w:rPr>
      </w:pPr>
      <w:r>
        <w:rPr>
          <w:rFonts w:hint="eastAsia" w:ascii="宋体" w:eastAsia="宋体"/>
          <w:lang w:val="en-US" w:eastAsia="zh" w:bidi="ar-SA"/>
        </w:rPr>
        <w:t>GB 50548《330kV~750kV架空输电线路勘测规范》</w:t>
      </w:r>
    </w:p>
    <w:p w14:paraId="4164C941">
      <w:pPr>
        <w:pStyle w:val="58"/>
        <w:adjustRightInd w:val="0"/>
        <w:snapToGrid w:val="0"/>
        <w:spacing w:line="360" w:lineRule="auto"/>
        <w:ind w:firstLine="420"/>
        <w:rPr>
          <w:rFonts w:hint="eastAsia" w:ascii="宋体" w:eastAsia="宋体"/>
          <w:lang w:val="en-US" w:eastAsia="zh" w:bidi="ar-SA"/>
        </w:rPr>
      </w:pPr>
      <w:r>
        <w:rPr>
          <w:rFonts w:hint="eastAsia" w:ascii="宋体" w:eastAsia="宋体"/>
          <w:lang w:val="en-US" w:eastAsia="zh" w:bidi="ar-SA"/>
        </w:rPr>
        <w:t>GB 50741《1000kV架空输电线路勘测规范》</w:t>
      </w:r>
    </w:p>
    <w:p w14:paraId="260518E0">
      <w:pPr>
        <w:pStyle w:val="58"/>
        <w:adjustRightInd w:val="0"/>
        <w:snapToGrid w:val="0"/>
        <w:spacing w:line="360" w:lineRule="auto"/>
        <w:ind w:firstLine="420"/>
        <w:rPr>
          <w:rFonts w:hint="eastAsia" w:ascii="宋体" w:eastAsia="宋体"/>
          <w:lang w:val="en-US" w:eastAsia="zh" w:bidi="ar-SA"/>
        </w:rPr>
      </w:pPr>
      <w:r>
        <w:rPr>
          <w:rFonts w:hint="eastAsia" w:ascii="宋体" w:eastAsia="宋体"/>
          <w:lang w:val="en-US" w:eastAsia="zh" w:bidi="ar-SA"/>
        </w:rPr>
        <w:t>GB/T 19201《热带气旋等级》</w:t>
      </w:r>
    </w:p>
    <w:p w14:paraId="5FABD6CA">
      <w:pPr>
        <w:pStyle w:val="58"/>
        <w:adjustRightInd w:val="0"/>
        <w:snapToGrid w:val="0"/>
        <w:spacing w:line="360" w:lineRule="auto"/>
        <w:ind w:firstLine="420"/>
        <w:rPr>
          <w:rFonts w:hint="eastAsia" w:ascii="宋体" w:eastAsia="宋体"/>
          <w:lang w:val="en-US" w:eastAsia="zh" w:bidi="ar-SA"/>
        </w:rPr>
      </w:pPr>
      <w:r>
        <w:rPr>
          <w:rFonts w:hint="eastAsia" w:ascii="宋体" w:eastAsia="宋体"/>
          <w:lang w:val="en-US" w:eastAsia="zh" w:bidi="ar-SA"/>
        </w:rPr>
        <w:t>GB/T 28591《风力等级》</w:t>
      </w:r>
    </w:p>
    <w:p w14:paraId="52345CED">
      <w:pPr>
        <w:pStyle w:val="58"/>
        <w:adjustRightInd w:val="0"/>
        <w:snapToGrid w:val="0"/>
        <w:spacing w:line="360" w:lineRule="auto"/>
        <w:ind w:firstLine="420"/>
        <w:rPr>
          <w:rFonts w:hint="eastAsia" w:ascii="宋体" w:eastAsia="宋体"/>
          <w:lang w:val="en-US" w:eastAsia="zh" w:bidi="ar-SA"/>
        </w:rPr>
      </w:pPr>
      <w:r>
        <w:rPr>
          <w:rFonts w:hint="eastAsia" w:ascii="宋体" w:eastAsia="宋体"/>
          <w:lang w:val="en-US" w:eastAsia="zh" w:bidi="ar-SA"/>
        </w:rPr>
        <w:t>GB/T 36745《台风涡旋测风数据判别规范》</w:t>
      </w:r>
    </w:p>
    <w:p w14:paraId="6CD3982A">
      <w:pPr>
        <w:pStyle w:val="58"/>
        <w:adjustRightInd w:val="0"/>
        <w:snapToGrid w:val="0"/>
        <w:spacing w:line="360" w:lineRule="auto"/>
        <w:ind w:firstLine="420"/>
        <w:rPr>
          <w:rFonts w:hint="eastAsia" w:ascii="宋体" w:eastAsia="宋体"/>
          <w:lang w:val="en-US" w:eastAsia="zh" w:bidi="ar-SA"/>
        </w:rPr>
      </w:pPr>
      <w:r>
        <w:rPr>
          <w:rFonts w:hint="eastAsia" w:ascii="宋体" w:eastAsia="宋体"/>
          <w:lang w:val="en-US" w:eastAsia="zh" w:bidi="ar-SA"/>
        </w:rPr>
        <w:t>GB/T 50010《混凝土结构设计标准》</w:t>
      </w:r>
    </w:p>
    <w:p w14:paraId="605C2026">
      <w:pPr>
        <w:pStyle w:val="58"/>
        <w:adjustRightInd w:val="0"/>
        <w:snapToGrid w:val="0"/>
        <w:spacing w:line="360" w:lineRule="auto"/>
        <w:ind w:firstLine="420"/>
        <w:rPr>
          <w:rFonts w:hint="eastAsia" w:ascii="宋体" w:eastAsia="宋体"/>
          <w:lang w:val="en-US" w:eastAsia="zh" w:bidi="ar-SA"/>
        </w:rPr>
      </w:pPr>
      <w:r>
        <w:rPr>
          <w:rFonts w:hint="eastAsia" w:ascii="宋体" w:eastAsia="宋体"/>
          <w:lang w:val="en-US" w:eastAsia="zh" w:bidi="ar-SA"/>
        </w:rPr>
        <w:t>GB/T 50046《工业建筑防腐蚀设计标准》</w:t>
      </w:r>
    </w:p>
    <w:p w14:paraId="58ADA663">
      <w:pPr>
        <w:pStyle w:val="58"/>
        <w:adjustRightInd w:val="0"/>
        <w:snapToGrid w:val="0"/>
        <w:spacing w:line="360" w:lineRule="auto"/>
        <w:ind w:firstLine="420"/>
        <w:rPr>
          <w:rFonts w:hint="eastAsia" w:ascii="宋体" w:eastAsia="宋体"/>
          <w:lang w:val="en-US" w:eastAsia="zh" w:bidi="ar-SA"/>
        </w:rPr>
      </w:pPr>
      <w:r>
        <w:rPr>
          <w:rFonts w:hint="eastAsia" w:ascii="宋体" w:eastAsia="宋体"/>
          <w:lang w:val="en-US" w:eastAsia="zh" w:bidi="ar-SA"/>
        </w:rPr>
        <w:t>GB/T 50297《电力工程基本术语标准》</w:t>
      </w:r>
    </w:p>
    <w:p w14:paraId="4FA141CA">
      <w:pPr>
        <w:pStyle w:val="58"/>
        <w:adjustRightInd w:val="0"/>
        <w:snapToGrid w:val="0"/>
        <w:spacing w:line="360" w:lineRule="auto"/>
        <w:ind w:firstLine="420"/>
        <w:rPr>
          <w:rFonts w:hint="eastAsia" w:ascii="宋体" w:eastAsia="宋体"/>
          <w:lang w:val="en-US" w:eastAsia="zh" w:bidi="ar-SA"/>
        </w:rPr>
      </w:pPr>
      <w:r>
        <w:rPr>
          <w:rFonts w:hint="eastAsia" w:ascii="宋体" w:eastAsia="宋体"/>
          <w:lang w:val="en-US" w:eastAsia="zh" w:bidi="ar-SA"/>
        </w:rPr>
        <w:t>GB/T 32935《全球热带气旋等级》</w:t>
      </w:r>
    </w:p>
    <w:p w14:paraId="061FC7E5">
      <w:pPr>
        <w:pStyle w:val="58"/>
        <w:adjustRightInd w:val="0"/>
        <w:snapToGrid w:val="0"/>
        <w:spacing w:line="360" w:lineRule="auto"/>
        <w:ind w:firstLine="420"/>
        <w:rPr>
          <w:rFonts w:hint="eastAsia" w:ascii="宋体" w:eastAsia="宋体"/>
          <w:lang w:val="en-US" w:eastAsia="zh" w:bidi="ar-SA"/>
        </w:rPr>
      </w:pPr>
      <w:r>
        <w:rPr>
          <w:rFonts w:hint="eastAsia" w:ascii="宋体" w:eastAsia="宋体"/>
          <w:lang w:val="en-US" w:eastAsia="zh" w:bidi="ar-SA"/>
        </w:rPr>
        <w:t>DL/T 741《架空输电线路运行规程》</w:t>
      </w:r>
    </w:p>
    <w:p w14:paraId="1D709C86">
      <w:pPr>
        <w:pStyle w:val="58"/>
        <w:adjustRightInd w:val="0"/>
        <w:snapToGrid w:val="0"/>
        <w:spacing w:line="360" w:lineRule="auto"/>
        <w:ind w:firstLine="420"/>
        <w:rPr>
          <w:rFonts w:hint="eastAsia" w:ascii="宋体" w:eastAsia="宋体"/>
          <w:lang w:val="en-US" w:eastAsia="zh" w:bidi="ar-SA"/>
        </w:rPr>
      </w:pPr>
      <w:r>
        <w:rPr>
          <w:rFonts w:hint="eastAsia" w:ascii="宋体" w:eastAsia="宋体"/>
          <w:lang w:val="en-US" w:eastAsia="zh" w:bidi="ar-SA"/>
        </w:rPr>
        <w:t>DL/T 5551《架空输电线路荷载规范》</w:t>
      </w:r>
    </w:p>
    <w:p w14:paraId="2DCFBCAF">
      <w:pPr>
        <w:pStyle w:val="58"/>
        <w:adjustRightInd w:val="0"/>
        <w:snapToGrid w:val="0"/>
        <w:spacing w:line="360" w:lineRule="auto"/>
        <w:ind w:firstLine="420"/>
        <w:rPr>
          <w:rFonts w:hint="eastAsia" w:ascii="宋体" w:eastAsia="宋体"/>
          <w:lang w:val="en-US" w:eastAsia="zh" w:bidi="ar-SA"/>
        </w:rPr>
      </w:pPr>
      <w:r>
        <w:rPr>
          <w:rFonts w:hint="eastAsia" w:ascii="宋体" w:eastAsia="宋体"/>
          <w:lang w:val="en-US" w:eastAsia="zh" w:bidi="ar-SA"/>
        </w:rPr>
        <w:t>DL/T 5486《架空输电线路杆塔结构设计技术规程》</w:t>
      </w:r>
    </w:p>
    <w:p w14:paraId="5CC09CA9">
      <w:pPr>
        <w:pStyle w:val="58"/>
        <w:adjustRightInd w:val="0"/>
        <w:snapToGrid w:val="0"/>
        <w:spacing w:line="360" w:lineRule="auto"/>
        <w:ind w:firstLine="420"/>
        <w:rPr>
          <w:rFonts w:hint="eastAsia" w:ascii="宋体" w:eastAsia="宋体"/>
          <w:lang w:val="en-US" w:eastAsia="zh" w:bidi="ar-SA"/>
        </w:rPr>
      </w:pPr>
      <w:r>
        <w:rPr>
          <w:rFonts w:hint="eastAsia" w:ascii="宋体" w:eastAsia="宋体"/>
          <w:lang w:val="en-US" w:eastAsia="zh" w:bidi="ar-SA"/>
        </w:rPr>
        <w:t>DL/T 5219《架空输电线路基础设计规程》</w:t>
      </w:r>
    </w:p>
    <w:p w14:paraId="1A5F7C98">
      <w:pPr>
        <w:pStyle w:val="58"/>
        <w:adjustRightInd w:val="0"/>
        <w:snapToGrid w:val="0"/>
        <w:spacing w:line="360" w:lineRule="auto"/>
        <w:ind w:firstLine="420"/>
        <w:rPr>
          <w:rFonts w:hint="eastAsia" w:ascii="宋体" w:eastAsia="宋体"/>
          <w:lang w:val="en-US" w:eastAsia="zh" w:bidi="ar-SA"/>
        </w:rPr>
      </w:pPr>
      <w:r>
        <w:rPr>
          <w:rFonts w:hint="eastAsia" w:ascii="宋体" w:eastAsia="宋体"/>
          <w:lang w:val="en-US" w:eastAsia="zh" w:bidi="ar-SA"/>
        </w:rPr>
        <w:t>DL/T 5582《架空输电线路电气设计规程》</w:t>
      </w:r>
    </w:p>
    <w:p w14:paraId="3BD258EA">
      <w:pPr>
        <w:pStyle w:val="58"/>
        <w:adjustRightInd w:val="0"/>
        <w:snapToGrid w:val="0"/>
        <w:spacing w:line="360" w:lineRule="auto"/>
        <w:ind w:firstLine="420"/>
        <w:rPr>
          <w:rFonts w:hint="eastAsia" w:ascii="宋体" w:eastAsia="宋体"/>
          <w:lang w:val="en-US" w:eastAsia="zh" w:bidi="ar-SA"/>
        </w:rPr>
      </w:pPr>
      <w:r>
        <w:rPr>
          <w:rFonts w:hint="eastAsia" w:ascii="宋体" w:eastAsia="宋体"/>
          <w:lang w:val="en-US" w:eastAsia="zh" w:bidi="ar-SA"/>
        </w:rPr>
        <w:t>DL/T 5158《电力工程气象勘测技术规程》</w:t>
      </w:r>
    </w:p>
    <w:p w14:paraId="6F2B0450">
      <w:pPr>
        <w:pStyle w:val="58"/>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eastAsia="宋体"/>
          <w:lang w:val="en-US" w:eastAsia="zh" w:bidi="ar-SA"/>
        </w:rPr>
      </w:pPr>
      <w:r>
        <w:rPr>
          <w:rFonts w:hint="eastAsia" w:ascii="宋体" w:eastAsia="宋体"/>
          <w:lang w:val="en-US" w:eastAsia="zh" w:bidi="ar-SA"/>
        </w:rPr>
        <w:t>DL/T 5076《220kV及以下架空送电线路勘测技术规程》</w:t>
      </w:r>
    </w:p>
    <w:p w14:paraId="03FCA7A4">
      <w:pPr>
        <w:pStyle w:val="58"/>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eastAsia="宋体"/>
          <w:lang w:val="en-US" w:eastAsia="zh" w:bidi="ar-SA"/>
        </w:rPr>
      </w:pPr>
      <w:r>
        <w:rPr>
          <w:rFonts w:hint="eastAsia" w:ascii="宋体" w:eastAsia="宋体"/>
          <w:lang w:val="en-US" w:eastAsia="zh" w:bidi="ar-SA"/>
        </w:rPr>
        <w:t>DL/T 5630《输变电工程防灾减灾设计规程》</w:t>
      </w:r>
    </w:p>
    <w:p w14:paraId="2959F312">
      <w:pPr>
        <w:pStyle w:val="58"/>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eastAsia="宋体"/>
          <w:lang w:val="en-US" w:eastAsia="zh" w:bidi="ar-SA"/>
        </w:rPr>
      </w:pPr>
      <w:r>
        <w:rPr>
          <w:rFonts w:hint="eastAsia" w:ascii="宋体" w:eastAsia="宋体"/>
          <w:lang w:val="en-US" w:eastAsia="zh" w:bidi="ar-SA"/>
        </w:rPr>
        <w:t>DL/T 289《架空输电线路直升机巡视作业标志》</w:t>
      </w:r>
    </w:p>
    <w:p w14:paraId="509DFDD5">
      <w:pPr>
        <w:pStyle w:val="58"/>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textAlignment w:val="auto"/>
        <w:rPr>
          <w:rFonts w:hint="eastAsia" w:eastAsia="宋体"/>
          <w:highlight w:val="none"/>
          <w:lang w:val="en-US" w:eastAsia="zh-CN"/>
        </w:rPr>
      </w:pPr>
      <w:r>
        <w:rPr>
          <w:rFonts w:hint="eastAsia" w:ascii="宋体" w:eastAsia="宋体"/>
          <w:lang w:val="en-US" w:eastAsia="zh" w:bidi="ar-SA"/>
        </w:rPr>
        <w:t>DL/T 2871</w:t>
      </w:r>
      <w:r>
        <w:rPr>
          <w:rFonts w:hint="eastAsia" w:ascii="宋体" w:eastAsia="宋体"/>
          <w:lang w:val="en-US" w:eastAsia="zh-CN" w:bidi="ar-SA"/>
        </w:rPr>
        <w:t>《架空输电线路标识配置及制作安装规范</w:t>
      </w:r>
      <w:r>
        <w:rPr>
          <w:rFonts w:hint="eastAsia" w:eastAsia="宋体"/>
          <w:highlight w:val="none"/>
          <w:lang w:val="en-US" w:eastAsia="zh-CN"/>
        </w:rPr>
        <w:t>》</w:t>
      </w:r>
      <w:bookmarkStart w:id="55" w:name="_Toc5400"/>
      <w:bookmarkStart w:id="56" w:name="_Toc2146"/>
      <w:bookmarkStart w:id="57" w:name="_Toc97192966"/>
      <w:bookmarkStart w:id="58" w:name="_Toc13779"/>
      <w:bookmarkStart w:id="59" w:name="_Toc23142"/>
    </w:p>
    <w:p w14:paraId="7EF9D25A">
      <w:pPr>
        <w:pStyle w:val="106"/>
        <w:bidi w:val="0"/>
      </w:pPr>
      <w:bookmarkStart w:id="60" w:name="_Toc1019"/>
      <w:r>
        <w:rPr>
          <w:rFonts w:hint="eastAsia"/>
        </w:rPr>
        <w:t>术语和定义</w:t>
      </w:r>
      <w:bookmarkEnd w:id="55"/>
      <w:bookmarkEnd w:id="56"/>
      <w:bookmarkEnd w:id="57"/>
      <w:bookmarkEnd w:id="58"/>
      <w:bookmarkEnd w:id="59"/>
      <w:bookmarkEnd w:id="60"/>
    </w:p>
    <w:sdt>
      <w:sdtPr>
        <w:rPr>
          <w:highlight w:val="none"/>
        </w:rPr>
        <w:id w:val="147464170"/>
        <w:placeholder>
          <w:docPart w:val="{338fecf5-aa80-477e-915f-3a7ef21f5b88}"/>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hAnsi="Times New Roman" w:eastAsia="宋体" w:cs="Times New Roman"/>
          <w:sz w:val="21"/>
          <w:highlight w:val="none"/>
        </w:rPr>
      </w:sdtEndPr>
      <w:sdtContent>
        <w:p w14:paraId="481EDEEB">
          <w:pPr>
            <w:pStyle w:val="107"/>
            <w:keepNext w:val="0"/>
            <w:keepLines w:val="0"/>
            <w:pageBreakBefore w:val="0"/>
            <w:kinsoku/>
            <w:wordWrap/>
            <w:overflowPunct/>
            <w:topLinePunct w:val="0"/>
            <w:bidi w:val="0"/>
            <w:adjustRightInd/>
            <w:snapToGrid/>
            <w:spacing w:line="360" w:lineRule="auto"/>
            <w:ind w:left="0" w:firstLine="0"/>
            <w:textAlignment w:val="auto"/>
            <w:rPr>
              <w:rFonts w:hint="eastAsia"/>
              <w:highlight w:val="none"/>
            </w:rPr>
          </w:pPr>
          <w:bookmarkStart w:id="61" w:name="_Toc26986532"/>
          <w:bookmarkEnd w:id="61"/>
          <w:bookmarkStart w:id="62" w:name="_Toc31405"/>
          <w:bookmarkStart w:id="63" w:name="_Toc8069"/>
          <w:bookmarkStart w:id="64" w:name="_Toc26078"/>
          <w:bookmarkStart w:id="65" w:name="_Toc2393"/>
          <w:bookmarkStart w:id="66" w:name="_Toc16703"/>
          <w:bookmarkStart w:id="67" w:name="_Toc911"/>
          <w:bookmarkStart w:id="68" w:name="_Toc21557995"/>
          <w:r>
            <w:rPr>
              <w:rFonts w:hint="eastAsia"/>
              <w:highlight w:val="none"/>
            </w:rPr>
            <w:t xml:space="preserve">底层中心附近 </w:t>
          </w:r>
          <w:r>
            <w:rPr>
              <w:rFonts w:hint="eastAsia"/>
              <w:highlight w:val="none"/>
              <w:lang w:eastAsia="zh"/>
            </w:rPr>
            <w:t>n</w:t>
          </w:r>
          <w:r>
            <w:rPr>
              <w:rFonts w:hint="eastAsia"/>
              <w:highlight w:val="none"/>
            </w:rPr>
            <w:t>ear the bottom center</w:t>
          </w:r>
          <w:bookmarkEnd w:id="62"/>
          <w:bookmarkEnd w:id="63"/>
          <w:bookmarkEnd w:id="64"/>
          <w:bookmarkEnd w:id="65"/>
          <w:bookmarkEnd w:id="66"/>
        </w:p>
        <w:p w14:paraId="3EFEFC4E">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eastAsia" w:ascii="Times New Roman" w:hAnsi="Times New Roman" w:eastAsia="宋体" w:cs="Times New Roman"/>
              <w:sz w:val="21"/>
              <w:highlight w:val="none"/>
            </w:rPr>
          </w:pPr>
          <w:r>
            <w:rPr>
              <w:rFonts w:hint="eastAsia" w:ascii="Times New Roman" w:hAnsi="Times New Roman" w:eastAsia="宋体" w:cs="Times New Roman"/>
              <w:sz w:val="21"/>
              <w:highlight w:val="none"/>
            </w:rPr>
            <w:t>地面以上10米高处，热带气旋中心向外延伸至‌最大风速半径的范围。</w:t>
          </w:r>
        </w:p>
        <w:p w14:paraId="1660AB54">
          <w:pPr>
            <w:pStyle w:val="107"/>
            <w:keepNext w:val="0"/>
            <w:keepLines w:val="0"/>
            <w:pageBreakBefore w:val="0"/>
            <w:kinsoku/>
            <w:wordWrap/>
            <w:overflowPunct/>
            <w:topLinePunct w:val="0"/>
            <w:bidi w:val="0"/>
            <w:adjustRightInd/>
            <w:snapToGrid/>
            <w:spacing w:line="360" w:lineRule="auto"/>
            <w:ind w:left="0" w:firstLine="0"/>
            <w:textAlignment w:val="auto"/>
            <w:rPr>
              <w:rFonts w:hint="eastAsia"/>
              <w:highlight w:val="none"/>
              <w:lang w:val="en-US" w:eastAsia="zh"/>
            </w:rPr>
          </w:pPr>
          <w:bookmarkStart w:id="69" w:name="_Toc21458"/>
          <w:bookmarkStart w:id="70" w:name="_Toc9769"/>
          <w:bookmarkStart w:id="71" w:name="_Toc114"/>
          <w:bookmarkStart w:id="72" w:name="_Toc25206"/>
          <w:bookmarkStart w:id="73" w:name="_Toc32447"/>
          <w:r>
            <w:rPr>
              <w:rFonts w:hint="eastAsia"/>
              <w:highlight w:val="none"/>
              <w:lang w:val="en-US" w:eastAsia="zh"/>
            </w:rPr>
            <w:t>平均风速 mean wind speed</w:t>
          </w:r>
          <w:bookmarkEnd w:id="69"/>
          <w:bookmarkEnd w:id="70"/>
          <w:bookmarkEnd w:id="71"/>
          <w:bookmarkEnd w:id="72"/>
          <w:bookmarkEnd w:id="73"/>
        </w:p>
        <w:p w14:paraId="2E0260AD">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eastAsia" w:ascii="Times New Roman" w:hAnsi="Times New Roman" w:eastAsia="宋体" w:cs="Times New Roman"/>
              <w:sz w:val="21"/>
              <w:highlight w:val="none"/>
              <w:lang w:eastAsia="zh"/>
            </w:rPr>
          </w:pPr>
          <w:r>
            <w:rPr>
              <w:rFonts w:hint="eastAsia" w:ascii="Times New Roman" w:hAnsi="Times New Roman" w:eastAsia="宋体" w:cs="Times New Roman"/>
              <w:sz w:val="21"/>
              <w:highlight w:val="none"/>
              <w:lang w:eastAsia="zh"/>
            </w:rPr>
            <w:t>在给定的某一时段内的风速的平均值。</w:t>
          </w:r>
        </w:p>
        <w:p w14:paraId="4DA32063">
          <w:pPr>
            <w:pStyle w:val="107"/>
            <w:keepNext w:val="0"/>
            <w:keepLines w:val="0"/>
            <w:pageBreakBefore w:val="0"/>
            <w:kinsoku/>
            <w:wordWrap/>
            <w:overflowPunct/>
            <w:topLinePunct w:val="0"/>
            <w:bidi w:val="0"/>
            <w:adjustRightInd/>
            <w:snapToGrid/>
            <w:spacing w:line="360" w:lineRule="auto"/>
            <w:ind w:left="0" w:firstLine="0"/>
            <w:textAlignment w:val="auto"/>
            <w:rPr>
              <w:rFonts w:hint="eastAsia"/>
              <w:highlight w:val="none"/>
              <w:lang w:val="en-US" w:eastAsia="zh-CN"/>
            </w:rPr>
          </w:pPr>
          <w:bookmarkStart w:id="74" w:name="_Toc4961"/>
          <w:bookmarkStart w:id="75" w:name="_Toc18466"/>
          <w:bookmarkStart w:id="76" w:name="_Toc23951"/>
          <w:bookmarkStart w:id="77" w:name="_Toc18351"/>
          <w:bookmarkStart w:id="78" w:name="_Toc6379"/>
          <w:r>
            <w:rPr>
              <w:rFonts w:hint="eastAsia"/>
              <w:highlight w:val="none"/>
              <w:lang w:val="en-US" w:eastAsia="zh-CN"/>
            </w:rPr>
            <w:t>台风typhoon</w:t>
          </w:r>
          <w:bookmarkEnd w:id="74"/>
          <w:bookmarkEnd w:id="75"/>
          <w:bookmarkEnd w:id="76"/>
          <w:bookmarkEnd w:id="77"/>
          <w:bookmarkEnd w:id="78"/>
        </w:p>
        <w:p w14:paraId="67EF56CD">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eastAsia" w:ascii="Times New Roman" w:hAnsi="Times New Roman" w:eastAsia="宋体" w:cs="Times New Roman"/>
              <w:sz w:val="21"/>
              <w:highlight w:val="none"/>
              <w:lang w:eastAsia="zh"/>
            </w:rPr>
          </w:pPr>
          <w:r>
            <w:rPr>
              <w:rFonts w:hint="eastAsia" w:ascii="Times New Roman" w:hAnsi="Times New Roman" w:eastAsia="宋体" w:cs="Times New Roman"/>
              <w:sz w:val="21"/>
              <w:highlight w:val="none"/>
              <w:lang w:eastAsia="zh"/>
            </w:rPr>
            <w:t>底层中心附近最大平均风速32.7m/s及以上的热带气旋，包括强台风和超强台风等。</w:t>
          </w:r>
        </w:p>
        <w:p w14:paraId="604FED2F">
          <w:pPr>
            <w:pStyle w:val="107"/>
            <w:keepNext w:val="0"/>
            <w:keepLines w:val="0"/>
            <w:pageBreakBefore w:val="0"/>
            <w:kinsoku/>
            <w:wordWrap/>
            <w:overflowPunct/>
            <w:topLinePunct w:val="0"/>
            <w:bidi w:val="0"/>
            <w:adjustRightInd/>
            <w:snapToGrid/>
            <w:spacing w:line="360" w:lineRule="auto"/>
            <w:ind w:left="0" w:firstLine="0"/>
            <w:textAlignment w:val="auto"/>
            <w:rPr>
              <w:rFonts w:hint="eastAsia"/>
              <w:highlight w:val="none"/>
              <w:lang w:val="en-US" w:eastAsia="zh-CN"/>
            </w:rPr>
          </w:pPr>
          <w:bookmarkStart w:id="79" w:name="_Toc18835"/>
          <w:bookmarkStart w:id="80" w:name="_Toc18992"/>
          <w:bookmarkStart w:id="81" w:name="_Toc29433"/>
          <w:bookmarkStart w:id="82" w:name="_Toc833"/>
          <w:bookmarkStart w:id="83" w:name="_Toc1177"/>
          <w:r>
            <w:rPr>
              <w:rFonts w:hint="eastAsia"/>
              <w:highlight w:val="none"/>
              <w:lang w:val="en-US" w:eastAsia="zh-CN"/>
            </w:rPr>
            <w:t>基本风速basic wind speed</w:t>
          </w:r>
          <w:bookmarkEnd w:id="79"/>
          <w:bookmarkEnd w:id="80"/>
          <w:bookmarkEnd w:id="81"/>
          <w:bookmarkEnd w:id="82"/>
          <w:bookmarkEnd w:id="83"/>
        </w:p>
        <w:p w14:paraId="4A15B20B">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eastAsia" w:ascii="Times New Roman" w:hAnsi="Times New Roman" w:eastAsia="宋体" w:cs="Times New Roman"/>
              <w:sz w:val="21"/>
              <w:highlight w:val="none"/>
            </w:rPr>
          </w:pPr>
          <w:r>
            <w:rPr>
              <w:rFonts w:hint="eastAsia" w:ascii="Times New Roman" w:hAnsi="Times New Roman" w:eastAsia="宋体" w:cs="Times New Roman"/>
              <w:sz w:val="21"/>
              <w:highlight w:val="none"/>
              <w:lang w:eastAsia="zh"/>
            </w:rPr>
            <w:t>按当地空旷平坦地面（大跨越应取历年大风季节平均最低水位）上10m高度处10min平均最大风速观测数据，经概率统计得出</w:t>
          </w:r>
          <w:r>
            <w:rPr>
              <w:rFonts w:hint="eastAsia" w:ascii="Times New Roman" w:hAnsi="Times New Roman" w:eastAsia="宋体" w:cs="Times New Roman"/>
              <w:sz w:val="21"/>
              <w:highlight w:val="none"/>
              <w:lang w:val="en-US" w:eastAsia="zh-CN"/>
            </w:rPr>
            <w:t>相应重现期</w:t>
          </w:r>
          <w:r>
            <w:rPr>
              <w:rFonts w:hint="eastAsia" w:ascii="Times New Roman" w:hAnsi="Times New Roman" w:eastAsia="宋体" w:cs="Times New Roman"/>
              <w:sz w:val="21"/>
              <w:highlight w:val="none"/>
              <w:lang w:eastAsia="zh"/>
            </w:rPr>
            <w:t>后确定的风速。</w:t>
          </w:r>
        </w:p>
        <w:p w14:paraId="0278D63D">
          <w:pPr>
            <w:pStyle w:val="107"/>
            <w:keepNext w:val="0"/>
            <w:keepLines w:val="0"/>
            <w:pageBreakBefore w:val="0"/>
            <w:kinsoku/>
            <w:wordWrap/>
            <w:overflowPunct/>
            <w:topLinePunct w:val="0"/>
            <w:bidi w:val="0"/>
            <w:adjustRightInd/>
            <w:snapToGrid/>
            <w:spacing w:line="360" w:lineRule="auto"/>
            <w:ind w:left="0" w:firstLine="0"/>
            <w:textAlignment w:val="auto"/>
            <w:rPr>
              <w:rFonts w:hint="eastAsia"/>
              <w:highlight w:val="none"/>
              <w:lang w:val="en-US" w:eastAsia="zh-CN"/>
            </w:rPr>
          </w:pPr>
          <w:bookmarkStart w:id="84" w:name="_Toc20360"/>
          <w:bookmarkStart w:id="85" w:name="_Toc20314"/>
          <w:bookmarkStart w:id="86" w:name="_Toc29534"/>
          <w:bookmarkStart w:id="87" w:name="_Toc25054"/>
          <w:bookmarkStart w:id="88" w:name="_Toc26828"/>
          <w:r>
            <w:rPr>
              <w:rFonts w:hint="eastAsia"/>
              <w:highlight w:val="none"/>
              <w:lang w:val="en-US" w:eastAsia="zh-CN"/>
            </w:rPr>
            <w:t>基本风压reference wind pressure</w:t>
          </w:r>
          <w:bookmarkEnd w:id="84"/>
          <w:bookmarkEnd w:id="85"/>
          <w:bookmarkEnd w:id="86"/>
          <w:bookmarkEnd w:id="87"/>
          <w:bookmarkEnd w:id="88"/>
        </w:p>
        <w:p w14:paraId="24014648">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eastAsia" w:ascii="Times New Roman" w:hAnsi="Times New Roman" w:eastAsia="宋体" w:cs="Times New Roman"/>
              <w:sz w:val="21"/>
              <w:highlight w:val="none"/>
              <w:lang w:val="en-US" w:eastAsia="zh-CN"/>
            </w:rPr>
          </w:pPr>
          <w:r>
            <w:rPr>
              <w:rFonts w:hint="eastAsia" w:ascii="Times New Roman" w:hAnsi="Times New Roman" w:eastAsia="宋体" w:cs="Times New Roman"/>
              <w:sz w:val="21"/>
              <w:highlight w:val="none"/>
              <w:lang w:eastAsia="zh"/>
            </w:rPr>
            <w:t>基本风压是按基本风速在考虑相应空气密度，按贝努利</w:t>
          </w:r>
          <w:r>
            <w:rPr>
              <w:rFonts w:hint="eastAsia" w:ascii="Times New Roman" w:hAnsi="Times New Roman" w:eastAsia="宋体" w:cs="Times New Roman"/>
              <w:sz w:val="21"/>
              <w:highlight w:val="none"/>
              <w:lang w:eastAsia="zh-CN"/>
            </w:rPr>
            <w:t>（</w:t>
          </w:r>
          <w:r>
            <w:rPr>
              <w:rFonts w:hint="eastAsia" w:ascii="Times New Roman" w:hAnsi="Times New Roman" w:eastAsia="宋体" w:cs="Times New Roman"/>
              <w:sz w:val="21"/>
              <w:highlight w:val="none"/>
              <w:lang w:eastAsia="zh"/>
            </w:rPr>
            <w:t>Bernoulli</w:t>
          </w:r>
          <w:r>
            <w:rPr>
              <w:rFonts w:hint="eastAsia" w:ascii="Times New Roman" w:hAnsi="Times New Roman" w:eastAsia="宋体" w:cs="Times New Roman"/>
              <w:sz w:val="21"/>
              <w:highlight w:val="none"/>
              <w:lang w:eastAsia="zh-CN"/>
            </w:rPr>
            <w:t>）</w:t>
          </w:r>
          <w:r>
            <w:rPr>
              <w:rFonts w:hint="eastAsia" w:ascii="Times New Roman" w:hAnsi="Times New Roman" w:eastAsia="宋体" w:cs="Times New Roman"/>
              <w:sz w:val="21"/>
              <w:highlight w:val="none"/>
              <w:lang w:eastAsia="zh"/>
            </w:rPr>
            <w:t>公式确定的风压，但不得小于0.3kN/m</w:t>
          </w:r>
          <w:r>
            <w:rPr>
              <w:rFonts w:hint="eastAsia" w:ascii="Times New Roman" w:hAnsi="Times New Roman" w:eastAsia="宋体" w:cs="Times New Roman"/>
              <w:sz w:val="21"/>
              <w:highlight w:val="none"/>
              <w:vertAlign w:val="superscript"/>
              <w:lang w:eastAsia="zh"/>
            </w:rPr>
            <w:t>2</w:t>
          </w:r>
          <w:r>
            <w:rPr>
              <w:rFonts w:hint="eastAsia" w:ascii="Times New Roman" w:hAnsi="Times New Roman" w:eastAsia="宋体" w:cs="Times New Roman"/>
              <w:sz w:val="21"/>
              <w:highlight w:val="none"/>
              <w:lang w:eastAsia="zh"/>
            </w:rPr>
            <w:t>。对于高耸结构以及对风荷载比较敏感的其他结构，基本风压的取值应适当提高，并应符合有关结构设计规范的规定。</w:t>
          </w:r>
        </w:p>
        <w:p w14:paraId="02D60181">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363" w:leftChars="0"/>
            <w:jc w:val="both"/>
            <w:textAlignment w:val="auto"/>
            <w:rPr>
              <w:rFonts w:hint="eastAsia" w:ascii="宋体" w:hAnsi="Times New Roman" w:eastAsia="宋体" w:cs="Times New Roman"/>
              <w:sz w:val="18"/>
              <w:szCs w:val="18"/>
              <w:highlight w:val="none"/>
              <w:lang w:val="en-US" w:eastAsia="zh-CN" w:bidi="ar-SA"/>
            </w:rPr>
          </w:pPr>
          <w:r>
            <w:rPr>
              <w:rFonts w:hint="eastAsia" w:ascii="宋体" w:hAnsi="Times New Roman" w:eastAsia="宋体" w:cs="Times New Roman"/>
              <w:sz w:val="18"/>
              <w:szCs w:val="18"/>
              <w:highlight w:val="none"/>
              <w:lang w:val="en-US" w:eastAsia="zh-CN" w:bidi="ar-SA"/>
            </w:rPr>
            <w:t>[</w:t>
          </w:r>
          <w:r>
            <w:rPr>
              <w:rFonts w:hint="eastAsia" w:ascii="宋体" w:hAnsi="Times New Roman" w:eastAsia="宋体" w:cs="Times New Roman"/>
              <w:sz w:val="18"/>
              <w:szCs w:val="18"/>
              <w:highlight w:val="none"/>
              <w:lang w:val="en-US" w:eastAsia="zh" w:bidi="ar-SA"/>
            </w:rPr>
            <w:t>改写GB50</w:t>
          </w:r>
          <w:r>
            <w:rPr>
              <w:rFonts w:hint="eastAsia" w:ascii="宋体" w:hAnsi="Times New Roman" w:eastAsia="宋体" w:cs="Times New Roman"/>
              <w:sz w:val="18"/>
              <w:szCs w:val="18"/>
              <w:highlight w:val="none"/>
              <w:lang w:val="en-US" w:eastAsia="zh-CN" w:bidi="ar-SA"/>
            </w:rPr>
            <w:t>0</w:t>
          </w:r>
          <w:r>
            <w:rPr>
              <w:rFonts w:hint="eastAsia" w:ascii="宋体" w:hAnsi="Times New Roman" w:eastAsia="宋体" w:cs="Times New Roman"/>
              <w:sz w:val="18"/>
              <w:szCs w:val="18"/>
              <w:highlight w:val="none"/>
              <w:lang w:val="en-US" w:eastAsia="zh" w:bidi="ar-SA"/>
            </w:rPr>
            <w:t>09，定义2.1.22和GB/T50297，定义2.8.16。</w:t>
          </w:r>
          <w:r>
            <w:rPr>
              <w:rFonts w:hint="eastAsia" w:ascii="宋体" w:hAnsi="Times New Roman" w:eastAsia="宋体" w:cs="Times New Roman"/>
              <w:sz w:val="18"/>
              <w:szCs w:val="18"/>
              <w:highlight w:val="none"/>
              <w:lang w:val="en-US" w:eastAsia="zh-CN" w:bidi="ar-SA"/>
            </w:rPr>
            <w:t>]</w:t>
          </w:r>
        </w:p>
        <w:p w14:paraId="656D6BC5">
          <w:pPr>
            <w:pStyle w:val="107"/>
            <w:keepNext w:val="0"/>
            <w:keepLines w:val="0"/>
            <w:pageBreakBefore w:val="0"/>
            <w:kinsoku/>
            <w:wordWrap/>
            <w:overflowPunct/>
            <w:topLinePunct w:val="0"/>
            <w:bidi w:val="0"/>
            <w:adjustRightInd/>
            <w:snapToGrid/>
            <w:spacing w:line="360" w:lineRule="auto"/>
            <w:ind w:left="0" w:firstLine="0"/>
            <w:textAlignment w:val="auto"/>
            <w:rPr>
              <w:rFonts w:hint="eastAsia"/>
              <w:highlight w:val="none"/>
              <w:lang w:val="en-US" w:eastAsia="zh-CN"/>
            </w:rPr>
          </w:pPr>
          <w:bookmarkStart w:id="89" w:name="_Toc31192"/>
          <w:bookmarkStart w:id="90" w:name="_Toc15161"/>
          <w:bookmarkStart w:id="91" w:name="_Toc31155"/>
          <w:bookmarkStart w:id="92" w:name="_Toc20613"/>
          <w:bookmarkStart w:id="93" w:name="_Toc31961"/>
          <w:r>
            <w:rPr>
              <w:rFonts w:hint="eastAsia"/>
              <w:highlight w:val="none"/>
              <w:lang w:val="en-US" w:eastAsia="zh-CN"/>
            </w:rPr>
            <w:t>重要交叉跨越important crossing</w:t>
          </w:r>
          <w:bookmarkEnd w:id="89"/>
          <w:bookmarkEnd w:id="90"/>
          <w:bookmarkEnd w:id="91"/>
          <w:bookmarkEnd w:id="92"/>
          <w:bookmarkEnd w:id="93"/>
        </w:p>
        <w:p w14:paraId="2311AE7C">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eastAsia" w:ascii="Times New Roman" w:hAnsi="Times New Roman" w:eastAsia="宋体" w:cs="Times New Roman"/>
              <w:sz w:val="21"/>
              <w:highlight w:val="none"/>
              <w:lang w:eastAsia="zh"/>
            </w:rPr>
          </w:pPr>
          <w:r>
            <w:rPr>
              <w:rFonts w:hint="eastAsia" w:ascii="Times New Roman" w:hAnsi="Times New Roman" w:eastAsia="宋体" w:cs="Times New Roman"/>
              <w:sz w:val="21"/>
              <w:highlight w:val="none"/>
              <w:lang w:eastAsia="zh"/>
            </w:rPr>
            <w:t>输电线路跨越铁路、一级及以上公路等重要设施，以及经校核跨越线路单极/单回与被跨越线路同时故障会导致一般及以上电力安全事故的500kV及以上电压等级输电线路之间的交叉跨越点。</w:t>
          </w:r>
        </w:p>
        <w:p w14:paraId="52ADBC5D">
          <w:pPr>
            <w:pStyle w:val="107"/>
            <w:keepNext w:val="0"/>
            <w:keepLines w:val="0"/>
            <w:pageBreakBefore w:val="0"/>
            <w:kinsoku/>
            <w:wordWrap/>
            <w:overflowPunct/>
            <w:topLinePunct w:val="0"/>
            <w:bidi w:val="0"/>
            <w:adjustRightInd/>
            <w:snapToGrid/>
            <w:spacing w:line="360" w:lineRule="auto"/>
            <w:ind w:left="0" w:firstLine="0"/>
            <w:textAlignment w:val="auto"/>
            <w:rPr>
              <w:rFonts w:hint="eastAsia"/>
              <w:highlight w:val="none"/>
              <w:lang w:val="en-US" w:eastAsia="zh-CN"/>
            </w:rPr>
          </w:pPr>
          <w:bookmarkStart w:id="94" w:name="_Toc14288"/>
          <w:bookmarkStart w:id="95" w:name="_Toc9075"/>
          <w:bookmarkStart w:id="96" w:name="_Toc24838"/>
          <w:bookmarkStart w:id="97" w:name="_Toc14060"/>
          <w:bookmarkStart w:id="98" w:name="_Toc6249"/>
          <w:r>
            <w:rPr>
              <w:rFonts w:hint="eastAsia"/>
              <w:highlight w:val="none"/>
              <w:lang w:val="en-US" w:eastAsia="zh-CN"/>
            </w:rPr>
            <w:t>重要输电线路important transmission line</w:t>
          </w:r>
          <w:bookmarkEnd w:id="94"/>
          <w:bookmarkEnd w:id="95"/>
          <w:bookmarkEnd w:id="96"/>
          <w:bookmarkEnd w:id="97"/>
          <w:bookmarkEnd w:id="98"/>
        </w:p>
        <w:p w14:paraId="244DEDB6">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eastAsia" w:ascii="Times New Roman" w:hAnsi="Times New Roman" w:eastAsia="宋体" w:cs="Times New Roman"/>
              <w:sz w:val="21"/>
              <w:highlight w:val="none"/>
            </w:rPr>
          </w:pPr>
          <w:r>
            <w:rPr>
              <w:rFonts w:hint="eastAsia" w:ascii="Times New Roman" w:hAnsi="Times New Roman" w:eastAsia="宋体" w:cs="Times New Roman"/>
              <w:sz w:val="21"/>
              <w:highlight w:val="none"/>
              <w:lang w:eastAsia="zh"/>
            </w:rPr>
            <w:t>核电主要联络线路、跨境</w:t>
          </w:r>
          <w:r>
            <w:rPr>
              <w:rFonts w:hint="eastAsia" w:ascii="Times New Roman" w:hAnsi="Times New Roman" w:eastAsia="宋体" w:cs="Times New Roman"/>
              <w:sz w:val="21"/>
              <w:highlight w:val="none"/>
              <w:lang w:val="en-US" w:eastAsia="zh-CN"/>
            </w:rPr>
            <w:t>跨区</w:t>
          </w:r>
          <w:r>
            <w:rPr>
              <w:rFonts w:hint="eastAsia" w:ascii="Times New Roman" w:hAnsi="Times New Roman" w:eastAsia="宋体" w:cs="Times New Roman"/>
              <w:sz w:val="21"/>
              <w:highlight w:val="none"/>
              <w:lang w:eastAsia="zh"/>
            </w:rPr>
            <w:t>联网线路、重要电源线路等。</w:t>
          </w:r>
        </w:p>
        <w:p w14:paraId="1DEE5A30">
          <w:pPr>
            <w:pStyle w:val="107"/>
            <w:keepNext w:val="0"/>
            <w:keepLines w:val="0"/>
            <w:pageBreakBefore w:val="0"/>
            <w:kinsoku/>
            <w:wordWrap/>
            <w:overflowPunct/>
            <w:topLinePunct w:val="0"/>
            <w:bidi w:val="0"/>
            <w:adjustRightInd/>
            <w:snapToGrid/>
            <w:spacing w:line="360" w:lineRule="auto"/>
            <w:ind w:left="0" w:firstLine="0"/>
            <w:textAlignment w:val="auto"/>
            <w:rPr>
              <w:rFonts w:hint="eastAsia"/>
              <w:highlight w:val="none"/>
              <w:lang w:val="en-US" w:eastAsia="zh-CN"/>
            </w:rPr>
          </w:pPr>
          <w:bookmarkStart w:id="99" w:name="_Toc6834"/>
          <w:bookmarkStart w:id="100" w:name="_Toc3428"/>
          <w:bookmarkStart w:id="101" w:name="_Toc31813"/>
          <w:bookmarkStart w:id="102" w:name="_Toc23412"/>
          <w:bookmarkStart w:id="103" w:name="_Toc13027"/>
          <w:r>
            <w:rPr>
              <w:rFonts w:hint="eastAsia"/>
              <w:highlight w:val="none"/>
              <w:lang w:val="en-US" w:eastAsia="zh-CN"/>
            </w:rPr>
            <w:t>地面粗糙度terrain roughness</w:t>
          </w:r>
          <w:bookmarkEnd w:id="99"/>
          <w:bookmarkEnd w:id="100"/>
          <w:bookmarkEnd w:id="101"/>
          <w:bookmarkEnd w:id="102"/>
          <w:bookmarkEnd w:id="103"/>
        </w:p>
        <w:p w14:paraId="016B3712">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eastAsia" w:ascii="Times New Roman" w:hAnsi="Times New Roman" w:eastAsia="宋体" w:cs="Times New Roman"/>
              <w:sz w:val="21"/>
              <w:highlight w:val="none"/>
              <w:lang w:eastAsia="zh"/>
            </w:rPr>
          </w:pPr>
          <w:r>
            <w:rPr>
              <w:rFonts w:hint="eastAsia" w:ascii="Times New Roman" w:hAnsi="Times New Roman" w:eastAsia="宋体" w:cs="Times New Roman"/>
              <w:sz w:val="21"/>
              <w:highlight w:val="none"/>
              <w:lang w:eastAsia="zh"/>
            </w:rPr>
            <w:t>风在到达结构物以前吹越过2km范围内的地面时，描述该地面上不规则障碍物分布状况的等级。</w:t>
          </w:r>
        </w:p>
        <w:p w14:paraId="1DC1DB71">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363" w:leftChars="0"/>
            <w:jc w:val="both"/>
            <w:textAlignment w:val="auto"/>
            <w:rPr>
              <w:rFonts w:hint="eastAsia" w:ascii="宋体" w:hAnsi="Times New Roman" w:eastAsia="宋体" w:cs="Times New Roman"/>
              <w:sz w:val="18"/>
              <w:szCs w:val="18"/>
              <w:highlight w:val="none"/>
              <w:lang w:val="en-US" w:eastAsia="zh-CN" w:bidi="ar-SA"/>
            </w:rPr>
          </w:pPr>
          <w:r>
            <w:rPr>
              <w:rFonts w:hint="eastAsia" w:ascii="宋体" w:hAnsi="Times New Roman" w:eastAsia="宋体" w:cs="Times New Roman"/>
              <w:sz w:val="18"/>
              <w:szCs w:val="18"/>
              <w:highlight w:val="none"/>
              <w:lang w:val="en-US" w:eastAsia="zh-CN" w:bidi="ar-SA"/>
            </w:rPr>
            <w:t>[</w:t>
          </w:r>
          <w:r>
            <w:rPr>
              <w:rFonts w:hint="eastAsia" w:ascii="宋体" w:hAnsi="Times New Roman" w:eastAsia="宋体" w:cs="Times New Roman"/>
              <w:sz w:val="18"/>
              <w:szCs w:val="18"/>
              <w:highlight w:val="none"/>
              <w:lang w:val="en-US" w:eastAsia="zh" w:bidi="ar-SA"/>
            </w:rPr>
            <w:t>引用GB50009，定义2.1.23。</w:t>
          </w:r>
          <w:r>
            <w:rPr>
              <w:rFonts w:hint="eastAsia" w:ascii="宋体" w:hAnsi="Times New Roman" w:eastAsia="宋体" w:cs="Times New Roman"/>
              <w:sz w:val="18"/>
              <w:szCs w:val="18"/>
              <w:highlight w:val="none"/>
              <w:lang w:val="en-US" w:eastAsia="zh-CN" w:bidi="ar-SA"/>
            </w:rPr>
            <w:t>]</w:t>
          </w:r>
        </w:p>
        <w:p w14:paraId="1BFA6E69">
          <w:pPr>
            <w:pStyle w:val="107"/>
            <w:keepNext w:val="0"/>
            <w:keepLines w:val="0"/>
            <w:pageBreakBefore w:val="0"/>
            <w:kinsoku/>
            <w:wordWrap/>
            <w:overflowPunct/>
            <w:topLinePunct w:val="0"/>
            <w:bidi w:val="0"/>
            <w:adjustRightInd/>
            <w:snapToGrid/>
            <w:spacing w:line="360" w:lineRule="auto"/>
            <w:ind w:left="0" w:firstLine="0"/>
            <w:textAlignment w:val="auto"/>
            <w:rPr>
              <w:rFonts w:hint="eastAsia"/>
              <w:highlight w:val="none"/>
              <w:lang w:val="en-US" w:eastAsia="zh-CN"/>
            </w:rPr>
          </w:pPr>
          <w:bookmarkStart w:id="104" w:name="_Toc8105"/>
          <w:bookmarkStart w:id="105" w:name="_Toc13901"/>
          <w:bookmarkStart w:id="106" w:name="_Toc26198"/>
          <w:bookmarkStart w:id="107" w:name="_Toc28639"/>
          <w:bookmarkStart w:id="108" w:name="_Toc31199"/>
          <w:r>
            <w:rPr>
              <w:rFonts w:hint="eastAsia"/>
              <w:highlight w:val="none"/>
              <w:lang w:val="en-US" w:eastAsia="zh-CN"/>
            </w:rPr>
            <w:t>台风次生灾害typhoon secondary disaster</w:t>
          </w:r>
          <w:bookmarkEnd w:id="104"/>
          <w:bookmarkEnd w:id="105"/>
          <w:bookmarkEnd w:id="106"/>
          <w:bookmarkEnd w:id="107"/>
          <w:bookmarkEnd w:id="108"/>
        </w:p>
        <w:p w14:paraId="6FECF985">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eastAsia" w:ascii="Times New Roman" w:hAnsi="Times New Roman" w:eastAsia="宋体" w:cs="Times New Roman"/>
              <w:sz w:val="21"/>
              <w:highlight w:val="none"/>
              <w:lang w:eastAsia="zh"/>
            </w:rPr>
          </w:pPr>
          <w:r>
            <w:rPr>
              <w:rFonts w:hint="eastAsia" w:ascii="Times New Roman" w:hAnsi="Times New Roman" w:eastAsia="宋体" w:cs="Times New Roman"/>
              <w:sz w:val="21"/>
              <w:highlight w:val="none"/>
              <w:lang w:eastAsia="zh"/>
            </w:rPr>
            <w:t>台风次生灾害类型主要有洪涝灾害、滑坡与泥石流等地质灾害、高杆树木与漂浮物的外力破坏。</w:t>
          </w:r>
        </w:p>
        <w:p w14:paraId="1FD3465B">
          <w:pPr>
            <w:pStyle w:val="107"/>
            <w:keepNext w:val="0"/>
            <w:keepLines w:val="0"/>
            <w:pageBreakBefore w:val="0"/>
            <w:kinsoku/>
            <w:wordWrap/>
            <w:overflowPunct/>
            <w:topLinePunct w:val="0"/>
            <w:bidi w:val="0"/>
            <w:adjustRightInd/>
            <w:snapToGrid/>
            <w:spacing w:line="360" w:lineRule="auto"/>
            <w:ind w:left="0" w:firstLine="0"/>
            <w:textAlignment w:val="auto"/>
            <w:rPr>
              <w:rFonts w:hint="eastAsia"/>
              <w:highlight w:val="none"/>
              <w:lang w:val="en-US" w:eastAsia="zh-CN"/>
            </w:rPr>
          </w:pPr>
          <w:bookmarkStart w:id="109" w:name="_Toc31446"/>
          <w:bookmarkStart w:id="110" w:name="_Toc7470"/>
          <w:bookmarkStart w:id="111" w:name="_Toc9880"/>
          <w:bookmarkStart w:id="112" w:name="_Toc2182"/>
          <w:bookmarkStart w:id="113" w:name="_Toc20368"/>
          <w:r>
            <w:rPr>
              <w:rFonts w:hint="eastAsia"/>
              <w:highlight w:val="none"/>
              <w:lang w:val="en-US" w:eastAsia="zh-CN"/>
            </w:rPr>
            <w:t>微地形微气象区micro-landscape and micro-meteorology area</w:t>
          </w:r>
          <w:bookmarkEnd w:id="109"/>
          <w:bookmarkEnd w:id="110"/>
          <w:bookmarkEnd w:id="111"/>
          <w:bookmarkEnd w:id="112"/>
          <w:bookmarkEnd w:id="113"/>
        </w:p>
        <w:p w14:paraId="13B8C451">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eastAsia" w:ascii="Times New Roman" w:hAnsi="Times New Roman" w:eastAsia="宋体" w:cs="Times New Roman"/>
              <w:sz w:val="21"/>
              <w:highlight w:val="none"/>
            </w:rPr>
          </w:pPr>
          <w:r>
            <w:rPr>
              <w:rFonts w:hint="eastAsia" w:ascii="Times New Roman" w:hAnsi="Times New Roman" w:eastAsia="宋体" w:cs="Times New Roman"/>
              <w:sz w:val="21"/>
              <w:highlight w:val="none"/>
              <w:lang w:eastAsia="zh"/>
            </w:rPr>
            <w:t>在小尺度范围内，对局部气候环境有显著影响的相对微小地表形态的微地形条件下，因下垫面性质的差异而形成的近地层大气的微气象区域</w:t>
          </w:r>
          <w:r>
            <w:rPr>
              <w:rFonts w:hint="eastAsia" w:ascii="Times New Roman" w:hAnsi="Times New Roman" w:eastAsia="宋体" w:cs="Times New Roman"/>
              <w:sz w:val="21"/>
              <w:highlight w:val="none"/>
              <w:lang w:eastAsia="zh-CN"/>
            </w:rPr>
            <w:t>。</w:t>
          </w:r>
        </w:p>
        <w:p w14:paraId="0C789B21">
          <w:pPr>
            <w:pStyle w:val="107"/>
            <w:keepNext w:val="0"/>
            <w:keepLines w:val="0"/>
            <w:pageBreakBefore w:val="0"/>
            <w:kinsoku/>
            <w:wordWrap/>
            <w:overflowPunct/>
            <w:topLinePunct w:val="0"/>
            <w:bidi w:val="0"/>
            <w:adjustRightInd/>
            <w:snapToGrid/>
            <w:spacing w:line="360" w:lineRule="auto"/>
            <w:ind w:left="0" w:firstLine="0"/>
            <w:textAlignment w:val="auto"/>
            <w:rPr>
              <w:rFonts w:hint="eastAsia"/>
              <w:highlight w:val="none"/>
              <w:lang w:val="en-US" w:eastAsia="zh-CN"/>
            </w:rPr>
          </w:pPr>
          <w:bookmarkStart w:id="114" w:name="_Toc28509"/>
          <w:bookmarkStart w:id="115" w:name="_Toc30082"/>
          <w:bookmarkStart w:id="116" w:name="_Toc7855"/>
          <w:bookmarkStart w:id="117" w:name="_Toc28417"/>
          <w:bookmarkStart w:id="118" w:name="_Toc9428"/>
          <w:r>
            <w:rPr>
              <w:rFonts w:hint="eastAsia"/>
              <w:highlight w:val="none"/>
              <w:lang w:val="en-US" w:eastAsia="zh-CN"/>
            </w:rPr>
            <w:t>风区分布图distribution map of wind region</w:t>
          </w:r>
          <w:bookmarkEnd w:id="114"/>
          <w:bookmarkEnd w:id="115"/>
          <w:bookmarkEnd w:id="116"/>
          <w:bookmarkEnd w:id="117"/>
          <w:bookmarkEnd w:id="118"/>
        </w:p>
        <w:p w14:paraId="3F694F2A">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eastAsia" w:ascii="Times New Roman" w:hAnsi="Times New Roman" w:eastAsia="宋体" w:cs="Times New Roman"/>
              <w:sz w:val="21"/>
              <w:highlight w:val="none"/>
              <w:lang w:eastAsia="zh"/>
            </w:rPr>
          </w:pPr>
          <w:r>
            <w:rPr>
              <w:rFonts w:hint="eastAsia" w:ascii="Times New Roman" w:hAnsi="Times New Roman" w:eastAsia="宋体" w:cs="Times New Roman"/>
              <w:sz w:val="21"/>
              <w:highlight w:val="none"/>
              <w:lang w:eastAsia="zh"/>
            </w:rPr>
            <w:t>基本风速及风灾事件等信息在电子地图上的分布。</w:t>
          </w:r>
        </w:p>
        <w:p w14:paraId="56BDF240">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363" w:leftChars="0"/>
            <w:jc w:val="both"/>
            <w:textAlignment w:val="auto"/>
            <w:rPr>
              <w:rFonts w:hint="eastAsia" w:ascii="宋体" w:hAnsi="Times New Roman" w:eastAsia="宋体" w:cs="Times New Roman"/>
              <w:sz w:val="18"/>
              <w:szCs w:val="18"/>
              <w:highlight w:val="none"/>
              <w:lang w:val="en-US" w:eastAsia="zh-CN" w:bidi="ar-SA"/>
            </w:rPr>
          </w:pPr>
          <w:r>
            <w:rPr>
              <w:rFonts w:hint="eastAsia" w:ascii="宋体" w:hAnsi="Times New Roman" w:eastAsia="宋体" w:cs="Times New Roman"/>
              <w:sz w:val="18"/>
              <w:szCs w:val="18"/>
              <w:highlight w:val="none"/>
              <w:lang w:val="en-US" w:eastAsia="zh-CN" w:bidi="ar-SA"/>
            </w:rPr>
            <w:t>[</w:t>
          </w:r>
          <w:r>
            <w:rPr>
              <w:rFonts w:hint="eastAsia" w:ascii="宋体" w:hAnsi="Times New Roman" w:eastAsia="宋体" w:cs="Times New Roman"/>
              <w:sz w:val="18"/>
              <w:szCs w:val="18"/>
              <w:highlight w:val="none"/>
              <w:lang w:val="en-US" w:eastAsia="zh" w:bidi="ar-SA"/>
            </w:rPr>
            <w:t>引用DL/T2237-2021，定义3.10。</w:t>
          </w:r>
          <w:r>
            <w:rPr>
              <w:rFonts w:hint="eastAsia" w:ascii="宋体" w:hAnsi="Times New Roman" w:eastAsia="宋体" w:cs="Times New Roman"/>
              <w:sz w:val="18"/>
              <w:szCs w:val="18"/>
              <w:highlight w:val="none"/>
              <w:lang w:val="en-US" w:eastAsia="zh-CN" w:bidi="ar-SA"/>
            </w:rPr>
            <w:t>]</w:t>
          </w:r>
        </w:p>
        <w:p w14:paraId="6C67954C">
          <w:pPr>
            <w:pStyle w:val="58"/>
            <w:keepNext w:val="0"/>
            <w:keepLines w:val="0"/>
            <w:pageBreakBefore w:val="0"/>
            <w:kinsoku/>
            <w:wordWrap/>
            <w:overflowPunct/>
            <w:topLinePunct w:val="0"/>
            <w:bidi w:val="0"/>
            <w:adjustRightInd/>
            <w:snapToGrid/>
            <w:spacing w:line="360" w:lineRule="auto"/>
            <w:ind w:firstLine="420" w:firstLineChars="200"/>
            <w:textAlignment w:val="auto"/>
          </w:pPr>
          <w:bookmarkStart w:id="119" w:name="_Toc24042"/>
          <w:bookmarkStart w:id="120" w:name="_Toc30868"/>
          <w:bookmarkStart w:id="121" w:name="_Toc4379"/>
        </w:p>
      </w:sdtContent>
    </w:sdt>
    <w:p w14:paraId="379E0DD3">
      <w:pPr>
        <w:pStyle w:val="106"/>
        <w:keepNext w:val="0"/>
        <w:keepLines w:val="0"/>
        <w:pageBreakBefore w:val="0"/>
        <w:kinsoku/>
        <w:wordWrap/>
        <w:overflowPunct/>
        <w:topLinePunct w:val="0"/>
        <w:bidi w:val="0"/>
        <w:adjustRightInd/>
        <w:snapToGrid/>
        <w:spacing w:line="360" w:lineRule="auto"/>
        <w:ind w:left="0" w:leftChars="0" w:firstLine="0" w:firstLineChars="0"/>
        <w:textAlignment w:val="auto"/>
        <w:rPr>
          <w:rFonts w:hint="eastAsia"/>
          <w:highlight w:val="none"/>
          <w:lang w:eastAsia="zh-CN"/>
        </w:rPr>
      </w:pPr>
      <w:bookmarkStart w:id="122" w:name="_Toc23834"/>
      <w:r>
        <w:rPr>
          <w:rFonts w:hint="eastAsia"/>
          <w:highlight w:val="none"/>
          <w:lang w:val="en-US" w:eastAsia="zh-CN"/>
        </w:rPr>
        <w:t>符号</w:t>
      </w:r>
      <w:bookmarkEnd w:id="67"/>
      <w:bookmarkEnd w:id="68"/>
      <w:bookmarkEnd w:id="119"/>
      <w:bookmarkEnd w:id="120"/>
      <w:bookmarkEnd w:id="121"/>
      <w:bookmarkEnd w:id="122"/>
    </w:p>
    <w:p w14:paraId="1A015743">
      <w:pPr>
        <w:pStyle w:val="58"/>
        <w:keepNext w:val="0"/>
        <w:keepLines w:val="0"/>
        <w:pageBreakBefore w:val="0"/>
        <w:widowControl/>
        <w:kinsoku/>
        <w:wordWrap/>
        <w:overflowPunct/>
        <w:topLinePunct w:val="0"/>
        <w:autoSpaceDE/>
        <w:autoSpaceDN/>
        <w:bidi w:val="0"/>
        <w:adjustRightInd/>
        <w:snapToGrid/>
        <w:spacing w:line="360" w:lineRule="auto"/>
        <w:textAlignment w:val="center"/>
        <w:rPr>
          <w:position w:val="0"/>
          <w:sz w:val="21"/>
          <w:highlight w:val="none"/>
        </w:rPr>
      </w:pPr>
      <w:r>
        <w:rPr>
          <w:rFonts w:ascii="宋体" w:eastAsia="宋体"/>
          <w:position w:val="0"/>
          <w:sz w:val="21"/>
          <w:highlight w:val="none"/>
        </w:rPr>
        <w:object>
          <v:shape id="_x0000_i1025" o:spt="75" type="#_x0000_t75" style="height:14.2pt;width:15.05pt;" o:ole="t" filled="f" o:preferrelative="t" stroked="f" coordsize="21600,21600">
            <v:path/>
            <v:fill on="f" focussize="0,0"/>
            <v:stroke on="f"/>
            <v:imagedata r:id="rId23" o:title=""/>
            <o:lock v:ext="edit" aspectratio="t"/>
            <w10:wrap type="none"/>
            <w10:anchorlock/>
          </v:shape>
          <o:OLEObject Type="Embed" ProgID="Equation.DSMT4" ShapeID="_x0000_i1025" DrawAspect="Content" ObjectID="_1468075725" r:id="rId22">
            <o:LockedField>false</o:LockedField>
          </o:OLEObject>
        </w:object>
      </w:r>
      <w:r>
        <w:rPr>
          <w:position w:val="0"/>
          <w:sz w:val="21"/>
          <w:highlight w:val="none"/>
        </w:rPr>
        <w:t>——</w:t>
      </w:r>
      <w:r>
        <w:rPr>
          <w:rFonts w:hint="eastAsia"/>
          <w:position w:val="0"/>
          <w:sz w:val="21"/>
          <w:highlight w:val="none"/>
        </w:rPr>
        <w:t>垂直于导地线方向的风荷载标准值；</w:t>
      </w:r>
    </w:p>
    <w:p w14:paraId="250117F5">
      <w:pPr>
        <w:pStyle w:val="58"/>
        <w:keepNext w:val="0"/>
        <w:keepLines w:val="0"/>
        <w:pageBreakBefore w:val="0"/>
        <w:widowControl/>
        <w:kinsoku/>
        <w:wordWrap/>
        <w:overflowPunct/>
        <w:topLinePunct w:val="0"/>
        <w:autoSpaceDE/>
        <w:autoSpaceDN/>
        <w:bidi w:val="0"/>
        <w:adjustRightInd/>
        <w:snapToGrid/>
        <w:spacing w:line="360" w:lineRule="auto"/>
        <w:textAlignment w:val="center"/>
        <w:rPr>
          <w:position w:val="0"/>
          <w:sz w:val="21"/>
          <w:highlight w:val="none"/>
        </w:rPr>
      </w:pPr>
      <w:r>
        <w:rPr>
          <w:rFonts w:ascii="宋体" w:eastAsia="宋体"/>
          <w:position w:val="0"/>
          <w:sz w:val="21"/>
          <w:highlight w:val="none"/>
        </w:rPr>
        <w:object>
          <v:shape id="_x0000_i1026" o:spt="75" type="#_x0000_t75" style="height:17.1pt;width:14.65pt;" o:ole="t" filled="f" o:preferrelative="t" stroked="f" coordsize="21600,21600">
            <v:path/>
            <v:fill on="f" focussize="0,0"/>
            <v:stroke on="f"/>
            <v:imagedata r:id="rId25" o:title=""/>
            <o:lock v:ext="edit" aspectratio="t"/>
            <w10:wrap type="none"/>
            <w10:anchorlock/>
          </v:shape>
          <o:OLEObject Type="Embed" ProgID="Equation.DSMT4" ShapeID="_x0000_i1026" DrawAspect="Content" ObjectID="_1468075726" r:id="rId24">
            <o:LockedField>false</o:LockedField>
          </o:OLEObject>
        </w:object>
      </w:r>
      <w:r>
        <w:rPr>
          <w:position w:val="0"/>
          <w:sz w:val="21"/>
          <w:highlight w:val="none"/>
        </w:rPr>
        <w:t>——</w:t>
      </w:r>
      <w:r>
        <w:rPr>
          <w:rFonts w:hint="eastAsia"/>
          <w:position w:val="0"/>
          <w:sz w:val="21"/>
          <w:highlight w:val="none"/>
        </w:rPr>
        <w:t>导地线阵风系数；</w:t>
      </w:r>
    </w:p>
    <w:p w14:paraId="6EC1008C">
      <w:pPr>
        <w:pStyle w:val="58"/>
        <w:keepNext w:val="0"/>
        <w:keepLines w:val="0"/>
        <w:pageBreakBefore w:val="0"/>
        <w:widowControl/>
        <w:kinsoku/>
        <w:wordWrap/>
        <w:overflowPunct/>
        <w:topLinePunct w:val="0"/>
        <w:autoSpaceDE/>
        <w:autoSpaceDN/>
        <w:bidi w:val="0"/>
        <w:adjustRightInd/>
        <w:snapToGrid/>
        <w:spacing w:line="360" w:lineRule="auto"/>
        <w:textAlignment w:val="center"/>
        <w:rPr>
          <w:position w:val="0"/>
          <w:sz w:val="21"/>
          <w:highlight w:val="none"/>
        </w:rPr>
      </w:pPr>
      <w:r>
        <w:rPr>
          <w:rFonts w:ascii="宋体" w:eastAsia="宋体"/>
          <w:position w:val="0"/>
          <w:sz w:val="21"/>
          <w:highlight w:val="none"/>
        </w:rPr>
        <w:object>
          <v:shape id="_x0000_i1027" o:spt="75" type="#_x0000_t75" style="height:17.1pt;width:15.05pt;" o:ole="t" filled="f" o:preferrelative="t" stroked="f" coordsize="21600,21600">
            <v:path/>
            <v:fill on="f" focussize="0,0"/>
            <v:stroke on="f"/>
            <v:imagedata r:id="rId27" o:title=""/>
            <o:lock v:ext="edit" aspectratio="t"/>
            <w10:wrap type="none"/>
            <w10:anchorlock/>
          </v:shape>
          <o:OLEObject Type="Embed" ProgID="Equation.DSMT4" ShapeID="_x0000_i1027" DrawAspect="Content" ObjectID="_1468075727" r:id="rId26">
            <o:LockedField>false</o:LockedField>
          </o:OLEObject>
        </w:object>
      </w:r>
      <w:r>
        <w:rPr>
          <w:position w:val="0"/>
          <w:sz w:val="21"/>
          <w:highlight w:val="none"/>
        </w:rPr>
        <w:t>——</w:t>
      </w:r>
      <w:r>
        <w:rPr>
          <w:rFonts w:hint="eastAsia"/>
          <w:position w:val="0"/>
          <w:sz w:val="21"/>
          <w:highlight w:val="none"/>
        </w:rPr>
        <w:t>档距折减系数；</w:t>
      </w:r>
    </w:p>
    <w:p w14:paraId="7A44FB4A">
      <w:pPr>
        <w:pStyle w:val="58"/>
        <w:keepNext w:val="0"/>
        <w:keepLines w:val="0"/>
        <w:pageBreakBefore w:val="0"/>
        <w:widowControl/>
        <w:kinsoku/>
        <w:wordWrap/>
        <w:overflowPunct/>
        <w:topLinePunct w:val="0"/>
        <w:autoSpaceDE/>
        <w:autoSpaceDN/>
        <w:bidi w:val="0"/>
        <w:adjustRightInd/>
        <w:snapToGrid/>
        <w:spacing w:line="360" w:lineRule="auto"/>
        <w:textAlignment w:val="center"/>
        <w:rPr>
          <w:position w:val="0"/>
          <w:sz w:val="21"/>
          <w:highlight w:val="none"/>
        </w:rPr>
      </w:pPr>
      <w:r>
        <w:rPr>
          <w:rFonts w:ascii="宋体" w:eastAsia="宋体"/>
          <w:position w:val="0"/>
          <w:sz w:val="21"/>
          <w:highlight w:val="none"/>
        </w:rPr>
        <w:object>
          <v:shape id="_x0000_i1028" o:spt="75" type="#_x0000_t75" style="height:17.1pt;width:15.05pt;" o:ole="t" filled="f" o:preferrelative="t" stroked="f" coordsize="21600,21600">
            <v:path/>
            <v:fill on="f" focussize="0,0"/>
            <v:stroke on="f"/>
            <v:imagedata r:id="rId29" o:title=""/>
            <o:lock v:ext="edit" aspectratio="t"/>
            <w10:wrap type="none"/>
            <w10:anchorlock/>
          </v:shape>
          <o:OLEObject Type="Embed" ProgID="Equation.DSMT4" ShapeID="_x0000_i1028" DrawAspect="Content" ObjectID="_1468075728" r:id="rId28">
            <o:LockedField>false</o:LockedField>
          </o:OLEObject>
        </w:object>
      </w:r>
      <w:r>
        <w:rPr>
          <w:position w:val="0"/>
          <w:sz w:val="21"/>
          <w:highlight w:val="none"/>
        </w:rPr>
        <w:t>——</w:t>
      </w:r>
      <w:r>
        <w:rPr>
          <w:rFonts w:hint="eastAsia"/>
          <w:position w:val="0"/>
          <w:sz w:val="21"/>
          <w:highlight w:val="none"/>
        </w:rPr>
        <w:t>基本风压（kN/m</w:t>
      </w:r>
      <w:r>
        <w:rPr>
          <w:rFonts w:hint="eastAsia"/>
          <w:position w:val="0"/>
          <w:sz w:val="21"/>
          <w:highlight w:val="none"/>
          <w:vertAlign w:val="superscript"/>
        </w:rPr>
        <w:t>2</w:t>
      </w:r>
      <w:r>
        <w:rPr>
          <w:rFonts w:hint="eastAsia"/>
          <w:position w:val="0"/>
          <w:sz w:val="21"/>
          <w:highlight w:val="none"/>
        </w:rPr>
        <w:t>）；</w:t>
      </w:r>
    </w:p>
    <w:p w14:paraId="0D2CFD49">
      <w:pPr>
        <w:pStyle w:val="58"/>
        <w:keepNext w:val="0"/>
        <w:keepLines w:val="0"/>
        <w:pageBreakBefore w:val="0"/>
        <w:widowControl/>
        <w:kinsoku/>
        <w:wordWrap/>
        <w:overflowPunct/>
        <w:topLinePunct w:val="0"/>
        <w:autoSpaceDE/>
        <w:autoSpaceDN/>
        <w:bidi w:val="0"/>
        <w:adjustRightInd/>
        <w:snapToGrid/>
        <w:spacing w:line="360" w:lineRule="auto"/>
        <w:textAlignment w:val="center"/>
        <w:rPr>
          <w:position w:val="0"/>
          <w:sz w:val="21"/>
          <w:highlight w:val="none"/>
        </w:rPr>
      </w:pPr>
      <w:r>
        <w:rPr>
          <w:rFonts w:ascii="宋体" w:eastAsia="宋体"/>
          <w:position w:val="0"/>
          <w:sz w:val="21"/>
          <w:highlight w:val="none"/>
        </w:rPr>
        <w:object>
          <v:shape id="_x0000_i1029" o:spt="75" type="#_x0000_t75" style="height:14.6pt;width:12.55pt;" o:ole="t" filled="f" o:preferrelative="t" stroked="f" coordsize="21600,21600">
            <v:path/>
            <v:fill on="f" focussize="0,0"/>
            <v:stroke on="f"/>
            <v:imagedata r:id="rId31" o:title=""/>
            <o:lock v:ext="edit" aspectratio="t"/>
            <w10:wrap type="none"/>
            <w10:anchorlock/>
          </v:shape>
          <o:OLEObject Type="Embed" ProgID="Equation.DSMT4" ShapeID="_x0000_i1029" DrawAspect="Content" ObjectID="_1468075729" r:id="rId30">
            <o:LockedField>false</o:LockedField>
          </o:OLEObject>
        </w:object>
      </w:r>
      <w:r>
        <w:rPr>
          <w:position w:val="0"/>
          <w:sz w:val="21"/>
          <w:highlight w:val="none"/>
        </w:rPr>
        <w:t>——</w:t>
      </w:r>
      <w:r>
        <w:rPr>
          <w:rFonts w:ascii="宋体" w:eastAsia="宋体"/>
          <w:position w:val="0"/>
          <w:sz w:val="21"/>
          <w:highlight w:val="none"/>
        </w:rPr>
        <w:object>
          <v:shape id="_x0000_i1030" o:spt="75" type="#_x0000_t75" style="height:11.3pt;width:11.3pt;" o:ole="t" filled="f" o:preferrelative="t" stroked="f" coordsize="21600,21600">
            <v:path/>
            <v:fill on="f" focussize="0,0"/>
            <v:stroke on="f"/>
            <v:imagedata r:id="rId33" o:title=""/>
            <o:lock v:ext="edit" aspectratio="t"/>
            <w10:wrap type="none"/>
            <w10:anchorlock/>
          </v:shape>
          <o:OLEObject Type="Embed" ProgID="Equation.DSMT4" ShapeID="_x0000_i1030" DrawAspect="Content" ObjectID="_1468075730" r:id="rId32">
            <o:LockedField>false</o:LockedField>
          </o:OLEObject>
        </w:object>
      </w:r>
      <w:r>
        <w:rPr>
          <w:rFonts w:hint="eastAsia"/>
          <w:position w:val="0"/>
          <w:sz w:val="21"/>
          <w:highlight w:val="none"/>
        </w:rPr>
        <w:t>高度风压高度变化系数；</w:t>
      </w:r>
    </w:p>
    <w:p w14:paraId="2DB35407">
      <w:pPr>
        <w:pStyle w:val="58"/>
        <w:keepNext w:val="0"/>
        <w:keepLines w:val="0"/>
        <w:pageBreakBefore w:val="0"/>
        <w:widowControl/>
        <w:kinsoku/>
        <w:wordWrap/>
        <w:overflowPunct/>
        <w:topLinePunct w:val="0"/>
        <w:autoSpaceDE/>
        <w:autoSpaceDN/>
        <w:bidi w:val="0"/>
        <w:adjustRightInd/>
        <w:snapToGrid/>
        <w:spacing w:line="360" w:lineRule="auto"/>
        <w:textAlignment w:val="center"/>
        <w:rPr>
          <w:position w:val="0"/>
          <w:sz w:val="21"/>
          <w:highlight w:val="none"/>
        </w:rPr>
      </w:pPr>
      <w:r>
        <w:rPr>
          <w:rFonts w:ascii="宋体" w:eastAsia="宋体"/>
          <w:position w:val="0"/>
          <w:sz w:val="21"/>
          <w:highlight w:val="none"/>
        </w:rPr>
        <w:object>
          <v:shape id="_x0000_i1031" o:spt="75" type="#_x0000_t75" style="height:17.1pt;width:15.05pt;" o:ole="t" filled="f" o:preferrelative="t" stroked="f" coordsize="21600,21600">
            <v:path/>
            <v:fill on="f" focussize="0,0"/>
            <v:stroke on="f"/>
            <v:imagedata r:id="rId35" o:title=""/>
            <o:lock v:ext="edit" aspectratio="t"/>
            <w10:wrap type="none"/>
            <w10:anchorlock/>
          </v:shape>
          <o:OLEObject Type="Embed" ProgID="Equation.DSMT4" ShapeID="_x0000_i1031" DrawAspect="Content" ObjectID="_1468075731" r:id="rId34">
            <o:LockedField>false</o:LockedField>
          </o:OLEObject>
        </w:object>
      </w:r>
      <w:r>
        <w:rPr>
          <w:position w:val="0"/>
          <w:sz w:val="21"/>
          <w:highlight w:val="none"/>
        </w:rPr>
        <w:t>——</w:t>
      </w:r>
      <w:r>
        <w:rPr>
          <w:rFonts w:hint="eastAsia"/>
          <w:position w:val="0"/>
          <w:sz w:val="21"/>
          <w:highlight w:val="none"/>
        </w:rPr>
        <w:t>导地线的体型系数；</w:t>
      </w:r>
    </w:p>
    <w:p w14:paraId="61A643E8">
      <w:pPr>
        <w:pStyle w:val="58"/>
        <w:keepNext w:val="0"/>
        <w:keepLines w:val="0"/>
        <w:pageBreakBefore w:val="0"/>
        <w:widowControl/>
        <w:kinsoku/>
        <w:wordWrap/>
        <w:overflowPunct/>
        <w:topLinePunct w:val="0"/>
        <w:autoSpaceDE/>
        <w:autoSpaceDN/>
        <w:bidi w:val="0"/>
        <w:adjustRightInd/>
        <w:snapToGrid/>
        <w:spacing w:line="360" w:lineRule="auto"/>
        <w:textAlignment w:val="center"/>
        <w:rPr>
          <w:position w:val="0"/>
          <w:sz w:val="21"/>
          <w:highlight w:val="none"/>
        </w:rPr>
      </w:pPr>
      <w:r>
        <w:rPr>
          <w:rFonts w:ascii="宋体" w:eastAsia="宋体"/>
          <w:position w:val="0"/>
          <w:sz w:val="21"/>
          <w:highlight w:val="none"/>
        </w:rPr>
        <w:object>
          <v:shape id="_x0000_i1032" o:spt="75" type="#_x0000_t75" style="height:15.05pt;width:15.05pt;" o:ole="t" filled="f" o:preferrelative="t" stroked="f" coordsize="21600,21600">
            <v:path/>
            <v:fill on="f" focussize="0,0"/>
            <v:stroke on="f"/>
            <v:imagedata r:id="rId37" o:title=""/>
            <o:lock v:ext="edit" aspectratio="t"/>
            <w10:wrap type="none"/>
            <w10:anchorlock/>
          </v:shape>
          <o:OLEObject Type="Embed" ProgID="Equation.DSMT4" ShapeID="_x0000_i1032" DrawAspect="Content" ObjectID="_1468075732" r:id="rId36">
            <o:LockedField>false</o:LockedField>
          </o:OLEObject>
        </w:object>
      </w:r>
      <w:r>
        <w:rPr>
          <w:position w:val="0"/>
          <w:sz w:val="21"/>
          <w:highlight w:val="none"/>
        </w:rPr>
        <w:t>——</w:t>
      </w:r>
      <w:r>
        <w:rPr>
          <w:rFonts w:hint="eastAsia"/>
          <w:position w:val="0"/>
          <w:sz w:val="21"/>
          <w:highlight w:val="none"/>
        </w:rPr>
        <w:t>导地线的外径或覆冰时的计算外径；</w:t>
      </w:r>
    </w:p>
    <w:p w14:paraId="5A82EE9E">
      <w:pPr>
        <w:pStyle w:val="58"/>
        <w:keepNext w:val="0"/>
        <w:keepLines w:val="0"/>
        <w:pageBreakBefore w:val="0"/>
        <w:widowControl/>
        <w:kinsoku/>
        <w:wordWrap/>
        <w:overflowPunct/>
        <w:topLinePunct w:val="0"/>
        <w:autoSpaceDE/>
        <w:autoSpaceDN/>
        <w:bidi w:val="0"/>
        <w:adjustRightInd/>
        <w:snapToGrid/>
        <w:spacing w:line="360" w:lineRule="auto"/>
        <w:textAlignment w:val="center"/>
        <w:rPr>
          <w:position w:val="0"/>
          <w:sz w:val="21"/>
          <w:highlight w:val="none"/>
        </w:rPr>
      </w:pPr>
      <w:r>
        <w:rPr>
          <w:rFonts w:ascii="宋体" w:eastAsia="宋体"/>
          <w:position w:val="0"/>
          <w:sz w:val="21"/>
          <w:highlight w:val="none"/>
        </w:rPr>
        <w:object>
          <v:shape id="_x0000_i1033" o:spt="75" type="#_x0000_t75" style="height:17.1pt;width:12.55pt;" o:ole="t" filled="f" o:preferrelative="t" stroked="f" coordsize="21600,21600">
            <v:path/>
            <v:fill on="f" focussize="0,0"/>
            <v:stroke on="f"/>
            <v:imagedata r:id="rId39" o:title=""/>
            <o:lock v:ext="edit" aspectratio="t"/>
            <w10:wrap type="none"/>
            <w10:anchorlock/>
          </v:shape>
          <o:OLEObject Type="Embed" ProgID="Equation.DSMT4" ShapeID="_x0000_i1033" DrawAspect="Content" ObjectID="_1468075733" r:id="rId38">
            <o:LockedField>false</o:LockedField>
          </o:OLEObject>
        </w:object>
      </w:r>
      <w:r>
        <w:rPr>
          <w:position w:val="0"/>
          <w:sz w:val="21"/>
          <w:highlight w:val="none"/>
        </w:rPr>
        <w:t>——</w:t>
      </w:r>
      <w:r>
        <w:rPr>
          <w:rFonts w:hint="eastAsia"/>
          <w:position w:val="0"/>
          <w:sz w:val="21"/>
          <w:highlight w:val="none"/>
        </w:rPr>
        <w:t>杆塔的水平档距；</w:t>
      </w:r>
    </w:p>
    <w:p w14:paraId="00845672">
      <w:pPr>
        <w:pStyle w:val="58"/>
        <w:keepNext w:val="0"/>
        <w:keepLines w:val="0"/>
        <w:pageBreakBefore w:val="0"/>
        <w:widowControl/>
        <w:kinsoku/>
        <w:wordWrap/>
        <w:overflowPunct/>
        <w:topLinePunct w:val="0"/>
        <w:autoSpaceDE/>
        <w:autoSpaceDN/>
        <w:bidi w:val="0"/>
        <w:adjustRightInd/>
        <w:snapToGrid/>
        <w:spacing w:line="360" w:lineRule="auto"/>
        <w:textAlignment w:val="center"/>
        <w:rPr>
          <w:position w:val="0"/>
          <w:sz w:val="21"/>
          <w:highlight w:val="none"/>
        </w:rPr>
      </w:pPr>
      <w:r>
        <w:rPr>
          <w:rFonts w:ascii="宋体" w:eastAsia="宋体"/>
          <w:position w:val="0"/>
          <w:sz w:val="21"/>
          <w:highlight w:val="none"/>
        </w:rPr>
        <w:object>
          <v:shape id="_x0000_i1034" o:spt="75" type="#_x0000_t75" style="height:17.15pt;width:12.55pt;" o:ole="t" filled="f" o:preferrelative="t" stroked="f" coordsize="21600,21600">
            <v:path/>
            <v:fill on="f" focussize="0,0"/>
            <v:stroke on="f"/>
            <v:imagedata r:id="rId41" o:title=""/>
            <o:lock v:ext="edit" aspectratio="t"/>
            <w10:wrap type="none"/>
            <w10:anchorlock/>
          </v:shape>
          <o:OLEObject Type="Embed" ProgID="Equation.DSMT4" ShapeID="_x0000_i1034" DrawAspect="Content" ObjectID="_1468075734" r:id="rId40">
            <o:LockedField>false</o:LockedField>
          </o:OLEObject>
        </w:object>
      </w:r>
      <w:r>
        <w:rPr>
          <w:position w:val="0"/>
          <w:sz w:val="21"/>
          <w:highlight w:val="none"/>
        </w:rPr>
        <w:t>——</w:t>
      </w:r>
      <w:r>
        <w:rPr>
          <w:rFonts w:hint="eastAsia"/>
          <w:position w:val="0"/>
          <w:sz w:val="21"/>
          <w:highlight w:val="none"/>
        </w:rPr>
        <w:t>导地线覆冰风荷载增大系数；</w:t>
      </w:r>
    </w:p>
    <w:p w14:paraId="41CF111B">
      <w:pPr>
        <w:pStyle w:val="58"/>
        <w:keepNext w:val="0"/>
        <w:keepLines w:val="0"/>
        <w:pageBreakBefore w:val="0"/>
        <w:widowControl/>
        <w:kinsoku/>
        <w:wordWrap/>
        <w:overflowPunct/>
        <w:topLinePunct w:val="0"/>
        <w:autoSpaceDE/>
        <w:autoSpaceDN/>
        <w:bidi w:val="0"/>
        <w:adjustRightInd/>
        <w:snapToGrid/>
        <w:spacing w:line="360" w:lineRule="auto"/>
        <w:textAlignment w:val="center"/>
        <w:rPr>
          <w:position w:val="0"/>
          <w:sz w:val="21"/>
          <w:highlight w:val="none"/>
        </w:rPr>
      </w:pPr>
      <w:r>
        <w:rPr>
          <w:rFonts w:ascii="宋体" w:eastAsia="宋体"/>
          <w:position w:val="0"/>
          <w:sz w:val="21"/>
          <w:highlight w:val="none"/>
        </w:rPr>
        <w:object>
          <v:shape id="_x0000_i1035" o:spt="75" type="#_x0000_t75" style="height:15.05pt;width:12.55pt;" o:ole="t" filled="f" o:preferrelative="t" stroked="f" coordsize="21600,21600">
            <v:path/>
            <v:fill on="f" focussize="0,0"/>
            <v:stroke on="f"/>
            <v:imagedata r:id="rId43" o:title=""/>
            <o:lock v:ext="edit" aspectratio="t"/>
            <w10:wrap type="none"/>
            <w10:anchorlock/>
          </v:shape>
          <o:OLEObject Type="Embed" ProgID="Equation.DSMT4" ShapeID="_x0000_i1035" DrawAspect="Content" ObjectID="_1468075735" r:id="rId42">
            <o:LockedField>false</o:LockedField>
          </o:OLEObject>
        </w:object>
      </w:r>
      <w:r>
        <w:rPr>
          <w:position w:val="0"/>
          <w:sz w:val="21"/>
          <w:highlight w:val="none"/>
        </w:rPr>
        <w:t>——</w:t>
      </w:r>
      <w:r>
        <w:rPr>
          <w:rFonts w:hint="eastAsia"/>
          <w:position w:val="0"/>
          <w:sz w:val="21"/>
          <w:highlight w:val="none"/>
        </w:rPr>
        <w:t>风向与导地线方向之间的夹角；</w:t>
      </w:r>
    </w:p>
    <w:p w14:paraId="588283E3">
      <w:pPr>
        <w:pStyle w:val="58"/>
        <w:keepNext w:val="0"/>
        <w:keepLines w:val="0"/>
        <w:pageBreakBefore w:val="0"/>
        <w:widowControl/>
        <w:kinsoku/>
        <w:wordWrap/>
        <w:overflowPunct/>
        <w:topLinePunct w:val="0"/>
        <w:autoSpaceDE/>
        <w:autoSpaceDN/>
        <w:bidi w:val="0"/>
        <w:adjustRightInd/>
        <w:snapToGrid/>
        <w:spacing w:line="360" w:lineRule="auto"/>
        <w:textAlignment w:val="center"/>
        <w:rPr>
          <w:position w:val="0"/>
          <w:sz w:val="21"/>
          <w:highlight w:val="none"/>
        </w:rPr>
      </w:pPr>
      <w:r>
        <w:rPr>
          <w:rFonts w:ascii="宋体" w:eastAsia="宋体"/>
          <w:position w:val="0"/>
          <w:sz w:val="21"/>
          <w:highlight w:val="none"/>
        </w:rPr>
        <w:object>
          <v:shape id="_x0000_i1036" o:spt="75" type="#_x0000_t75" style="height:14.6pt;width:15.05pt;" o:ole="t" filled="f" o:preferrelative="t" stroked="f" coordsize="21600,21600">
            <v:path/>
            <v:fill on="f" focussize="0,0"/>
            <v:stroke on="f"/>
            <v:imagedata r:id="rId45" o:title=""/>
            <o:lock v:ext="edit" aspectratio="t"/>
            <w10:wrap type="none"/>
            <w10:anchorlock/>
          </v:shape>
          <o:OLEObject Type="Embed" ProgID="Equation.DSMT4" ShapeID="_x0000_i1036" DrawAspect="Content" ObjectID="_1468075736" r:id="rId44">
            <o:LockedField>false</o:LockedField>
          </o:OLEObject>
        </w:object>
      </w:r>
      <w:r>
        <w:rPr>
          <w:position w:val="0"/>
          <w:sz w:val="21"/>
          <w:highlight w:val="none"/>
        </w:rPr>
        <w:t>——</w:t>
      </w:r>
      <w:r>
        <w:rPr>
          <w:rFonts w:hint="eastAsia"/>
          <w:position w:val="0"/>
          <w:sz w:val="21"/>
          <w:highlight w:val="none"/>
        </w:rPr>
        <w:t>顺导地线方向的风荷载标准值；</w:t>
      </w:r>
    </w:p>
    <w:p w14:paraId="105127C1">
      <w:pPr>
        <w:pStyle w:val="58"/>
        <w:keepNext w:val="0"/>
        <w:keepLines w:val="0"/>
        <w:pageBreakBefore w:val="0"/>
        <w:widowControl/>
        <w:kinsoku/>
        <w:wordWrap/>
        <w:overflowPunct/>
        <w:topLinePunct w:val="0"/>
        <w:autoSpaceDE/>
        <w:autoSpaceDN/>
        <w:bidi w:val="0"/>
        <w:adjustRightInd/>
        <w:snapToGrid/>
        <w:spacing w:line="360" w:lineRule="auto"/>
        <w:textAlignment w:val="center"/>
        <w:rPr>
          <w:position w:val="0"/>
          <w:sz w:val="21"/>
          <w:highlight w:val="none"/>
        </w:rPr>
      </w:pPr>
      <w:r>
        <w:rPr>
          <w:rFonts w:ascii="宋体" w:eastAsia="宋体"/>
          <w:position w:val="0"/>
          <w:sz w:val="21"/>
          <w:highlight w:val="none"/>
        </w:rPr>
        <w:object>
          <v:shape id="_x0000_i1037" o:spt="75" type="#_x0000_t75" style="height:14.6pt;width:15.05pt;" o:ole="t" filled="f" o:preferrelative="t" stroked="f" coordsize="21600,21600">
            <v:path/>
            <v:fill on="f" focussize="0,0"/>
            <v:stroke on="f"/>
            <v:imagedata r:id="rId47" o:title=""/>
            <o:lock v:ext="edit" aspectratio="t"/>
            <w10:wrap type="none"/>
            <w10:anchorlock/>
          </v:shape>
          <o:OLEObject Type="Embed" ProgID="Equation.DSMT4" ShapeID="_x0000_i1037" DrawAspect="Content" ObjectID="_1468075737" r:id="rId46">
            <o:LockedField>false</o:LockedField>
          </o:OLEObject>
        </w:object>
      </w:r>
      <w:r>
        <w:rPr>
          <w:position w:val="0"/>
          <w:sz w:val="21"/>
          <w:highlight w:val="none"/>
        </w:rPr>
        <w:t>——</w:t>
      </w:r>
      <w:r>
        <w:rPr>
          <w:rFonts w:hint="eastAsia"/>
          <w:position w:val="0"/>
          <w:sz w:val="21"/>
          <w:highlight w:val="none"/>
        </w:rPr>
        <w:t>计算导地线张力比载时垂直于导地线方向的风荷载标准值；</w:t>
      </w:r>
    </w:p>
    <w:p w14:paraId="4BB04D7A">
      <w:pPr>
        <w:pStyle w:val="58"/>
        <w:keepNext w:val="0"/>
        <w:keepLines w:val="0"/>
        <w:pageBreakBefore w:val="0"/>
        <w:widowControl/>
        <w:kinsoku/>
        <w:wordWrap/>
        <w:overflowPunct/>
        <w:topLinePunct w:val="0"/>
        <w:autoSpaceDE/>
        <w:autoSpaceDN/>
        <w:bidi w:val="0"/>
        <w:adjustRightInd/>
        <w:snapToGrid/>
        <w:spacing w:line="360" w:lineRule="auto"/>
        <w:textAlignment w:val="center"/>
        <w:rPr>
          <w:position w:val="0"/>
          <w:sz w:val="21"/>
          <w:highlight w:val="none"/>
        </w:rPr>
      </w:pPr>
      <w:r>
        <w:rPr>
          <w:rFonts w:ascii="宋体" w:eastAsia="宋体"/>
          <w:position w:val="0"/>
          <w:sz w:val="21"/>
          <w:highlight w:val="none"/>
        </w:rPr>
        <w:object>
          <v:shape id="_x0000_i1038" o:spt="75" type="#_x0000_t75" style="height:17.1pt;width:11.45pt;" o:ole="t" filled="f" o:preferrelative="t" stroked="f" coordsize="21600,21600">
            <v:path/>
            <v:fill on="f" focussize="0,0"/>
            <v:stroke on="f"/>
            <v:imagedata r:id="rId49" o:title=""/>
            <o:lock v:ext="edit" aspectratio="t"/>
            <w10:wrap type="none"/>
            <w10:anchorlock/>
          </v:shape>
          <o:OLEObject Type="Embed" ProgID="Equation.DSMT4" ShapeID="_x0000_i1038" DrawAspect="Content" ObjectID="_1468075738" r:id="rId48">
            <o:LockedField>false</o:LockedField>
          </o:OLEObject>
        </w:object>
      </w:r>
      <w:r>
        <w:rPr>
          <w:position w:val="0"/>
          <w:sz w:val="21"/>
          <w:highlight w:val="none"/>
        </w:rPr>
        <w:t>——</w:t>
      </w:r>
      <w:r>
        <w:rPr>
          <w:rFonts w:hint="eastAsia"/>
          <w:position w:val="0"/>
          <w:sz w:val="21"/>
          <w:highlight w:val="none"/>
        </w:rPr>
        <w:t>导地线风荷载折减系数；</w:t>
      </w:r>
    </w:p>
    <w:p w14:paraId="1C9C1E44">
      <w:pPr>
        <w:pStyle w:val="58"/>
        <w:keepNext w:val="0"/>
        <w:keepLines w:val="0"/>
        <w:pageBreakBefore w:val="0"/>
        <w:widowControl/>
        <w:kinsoku/>
        <w:wordWrap/>
        <w:overflowPunct/>
        <w:topLinePunct w:val="0"/>
        <w:autoSpaceDE/>
        <w:autoSpaceDN/>
        <w:bidi w:val="0"/>
        <w:adjustRightInd/>
        <w:snapToGrid/>
        <w:spacing w:line="360" w:lineRule="auto"/>
        <w:textAlignment w:val="center"/>
        <w:rPr>
          <w:position w:val="0"/>
          <w:sz w:val="21"/>
          <w:highlight w:val="none"/>
        </w:rPr>
      </w:pPr>
      <w:r>
        <w:rPr>
          <w:rFonts w:ascii="宋体" w:eastAsia="宋体"/>
          <w:position w:val="0"/>
          <w:sz w:val="21"/>
          <w:highlight w:val="none"/>
        </w:rPr>
        <w:object>
          <v:shape id="_x0000_i1039" o:spt="75" type="#_x0000_t75" style="height:14.6pt;width:12.55pt;" o:ole="t" filled="f" o:preferrelative="t" stroked="f" coordsize="21600,21600">
            <v:path/>
            <v:fill on="f" focussize="0,0"/>
            <v:stroke on="f"/>
            <v:imagedata r:id="rId51" o:title=""/>
            <o:lock v:ext="edit" aspectratio="t"/>
            <w10:wrap type="none"/>
            <w10:anchorlock/>
          </v:shape>
          <o:OLEObject Type="Embed" ProgID="Equation.DSMT4" ShapeID="_x0000_i1039" DrawAspect="Content" ObjectID="_1468075739" r:id="rId50">
            <o:LockedField>false</o:LockedField>
          </o:OLEObject>
        </w:object>
      </w:r>
      <w:r>
        <w:rPr>
          <w:position w:val="0"/>
          <w:sz w:val="21"/>
          <w:highlight w:val="none"/>
        </w:rPr>
        <w:t>——</w:t>
      </w:r>
      <w:r>
        <w:rPr>
          <w:rFonts w:ascii="宋体" w:eastAsia="宋体"/>
          <w:position w:val="0"/>
          <w:sz w:val="21"/>
          <w:highlight w:val="none"/>
        </w:rPr>
        <w:object>
          <v:shape id="_x0000_i1040" o:spt="75" type="#_x0000_t75" style="height:12.55pt;width:12.55pt;" o:ole="t" filled="f" o:preferrelative="t" stroked="f" coordsize="21600,21600">
            <v:path/>
            <v:fill on="f" focussize="0,0"/>
            <v:stroke on="f"/>
            <v:imagedata r:id="rId53" o:title=""/>
            <o:lock v:ext="edit" aspectratio="t"/>
            <w10:wrap type="none"/>
            <w10:anchorlock/>
          </v:shape>
          <o:OLEObject Type="Embed" ProgID="Equation.DSMT4" ShapeID="_x0000_i1040" DrawAspect="Content" ObjectID="_1468075740" r:id="rId52">
            <o:LockedField>false</o:LockedField>
          </o:OLEObject>
        </w:object>
      </w:r>
      <w:r>
        <w:rPr>
          <w:rFonts w:hint="eastAsia"/>
          <w:position w:val="0"/>
          <w:sz w:val="21"/>
          <w:highlight w:val="none"/>
        </w:rPr>
        <w:t>高度风压高度变化系数（用于导地线张力荷载计算）；</w:t>
      </w:r>
      <w:r>
        <w:rPr>
          <w:position w:val="0"/>
          <w:sz w:val="21"/>
          <w:highlight w:val="none"/>
        </w:rPr>
        <w:t xml:space="preserve"> </w:t>
      </w:r>
    </w:p>
    <w:p w14:paraId="55B03DE9">
      <w:pPr>
        <w:pStyle w:val="58"/>
        <w:keepNext w:val="0"/>
        <w:keepLines w:val="0"/>
        <w:pageBreakBefore w:val="0"/>
        <w:widowControl/>
        <w:kinsoku/>
        <w:wordWrap/>
        <w:overflowPunct/>
        <w:topLinePunct w:val="0"/>
        <w:autoSpaceDE/>
        <w:autoSpaceDN/>
        <w:bidi w:val="0"/>
        <w:adjustRightInd/>
        <w:snapToGrid/>
        <w:spacing w:line="360" w:lineRule="auto"/>
        <w:textAlignment w:val="center"/>
        <w:rPr>
          <w:position w:val="0"/>
          <w:sz w:val="21"/>
          <w:highlight w:val="none"/>
        </w:rPr>
      </w:pPr>
      <w:r>
        <w:rPr>
          <w:rFonts w:ascii="宋体" w:eastAsia="宋体"/>
          <w:position w:val="0"/>
          <w:sz w:val="21"/>
          <w:highlight w:val="none"/>
        </w:rPr>
        <w:object>
          <v:shape id="_x0000_i1041" o:spt="75" type="#_x0000_t75" style="height:17.6pt;width:12.55pt;" o:ole="t" filled="f" o:preferrelative="t" stroked="f" coordsize="21600,21600">
            <v:path/>
            <v:fill on="f" focussize="0,0"/>
            <v:stroke on="f"/>
            <v:imagedata r:id="rId55" o:title=""/>
            <o:lock v:ext="edit" aspectratio="t"/>
            <w10:wrap type="none"/>
            <w10:anchorlock/>
          </v:shape>
          <o:OLEObject Type="Embed" ProgID="Equation.DSMT4" ShapeID="_x0000_i1041" DrawAspect="Content" ObjectID="_1468075741" r:id="rId54">
            <o:LockedField>false</o:LockedField>
          </o:OLEObject>
        </w:object>
      </w:r>
      <w:r>
        <w:rPr>
          <w:position w:val="0"/>
          <w:sz w:val="21"/>
          <w:highlight w:val="none"/>
        </w:rPr>
        <w:t>——</w:t>
      </w:r>
      <w:r>
        <w:rPr>
          <w:rFonts w:hint="eastAsia"/>
          <w:position w:val="0"/>
          <w:sz w:val="21"/>
          <w:highlight w:val="none"/>
        </w:rPr>
        <w:t>代表档距；</w:t>
      </w:r>
    </w:p>
    <w:p w14:paraId="74E425ED">
      <w:pPr>
        <w:pStyle w:val="58"/>
        <w:keepNext w:val="0"/>
        <w:keepLines w:val="0"/>
        <w:pageBreakBefore w:val="0"/>
        <w:widowControl/>
        <w:kinsoku/>
        <w:wordWrap/>
        <w:overflowPunct/>
        <w:topLinePunct w:val="0"/>
        <w:autoSpaceDE/>
        <w:autoSpaceDN/>
        <w:bidi w:val="0"/>
        <w:adjustRightInd/>
        <w:snapToGrid/>
        <w:spacing w:line="360" w:lineRule="auto"/>
        <w:textAlignment w:val="center"/>
        <w:rPr>
          <w:position w:val="0"/>
          <w:sz w:val="21"/>
          <w:highlight w:val="none"/>
        </w:rPr>
      </w:pPr>
      <w:r>
        <w:rPr>
          <w:rFonts w:ascii="宋体" w:eastAsia="宋体"/>
          <w:position w:val="0"/>
          <w:sz w:val="21"/>
          <w:highlight w:val="none"/>
        </w:rPr>
        <w:object>
          <v:shape id="_x0000_i1042" o:spt="75" type="#_x0000_t75" style="height:17.55pt;width:13.8pt;" o:ole="t" filled="f" o:preferrelative="t" stroked="f" coordsize="21600,21600">
            <v:path/>
            <v:fill on="f" focussize="0,0"/>
            <v:stroke on="f"/>
            <v:imagedata r:id="rId57" o:title=""/>
            <o:lock v:ext="edit" aspectratio="t"/>
            <w10:wrap type="none"/>
            <w10:anchorlock/>
          </v:shape>
          <o:OLEObject Type="Embed" ProgID="Equation.DSMT4" ShapeID="_x0000_i1042" DrawAspect="Content" ObjectID="_1468075742" r:id="rId56">
            <o:LockedField>false</o:LockedField>
          </o:OLEObject>
        </w:object>
      </w:r>
      <w:r>
        <w:rPr>
          <w:position w:val="0"/>
          <w:sz w:val="21"/>
          <w:highlight w:val="none"/>
        </w:rPr>
        <w:t>——</w:t>
      </w:r>
      <w:r>
        <w:rPr>
          <w:rFonts w:hint="eastAsia"/>
          <w:position w:val="0"/>
          <w:sz w:val="21"/>
          <w:highlight w:val="none"/>
        </w:rPr>
        <w:t>档距折减系数；</w:t>
      </w:r>
    </w:p>
    <w:p w14:paraId="70B25101">
      <w:pPr>
        <w:pStyle w:val="58"/>
        <w:keepNext w:val="0"/>
        <w:keepLines w:val="0"/>
        <w:pageBreakBefore w:val="0"/>
        <w:widowControl/>
        <w:kinsoku/>
        <w:wordWrap/>
        <w:overflowPunct/>
        <w:topLinePunct w:val="0"/>
        <w:autoSpaceDE/>
        <w:autoSpaceDN/>
        <w:bidi w:val="0"/>
        <w:adjustRightInd/>
        <w:snapToGrid/>
        <w:spacing w:line="360" w:lineRule="auto"/>
        <w:textAlignment w:val="center"/>
        <w:rPr>
          <w:position w:val="0"/>
          <w:sz w:val="21"/>
          <w:highlight w:val="none"/>
        </w:rPr>
      </w:pPr>
      <w:r>
        <w:rPr>
          <w:rFonts w:ascii="宋体" w:eastAsia="宋体"/>
          <w:position w:val="0"/>
          <w:sz w:val="21"/>
          <w:highlight w:val="none"/>
        </w:rPr>
        <w:object>
          <v:shape id="_x0000_i1043" o:spt="75" type="#_x0000_t75" style="height:17.1pt;width:14.65pt;" o:ole="t" filled="f" o:preferrelative="t" stroked="f" coordsize="21600,21600">
            <v:path/>
            <v:fill on="f" focussize="0,0"/>
            <v:stroke on="f"/>
            <v:imagedata r:id="rId59" o:title=""/>
            <o:lock v:ext="edit" aspectratio="t"/>
            <w10:wrap type="none"/>
            <w10:anchorlock/>
          </v:shape>
          <o:OLEObject Type="Embed" ProgID="Equation.DSMT4" ShapeID="_x0000_i1043" DrawAspect="Content" ObjectID="_1468075743" r:id="rId58">
            <o:LockedField>false</o:LockedField>
          </o:OLEObject>
        </w:object>
      </w:r>
      <w:r>
        <w:rPr>
          <w:position w:val="0"/>
          <w:sz w:val="21"/>
          <w:highlight w:val="none"/>
        </w:rPr>
        <w:t>——</w:t>
      </w:r>
      <w:r>
        <w:rPr>
          <w:rFonts w:hint="eastAsia"/>
          <w:position w:val="0"/>
          <w:sz w:val="21"/>
          <w:highlight w:val="none"/>
        </w:rPr>
        <w:t>峰值因子；</w:t>
      </w:r>
    </w:p>
    <w:p w14:paraId="57AECE94">
      <w:pPr>
        <w:pStyle w:val="58"/>
        <w:keepNext w:val="0"/>
        <w:keepLines w:val="0"/>
        <w:pageBreakBefore w:val="0"/>
        <w:widowControl/>
        <w:kinsoku/>
        <w:wordWrap/>
        <w:overflowPunct/>
        <w:topLinePunct w:val="0"/>
        <w:autoSpaceDE/>
        <w:autoSpaceDN/>
        <w:bidi w:val="0"/>
        <w:adjustRightInd/>
        <w:snapToGrid/>
        <w:spacing w:line="360" w:lineRule="auto"/>
        <w:textAlignment w:val="center"/>
        <w:rPr>
          <w:position w:val="0"/>
          <w:sz w:val="21"/>
          <w:highlight w:val="none"/>
        </w:rPr>
      </w:pPr>
      <w:r>
        <w:rPr>
          <w:rFonts w:ascii="宋体" w:eastAsia="宋体"/>
          <w:position w:val="0"/>
          <w:sz w:val="21"/>
          <w:highlight w:val="none"/>
        </w:rPr>
        <w:object>
          <v:shape id="_x0000_i1044" o:spt="75" type="#_x0000_t75" style="height:20.95pt;width:15.05pt;" o:ole="t" filled="f" o:preferrelative="t" stroked="f" coordsize="21600,21600">
            <v:path/>
            <v:fill on="f" focussize="0,0"/>
            <v:stroke on="f"/>
            <v:imagedata r:id="rId61" o:title=""/>
            <o:lock v:ext="edit" aspectratio="t"/>
            <w10:wrap type="none"/>
            <w10:anchorlock/>
          </v:shape>
          <o:OLEObject Type="Embed" ProgID="Equation.DSMT4" ShapeID="_x0000_i1044" DrawAspect="Content" ObjectID="_1468075744" r:id="rId60">
            <o:LockedField>false</o:LockedField>
          </o:OLEObject>
        </w:object>
      </w:r>
      <w:r>
        <w:rPr>
          <w:position w:val="0"/>
          <w:sz w:val="21"/>
          <w:highlight w:val="none"/>
        </w:rPr>
        <w:t>——</w:t>
      </w:r>
      <w:r>
        <w:rPr>
          <w:rFonts w:hint="eastAsia"/>
          <w:position w:val="0"/>
          <w:sz w:val="21"/>
          <w:highlight w:val="none"/>
        </w:rPr>
        <w:t>导地线风荷载脉动折减系数；</w:t>
      </w:r>
    </w:p>
    <w:p w14:paraId="1DE61E87">
      <w:pPr>
        <w:pStyle w:val="58"/>
        <w:keepNext w:val="0"/>
        <w:keepLines w:val="0"/>
        <w:pageBreakBefore w:val="0"/>
        <w:widowControl/>
        <w:kinsoku/>
        <w:wordWrap/>
        <w:overflowPunct/>
        <w:topLinePunct w:val="0"/>
        <w:autoSpaceDE/>
        <w:autoSpaceDN/>
        <w:bidi w:val="0"/>
        <w:adjustRightInd/>
        <w:snapToGrid/>
        <w:spacing w:line="360" w:lineRule="auto"/>
        <w:textAlignment w:val="center"/>
        <w:rPr>
          <w:position w:val="0"/>
          <w:sz w:val="21"/>
          <w:highlight w:val="none"/>
        </w:rPr>
      </w:pPr>
      <w:r>
        <w:rPr>
          <w:rFonts w:ascii="宋体" w:eastAsia="宋体"/>
          <w:position w:val="0"/>
          <w:sz w:val="21"/>
          <w:highlight w:val="none"/>
        </w:rPr>
        <w:object>
          <v:shape id="_x0000_i1045" o:spt="75" type="#_x0000_t75" style="height:17.6pt;width:12.55pt;" o:ole="t" filled="f" o:preferrelative="t" stroked="f" coordsize="21600,21600">
            <v:path/>
            <v:fill on="f" focussize="0,0"/>
            <v:stroke on="f"/>
            <v:imagedata r:id="rId63" o:title=""/>
            <o:lock v:ext="edit" aspectratio="t"/>
            <w10:wrap type="none"/>
            <w10:anchorlock/>
          </v:shape>
          <o:OLEObject Type="Embed" ProgID="Equation.DSMT4" ShapeID="_x0000_i1045" DrawAspect="Content" ObjectID="_1468075745" r:id="rId62">
            <o:LockedField>false</o:LockedField>
          </o:OLEObject>
        </w:object>
      </w:r>
      <w:r>
        <w:rPr>
          <w:position w:val="0"/>
          <w:sz w:val="21"/>
          <w:highlight w:val="none"/>
        </w:rPr>
        <w:t>——</w:t>
      </w:r>
      <w:r>
        <w:rPr>
          <w:rFonts w:hint="eastAsia"/>
          <w:position w:val="0"/>
          <w:sz w:val="21"/>
          <w:highlight w:val="none"/>
        </w:rPr>
        <w:t>导线平均高</w:t>
      </w:r>
      <w:r>
        <w:rPr>
          <w:rFonts w:ascii="宋体" w:eastAsia="宋体"/>
          <w:position w:val="0"/>
          <w:sz w:val="21"/>
          <w:highlight w:val="none"/>
        </w:rPr>
        <w:object>
          <v:shape id="_x0000_i1046" o:spt="75" type="#_x0000_t75" style="height:11.3pt;width:11.3pt;" o:ole="t" filled="f" o:preferrelative="t" stroked="f" coordsize="21600,21600">
            <v:path/>
            <v:fill on="f" focussize="0,0"/>
            <v:stroke on="f" joinstyle="miter"/>
            <v:imagedata r:id="rId65" o:title=""/>
            <o:lock v:ext="edit" aspectratio="t"/>
            <w10:wrap type="none"/>
            <w10:anchorlock/>
          </v:shape>
          <o:OLEObject Type="Embed" ProgID="Equation.DSMT4" ShapeID="_x0000_i1046" DrawAspect="Content" ObjectID="_1468075746" r:id="rId64">
            <o:LockedField>false</o:LockedField>
          </o:OLEObject>
        </w:object>
      </w:r>
      <w:r>
        <w:rPr>
          <w:rFonts w:hint="eastAsia"/>
          <w:position w:val="0"/>
          <w:sz w:val="21"/>
          <w:highlight w:val="none"/>
        </w:rPr>
        <w:t>处的湍流强度；</w:t>
      </w:r>
    </w:p>
    <w:p w14:paraId="6F8C303D">
      <w:pPr>
        <w:pStyle w:val="58"/>
        <w:keepNext w:val="0"/>
        <w:keepLines w:val="0"/>
        <w:pageBreakBefore w:val="0"/>
        <w:widowControl/>
        <w:kinsoku/>
        <w:wordWrap/>
        <w:overflowPunct/>
        <w:topLinePunct w:val="0"/>
        <w:autoSpaceDE/>
        <w:autoSpaceDN/>
        <w:bidi w:val="0"/>
        <w:adjustRightInd/>
        <w:snapToGrid/>
        <w:spacing w:line="360" w:lineRule="auto"/>
        <w:textAlignment w:val="center"/>
        <w:rPr>
          <w:position w:val="0"/>
          <w:sz w:val="21"/>
          <w:highlight w:val="none"/>
        </w:rPr>
      </w:pPr>
      <w:r>
        <w:rPr>
          <w:rFonts w:ascii="宋体" w:eastAsia="宋体"/>
          <w:position w:val="0"/>
          <w:sz w:val="21"/>
          <w:highlight w:val="none"/>
        </w:rPr>
        <w:object>
          <v:shape id="_x0000_i1047" o:spt="75" type="#_x0000_t75" style="height:17.15pt;width:12.55pt;" o:ole="t" filled="f" o:preferrelative="t" stroked="f" coordsize="21600,21600">
            <v:path/>
            <v:fill on="f" focussize="0,0"/>
            <v:stroke on="f"/>
            <v:imagedata r:id="rId67" o:title=""/>
            <o:lock v:ext="edit" aspectratio="t"/>
            <w10:wrap type="none"/>
            <w10:anchorlock/>
          </v:shape>
          <o:OLEObject Type="Embed" ProgID="Equation.DSMT4" ShapeID="_x0000_i1047" DrawAspect="Content" ObjectID="_1468075747" r:id="rId66">
            <o:LockedField>false</o:LockedField>
          </o:OLEObject>
        </w:object>
      </w:r>
      <w:r>
        <w:rPr>
          <w:position w:val="0"/>
          <w:sz w:val="21"/>
          <w:highlight w:val="none"/>
        </w:rPr>
        <w:t>——</w:t>
      </w:r>
      <w:r>
        <w:rPr>
          <w:rFonts w:hint="eastAsia"/>
          <w:position w:val="0"/>
          <w:sz w:val="21"/>
          <w:highlight w:val="none"/>
        </w:rPr>
        <w:t>档距相关性积分因子；</w:t>
      </w:r>
    </w:p>
    <w:p w14:paraId="754BA50F">
      <w:pPr>
        <w:pStyle w:val="58"/>
        <w:keepNext w:val="0"/>
        <w:keepLines w:val="0"/>
        <w:pageBreakBefore w:val="0"/>
        <w:widowControl/>
        <w:kinsoku/>
        <w:wordWrap/>
        <w:overflowPunct/>
        <w:topLinePunct w:val="0"/>
        <w:autoSpaceDE/>
        <w:autoSpaceDN/>
        <w:bidi w:val="0"/>
        <w:adjustRightInd/>
        <w:snapToGrid/>
        <w:spacing w:line="360" w:lineRule="auto"/>
        <w:textAlignment w:val="center"/>
        <w:rPr>
          <w:position w:val="0"/>
          <w:sz w:val="21"/>
          <w:highlight w:val="none"/>
        </w:rPr>
      </w:pPr>
      <w:r>
        <w:rPr>
          <w:rFonts w:ascii="宋体" w:eastAsia="宋体"/>
          <w:position w:val="0"/>
          <w:sz w:val="21"/>
          <w:highlight w:val="none"/>
        </w:rPr>
        <w:object>
          <v:shape id="_x0000_i1048" o:spt="75" type="#_x0000_t75" style="height:11.3pt;width:11.3pt;" o:ole="t" filled="f" o:preferrelative="t" stroked="f" coordsize="21600,21600">
            <v:path/>
            <v:fill on="f" focussize="0,0"/>
            <v:stroke on="f"/>
            <v:imagedata r:id="rId69" o:title=""/>
            <o:lock v:ext="edit" aspectratio="t"/>
            <w10:wrap type="none"/>
            <w10:anchorlock/>
          </v:shape>
          <o:OLEObject Type="Embed" ProgID="Equation.DSMT4" ShapeID="_x0000_i1048" DrawAspect="Content" ObjectID="_1468075748" r:id="rId68">
            <o:LockedField>false</o:LockedField>
          </o:OLEObject>
        </w:object>
      </w:r>
      <w:r>
        <w:rPr>
          <w:position w:val="0"/>
          <w:sz w:val="21"/>
          <w:highlight w:val="none"/>
        </w:rPr>
        <w:t>——</w:t>
      </w:r>
      <w:r>
        <w:rPr>
          <w:rFonts w:hint="eastAsia"/>
          <w:position w:val="0"/>
          <w:sz w:val="21"/>
          <w:highlight w:val="none"/>
        </w:rPr>
        <w:t>杆塔前后档导地线平均高度；</w:t>
      </w:r>
    </w:p>
    <w:p w14:paraId="5D04456F">
      <w:pPr>
        <w:pStyle w:val="58"/>
        <w:keepNext w:val="0"/>
        <w:keepLines w:val="0"/>
        <w:pageBreakBefore w:val="0"/>
        <w:widowControl/>
        <w:kinsoku/>
        <w:wordWrap/>
        <w:overflowPunct/>
        <w:topLinePunct w:val="0"/>
        <w:autoSpaceDE/>
        <w:autoSpaceDN/>
        <w:bidi w:val="0"/>
        <w:adjustRightInd/>
        <w:snapToGrid/>
        <w:spacing w:line="360" w:lineRule="auto"/>
        <w:textAlignment w:val="center"/>
        <w:rPr>
          <w:position w:val="0"/>
          <w:sz w:val="21"/>
          <w:highlight w:val="none"/>
        </w:rPr>
      </w:pPr>
      <w:r>
        <w:rPr>
          <w:rFonts w:ascii="宋体" w:eastAsia="宋体"/>
          <w:position w:val="0"/>
          <w:sz w:val="21"/>
          <w:highlight w:val="none"/>
        </w:rPr>
        <w:object>
          <v:shape id="_x0000_i1049" o:spt="75" type="#_x0000_t75" style="height:10.05pt;width:10.05pt;" o:ole="t" filled="f" o:preferrelative="t" stroked="f" coordsize="21600,21600">
            <v:path/>
            <v:fill on="f" focussize="0,0"/>
            <v:stroke on="f"/>
            <v:imagedata r:id="rId71" o:title=""/>
            <o:lock v:ext="edit" aspectratio="t"/>
            <w10:wrap type="none"/>
            <w10:anchorlock/>
          </v:shape>
          <o:OLEObject Type="Embed" ProgID="Equation.DSMT4" ShapeID="_x0000_i1049" DrawAspect="Content" ObjectID="_1468075749" r:id="rId70">
            <o:LockedField>false</o:LockedField>
          </o:OLEObject>
        </w:object>
      </w:r>
      <w:r>
        <w:rPr>
          <w:position w:val="0"/>
          <w:sz w:val="21"/>
          <w:highlight w:val="none"/>
        </w:rPr>
        <w:t>——</w:t>
      </w:r>
      <w:r>
        <w:rPr>
          <w:rFonts w:hint="eastAsia"/>
          <w:position w:val="0"/>
          <w:sz w:val="21"/>
          <w:highlight w:val="none"/>
        </w:rPr>
        <w:t>地面粗糙度指数；</w:t>
      </w:r>
    </w:p>
    <w:p w14:paraId="3C49451B">
      <w:pPr>
        <w:pStyle w:val="58"/>
        <w:keepNext w:val="0"/>
        <w:keepLines w:val="0"/>
        <w:pageBreakBefore w:val="0"/>
        <w:widowControl/>
        <w:kinsoku/>
        <w:wordWrap/>
        <w:overflowPunct/>
        <w:topLinePunct w:val="0"/>
        <w:autoSpaceDE/>
        <w:autoSpaceDN/>
        <w:bidi w:val="0"/>
        <w:adjustRightInd/>
        <w:snapToGrid/>
        <w:spacing w:line="360" w:lineRule="auto"/>
        <w:textAlignment w:val="center"/>
        <w:rPr>
          <w:position w:val="0"/>
          <w:sz w:val="21"/>
          <w:highlight w:val="none"/>
        </w:rPr>
      </w:pPr>
      <w:r>
        <w:rPr>
          <w:rFonts w:ascii="宋体" w:eastAsia="宋体"/>
          <w:position w:val="0"/>
          <w:sz w:val="21"/>
          <w:highlight w:val="none"/>
        </w:rPr>
        <w:object>
          <v:shape id="_x0000_i1050" o:spt="75" type="#_x0000_t75" style="height:12.55pt;width:12.55pt;" o:ole="t" filled="f" o:preferrelative="t" stroked="f" coordsize="21600,21600">
            <v:path/>
            <v:fill on="f" focussize="0,0"/>
            <v:stroke on="f"/>
            <v:imagedata r:id="rId73" o:title=""/>
            <o:lock v:ext="edit" aspectratio="t"/>
            <w10:wrap type="none"/>
            <w10:anchorlock/>
          </v:shape>
          <o:OLEObject Type="Embed" ProgID="Equation.DSMT4" ShapeID="_x0000_i1050" DrawAspect="Content" ObjectID="_1468075750" r:id="rId72">
            <o:LockedField>false</o:LockedField>
          </o:OLEObject>
        </w:object>
      </w:r>
      <w:r>
        <w:rPr>
          <w:position w:val="0"/>
          <w:sz w:val="21"/>
          <w:highlight w:val="none"/>
        </w:rPr>
        <w:t>——</w:t>
      </w:r>
      <w:r>
        <w:rPr>
          <w:rFonts w:hint="eastAsia"/>
          <w:position w:val="0"/>
          <w:sz w:val="21"/>
          <w:highlight w:val="none"/>
        </w:rPr>
        <w:t>耐张塔前后耐张段导地线计算平均高度（用于导地线张力荷载计算）；</w:t>
      </w:r>
    </w:p>
    <w:p w14:paraId="12ABE889">
      <w:pPr>
        <w:pStyle w:val="58"/>
        <w:keepNext w:val="0"/>
        <w:keepLines w:val="0"/>
        <w:pageBreakBefore w:val="0"/>
        <w:widowControl/>
        <w:kinsoku/>
        <w:wordWrap/>
        <w:overflowPunct/>
        <w:topLinePunct w:val="0"/>
        <w:autoSpaceDE/>
        <w:autoSpaceDN/>
        <w:bidi w:val="0"/>
        <w:adjustRightInd/>
        <w:snapToGrid/>
        <w:spacing w:line="360" w:lineRule="auto"/>
        <w:textAlignment w:val="center"/>
        <w:rPr>
          <w:position w:val="0"/>
          <w:sz w:val="21"/>
          <w:highlight w:val="none"/>
        </w:rPr>
      </w:pPr>
      <w:r>
        <w:rPr>
          <w:rFonts w:ascii="宋体" w:eastAsia="宋体"/>
          <w:position w:val="0"/>
          <w:sz w:val="21"/>
          <w:highlight w:val="none"/>
        </w:rPr>
        <w:object>
          <v:shape id="_x0000_i1051" o:spt="75" type="#_x0000_t75" style="height:13.8pt;width:11.3pt;" o:ole="t" filled="f" o:preferrelative="t" stroked="f" coordsize="21600,21600">
            <v:path/>
            <v:fill on="f" focussize="0,0"/>
            <v:stroke on="f"/>
            <v:imagedata r:id="rId75" o:title=""/>
            <o:lock v:ext="edit" aspectratio="t"/>
            <w10:wrap type="none"/>
            <w10:anchorlock/>
          </v:shape>
          <o:OLEObject Type="Embed" ProgID="Equation.DSMT4" ShapeID="_x0000_i1051" DrawAspect="Content" ObjectID="_1468075751" r:id="rId74">
            <o:LockedField>false</o:LockedField>
          </o:OLEObject>
        </w:object>
      </w:r>
      <w:r>
        <w:rPr>
          <w:position w:val="0"/>
          <w:sz w:val="21"/>
          <w:highlight w:val="none"/>
        </w:rPr>
        <w:t>——</w:t>
      </w:r>
      <w:r>
        <w:rPr>
          <w:rFonts w:hint="eastAsia"/>
          <w:position w:val="0"/>
          <w:sz w:val="21"/>
          <w:highlight w:val="none"/>
        </w:rPr>
        <w:t>定位工况导线弧垂；</w:t>
      </w:r>
    </w:p>
    <w:p w14:paraId="44BA5E4C">
      <w:pPr>
        <w:pStyle w:val="58"/>
        <w:keepNext w:val="0"/>
        <w:keepLines w:val="0"/>
        <w:pageBreakBefore w:val="0"/>
        <w:widowControl/>
        <w:kinsoku/>
        <w:wordWrap/>
        <w:overflowPunct/>
        <w:topLinePunct w:val="0"/>
        <w:autoSpaceDE/>
        <w:autoSpaceDN/>
        <w:bidi w:val="0"/>
        <w:adjustRightInd/>
        <w:snapToGrid/>
        <w:spacing w:line="360" w:lineRule="auto"/>
        <w:textAlignment w:val="center"/>
        <w:rPr>
          <w:position w:val="0"/>
          <w:sz w:val="21"/>
          <w:highlight w:val="none"/>
        </w:rPr>
      </w:pPr>
      <w:r>
        <w:rPr>
          <w:rFonts w:ascii="宋体" w:eastAsia="宋体"/>
          <w:position w:val="0"/>
          <w:sz w:val="21"/>
          <w:highlight w:val="none"/>
        </w:rPr>
        <w:object>
          <v:shape id="_x0000_i1052" o:spt="75" type="#_x0000_t75" style="height:12.55pt;width:15.05pt;" o:ole="t" filled="f" o:preferrelative="t" stroked="f" coordsize="21600,21600">
            <v:path/>
            <v:fill on="f" focussize="0,0"/>
            <v:stroke on="f"/>
            <v:imagedata r:id="rId77" o:title=""/>
            <o:lock v:ext="edit" aspectratio="t"/>
            <w10:wrap type="none"/>
            <w10:anchorlock/>
          </v:shape>
          <o:OLEObject Type="Embed" ProgID="Equation.DSMT4" ShapeID="_x0000_i1052" DrawAspect="Content" ObjectID="_1468075752" r:id="rId76">
            <o:LockedField>false</o:LockedField>
          </o:OLEObject>
        </w:object>
      </w:r>
      <w:r>
        <w:rPr>
          <w:position w:val="0"/>
          <w:sz w:val="21"/>
          <w:highlight w:val="none"/>
        </w:rPr>
        <w:t>——</w:t>
      </w:r>
      <w:r>
        <w:rPr>
          <w:rFonts w:hint="eastAsia"/>
          <w:position w:val="0"/>
          <w:sz w:val="21"/>
          <w:highlight w:val="none"/>
        </w:rPr>
        <w:t>杆塔呼高；</w:t>
      </w:r>
    </w:p>
    <w:p w14:paraId="329CC1BC">
      <w:pPr>
        <w:pStyle w:val="58"/>
        <w:keepNext w:val="0"/>
        <w:keepLines w:val="0"/>
        <w:pageBreakBefore w:val="0"/>
        <w:widowControl/>
        <w:kinsoku/>
        <w:wordWrap/>
        <w:overflowPunct/>
        <w:topLinePunct w:val="0"/>
        <w:autoSpaceDE/>
        <w:autoSpaceDN/>
        <w:bidi w:val="0"/>
        <w:adjustRightInd/>
        <w:snapToGrid/>
        <w:spacing w:line="360" w:lineRule="auto"/>
        <w:textAlignment w:val="center"/>
        <w:rPr>
          <w:position w:val="0"/>
          <w:sz w:val="21"/>
          <w:highlight w:val="none"/>
        </w:rPr>
      </w:pPr>
      <w:r>
        <w:rPr>
          <w:rFonts w:ascii="宋体" w:eastAsia="宋体"/>
          <w:position w:val="0"/>
          <w:sz w:val="21"/>
          <w:highlight w:val="none"/>
        </w:rPr>
        <w:object>
          <v:shape id="_x0000_i1053" o:spt="75" type="#_x0000_t75" style="height:12.55pt;width:9.65pt;" o:ole="t" filled="f" o:preferrelative="t" stroked="f" coordsize="21600,21600">
            <v:path/>
            <v:fill on="f" focussize="0,0"/>
            <v:stroke on="f"/>
            <v:imagedata r:id="rId79" o:title=""/>
            <o:lock v:ext="edit" aspectratio="t"/>
            <w10:wrap type="none"/>
            <w10:anchorlock/>
          </v:shape>
          <o:OLEObject Type="Embed" ProgID="Equation.DSMT4" ShapeID="_x0000_i1053" DrawAspect="Content" ObjectID="_1468075753" r:id="rId78">
            <o:LockedField>false</o:LockedField>
          </o:OLEObject>
        </w:object>
      </w:r>
      <w:r>
        <w:rPr>
          <w:position w:val="0"/>
          <w:sz w:val="21"/>
          <w:highlight w:val="none"/>
        </w:rPr>
        <w:t>——</w:t>
      </w:r>
      <w:r>
        <w:rPr>
          <w:rFonts w:hint="eastAsia"/>
          <w:position w:val="0"/>
          <w:sz w:val="21"/>
          <w:highlight w:val="none"/>
        </w:rPr>
        <w:t>绝缘子串长度；</w:t>
      </w:r>
    </w:p>
    <w:p w14:paraId="3889FBF3">
      <w:pPr>
        <w:pStyle w:val="58"/>
        <w:keepNext w:val="0"/>
        <w:keepLines w:val="0"/>
        <w:pageBreakBefore w:val="0"/>
        <w:widowControl/>
        <w:kinsoku/>
        <w:wordWrap/>
        <w:overflowPunct/>
        <w:topLinePunct w:val="0"/>
        <w:autoSpaceDE/>
        <w:autoSpaceDN/>
        <w:bidi w:val="0"/>
        <w:adjustRightInd/>
        <w:snapToGrid/>
        <w:spacing w:line="360" w:lineRule="auto"/>
        <w:textAlignment w:val="center"/>
        <w:rPr>
          <w:position w:val="0"/>
          <w:sz w:val="21"/>
          <w:highlight w:val="none"/>
        </w:rPr>
      </w:pPr>
      <w:r>
        <w:rPr>
          <w:rFonts w:ascii="宋体" w:eastAsia="宋体"/>
          <w:position w:val="0"/>
          <w:sz w:val="21"/>
          <w:highlight w:val="none"/>
        </w:rPr>
        <w:object>
          <v:shape id="_x0000_i1054" o:spt="75" type="#_x0000_t75" style="height:15.05pt;width:11.3pt;" o:ole="t" filled="f" o:preferrelative="t" stroked="f" coordsize="21600,21600">
            <v:path/>
            <v:fill on="f" focussize="0,0"/>
            <v:stroke on="f"/>
            <v:imagedata r:id="rId81" o:title=""/>
            <o:lock v:ext="edit" aspectratio="t"/>
            <w10:wrap type="none"/>
            <w10:anchorlock/>
          </v:shape>
          <o:OLEObject Type="Embed" ProgID="Equation.DSMT4" ShapeID="_x0000_i1054" DrawAspect="Content" ObjectID="_1468075754" r:id="rId80">
            <o:LockedField>false</o:LockedField>
          </o:OLEObject>
        </w:object>
      </w:r>
      <w:r>
        <w:rPr>
          <w:position w:val="0"/>
          <w:sz w:val="21"/>
          <w:highlight w:val="none"/>
        </w:rPr>
        <w:t>——</w:t>
      </w:r>
      <w:r>
        <w:rPr>
          <w:rFonts w:hint="eastAsia"/>
          <w:position w:val="0"/>
          <w:sz w:val="21"/>
          <w:highlight w:val="none"/>
        </w:rPr>
        <w:t>最下层导线弧垂最低点对地距离；</w:t>
      </w:r>
    </w:p>
    <w:p w14:paraId="0D7E3B84">
      <w:pPr>
        <w:pStyle w:val="58"/>
        <w:keepNext w:val="0"/>
        <w:keepLines w:val="0"/>
        <w:pageBreakBefore w:val="0"/>
        <w:widowControl/>
        <w:kinsoku/>
        <w:wordWrap/>
        <w:overflowPunct/>
        <w:topLinePunct w:val="0"/>
        <w:autoSpaceDE/>
        <w:autoSpaceDN/>
        <w:bidi w:val="0"/>
        <w:adjustRightInd/>
        <w:snapToGrid/>
        <w:spacing w:line="360" w:lineRule="auto"/>
        <w:textAlignment w:val="center"/>
        <w:rPr>
          <w:position w:val="0"/>
          <w:sz w:val="21"/>
          <w:highlight w:val="none"/>
        </w:rPr>
      </w:pPr>
      <w:r>
        <w:rPr>
          <w:rFonts w:ascii="宋体" w:eastAsia="宋体"/>
          <w:position w:val="0"/>
          <w:sz w:val="21"/>
          <w:highlight w:val="none"/>
        </w:rPr>
        <w:object>
          <v:shape id="_x0000_i1055" o:spt="75" type="#_x0000_t75" style="height:13.8pt;width:12.15pt;" o:ole="t" filled="f" o:preferrelative="t" stroked="f" coordsize="21600,21600">
            <v:path/>
            <v:fill on="f" focussize="0,0"/>
            <v:stroke on="f" joinstyle="miter"/>
            <v:imagedata r:id="rId83" o:title=""/>
            <o:lock v:ext="edit" aspectratio="t"/>
            <w10:wrap type="none"/>
            <w10:anchorlock/>
          </v:shape>
          <o:OLEObject Type="Embed" ProgID="Equation.DSMT4" ShapeID="_x0000_i1055" DrawAspect="Content" ObjectID="_1468075755" r:id="rId82">
            <o:LockedField>false</o:LockedField>
          </o:OLEObject>
        </w:object>
      </w:r>
      <w:r>
        <w:rPr>
          <w:position w:val="0"/>
          <w:sz w:val="21"/>
          <w:highlight w:val="none"/>
        </w:rPr>
        <w:t>——</w:t>
      </w:r>
      <w:r>
        <w:rPr>
          <w:rFonts w:hint="eastAsia"/>
          <w:position w:val="0"/>
          <w:sz w:val="21"/>
          <w:highlight w:val="none"/>
        </w:rPr>
        <w:t>大风工况导线弧垂；</w:t>
      </w:r>
    </w:p>
    <w:p w14:paraId="6A5F50CD">
      <w:pPr>
        <w:pStyle w:val="58"/>
        <w:keepNext w:val="0"/>
        <w:keepLines w:val="0"/>
        <w:pageBreakBefore w:val="0"/>
        <w:widowControl/>
        <w:kinsoku/>
        <w:wordWrap/>
        <w:overflowPunct/>
        <w:topLinePunct w:val="0"/>
        <w:autoSpaceDE/>
        <w:autoSpaceDN/>
        <w:bidi w:val="0"/>
        <w:adjustRightInd/>
        <w:snapToGrid/>
        <w:spacing w:line="360" w:lineRule="auto"/>
        <w:textAlignment w:val="center"/>
        <w:rPr>
          <w:position w:val="0"/>
          <w:sz w:val="21"/>
          <w:highlight w:val="none"/>
        </w:rPr>
      </w:pPr>
      <w:r>
        <w:rPr>
          <w:rFonts w:ascii="宋体" w:eastAsia="宋体"/>
          <w:position w:val="0"/>
          <w:sz w:val="21"/>
          <w:highlight w:val="none"/>
        </w:rPr>
        <w:object>
          <v:shape id="_x0000_i1056" o:spt="75" type="#_x0000_t75" style="height:15.9pt;width:11.3pt;" o:ole="t" filled="f" o:preferrelative="t" stroked="f" coordsize="21600,21600">
            <v:path/>
            <v:fill on="f" focussize="0,0"/>
            <v:stroke on="f"/>
            <v:imagedata r:id="rId85" o:title=""/>
            <o:lock v:ext="edit" aspectratio="t"/>
            <w10:wrap type="none"/>
            <w10:anchorlock/>
          </v:shape>
          <o:OLEObject Type="Embed" ProgID="Equation.DSMT4" ShapeID="_x0000_i1056" DrawAspect="Content" ObjectID="_1468075756" r:id="rId84">
            <o:LockedField>false</o:LockedField>
          </o:OLEObject>
        </w:object>
      </w:r>
      <w:r>
        <w:rPr>
          <w:position w:val="0"/>
          <w:sz w:val="21"/>
          <w:highlight w:val="none"/>
        </w:rPr>
        <w:t>——</w:t>
      </w:r>
      <w:r>
        <w:rPr>
          <w:rFonts w:hint="eastAsia"/>
          <w:position w:val="0"/>
          <w:sz w:val="21"/>
          <w:highlight w:val="none"/>
        </w:rPr>
        <w:t>大风工况导线风偏角；</w:t>
      </w:r>
    </w:p>
    <w:p w14:paraId="378F77D9">
      <w:pPr>
        <w:pStyle w:val="58"/>
        <w:keepNext w:val="0"/>
        <w:keepLines w:val="0"/>
        <w:pageBreakBefore w:val="0"/>
        <w:widowControl/>
        <w:kinsoku/>
        <w:wordWrap/>
        <w:overflowPunct/>
        <w:topLinePunct w:val="0"/>
        <w:autoSpaceDE/>
        <w:autoSpaceDN/>
        <w:bidi w:val="0"/>
        <w:adjustRightInd/>
        <w:snapToGrid/>
        <w:spacing w:line="360" w:lineRule="auto"/>
        <w:textAlignment w:val="center"/>
        <w:rPr>
          <w:position w:val="0"/>
          <w:sz w:val="21"/>
          <w:highlight w:val="none"/>
        </w:rPr>
      </w:pPr>
      <w:r>
        <w:rPr>
          <w:rFonts w:ascii="宋体" w:eastAsia="宋体"/>
          <w:position w:val="0"/>
          <w:sz w:val="21"/>
          <w:highlight w:val="none"/>
        </w:rPr>
        <w:object>
          <v:shape id="_x0000_i1057" o:spt="75" type="#_x0000_t75" style="height:13.8pt;width:11.3pt;" o:ole="t" filled="f" o:preferrelative="t" stroked="f" coordsize="21600,21600">
            <v:path/>
            <v:fill on="f" focussize="0,0"/>
            <v:stroke on="f"/>
            <v:imagedata r:id="rId87" o:title=""/>
            <o:lock v:ext="edit" aspectratio="t"/>
            <w10:wrap type="none"/>
            <w10:anchorlock/>
          </v:shape>
          <o:OLEObject Type="Embed" ProgID="Equation.DSMT4" ShapeID="_x0000_i1057" DrawAspect="Content" ObjectID="_1468075757" r:id="rId86">
            <o:LockedField>false</o:LockedField>
          </o:OLEObject>
        </w:object>
      </w:r>
      <w:r>
        <w:rPr>
          <w:position w:val="0"/>
          <w:sz w:val="21"/>
          <w:highlight w:val="none"/>
        </w:rPr>
        <w:t>——</w:t>
      </w:r>
      <w:r>
        <w:rPr>
          <w:rFonts w:hint="eastAsia"/>
          <w:position w:val="0"/>
          <w:sz w:val="21"/>
          <w:highlight w:val="none"/>
        </w:rPr>
        <w:t>定位工况导线张力；</w:t>
      </w:r>
    </w:p>
    <w:p w14:paraId="3D0167D6">
      <w:pPr>
        <w:pStyle w:val="58"/>
        <w:keepNext w:val="0"/>
        <w:keepLines w:val="0"/>
        <w:pageBreakBefore w:val="0"/>
        <w:widowControl/>
        <w:kinsoku/>
        <w:wordWrap/>
        <w:overflowPunct/>
        <w:topLinePunct w:val="0"/>
        <w:autoSpaceDE/>
        <w:autoSpaceDN/>
        <w:bidi w:val="0"/>
        <w:adjustRightInd/>
        <w:snapToGrid/>
        <w:spacing w:line="360" w:lineRule="auto"/>
        <w:textAlignment w:val="center"/>
        <w:rPr>
          <w:position w:val="0"/>
          <w:sz w:val="21"/>
          <w:highlight w:val="none"/>
        </w:rPr>
      </w:pPr>
      <w:r>
        <w:rPr>
          <w:rFonts w:ascii="宋体" w:eastAsia="宋体"/>
          <w:position w:val="0"/>
          <w:sz w:val="21"/>
          <w:highlight w:val="none"/>
        </w:rPr>
        <w:object>
          <v:shape id="_x0000_i1058" o:spt="75" type="#_x0000_t75" style="height:13.8pt;width:11.3pt;" o:ole="t" filled="f" o:preferrelative="t" stroked="f" coordsize="21600,21600">
            <v:path/>
            <v:fill on="f" focussize="0,0"/>
            <v:stroke on="f"/>
            <v:imagedata r:id="rId89" o:title=""/>
            <o:lock v:ext="edit" aspectratio="t"/>
            <w10:wrap type="none"/>
            <w10:anchorlock/>
          </v:shape>
          <o:OLEObject Type="Embed" ProgID="Equation.DSMT4" ShapeID="_x0000_i1058" DrawAspect="Content" ObjectID="_1468075758" r:id="rId88">
            <o:LockedField>false</o:LockedField>
          </o:OLEObject>
        </w:object>
      </w:r>
      <w:r>
        <w:rPr>
          <w:position w:val="0"/>
          <w:sz w:val="21"/>
          <w:highlight w:val="none"/>
        </w:rPr>
        <w:t>——</w:t>
      </w:r>
      <w:r>
        <w:rPr>
          <w:rFonts w:hint="eastAsia"/>
          <w:position w:val="0"/>
          <w:sz w:val="21"/>
          <w:highlight w:val="none"/>
        </w:rPr>
        <w:t>大风工况导线张力；</w:t>
      </w:r>
    </w:p>
    <w:p w14:paraId="361E3D6B">
      <w:pPr>
        <w:pStyle w:val="58"/>
        <w:keepNext w:val="0"/>
        <w:keepLines w:val="0"/>
        <w:pageBreakBefore w:val="0"/>
        <w:widowControl/>
        <w:kinsoku/>
        <w:wordWrap/>
        <w:overflowPunct/>
        <w:topLinePunct w:val="0"/>
        <w:autoSpaceDE/>
        <w:autoSpaceDN/>
        <w:bidi w:val="0"/>
        <w:adjustRightInd/>
        <w:snapToGrid/>
        <w:spacing w:line="360" w:lineRule="auto"/>
        <w:textAlignment w:val="center"/>
        <w:rPr>
          <w:position w:val="0"/>
          <w:sz w:val="21"/>
          <w:highlight w:val="none"/>
        </w:rPr>
      </w:pPr>
      <w:r>
        <w:rPr>
          <w:rFonts w:ascii="宋体" w:eastAsia="宋体"/>
          <w:position w:val="0"/>
          <w:sz w:val="21"/>
          <w:highlight w:val="none"/>
        </w:rPr>
        <w:object>
          <v:shape id="_x0000_i1059" o:spt="75" type="#_x0000_t75" style="height:16.35pt;width:11.3pt;" o:ole="t" filled="f" o:preferrelative="t" stroked="f" coordsize="21600,21600">
            <v:path/>
            <v:fill on="f" focussize="0,0"/>
            <v:stroke on="f"/>
            <v:imagedata r:id="rId91" o:title=""/>
            <o:lock v:ext="edit" aspectratio="t"/>
            <w10:wrap type="none"/>
            <w10:anchorlock/>
          </v:shape>
          <o:OLEObject Type="Embed" ProgID="Equation.DSMT4" ShapeID="_x0000_i1059" DrawAspect="Content" ObjectID="_1468075759" r:id="rId90">
            <o:LockedField>false</o:LockedField>
          </o:OLEObject>
        </w:object>
      </w:r>
      <w:r>
        <w:rPr>
          <w:position w:val="0"/>
          <w:sz w:val="21"/>
          <w:highlight w:val="none"/>
        </w:rPr>
        <w:t>——</w:t>
      </w:r>
      <w:r>
        <w:rPr>
          <w:rFonts w:hint="eastAsia"/>
          <w:position w:val="0"/>
          <w:sz w:val="21"/>
          <w:highlight w:val="none"/>
        </w:rPr>
        <w:t>大风工况最下层导线平均高度。</w:t>
      </w:r>
    </w:p>
    <w:p w14:paraId="4CA492DA">
      <w:pPr>
        <w:pStyle w:val="106"/>
        <w:keepNext w:val="0"/>
        <w:keepLines w:val="0"/>
        <w:pageBreakBefore w:val="0"/>
        <w:kinsoku/>
        <w:wordWrap/>
        <w:overflowPunct/>
        <w:topLinePunct w:val="0"/>
        <w:bidi w:val="0"/>
        <w:adjustRightInd/>
        <w:snapToGrid/>
        <w:spacing w:line="360" w:lineRule="auto"/>
        <w:textAlignment w:val="auto"/>
        <w:rPr>
          <w:rFonts w:hint="eastAsia"/>
          <w:highlight w:val="none"/>
        </w:rPr>
      </w:pPr>
      <w:bookmarkStart w:id="123" w:name="_Toc4247"/>
      <w:bookmarkStart w:id="124" w:name="_Toc23392"/>
      <w:bookmarkStart w:id="125" w:name="_Toc29273"/>
      <w:bookmarkStart w:id="126" w:name="_Toc16454"/>
      <w:bookmarkStart w:id="127" w:name="_Toc19892"/>
      <w:bookmarkStart w:id="128" w:name="_Toc21835"/>
      <w:r>
        <w:rPr>
          <w:rFonts w:hint="eastAsia"/>
          <w:highlight w:val="none"/>
        </w:rPr>
        <w:t>基本规定</w:t>
      </w:r>
      <w:bookmarkEnd w:id="123"/>
      <w:bookmarkEnd w:id="124"/>
      <w:bookmarkEnd w:id="125"/>
      <w:bookmarkEnd w:id="126"/>
      <w:bookmarkEnd w:id="127"/>
      <w:bookmarkEnd w:id="128"/>
    </w:p>
    <w:p w14:paraId="1D205656">
      <w:pPr>
        <w:pStyle w:val="164"/>
        <w:keepNext w:val="0"/>
        <w:keepLines w:val="0"/>
        <w:pageBreakBefore w:val="0"/>
        <w:kinsoku/>
        <w:wordWrap/>
        <w:overflowPunct/>
        <w:topLinePunct w:val="0"/>
        <w:bidi w:val="0"/>
        <w:adjustRightInd/>
        <w:snapToGrid/>
        <w:spacing w:line="360" w:lineRule="auto"/>
        <w:textAlignment w:val="auto"/>
        <w:rPr>
          <w:rFonts w:hint="eastAsia"/>
          <w:highlight w:val="none"/>
        </w:rPr>
      </w:pPr>
      <w:r>
        <w:rPr>
          <w:rFonts w:hint="eastAsia"/>
          <w:highlight w:val="none"/>
        </w:rPr>
        <w:t>易受台风影响地区的重要输电线路，采用差异化设计，适当提高抗风设防水平。</w:t>
      </w:r>
    </w:p>
    <w:p w14:paraId="0FBC5333">
      <w:pPr>
        <w:pStyle w:val="164"/>
        <w:keepNext w:val="0"/>
        <w:keepLines w:val="0"/>
        <w:pageBreakBefore w:val="0"/>
        <w:kinsoku/>
        <w:wordWrap/>
        <w:overflowPunct/>
        <w:topLinePunct w:val="0"/>
        <w:bidi w:val="0"/>
        <w:adjustRightInd/>
        <w:snapToGrid/>
        <w:spacing w:line="360" w:lineRule="auto"/>
        <w:textAlignment w:val="auto"/>
        <w:rPr>
          <w:rFonts w:hint="eastAsia"/>
          <w:highlight w:val="none"/>
        </w:rPr>
      </w:pPr>
      <w:r>
        <w:rPr>
          <w:rFonts w:hint="eastAsia"/>
          <w:highlight w:val="none"/>
        </w:rPr>
        <w:t>易受台风影响地区的重要输电线路宜单回架设。</w:t>
      </w:r>
    </w:p>
    <w:p w14:paraId="320EAA25">
      <w:pPr>
        <w:pStyle w:val="164"/>
        <w:keepNext w:val="0"/>
        <w:keepLines w:val="0"/>
        <w:pageBreakBefore w:val="0"/>
        <w:kinsoku/>
        <w:wordWrap/>
        <w:overflowPunct/>
        <w:topLinePunct w:val="0"/>
        <w:bidi w:val="0"/>
        <w:adjustRightInd/>
        <w:snapToGrid/>
        <w:spacing w:line="360" w:lineRule="auto"/>
        <w:textAlignment w:val="auto"/>
        <w:rPr>
          <w:rFonts w:hint="eastAsia"/>
          <w:highlight w:val="none"/>
        </w:rPr>
      </w:pPr>
      <w:r>
        <w:rPr>
          <w:rFonts w:hint="eastAsia"/>
          <w:highlight w:val="none"/>
        </w:rPr>
        <w:t>易受台风影响地区走廊拥挤确需同塔多回架设时，优先考虑重要输电线路与一般线路同塔架设。</w:t>
      </w:r>
    </w:p>
    <w:p w14:paraId="1808F7A1">
      <w:pPr>
        <w:pStyle w:val="164"/>
        <w:keepNext w:val="0"/>
        <w:keepLines w:val="0"/>
        <w:pageBreakBefore w:val="0"/>
        <w:kinsoku/>
        <w:wordWrap/>
        <w:overflowPunct/>
        <w:topLinePunct w:val="0"/>
        <w:bidi w:val="0"/>
        <w:adjustRightInd/>
        <w:snapToGrid/>
        <w:spacing w:line="360" w:lineRule="auto"/>
        <w:textAlignment w:val="auto"/>
        <w:rPr>
          <w:rFonts w:hint="eastAsia"/>
          <w:highlight w:val="none"/>
        </w:rPr>
      </w:pPr>
      <w:r>
        <w:rPr>
          <w:rFonts w:hint="eastAsia"/>
          <w:highlight w:val="none"/>
        </w:rPr>
        <w:t>易受台风影响地区的重要输电线路与一般线路之间应保证安全距离，防止临近线路倒塔影响重要线路安全运行。</w:t>
      </w:r>
    </w:p>
    <w:p w14:paraId="7DD8A28C">
      <w:pPr>
        <w:pStyle w:val="164"/>
        <w:keepNext w:val="0"/>
        <w:keepLines w:val="0"/>
        <w:pageBreakBefore w:val="0"/>
        <w:kinsoku/>
        <w:wordWrap/>
        <w:overflowPunct/>
        <w:topLinePunct w:val="0"/>
        <w:bidi w:val="0"/>
        <w:adjustRightInd/>
        <w:snapToGrid/>
        <w:spacing w:line="360" w:lineRule="auto"/>
        <w:textAlignment w:val="auto"/>
        <w:rPr>
          <w:rFonts w:hint="eastAsia"/>
          <w:highlight w:val="none"/>
          <w:lang w:eastAsia="zh-CN"/>
        </w:rPr>
      </w:pPr>
      <w:r>
        <w:rPr>
          <w:rFonts w:hint="eastAsia"/>
          <w:highlight w:val="none"/>
        </w:rPr>
        <w:t>易受台风影响地区重要输电线路和重要交叉跨越杆塔</w:t>
      </w:r>
      <w:r>
        <w:rPr>
          <w:rFonts w:hint="eastAsia"/>
          <w:highlight w:val="none"/>
          <w:lang w:eastAsia="zh"/>
        </w:rPr>
        <w:t>气象重现期没有提高时，</w:t>
      </w:r>
      <w:r>
        <w:rPr>
          <w:rFonts w:hint="eastAsia"/>
          <w:highlight w:val="none"/>
        </w:rPr>
        <w:t>结构重要性系数应取1.1</w:t>
      </w:r>
      <w:r>
        <w:rPr>
          <w:rFonts w:hint="eastAsia"/>
          <w:highlight w:val="none"/>
          <w:lang w:eastAsia="zh-CN"/>
        </w:rPr>
        <w:t>。</w:t>
      </w:r>
    </w:p>
    <w:p w14:paraId="2CB9E72B">
      <w:pPr>
        <w:pStyle w:val="164"/>
        <w:keepNext w:val="0"/>
        <w:keepLines w:val="0"/>
        <w:pageBreakBefore w:val="0"/>
        <w:kinsoku/>
        <w:wordWrap/>
        <w:overflowPunct/>
        <w:topLinePunct w:val="0"/>
        <w:bidi w:val="0"/>
        <w:adjustRightInd/>
        <w:snapToGrid/>
        <w:textAlignment w:val="auto"/>
        <w:rPr>
          <w:rFonts w:hint="eastAsia"/>
          <w:highlight w:val="none"/>
          <w:lang w:val="en-US" w:eastAsia="zh-CN"/>
        </w:rPr>
      </w:pPr>
      <w:r>
        <w:rPr>
          <w:rFonts w:hint="eastAsia"/>
          <w:highlight w:val="none"/>
        </w:rPr>
        <w:t>杆塔抗台风计算应按稀有大风情况荷载偶然组合进行计算</w:t>
      </w:r>
      <w:r>
        <w:rPr>
          <w:rFonts w:hint="eastAsia"/>
          <w:highlight w:val="none"/>
          <w:lang w:val="en-US" w:eastAsia="zh-CN"/>
        </w:rPr>
        <w:t>。</w:t>
      </w:r>
    </w:p>
    <w:p w14:paraId="146BA192">
      <w:pPr>
        <w:pStyle w:val="106"/>
        <w:keepNext w:val="0"/>
        <w:keepLines w:val="0"/>
        <w:pageBreakBefore w:val="0"/>
        <w:kinsoku/>
        <w:wordWrap/>
        <w:overflowPunct/>
        <w:topLinePunct w:val="0"/>
        <w:bidi w:val="0"/>
        <w:adjustRightInd/>
        <w:snapToGrid/>
        <w:spacing w:line="360" w:lineRule="auto"/>
        <w:textAlignment w:val="auto"/>
        <w:rPr>
          <w:rFonts w:hint="eastAsia"/>
          <w:highlight w:val="none"/>
        </w:rPr>
      </w:pPr>
      <w:bookmarkStart w:id="129" w:name="_Toc17611"/>
      <w:bookmarkStart w:id="130" w:name="_Toc9641"/>
      <w:bookmarkStart w:id="131" w:name="_Toc23136"/>
      <w:bookmarkStart w:id="132" w:name="_Toc1787"/>
      <w:r>
        <w:rPr>
          <w:rFonts w:hint="eastAsia"/>
          <w:highlight w:val="none"/>
        </w:rPr>
        <w:t>气象条件</w:t>
      </w:r>
      <w:bookmarkEnd w:id="129"/>
      <w:bookmarkEnd w:id="130"/>
      <w:bookmarkEnd w:id="131"/>
      <w:bookmarkEnd w:id="132"/>
    </w:p>
    <w:p w14:paraId="53AD9BE6">
      <w:pPr>
        <w:pStyle w:val="107"/>
        <w:keepNext w:val="0"/>
        <w:keepLines w:val="0"/>
        <w:pageBreakBefore w:val="0"/>
        <w:kinsoku/>
        <w:wordWrap/>
        <w:overflowPunct/>
        <w:topLinePunct w:val="0"/>
        <w:bidi w:val="0"/>
        <w:adjustRightInd/>
        <w:snapToGrid/>
        <w:spacing w:line="360" w:lineRule="auto"/>
        <w:textAlignment w:val="auto"/>
        <w:rPr>
          <w:rFonts w:hint="eastAsia"/>
          <w:highlight w:val="none"/>
        </w:rPr>
      </w:pPr>
      <w:bookmarkStart w:id="133" w:name="_Toc4597"/>
      <w:bookmarkStart w:id="134" w:name="_Toc25201"/>
      <w:bookmarkStart w:id="135" w:name="_Toc29732"/>
      <w:bookmarkStart w:id="136" w:name="_Toc16381"/>
      <w:bookmarkStart w:id="137" w:name="_Toc13601"/>
      <w:r>
        <w:rPr>
          <w:rFonts w:hint="eastAsia"/>
          <w:highlight w:val="none"/>
        </w:rPr>
        <w:t>气象查勘</w:t>
      </w:r>
      <w:bookmarkEnd w:id="133"/>
      <w:bookmarkEnd w:id="134"/>
      <w:bookmarkEnd w:id="135"/>
      <w:bookmarkEnd w:id="136"/>
      <w:bookmarkEnd w:id="137"/>
    </w:p>
    <w:p w14:paraId="7DF11980">
      <w:pPr>
        <w:pStyle w:val="167"/>
        <w:keepNext w:val="0"/>
        <w:keepLines w:val="0"/>
        <w:pageBreakBefore w:val="0"/>
        <w:kinsoku/>
        <w:wordWrap/>
        <w:overflowPunct/>
        <w:topLinePunct w:val="0"/>
        <w:bidi w:val="0"/>
        <w:adjustRightInd/>
        <w:snapToGrid/>
        <w:spacing w:line="360" w:lineRule="auto"/>
        <w:textAlignment w:val="auto"/>
        <w:rPr>
          <w:rFonts w:hint="eastAsia"/>
          <w:highlight w:val="none"/>
        </w:rPr>
      </w:pPr>
      <w:r>
        <w:rPr>
          <w:rFonts w:hint="eastAsia"/>
          <w:highlight w:val="none"/>
        </w:rPr>
        <w:t>查勘应通过现场踏勘、走访当地气象部门及</w:t>
      </w:r>
      <w:r>
        <w:rPr>
          <w:rFonts w:hint="eastAsia"/>
          <w:highlight w:val="none"/>
          <w:lang w:val="en-US" w:eastAsia="zh-CN"/>
        </w:rPr>
        <w:t>线路</w:t>
      </w:r>
      <w:r>
        <w:rPr>
          <w:rFonts w:hint="eastAsia"/>
          <w:highlight w:val="none"/>
        </w:rPr>
        <w:t>运维单位、搜集国家气象站/海洋站近30年连续观测资料等方式开展，重点搜集台风（含强热带风暴、超强台风）的路径、登陆时间、中心附近最大风速、持续时长及风暴潮数据。</w:t>
      </w:r>
    </w:p>
    <w:p w14:paraId="74B6175F">
      <w:pPr>
        <w:pStyle w:val="167"/>
        <w:keepNext w:val="0"/>
        <w:keepLines w:val="0"/>
        <w:pageBreakBefore w:val="0"/>
        <w:kinsoku/>
        <w:wordWrap/>
        <w:overflowPunct/>
        <w:topLinePunct w:val="0"/>
        <w:bidi w:val="0"/>
        <w:adjustRightInd/>
        <w:snapToGrid/>
        <w:spacing w:line="360" w:lineRule="auto"/>
        <w:textAlignment w:val="auto"/>
        <w:rPr>
          <w:rFonts w:hint="eastAsia"/>
          <w:highlight w:val="none"/>
        </w:rPr>
      </w:pPr>
      <w:r>
        <w:rPr>
          <w:rFonts w:hint="eastAsia"/>
          <w:highlight w:val="none"/>
        </w:rPr>
        <w:t>当气象条件复杂且资料缺乏时，可建立气象专用站进行专题观测，以掌握历史上与近期相关气象要素的定性与定量的变化规律，并可开展台风专题论证报告。</w:t>
      </w:r>
    </w:p>
    <w:p w14:paraId="6CA0F2FA">
      <w:pPr>
        <w:pStyle w:val="167"/>
        <w:keepNext w:val="0"/>
        <w:keepLines w:val="0"/>
        <w:pageBreakBefore w:val="0"/>
        <w:kinsoku/>
        <w:wordWrap/>
        <w:overflowPunct/>
        <w:topLinePunct w:val="0"/>
        <w:bidi w:val="0"/>
        <w:adjustRightInd/>
        <w:snapToGrid/>
        <w:spacing w:line="360" w:lineRule="auto"/>
        <w:textAlignment w:val="auto"/>
        <w:rPr>
          <w:rFonts w:hint="eastAsia"/>
          <w:highlight w:val="none"/>
        </w:rPr>
      </w:pPr>
      <w:r>
        <w:rPr>
          <w:rFonts w:hint="eastAsia"/>
          <w:highlight w:val="none"/>
        </w:rPr>
        <w:t>气象查勘内容应包括气象要素、灾害记录、历史台风导致的架空输电线路设备损坏、杆塔倒塌等事故的具体风速条件与破坏模式。</w:t>
      </w:r>
    </w:p>
    <w:p w14:paraId="38F617AF">
      <w:pPr>
        <w:pStyle w:val="167"/>
        <w:keepNext w:val="0"/>
        <w:keepLines w:val="0"/>
        <w:pageBreakBefore w:val="0"/>
        <w:kinsoku/>
        <w:wordWrap/>
        <w:overflowPunct/>
        <w:topLinePunct w:val="0"/>
        <w:bidi w:val="0"/>
        <w:adjustRightInd/>
        <w:snapToGrid/>
        <w:spacing w:line="360" w:lineRule="auto"/>
        <w:textAlignment w:val="auto"/>
        <w:rPr>
          <w:rFonts w:hint="eastAsia"/>
          <w:highlight w:val="none"/>
        </w:rPr>
      </w:pPr>
      <w:r>
        <w:rPr>
          <w:rFonts w:hint="eastAsia"/>
          <w:highlight w:val="none"/>
        </w:rPr>
        <w:t>现场调查应</w:t>
      </w:r>
      <w:r>
        <w:rPr>
          <w:rFonts w:hint="eastAsia"/>
          <w:highlight w:val="none"/>
          <w:lang w:val="en-US" w:eastAsia="zh-CN"/>
        </w:rPr>
        <w:t>满足</w:t>
      </w:r>
      <w:r>
        <w:rPr>
          <w:rFonts w:hint="eastAsia"/>
          <w:highlight w:val="none"/>
        </w:rPr>
        <w:t>下列要求：</w:t>
      </w:r>
    </w:p>
    <w:p w14:paraId="455E1134">
      <w:pPr>
        <w:pStyle w:val="134"/>
        <w:keepNext w:val="0"/>
        <w:keepLines w:val="0"/>
        <w:pageBreakBefore w:val="0"/>
        <w:numPr>
          <w:ilvl w:val="0"/>
          <w:numId w:val="0"/>
        </w:numPr>
        <w:kinsoku/>
        <w:wordWrap/>
        <w:overflowPunct/>
        <w:topLinePunct w:val="0"/>
        <w:bidi w:val="0"/>
        <w:adjustRightInd/>
        <w:snapToGrid/>
        <w:spacing w:line="360" w:lineRule="auto"/>
        <w:ind w:left="425" w:leftChars="0"/>
        <w:textAlignment w:val="auto"/>
        <w:rPr>
          <w:rFonts w:hint="eastAsia"/>
          <w:highlight w:val="none"/>
        </w:rPr>
      </w:pPr>
      <w:r>
        <w:rPr>
          <w:rFonts w:hint="eastAsia"/>
          <w:highlight w:val="none"/>
          <w:lang w:val="en-US" w:eastAsia="zh-CN"/>
        </w:rPr>
        <w:t>a）</w:t>
      </w:r>
      <w:r>
        <w:rPr>
          <w:rFonts w:hint="eastAsia"/>
          <w:highlight w:val="none"/>
        </w:rPr>
        <w:t>应由至少两人进行，并当场记录，对于口头描述的事件应有旁证，对调查的气象灾害应现场指认，设立标记，并宜进行拍照、录音或摄像。</w:t>
      </w:r>
    </w:p>
    <w:p w14:paraId="34FD7279">
      <w:pPr>
        <w:pStyle w:val="134"/>
        <w:keepNext w:val="0"/>
        <w:keepLines w:val="0"/>
        <w:pageBreakBefore w:val="0"/>
        <w:numPr>
          <w:ilvl w:val="0"/>
          <w:numId w:val="0"/>
        </w:numPr>
        <w:kinsoku/>
        <w:wordWrap/>
        <w:overflowPunct/>
        <w:topLinePunct w:val="0"/>
        <w:bidi w:val="0"/>
        <w:adjustRightInd/>
        <w:snapToGrid/>
        <w:spacing w:line="360" w:lineRule="auto"/>
        <w:ind w:left="425" w:leftChars="0"/>
        <w:textAlignment w:val="auto"/>
        <w:rPr>
          <w:rFonts w:hint="eastAsia"/>
          <w:highlight w:val="none"/>
        </w:rPr>
      </w:pPr>
      <w:r>
        <w:rPr>
          <w:rFonts w:hint="eastAsia"/>
          <w:highlight w:val="none"/>
          <w:lang w:val="en-US" w:eastAsia="zh-CN"/>
        </w:rPr>
        <w:t>b)</w:t>
      </w:r>
      <w:r>
        <w:rPr>
          <w:rFonts w:hint="eastAsia"/>
          <w:highlight w:val="none"/>
        </w:rPr>
        <w:t>查勘资料应在现场整理分析，进行合理性分析，发现问题应及时复查纠正，查勘结束后应编制查勘报告或说明书。</w:t>
      </w:r>
    </w:p>
    <w:p w14:paraId="2605BC67">
      <w:pPr>
        <w:pStyle w:val="107"/>
        <w:keepNext w:val="0"/>
        <w:keepLines w:val="0"/>
        <w:pageBreakBefore w:val="0"/>
        <w:kinsoku/>
        <w:wordWrap/>
        <w:overflowPunct/>
        <w:topLinePunct w:val="0"/>
        <w:bidi w:val="0"/>
        <w:adjustRightInd/>
        <w:snapToGrid/>
        <w:spacing w:line="360" w:lineRule="auto"/>
        <w:textAlignment w:val="auto"/>
        <w:rPr>
          <w:rFonts w:hint="eastAsia"/>
          <w:highlight w:val="none"/>
        </w:rPr>
      </w:pPr>
      <w:bookmarkStart w:id="138" w:name="_Toc62"/>
      <w:bookmarkStart w:id="139" w:name="_Toc3586"/>
      <w:bookmarkStart w:id="140" w:name="_Toc25314"/>
      <w:bookmarkStart w:id="141" w:name="_Toc21581"/>
      <w:bookmarkStart w:id="142" w:name="_Toc10777"/>
      <w:r>
        <w:rPr>
          <w:rFonts w:hint="eastAsia"/>
          <w:highlight w:val="none"/>
        </w:rPr>
        <w:t>设计风速</w:t>
      </w:r>
      <w:bookmarkEnd w:id="138"/>
      <w:bookmarkEnd w:id="139"/>
      <w:bookmarkEnd w:id="140"/>
      <w:bookmarkEnd w:id="141"/>
      <w:bookmarkEnd w:id="142"/>
    </w:p>
    <w:p w14:paraId="62B82B9A">
      <w:pPr>
        <w:pStyle w:val="167"/>
        <w:keepNext w:val="0"/>
        <w:keepLines w:val="0"/>
        <w:pageBreakBefore w:val="0"/>
        <w:kinsoku/>
        <w:wordWrap/>
        <w:overflowPunct/>
        <w:topLinePunct w:val="0"/>
        <w:bidi w:val="0"/>
        <w:adjustRightInd/>
        <w:snapToGrid/>
        <w:spacing w:line="360" w:lineRule="auto"/>
        <w:textAlignment w:val="auto"/>
        <w:rPr>
          <w:rFonts w:hint="eastAsia"/>
          <w:highlight w:val="none"/>
        </w:rPr>
      </w:pPr>
      <w:r>
        <w:rPr>
          <w:rFonts w:hint="eastAsia"/>
          <w:highlight w:val="none"/>
        </w:rPr>
        <w:t>架空输电线路的基本风速应以各省（区、市）发布的基本风速分布图为依据，在区域大风调查的基础上，通过当地气象站统计风速计算以及风压反算，并参考附近已建工程的设计与运行情况，经综合分析后确定。计算所用的原始数据以及方法应</w:t>
      </w:r>
      <w:r>
        <w:rPr>
          <w:rFonts w:hint="eastAsia"/>
          <w:highlight w:val="none"/>
          <w:lang w:val="en-US" w:eastAsia="zh-CN"/>
        </w:rPr>
        <w:t>满足</w:t>
      </w:r>
      <w:r>
        <w:rPr>
          <w:rFonts w:hint="eastAsia"/>
          <w:highlight w:val="none"/>
        </w:rPr>
        <w:t>下列要求：</w:t>
      </w:r>
    </w:p>
    <w:p w14:paraId="3E159DF2">
      <w:pPr>
        <w:pStyle w:val="134"/>
        <w:keepNext w:val="0"/>
        <w:keepLines w:val="0"/>
        <w:pageBreakBefore w:val="0"/>
        <w:numPr>
          <w:ilvl w:val="0"/>
          <w:numId w:val="0"/>
        </w:numPr>
        <w:kinsoku/>
        <w:wordWrap/>
        <w:overflowPunct/>
        <w:topLinePunct w:val="0"/>
        <w:bidi w:val="0"/>
        <w:adjustRightInd/>
        <w:snapToGrid/>
        <w:spacing w:line="360" w:lineRule="auto"/>
        <w:ind w:left="425" w:leftChars="0"/>
        <w:textAlignment w:val="auto"/>
        <w:rPr>
          <w:rFonts w:hint="eastAsia"/>
          <w:highlight w:val="none"/>
        </w:rPr>
      </w:pPr>
      <w:r>
        <w:rPr>
          <w:rFonts w:hint="eastAsia"/>
          <w:highlight w:val="none"/>
          <w:lang w:val="en-US" w:eastAsia="zh-CN"/>
        </w:rPr>
        <w:t xml:space="preserve">a) </w:t>
      </w:r>
      <w:r>
        <w:rPr>
          <w:rFonts w:hint="eastAsia"/>
          <w:highlight w:val="none"/>
        </w:rPr>
        <w:t>收集的原始资料需进行代表性、可靠性和一致性分析。对特大风速值，可通过天气系统分析、重现期分析、地区对比、气象要素相关分析、史籍记载查阅等方法进行分析。</w:t>
      </w:r>
    </w:p>
    <w:p w14:paraId="6EEE7205">
      <w:pPr>
        <w:pStyle w:val="134"/>
        <w:keepNext w:val="0"/>
        <w:keepLines w:val="0"/>
        <w:pageBreakBefore w:val="0"/>
        <w:numPr>
          <w:ilvl w:val="0"/>
          <w:numId w:val="0"/>
        </w:numPr>
        <w:kinsoku/>
        <w:wordWrap/>
        <w:overflowPunct/>
        <w:topLinePunct w:val="0"/>
        <w:bidi w:val="0"/>
        <w:adjustRightInd/>
        <w:snapToGrid/>
        <w:spacing w:line="360" w:lineRule="auto"/>
        <w:ind w:left="425" w:leftChars="0"/>
        <w:textAlignment w:val="auto"/>
        <w:rPr>
          <w:rFonts w:hint="eastAsia"/>
          <w:highlight w:val="none"/>
        </w:rPr>
      </w:pPr>
      <w:r>
        <w:rPr>
          <w:rFonts w:hint="eastAsia"/>
          <w:highlight w:val="none"/>
          <w:lang w:val="en-US" w:eastAsia="zh-CN"/>
        </w:rPr>
        <w:t xml:space="preserve">b) </w:t>
      </w:r>
      <w:r>
        <w:rPr>
          <w:rFonts w:hint="eastAsia"/>
          <w:highlight w:val="none"/>
        </w:rPr>
        <w:t>设计风速应采用极值Ⅰ型或P-Ⅲ型等概率分布模型进行频率计算。当气象站具有连续25年以上的年最大风速资料时，可直接进行频率计算推求气象站设计风速；当气象站资料短缺时，可选择邻近地区地形、气候条件相似，并有长期实测风速资料的气象站进行相关分析，展延资料系列后计算设计风速。</w:t>
      </w:r>
    </w:p>
    <w:p w14:paraId="43B35364">
      <w:pPr>
        <w:pStyle w:val="134"/>
        <w:keepNext w:val="0"/>
        <w:keepLines w:val="0"/>
        <w:pageBreakBefore w:val="0"/>
        <w:numPr>
          <w:ilvl w:val="0"/>
          <w:numId w:val="0"/>
        </w:numPr>
        <w:kinsoku/>
        <w:wordWrap/>
        <w:overflowPunct/>
        <w:topLinePunct w:val="0"/>
        <w:bidi w:val="0"/>
        <w:adjustRightInd/>
        <w:snapToGrid/>
        <w:spacing w:line="360" w:lineRule="auto"/>
        <w:ind w:left="425" w:leftChars="0"/>
        <w:textAlignment w:val="auto"/>
        <w:rPr>
          <w:rFonts w:hint="eastAsia"/>
          <w:highlight w:val="none"/>
        </w:rPr>
      </w:pPr>
      <w:r>
        <w:rPr>
          <w:rFonts w:hint="eastAsia"/>
          <w:highlight w:val="none"/>
          <w:lang w:val="en-US" w:eastAsia="zh-CN"/>
        </w:rPr>
        <w:t xml:space="preserve">c) </w:t>
      </w:r>
      <w:r>
        <w:rPr>
          <w:rFonts w:hint="eastAsia"/>
          <w:highlight w:val="none"/>
        </w:rPr>
        <w:t>当工程地点与气象参证站海拔高度、地形条件存在较大差异，或气象站资料对工程地点的代表性较差时，应进行地形条件订正，并调查沿线微地形、微气象区的影响和风速变化特征。必要时应根据工程需要建立短期专用气象站，开展相关气象参数的对比观测。</w:t>
      </w:r>
    </w:p>
    <w:p w14:paraId="1C8ABC3A">
      <w:pPr>
        <w:pStyle w:val="134"/>
        <w:keepNext w:val="0"/>
        <w:keepLines w:val="0"/>
        <w:pageBreakBefore w:val="0"/>
        <w:numPr>
          <w:ilvl w:val="0"/>
          <w:numId w:val="0"/>
        </w:numPr>
        <w:kinsoku/>
        <w:wordWrap/>
        <w:overflowPunct/>
        <w:topLinePunct w:val="0"/>
        <w:bidi w:val="0"/>
        <w:adjustRightInd/>
        <w:snapToGrid/>
        <w:spacing w:line="360" w:lineRule="auto"/>
        <w:ind w:left="425" w:leftChars="0"/>
        <w:textAlignment w:val="auto"/>
        <w:rPr>
          <w:rFonts w:hint="eastAsia"/>
          <w:highlight w:val="none"/>
        </w:rPr>
      </w:pPr>
      <w:r>
        <w:rPr>
          <w:rFonts w:hint="eastAsia"/>
          <w:highlight w:val="none"/>
          <w:lang w:val="en-US" w:eastAsia="zh-CN"/>
        </w:rPr>
        <w:t xml:space="preserve">d) </w:t>
      </w:r>
      <w:r>
        <w:rPr>
          <w:rFonts w:hint="eastAsia"/>
          <w:highlight w:val="none"/>
        </w:rPr>
        <w:t>山区工程设计风速应根据工程实际情况进行大风调查和对比观测，分析、订正附近气象参证站的设计风速至工程地点。</w:t>
      </w:r>
    </w:p>
    <w:p w14:paraId="1017B81C">
      <w:pPr>
        <w:pStyle w:val="167"/>
        <w:keepNext w:val="0"/>
        <w:keepLines w:val="0"/>
        <w:pageBreakBefore w:val="0"/>
        <w:kinsoku/>
        <w:wordWrap/>
        <w:overflowPunct/>
        <w:topLinePunct w:val="0"/>
        <w:bidi w:val="0"/>
        <w:adjustRightInd/>
        <w:snapToGrid/>
        <w:spacing w:line="360" w:lineRule="auto"/>
        <w:textAlignment w:val="auto"/>
        <w:rPr>
          <w:rFonts w:hint="eastAsia"/>
          <w:highlight w:val="none"/>
        </w:rPr>
      </w:pPr>
      <w:r>
        <w:rPr>
          <w:rFonts w:hint="eastAsia"/>
          <w:highlight w:val="none"/>
        </w:rPr>
        <w:t>应充分考虑沿海输电线路环境发生变化、设计标准发生变化、最大风速样本系列发生变化以及附近10km范围内已建工程是否发生过因台风倒塔断线事故等因素，合理确定设计基本风速。</w:t>
      </w:r>
    </w:p>
    <w:p w14:paraId="6A713BE9">
      <w:pPr>
        <w:pStyle w:val="167"/>
        <w:keepNext w:val="0"/>
        <w:keepLines w:val="0"/>
        <w:pageBreakBefore w:val="0"/>
        <w:kinsoku/>
        <w:wordWrap/>
        <w:overflowPunct/>
        <w:topLinePunct w:val="0"/>
        <w:bidi w:val="0"/>
        <w:adjustRightInd/>
        <w:snapToGrid/>
        <w:spacing w:line="360" w:lineRule="auto"/>
        <w:textAlignment w:val="auto"/>
        <w:rPr>
          <w:highlight w:val="none"/>
        </w:rPr>
      </w:pPr>
      <w:r>
        <w:rPr>
          <w:rFonts w:hint="eastAsia"/>
          <w:highlight w:val="none"/>
        </w:rPr>
        <w:t>对于易受台风影响且现行风区图未考虑沿海山区风速加强作用的地区，在沿海岸线10km以内的塔位，在设计风速的基础上增加10％，沿海岸线10km</w:t>
      </w:r>
      <w:r>
        <w:rPr>
          <w:rFonts w:hint="default" w:ascii="Times New Roman"/>
          <w:highlight w:val="none"/>
          <w:lang w:val="en-US" w:eastAsia="zh-CN"/>
        </w:rPr>
        <w:t>~</w:t>
      </w:r>
      <w:r>
        <w:rPr>
          <w:rFonts w:hint="eastAsia"/>
          <w:highlight w:val="none"/>
        </w:rPr>
        <w:t>20km的塔位增加5％，且不小于相应电压等级基本风速的最小值。</w:t>
      </w:r>
    </w:p>
    <w:p w14:paraId="40B33AF9">
      <w:pPr>
        <w:pStyle w:val="106"/>
        <w:keepNext w:val="0"/>
        <w:keepLines w:val="0"/>
        <w:pageBreakBefore w:val="0"/>
        <w:kinsoku/>
        <w:wordWrap/>
        <w:overflowPunct/>
        <w:topLinePunct w:val="0"/>
        <w:bidi w:val="0"/>
        <w:adjustRightInd/>
        <w:snapToGrid/>
        <w:spacing w:line="360" w:lineRule="auto"/>
        <w:textAlignment w:val="auto"/>
        <w:rPr>
          <w:rFonts w:hint="eastAsia"/>
          <w:highlight w:val="none"/>
          <w:lang w:eastAsia="zh-CN"/>
        </w:rPr>
      </w:pPr>
      <w:bookmarkStart w:id="143" w:name="_Toc10268"/>
      <w:bookmarkStart w:id="144" w:name="_Toc8942"/>
      <w:bookmarkStart w:id="145" w:name="_Toc12105"/>
      <w:bookmarkStart w:id="146" w:name="_Toc17827"/>
      <w:r>
        <w:rPr>
          <w:rFonts w:hint="eastAsia"/>
          <w:highlight w:val="none"/>
          <w:lang w:val="en-US" w:eastAsia="zh-CN"/>
        </w:rPr>
        <w:t>路径选择</w:t>
      </w:r>
      <w:bookmarkEnd w:id="143"/>
      <w:bookmarkEnd w:id="144"/>
      <w:bookmarkEnd w:id="145"/>
      <w:bookmarkEnd w:id="146"/>
    </w:p>
    <w:p w14:paraId="6F4B92B2">
      <w:pPr>
        <w:pStyle w:val="107"/>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
        </w:rPr>
      </w:pPr>
      <w:bookmarkStart w:id="147" w:name="_Toc7906"/>
      <w:bookmarkStart w:id="148" w:name="_Toc29029"/>
      <w:bookmarkStart w:id="149" w:name="_Toc29608"/>
      <w:bookmarkStart w:id="150" w:name="_Toc26009"/>
      <w:bookmarkStart w:id="151" w:name="_Toc3166"/>
      <w:r>
        <w:rPr>
          <w:rFonts w:hint="eastAsia"/>
          <w:highlight w:val="none"/>
          <w:lang w:val="en-US" w:eastAsia="zh"/>
        </w:rPr>
        <w:t>路径选择原则</w:t>
      </w:r>
      <w:bookmarkEnd w:id="147"/>
      <w:bookmarkEnd w:id="148"/>
    </w:p>
    <w:p w14:paraId="6CA0111D">
      <w:pPr>
        <w:pStyle w:val="167"/>
        <w:spacing w:line="360" w:lineRule="auto"/>
        <w:rPr>
          <w:rFonts w:hint="eastAsia"/>
          <w:highlight w:val="none"/>
        </w:rPr>
      </w:pPr>
      <w:r>
        <w:rPr>
          <w:rFonts w:hint="eastAsia"/>
          <w:highlight w:val="none"/>
        </w:rPr>
        <w:t>路径宜避开历年台风破坏严重地段</w:t>
      </w:r>
      <w:r>
        <w:rPr>
          <w:rFonts w:hint="eastAsia"/>
          <w:highlight w:val="none"/>
          <w:lang w:eastAsia="zh-CN"/>
        </w:rPr>
        <w:t>。</w:t>
      </w:r>
    </w:p>
    <w:p w14:paraId="1EE19368">
      <w:pPr>
        <w:pStyle w:val="167"/>
        <w:spacing w:line="360" w:lineRule="auto"/>
        <w:rPr>
          <w:rFonts w:hint="eastAsia"/>
          <w:highlight w:val="none"/>
        </w:rPr>
      </w:pPr>
      <w:r>
        <w:rPr>
          <w:rFonts w:hint="eastAsia"/>
          <w:highlight w:val="none"/>
        </w:rPr>
        <w:t>路径宜避开洼地、陡坡、悬崖峭壁、滑坡、崩塌区、冲刷地带、泥石流等影响线路安全运行不良地质地区</w:t>
      </w:r>
      <w:r>
        <w:rPr>
          <w:rFonts w:hint="eastAsia"/>
          <w:highlight w:val="none"/>
          <w:lang w:eastAsia="zh-CN"/>
        </w:rPr>
        <w:t>。</w:t>
      </w:r>
    </w:p>
    <w:p w14:paraId="4F2ECB3D">
      <w:pPr>
        <w:pStyle w:val="167"/>
        <w:spacing w:line="360" w:lineRule="auto"/>
        <w:rPr>
          <w:rFonts w:hint="eastAsia"/>
          <w:highlight w:val="none"/>
        </w:rPr>
      </w:pPr>
      <w:r>
        <w:rPr>
          <w:rFonts w:hint="eastAsia"/>
          <w:highlight w:val="none"/>
        </w:rPr>
        <w:t>路径宜避开海岸线10km内无屏蔽地形的区域，同时避免在海岸线20km范围内平行于海岸线走线</w:t>
      </w:r>
      <w:r>
        <w:rPr>
          <w:rFonts w:hint="eastAsia"/>
          <w:highlight w:val="none"/>
          <w:lang w:eastAsia="zh-CN"/>
        </w:rPr>
        <w:t>。</w:t>
      </w:r>
    </w:p>
    <w:p w14:paraId="64DE4B17">
      <w:pPr>
        <w:pStyle w:val="167"/>
        <w:spacing w:line="360" w:lineRule="auto"/>
        <w:rPr>
          <w:rFonts w:hint="eastAsia"/>
          <w:highlight w:val="none"/>
        </w:rPr>
      </w:pPr>
      <w:r>
        <w:rPr>
          <w:rFonts w:hint="eastAsia"/>
          <w:highlight w:val="none"/>
        </w:rPr>
        <w:t>架空输电线路路径宜避开相对高耸、突出地貌或山区风道、垭口、抬升气流的迎风坡等微地形、微气象区域，选择山坡的背风面，充分利用地形障碍物和防护林等的避风效应。</w:t>
      </w:r>
    </w:p>
    <w:p w14:paraId="235FF429">
      <w:pPr>
        <w:pStyle w:val="167"/>
        <w:spacing w:line="360" w:lineRule="auto"/>
        <w:rPr>
          <w:rFonts w:hint="eastAsia"/>
          <w:highlight w:val="none"/>
        </w:rPr>
      </w:pPr>
      <w:r>
        <w:rPr>
          <w:rFonts w:hint="eastAsia"/>
          <w:highlight w:val="none"/>
        </w:rPr>
        <w:t>向同一区域送电的重要输电通道，宜分散走廊，采用不同路径方案，以降低局部气象条件带来的电网安全风险。</w:t>
      </w:r>
    </w:p>
    <w:p w14:paraId="7AFB6D36">
      <w:pPr>
        <w:pStyle w:val="167"/>
        <w:spacing w:line="360" w:lineRule="auto"/>
        <w:rPr>
          <w:rFonts w:hint="eastAsia"/>
          <w:highlight w:val="none"/>
        </w:rPr>
      </w:pPr>
      <w:r>
        <w:rPr>
          <w:rFonts w:hint="eastAsia"/>
          <w:highlight w:val="none"/>
        </w:rPr>
        <w:t>当无法避开以上地段时，应经过论证后采取必要的加强措施。</w:t>
      </w:r>
    </w:p>
    <w:p w14:paraId="43E15CBE">
      <w:pPr>
        <w:pStyle w:val="164"/>
        <w:spacing w:line="360" w:lineRule="auto"/>
        <w:rPr>
          <w:highlight w:val="none"/>
        </w:rPr>
      </w:pPr>
      <w:r>
        <w:rPr>
          <w:rFonts w:hint="eastAsia"/>
          <w:highlight w:val="none"/>
        </w:rPr>
        <w:t>当线路通过易受台风影响地区时，应减少主导风向和线路走向夹角。</w:t>
      </w:r>
    </w:p>
    <w:p w14:paraId="3CB7E6B8">
      <w:pPr>
        <w:pStyle w:val="164"/>
        <w:spacing w:line="360" w:lineRule="auto"/>
        <w:rPr>
          <w:highlight w:val="none"/>
        </w:rPr>
      </w:pPr>
      <w:r>
        <w:rPr>
          <w:rFonts w:hint="eastAsia"/>
          <w:highlight w:val="none"/>
        </w:rPr>
        <w:t>勘测阶段应开展“微地形、微气象”特征甄别，对“微地形、微气象”区域进行现场踏勘，辨明现场情况，分析影响程度和范围，重点对垭口、高山分水岭、峡谷风道等“两微”区域的风速分布特点深入勘查，合理确定需加强抗风设计区段。</w:t>
      </w:r>
    </w:p>
    <w:p w14:paraId="3F9E505B">
      <w:pPr>
        <w:pStyle w:val="164"/>
        <w:spacing w:line="360" w:lineRule="auto"/>
        <w:rPr>
          <w:highlight w:val="none"/>
        </w:rPr>
      </w:pPr>
      <w:r>
        <w:rPr>
          <w:rFonts w:hint="eastAsia"/>
          <w:highlight w:val="none"/>
        </w:rPr>
        <w:t>应合理控制易受台风影响地区线路耐张段长度，耐张段长度不宜超过5km。</w:t>
      </w:r>
    </w:p>
    <w:p w14:paraId="0E5C568F">
      <w:pPr>
        <w:pStyle w:val="164"/>
        <w:spacing w:line="360" w:lineRule="auto"/>
        <w:rPr>
          <w:highlight w:val="none"/>
        </w:rPr>
      </w:pPr>
      <w:r>
        <w:rPr>
          <w:rFonts w:hint="eastAsia"/>
          <w:highlight w:val="none"/>
        </w:rPr>
        <w:t>线路宜避免大档距、大高差及前后档距相差悬殊的情况，当无法避免时，应采取必要的加强措施。</w:t>
      </w:r>
    </w:p>
    <w:p w14:paraId="3B8BB6D7">
      <w:pPr>
        <w:pStyle w:val="164"/>
        <w:spacing w:line="360" w:lineRule="auto"/>
        <w:rPr>
          <w:highlight w:val="none"/>
        </w:rPr>
      </w:pPr>
      <w:r>
        <w:rPr>
          <w:rFonts w:hint="eastAsia"/>
          <w:highlight w:val="none"/>
        </w:rPr>
        <w:t>如长距离采用三回及以上的多回路同塔架设，宜采用不同电压等级的混压同塔架设方案，且应采取必要的加强措施。</w:t>
      </w:r>
    </w:p>
    <w:p w14:paraId="3A4A9D5D">
      <w:pPr>
        <w:pStyle w:val="106"/>
        <w:keepNext w:val="0"/>
        <w:keepLines w:val="0"/>
        <w:pageBreakBefore w:val="0"/>
        <w:kinsoku/>
        <w:wordWrap/>
        <w:overflowPunct/>
        <w:topLinePunct w:val="0"/>
        <w:bidi w:val="0"/>
        <w:adjustRightInd/>
        <w:snapToGrid/>
        <w:spacing w:line="360" w:lineRule="auto"/>
        <w:textAlignment w:val="auto"/>
        <w:rPr>
          <w:rFonts w:hint="eastAsia"/>
          <w:highlight w:val="none"/>
        </w:rPr>
      </w:pPr>
      <w:bookmarkStart w:id="152" w:name="_Toc32241"/>
      <w:r>
        <w:rPr>
          <w:rFonts w:hint="eastAsia"/>
          <w:highlight w:val="none"/>
        </w:rPr>
        <w:t>导线和地线</w:t>
      </w:r>
      <w:bookmarkEnd w:id="149"/>
      <w:bookmarkEnd w:id="150"/>
      <w:bookmarkEnd w:id="151"/>
      <w:bookmarkEnd w:id="152"/>
    </w:p>
    <w:p w14:paraId="5C13652D">
      <w:pPr>
        <w:pStyle w:val="164"/>
        <w:keepNext w:val="0"/>
        <w:keepLines w:val="0"/>
        <w:pageBreakBefore w:val="0"/>
        <w:kinsoku/>
        <w:wordWrap/>
        <w:overflowPunct/>
        <w:topLinePunct w:val="0"/>
        <w:bidi w:val="0"/>
        <w:adjustRightInd/>
        <w:snapToGrid/>
        <w:spacing w:line="360" w:lineRule="auto"/>
        <w:textAlignment w:val="auto"/>
        <w:rPr>
          <w:rFonts w:hint="eastAsia"/>
          <w:highlight w:val="none"/>
        </w:rPr>
      </w:pPr>
      <w:r>
        <w:rPr>
          <w:rFonts w:hint="eastAsia"/>
          <w:highlight w:val="none"/>
        </w:rPr>
        <w:t>导线宜选用铝包钢芯铝绞线，经论证后可采用型线、低风压导线，或采取减少分裂数等方式降低导线风荷载。</w:t>
      </w:r>
    </w:p>
    <w:p w14:paraId="466FA876">
      <w:pPr>
        <w:pStyle w:val="164"/>
        <w:keepNext w:val="0"/>
        <w:keepLines w:val="0"/>
        <w:pageBreakBefore w:val="0"/>
        <w:kinsoku/>
        <w:wordWrap/>
        <w:overflowPunct/>
        <w:topLinePunct w:val="0"/>
        <w:bidi w:val="0"/>
        <w:adjustRightInd/>
        <w:snapToGrid/>
        <w:spacing w:line="360" w:lineRule="auto"/>
        <w:textAlignment w:val="auto"/>
        <w:rPr>
          <w:rFonts w:hint="eastAsia"/>
          <w:highlight w:val="none"/>
        </w:rPr>
      </w:pPr>
      <w:r>
        <w:rPr>
          <w:rFonts w:hint="eastAsia"/>
          <w:highlight w:val="none"/>
        </w:rPr>
        <w:t>地线采用复合型光纤地线应满足防振、防腐及机械强度的要求。光缆不应采用全介质自承式光缆。</w:t>
      </w:r>
    </w:p>
    <w:p w14:paraId="6418C33F">
      <w:pPr>
        <w:pStyle w:val="164"/>
        <w:keepNext w:val="0"/>
        <w:keepLines w:val="0"/>
        <w:pageBreakBefore w:val="0"/>
        <w:kinsoku/>
        <w:wordWrap/>
        <w:overflowPunct/>
        <w:topLinePunct w:val="0"/>
        <w:bidi w:val="0"/>
        <w:adjustRightInd/>
        <w:snapToGrid/>
        <w:spacing w:line="360" w:lineRule="auto"/>
        <w:textAlignment w:val="auto"/>
        <w:rPr>
          <w:rFonts w:hint="eastAsia"/>
          <w:highlight w:val="none"/>
        </w:rPr>
      </w:pPr>
      <w:r>
        <w:rPr>
          <w:rFonts w:hint="eastAsia"/>
          <w:highlight w:val="none"/>
        </w:rPr>
        <w:t>对4分裂及以上导线的直线杆塔，当一侧线路档距超过700m时，另一侧导线应加装防振锤或采取其它防振措施。</w:t>
      </w:r>
    </w:p>
    <w:p w14:paraId="07C07C70">
      <w:pPr>
        <w:pStyle w:val="164"/>
        <w:keepNext w:val="0"/>
        <w:keepLines w:val="0"/>
        <w:pageBreakBefore w:val="0"/>
        <w:kinsoku/>
        <w:wordWrap/>
        <w:overflowPunct/>
        <w:topLinePunct w:val="0"/>
        <w:bidi w:val="0"/>
        <w:adjustRightInd/>
        <w:snapToGrid/>
        <w:spacing w:line="360" w:lineRule="auto"/>
        <w:textAlignment w:val="auto"/>
        <w:rPr>
          <w:highlight w:val="none"/>
        </w:rPr>
      </w:pPr>
      <w:r>
        <w:rPr>
          <w:rFonts w:hint="eastAsia"/>
          <w:highlight w:val="none"/>
        </w:rPr>
        <w:t>应适当提高线路抗舞动能力并预留导线防舞动措施安装孔位。</w:t>
      </w:r>
    </w:p>
    <w:p w14:paraId="3EC3FB7B">
      <w:pPr>
        <w:pStyle w:val="106"/>
        <w:keepNext w:val="0"/>
        <w:keepLines w:val="0"/>
        <w:pageBreakBefore w:val="0"/>
        <w:kinsoku/>
        <w:wordWrap/>
        <w:overflowPunct/>
        <w:topLinePunct w:val="0"/>
        <w:bidi w:val="0"/>
        <w:adjustRightInd/>
        <w:snapToGrid/>
        <w:spacing w:line="360" w:lineRule="auto"/>
        <w:textAlignment w:val="auto"/>
        <w:rPr>
          <w:rFonts w:hint="eastAsia"/>
          <w:highlight w:val="none"/>
        </w:rPr>
      </w:pPr>
      <w:bookmarkStart w:id="153" w:name="_Toc13898"/>
      <w:bookmarkStart w:id="154" w:name="_Toc18852"/>
      <w:bookmarkStart w:id="155" w:name="_Toc7885"/>
      <w:bookmarkStart w:id="156" w:name="_Toc24149"/>
      <w:r>
        <w:rPr>
          <w:rFonts w:hint="eastAsia"/>
          <w:highlight w:val="none"/>
        </w:rPr>
        <w:t>绝缘子和金具</w:t>
      </w:r>
      <w:bookmarkEnd w:id="153"/>
      <w:bookmarkEnd w:id="154"/>
      <w:bookmarkEnd w:id="155"/>
      <w:bookmarkEnd w:id="156"/>
    </w:p>
    <w:p w14:paraId="24402ABF">
      <w:pPr>
        <w:pStyle w:val="164"/>
        <w:keepNext w:val="0"/>
        <w:keepLines w:val="0"/>
        <w:pageBreakBefore w:val="0"/>
        <w:kinsoku/>
        <w:wordWrap/>
        <w:overflowPunct/>
        <w:topLinePunct w:val="0"/>
        <w:bidi w:val="0"/>
        <w:adjustRightInd/>
        <w:snapToGrid/>
        <w:spacing w:line="360" w:lineRule="auto"/>
        <w:textAlignment w:val="auto"/>
        <w:rPr>
          <w:rFonts w:hint="eastAsia"/>
          <w:highlight w:val="none"/>
        </w:rPr>
      </w:pPr>
      <w:r>
        <w:rPr>
          <w:rFonts w:hint="eastAsia"/>
          <w:highlight w:val="none"/>
        </w:rPr>
        <w:t>导线悬垂线夹应采用预绞式或加装预绞丝护线条</w:t>
      </w:r>
      <w:r>
        <w:rPr>
          <w:rFonts w:hint="eastAsia"/>
          <w:highlight w:val="none"/>
          <w:lang w:eastAsia="zh-CN"/>
        </w:rPr>
        <w:t>，</w:t>
      </w:r>
      <w:r>
        <w:rPr>
          <w:rFonts w:hint="eastAsia"/>
          <w:highlight w:val="none"/>
        </w:rPr>
        <w:t>不应使用铝包带。</w:t>
      </w:r>
    </w:p>
    <w:p w14:paraId="69AC91A3">
      <w:pPr>
        <w:pStyle w:val="164"/>
        <w:keepNext w:val="0"/>
        <w:keepLines w:val="0"/>
        <w:pageBreakBefore w:val="0"/>
        <w:kinsoku/>
        <w:wordWrap/>
        <w:overflowPunct/>
        <w:topLinePunct w:val="0"/>
        <w:bidi w:val="0"/>
        <w:adjustRightInd/>
        <w:snapToGrid/>
        <w:spacing w:line="360" w:lineRule="auto"/>
        <w:textAlignment w:val="auto"/>
        <w:rPr>
          <w:rFonts w:hint="eastAsia"/>
          <w:strike w:val="0"/>
          <w:highlight w:val="none"/>
        </w:rPr>
      </w:pPr>
      <w:r>
        <w:rPr>
          <w:rFonts w:hint="eastAsia"/>
          <w:strike w:val="0"/>
          <w:highlight w:val="none"/>
          <w:lang w:val="en-US" w:eastAsia="zh-CN"/>
        </w:rPr>
        <w:t>导线和地线悬垂线夹宜选用防磨型或耐磨型。</w:t>
      </w:r>
    </w:p>
    <w:p w14:paraId="540D2E6B">
      <w:pPr>
        <w:pStyle w:val="164"/>
        <w:keepNext w:val="0"/>
        <w:keepLines w:val="0"/>
        <w:pageBreakBefore w:val="0"/>
        <w:kinsoku/>
        <w:wordWrap/>
        <w:overflowPunct/>
        <w:topLinePunct w:val="0"/>
        <w:bidi w:val="0"/>
        <w:adjustRightInd/>
        <w:snapToGrid/>
        <w:spacing w:line="360" w:lineRule="auto"/>
        <w:textAlignment w:val="auto"/>
        <w:rPr>
          <w:rFonts w:hint="eastAsia"/>
          <w:highlight w:val="none"/>
        </w:rPr>
      </w:pPr>
      <w:r>
        <w:rPr>
          <w:rFonts w:hint="eastAsia"/>
          <w:highlight w:val="none"/>
        </w:rPr>
        <w:t>V型复合绝缘子串宜</w:t>
      </w:r>
      <w:r>
        <w:rPr>
          <w:rFonts w:hint="eastAsia"/>
          <w:highlight w:val="none"/>
          <w:lang w:val="en-US" w:eastAsia="zh-CN"/>
        </w:rPr>
        <w:t>优先</w:t>
      </w:r>
      <w:r>
        <w:rPr>
          <w:rFonts w:hint="eastAsia"/>
          <w:highlight w:val="none"/>
        </w:rPr>
        <w:t>采用防脱落结构或“环-环”连接型式</w:t>
      </w:r>
      <w:r>
        <w:rPr>
          <w:rFonts w:hint="eastAsia"/>
          <w:highlight w:val="none"/>
          <w:lang w:eastAsia="zh-CN"/>
        </w:rPr>
        <w:t>。</w:t>
      </w:r>
      <w:r>
        <w:rPr>
          <w:rFonts w:hint="eastAsia"/>
          <w:highlight w:val="none"/>
          <w:lang w:val="en-US" w:eastAsia="zh-CN"/>
        </w:rPr>
        <w:t>采用</w:t>
      </w:r>
      <w:r>
        <w:rPr>
          <w:rFonts w:hint="eastAsia"/>
          <w:highlight w:val="none"/>
        </w:rPr>
        <w:t>球头与碗头连接时</w:t>
      </w:r>
      <w:r>
        <w:rPr>
          <w:rFonts w:hint="eastAsia"/>
          <w:highlight w:val="none"/>
          <w:lang w:eastAsia="zh-CN"/>
        </w:rPr>
        <w:t>，</w:t>
      </w:r>
      <w:r>
        <w:rPr>
          <w:rFonts w:hint="eastAsia"/>
          <w:highlight w:val="none"/>
        </w:rPr>
        <w:t>连接金具宜选用L型板结构，不宜采用R型销或W型销。</w:t>
      </w:r>
    </w:p>
    <w:p w14:paraId="4F06E4B6">
      <w:pPr>
        <w:pStyle w:val="164"/>
        <w:keepNext w:val="0"/>
        <w:keepLines w:val="0"/>
        <w:pageBreakBefore w:val="0"/>
        <w:kinsoku/>
        <w:wordWrap/>
        <w:overflowPunct/>
        <w:topLinePunct w:val="0"/>
        <w:bidi w:val="0"/>
        <w:adjustRightInd/>
        <w:snapToGrid/>
        <w:spacing w:line="360" w:lineRule="auto"/>
        <w:textAlignment w:val="auto"/>
        <w:rPr>
          <w:rFonts w:hint="eastAsia"/>
          <w:highlight w:val="none"/>
        </w:rPr>
      </w:pPr>
      <w:r>
        <w:rPr>
          <w:rFonts w:hint="eastAsia"/>
          <w:highlight w:val="none"/>
        </w:rPr>
        <w:t>与横担连接的第一个金具应转动灵活且受力合理，其强度等级应高于串内其他金具。各金具间的连接应避免点接触，确保受力均匀。</w:t>
      </w:r>
    </w:p>
    <w:p w14:paraId="51213BD0">
      <w:pPr>
        <w:pStyle w:val="164"/>
        <w:keepNext w:val="0"/>
        <w:keepLines w:val="0"/>
        <w:pageBreakBefore w:val="0"/>
        <w:kinsoku/>
        <w:wordWrap/>
        <w:overflowPunct/>
        <w:topLinePunct w:val="0"/>
        <w:bidi w:val="0"/>
        <w:adjustRightInd/>
        <w:snapToGrid/>
        <w:spacing w:line="360" w:lineRule="auto"/>
        <w:textAlignment w:val="auto"/>
        <w:rPr>
          <w:rFonts w:hint="eastAsia"/>
          <w:highlight w:val="none"/>
        </w:rPr>
      </w:pPr>
      <w:r>
        <w:rPr>
          <w:rFonts w:hint="eastAsia"/>
          <w:highlight w:val="none"/>
        </w:rPr>
        <w:t>防振锤应采用具备防松及防滑移性能的防振金具，以强化其在长期运行中的稳定性。</w:t>
      </w:r>
    </w:p>
    <w:p w14:paraId="3D6DA9DC">
      <w:pPr>
        <w:pStyle w:val="164"/>
        <w:keepNext w:val="0"/>
        <w:keepLines w:val="0"/>
        <w:pageBreakBefore w:val="0"/>
        <w:kinsoku/>
        <w:wordWrap/>
        <w:overflowPunct/>
        <w:topLinePunct w:val="0"/>
        <w:bidi w:val="0"/>
        <w:adjustRightInd/>
        <w:snapToGrid/>
        <w:spacing w:line="360" w:lineRule="auto"/>
        <w:textAlignment w:val="auto"/>
        <w:rPr>
          <w:rFonts w:hint="eastAsia"/>
          <w:highlight w:val="none"/>
        </w:rPr>
      </w:pPr>
      <w:r>
        <w:rPr>
          <w:rFonts w:hint="eastAsia"/>
          <w:highlight w:val="none"/>
        </w:rPr>
        <w:t>台风区输电线路的耐张塔跳线设计宜采用风偏性能更优的型式，并应校验塔头电气间隙。220kV及以上线路耐张塔跳线宜采用刚性跳线，35~110kV线路耐张塔跳线宜选用刚性跳线或防风偏复合绝缘子（应校验防风偏复合绝缘子连接处横担的强度）。</w:t>
      </w:r>
    </w:p>
    <w:p w14:paraId="1B9F3988">
      <w:pPr>
        <w:pStyle w:val="164"/>
        <w:keepNext w:val="0"/>
        <w:keepLines w:val="0"/>
        <w:pageBreakBefore w:val="0"/>
        <w:kinsoku/>
        <w:wordWrap/>
        <w:overflowPunct/>
        <w:topLinePunct w:val="0"/>
        <w:bidi w:val="0"/>
        <w:adjustRightInd/>
        <w:snapToGrid/>
        <w:spacing w:line="360" w:lineRule="auto"/>
        <w:textAlignment w:val="auto"/>
        <w:rPr>
          <w:rFonts w:hint="eastAsia"/>
          <w:highlight w:val="none"/>
        </w:rPr>
      </w:pPr>
      <w:r>
        <w:rPr>
          <w:rFonts w:hint="eastAsia"/>
          <w:highlight w:val="none"/>
        </w:rPr>
        <w:t>采用软跳线时，按照如下原则配置跳线串数量：</w:t>
      </w:r>
    </w:p>
    <w:p w14:paraId="2A058AE6">
      <w:pPr>
        <w:pStyle w:val="134"/>
        <w:keepNext w:val="0"/>
        <w:keepLines w:val="0"/>
        <w:pageBreakBefore w:val="0"/>
        <w:numPr>
          <w:ilvl w:val="0"/>
          <w:numId w:val="0"/>
        </w:numPr>
        <w:kinsoku/>
        <w:wordWrap/>
        <w:overflowPunct/>
        <w:topLinePunct w:val="0"/>
        <w:bidi w:val="0"/>
        <w:adjustRightInd/>
        <w:snapToGrid/>
        <w:spacing w:line="360" w:lineRule="auto"/>
        <w:ind w:left="425" w:leftChars="0"/>
        <w:textAlignment w:val="auto"/>
        <w:rPr>
          <w:rFonts w:hint="eastAsia"/>
          <w:highlight w:val="none"/>
        </w:rPr>
      </w:pPr>
      <w:r>
        <w:rPr>
          <w:rFonts w:hint="eastAsia"/>
          <w:highlight w:val="none"/>
          <w:lang w:val="en-US" w:eastAsia="zh-CN"/>
        </w:rPr>
        <w:t>a）</w:t>
      </w:r>
      <w:r>
        <w:rPr>
          <w:rFonts w:hint="eastAsia"/>
          <w:highlight w:val="none"/>
        </w:rPr>
        <w:t>耐张塔内角侧宜装设1串跳线串，并配套重锤。</w:t>
      </w:r>
    </w:p>
    <w:p w14:paraId="33DF2426">
      <w:pPr>
        <w:pStyle w:val="134"/>
        <w:keepNext w:val="0"/>
        <w:keepLines w:val="0"/>
        <w:pageBreakBefore w:val="0"/>
        <w:numPr>
          <w:ilvl w:val="0"/>
          <w:numId w:val="0"/>
        </w:numPr>
        <w:kinsoku/>
        <w:wordWrap/>
        <w:overflowPunct/>
        <w:topLinePunct w:val="0"/>
        <w:bidi w:val="0"/>
        <w:adjustRightInd/>
        <w:snapToGrid/>
        <w:spacing w:line="360" w:lineRule="auto"/>
        <w:ind w:left="425" w:leftChars="0"/>
        <w:textAlignment w:val="auto"/>
        <w:rPr>
          <w:rFonts w:hint="eastAsia"/>
          <w:highlight w:val="none"/>
        </w:rPr>
      </w:pPr>
      <w:r>
        <w:rPr>
          <w:rFonts w:hint="eastAsia"/>
          <w:highlight w:val="none"/>
          <w:lang w:val="en-US" w:eastAsia="zh-CN"/>
        </w:rPr>
        <w:t>b）</w:t>
      </w:r>
      <w:r>
        <w:rPr>
          <w:rFonts w:hint="eastAsia"/>
          <w:highlight w:val="none"/>
        </w:rPr>
        <w:t>Ⅰ、Ⅱ</w:t>
      </w:r>
      <w:r>
        <w:rPr>
          <w:rFonts w:hint="eastAsia"/>
          <w:highlight w:val="none"/>
          <w:lang w:eastAsia="zh-CN"/>
        </w:rPr>
        <w:t>型</w:t>
      </w:r>
      <w:r>
        <w:rPr>
          <w:rFonts w:hint="eastAsia"/>
          <w:highlight w:val="none"/>
        </w:rPr>
        <w:t>耐张塔外角侧宜装设1串跳线串及重锤，</w:t>
      </w:r>
      <w:r>
        <w:rPr>
          <w:rFonts w:hint="eastAsia"/>
          <w:highlight w:val="none"/>
          <w:lang w:eastAsia="zh-CN"/>
        </w:rPr>
        <w:t>Ⅲ</w:t>
      </w:r>
      <w:r>
        <w:rPr>
          <w:rFonts w:hint="eastAsia"/>
          <w:highlight w:val="none"/>
        </w:rPr>
        <w:t>、</w:t>
      </w:r>
      <w:r>
        <w:rPr>
          <w:rFonts w:hint="eastAsia"/>
          <w:highlight w:val="none"/>
          <w:lang w:eastAsia="zh-CN"/>
        </w:rPr>
        <w:t>Ⅳ</w:t>
      </w:r>
      <w:r>
        <w:rPr>
          <w:rFonts w:hint="eastAsia"/>
          <w:highlight w:val="none"/>
        </w:rPr>
        <w:t>及终端型耐张塔外角侧宜装设2串跳线串及重锤。</w:t>
      </w:r>
    </w:p>
    <w:p w14:paraId="458A7D45">
      <w:pPr>
        <w:pStyle w:val="134"/>
        <w:keepNext w:val="0"/>
        <w:keepLines w:val="0"/>
        <w:pageBreakBefore w:val="0"/>
        <w:numPr>
          <w:ilvl w:val="0"/>
          <w:numId w:val="0"/>
        </w:numPr>
        <w:kinsoku/>
        <w:wordWrap/>
        <w:overflowPunct/>
        <w:topLinePunct w:val="0"/>
        <w:bidi w:val="0"/>
        <w:adjustRightInd/>
        <w:snapToGrid/>
        <w:spacing w:line="360" w:lineRule="auto"/>
        <w:ind w:left="425" w:leftChars="0"/>
        <w:textAlignment w:val="auto"/>
        <w:rPr>
          <w:rFonts w:hint="eastAsia"/>
          <w:highlight w:val="none"/>
        </w:rPr>
      </w:pPr>
      <w:r>
        <w:rPr>
          <w:rFonts w:hint="eastAsia"/>
          <w:highlight w:val="none"/>
          <w:lang w:val="en-US" w:eastAsia="zh-CN"/>
        </w:rPr>
        <w:t>c）</w:t>
      </w:r>
      <w:r>
        <w:rPr>
          <w:rFonts w:hint="eastAsia"/>
          <w:highlight w:val="none"/>
        </w:rPr>
        <w:t>单回路干字型耐张塔中相宜装设2串跳线串及重锤。</w:t>
      </w:r>
    </w:p>
    <w:p w14:paraId="6CBFCF14">
      <w:pPr>
        <w:pStyle w:val="164"/>
        <w:keepNext w:val="0"/>
        <w:keepLines w:val="0"/>
        <w:pageBreakBefore w:val="0"/>
        <w:kinsoku/>
        <w:wordWrap/>
        <w:overflowPunct/>
        <w:topLinePunct w:val="0"/>
        <w:bidi w:val="0"/>
        <w:adjustRightInd/>
        <w:snapToGrid/>
        <w:spacing w:line="360" w:lineRule="auto"/>
        <w:textAlignment w:val="auto"/>
        <w:rPr>
          <w:highlight w:val="none"/>
        </w:rPr>
      </w:pPr>
      <w:r>
        <w:rPr>
          <w:rFonts w:hint="eastAsia"/>
          <w:highlight w:val="none"/>
        </w:rPr>
        <w:t>跳线风偏计算应考虑脉动风的影响，宜按最大设计风速的1.3倍校核风偏间隙。</w:t>
      </w:r>
    </w:p>
    <w:p w14:paraId="59834FAA">
      <w:pPr>
        <w:pStyle w:val="106"/>
        <w:keepNext w:val="0"/>
        <w:keepLines w:val="0"/>
        <w:pageBreakBefore w:val="0"/>
        <w:kinsoku/>
        <w:wordWrap/>
        <w:overflowPunct/>
        <w:topLinePunct w:val="0"/>
        <w:bidi w:val="0"/>
        <w:adjustRightInd/>
        <w:snapToGrid/>
        <w:spacing w:line="360" w:lineRule="auto"/>
        <w:textAlignment w:val="auto"/>
        <w:rPr>
          <w:rFonts w:hint="eastAsia"/>
          <w:highlight w:val="none"/>
        </w:rPr>
      </w:pPr>
      <w:bookmarkStart w:id="157" w:name="_Toc12056"/>
      <w:bookmarkStart w:id="158" w:name="_Toc1267"/>
      <w:bookmarkStart w:id="159" w:name="_Toc18126"/>
      <w:bookmarkStart w:id="160" w:name="_Toc20484"/>
      <w:bookmarkStart w:id="161" w:name="_Toc32056"/>
      <w:bookmarkStart w:id="162" w:name="_Toc3868"/>
      <w:r>
        <w:rPr>
          <w:rFonts w:hint="eastAsia"/>
          <w:highlight w:val="none"/>
          <w:lang w:eastAsia="zh"/>
        </w:rPr>
        <w:t>风</w:t>
      </w:r>
      <w:r>
        <w:rPr>
          <w:rFonts w:hint="eastAsia"/>
          <w:highlight w:val="none"/>
        </w:rPr>
        <w:t>荷载</w:t>
      </w:r>
      <w:bookmarkEnd w:id="157"/>
      <w:bookmarkEnd w:id="158"/>
      <w:bookmarkEnd w:id="159"/>
      <w:bookmarkEnd w:id="160"/>
    </w:p>
    <w:p w14:paraId="0395A604">
      <w:pPr>
        <w:pStyle w:val="107"/>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
        </w:rPr>
      </w:pPr>
      <w:bookmarkStart w:id="163" w:name="_Toc21594"/>
      <w:bookmarkStart w:id="164" w:name="_Toc10664"/>
      <w:bookmarkStart w:id="165" w:name="_Toc2481"/>
      <w:bookmarkStart w:id="166" w:name="_Toc26510"/>
      <w:bookmarkStart w:id="167" w:name="_Toc191733740"/>
      <w:bookmarkStart w:id="168" w:name="_Toc8449"/>
      <w:r>
        <w:rPr>
          <w:rFonts w:hint="eastAsia"/>
          <w:highlight w:val="none"/>
          <w:lang w:val="en-US" w:eastAsia="zh"/>
        </w:rPr>
        <w:t>导线及地线风荷载</w:t>
      </w:r>
      <w:bookmarkEnd w:id="163"/>
      <w:bookmarkEnd w:id="164"/>
      <w:bookmarkEnd w:id="165"/>
      <w:bookmarkEnd w:id="166"/>
      <w:bookmarkEnd w:id="167"/>
      <w:bookmarkEnd w:id="168"/>
    </w:p>
    <w:p w14:paraId="6718C5CC">
      <w:pPr>
        <w:pStyle w:val="167"/>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CN"/>
        </w:rPr>
      </w:pPr>
      <w:r>
        <w:rPr>
          <w:rFonts w:hint="eastAsia"/>
          <w:highlight w:val="none"/>
          <w:lang w:val="en-US" w:eastAsia="zh-CN"/>
        </w:rPr>
        <w:t>导线及地线（以下简称“导地线”）的风压荷载与张力荷载，应根据其各层的实际计算平均高度，以及风与导地线、铁塔的实际夹角进行计算。</w:t>
      </w:r>
    </w:p>
    <w:p w14:paraId="7207FFD9">
      <w:pPr>
        <w:pStyle w:val="167"/>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CN"/>
        </w:rPr>
      </w:pPr>
      <w:r>
        <w:rPr>
          <w:rFonts w:hint="eastAsia"/>
          <w:highlight w:val="none"/>
          <w:lang w:val="en-US" w:eastAsia="zh-CN"/>
        </w:rPr>
        <w:t>计算导地线风压荷载时，其计算平均高度除应计及层间距外，还应考虑大风导致导地线摆动所引起的高度增量。</w:t>
      </w:r>
    </w:p>
    <w:p w14:paraId="1D5F5E6F">
      <w:pPr>
        <w:pStyle w:val="167"/>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CN"/>
        </w:rPr>
      </w:pPr>
      <w:r>
        <w:rPr>
          <w:rFonts w:hint="eastAsia"/>
          <w:highlight w:val="none"/>
        </w:rPr>
        <w:t>导地线、跳线风荷载的标准值计算，涉及的阵风系数、基本风压、湍流强度及档距相关性积分因子等，应符合现行行业标准DL/T 5551的有关规定。风荷载标准值还应按下列公式计算：</w:t>
      </w:r>
    </w:p>
    <w:p w14:paraId="7E45813B">
      <w:pPr>
        <w:wordWrap w:val="0"/>
        <w:autoSpaceDE w:val="0"/>
        <w:autoSpaceDN w:val="0"/>
        <w:spacing w:before="96" w:after="96" w:line="0" w:lineRule="atLeast"/>
        <w:ind w:firstLine="880"/>
        <w:jc w:val="right"/>
        <w:rPr>
          <w:rFonts w:hint="eastAsia" w:ascii="宋体" w:hAnsi="宋体" w:cs="宋体"/>
          <w:highlight w:val="none"/>
          <w:lang w:bidi="ar"/>
        </w:rPr>
      </w:pPr>
      <w:r>
        <w:rPr>
          <w:rFonts w:ascii="宋体" w:hAnsi="宋体" w:cs="宋体"/>
          <w:i/>
          <w:position w:val="-10"/>
          <w:sz w:val="44"/>
          <w:szCs w:val="44"/>
          <w:highlight w:val="none"/>
        </w:rPr>
        <w:object>
          <v:shape id="_x0000_i1060" o:spt="75" type="#_x0000_t75" style="height:14.65pt;width:131pt;" o:ole="t" filled="f" o:preferrelative="t" stroked="f" coordsize="21600,21600">
            <v:path/>
            <v:fill on="f" focussize="0,0"/>
            <v:stroke on="f" joinstyle="miter"/>
            <v:imagedata r:id="rId93" o:title=""/>
            <o:lock v:ext="edit" aspectratio="t"/>
            <w10:wrap type="none"/>
            <w10:anchorlock/>
          </v:shape>
          <o:OLEObject Type="Embed" ProgID="Equation.DSMT4" ShapeID="_x0000_i1060" DrawAspect="Content" ObjectID="_1468075760" r:id="rId92">
            <o:LockedField>false</o:LockedField>
          </o:OLEObject>
        </w:object>
      </w:r>
      <w:r>
        <w:rPr>
          <w:rFonts w:hint="eastAsia" w:ascii="宋体" w:hAnsi="宋体" w:cs="宋体"/>
          <w:i/>
          <w:highlight w:val="none"/>
          <w:lang w:bidi="ar"/>
        </w:rPr>
        <w:t xml:space="preserve">  </w:t>
      </w:r>
      <w:r>
        <w:rPr>
          <w:rFonts w:hint="eastAsia" w:ascii="宋体" w:hAnsi="宋体" w:cs="宋体"/>
          <w:i/>
          <w:highlight w:val="none"/>
          <w:lang w:bidi="ar"/>
        </w:rPr>
        <w:tab/>
      </w:r>
      <w:r>
        <w:rPr>
          <w:rFonts w:hint="eastAsia" w:ascii="宋体" w:hAnsi="宋体" w:cs="宋体"/>
          <w:i/>
          <w:highlight w:val="none"/>
          <w:lang w:bidi="ar"/>
        </w:rPr>
        <w:tab/>
      </w:r>
      <w:r>
        <w:rPr>
          <w:rFonts w:hint="eastAsia" w:ascii="宋体" w:hAnsi="宋体" w:cs="宋体"/>
          <w:i/>
          <w:highlight w:val="none"/>
          <w:lang w:bidi="ar"/>
        </w:rPr>
        <w:tab/>
      </w:r>
      <w:r>
        <w:rPr>
          <w:rFonts w:hint="eastAsia" w:ascii="宋体" w:hAnsi="宋体" w:cs="宋体"/>
          <w:i/>
          <w:highlight w:val="none"/>
          <w:lang w:bidi="ar"/>
        </w:rPr>
        <w:t xml:space="preserve">                 </w:t>
      </w:r>
      <w:r>
        <w:rPr>
          <w:rFonts w:hint="default" w:ascii="Times New Roman" w:hAnsi="Times New Roman" w:cs="Times New Roman"/>
          <w:i/>
          <w:highlight w:val="none"/>
          <w:lang w:bidi="ar"/>
        </w:rPr>
        <w:t xml:space="preserve"> </w:t>
      </w:r>
      <w:r>
        <w:rPr>
          <w:rFonts w:hint="default" w:ascii="Times New Roman" w:hAnsi="Times New Roman" w:cs="Times New Roman"/>
          <w:highlight w:val="none"/>
          <w:lang w:bidi="ar"/>
        </w:rPr>
        <w:t>(1)</w:t>
      </w:r>
    </w:p>
    <w:p w14:paraId="3CD355AC">
      <w:pPr>
        <w:wordWrap w:val="0"/>
        <w:autoSpaceDE w:val="0"/>
        <w:autoSpaceDN w:val="0"/>
        <w:spacing w:before="96" w:after="96" w:line="0" w:lineRule="atLeast"/>
        <w:ind w:firstLine="420"/>
        <w:jc w:val="right"/>
        <w:rPr>
          <w:rFonts w:ascii="宋体" w:hAnsi="Courier New" w:cs="宋体"/>
          <w:highlight w:val="none"/>
        </w:rPr>
      </w:pPr>
      <w:r>
        <w:rPr>
          <w:rFonts w:ascii="宋体" w:hAnsi="宋体" w:cs="宋体"/>
          <w:i/>
          <w:position w:val="-10"/>
          <w:highlight w:val="none"/>
        </w:rPr>
        <w:object>
          <v:shape id="_x0000_i1061" o:spt="75" type="#_x0000_t75" style="height:14.65pt;width:150.75pt;" o:ole="t" filled="f" o:preferrelative="t" stroked="f" coordsize="21600,21600">
            <v:path/>
            <v:fill on="f" focussize="0,0"/>
            <v:stroke on="f" joinstyle="miter"/>
            <v:imagedata r:id="rId95" o:title=""/>
            <o:lock v:ext="edit" aspectratio="t"/>
            <w10:wrap type="none"/>
            <w10:anchorlock/>
          </v:shape>
          <o:OLEObject Type="Embed" ProgID="Equation.DSMT4" ShapeID="_x0000_i1061" DrawAspect="Content" ObjectID="_1468075761" r:id="rId94">
            <o:LockedField>false</o:LockedField>
          </o:OLEObject>
        </w:object>
      </w:r>
      <w:r>
        <w:rPr>
          <w:rFonts w:hint="eastAsia" w:ascii="宋体" w:hAnsi="宋体" w:cs="宋体"/>
          <w:i/>
          <w:highlight w:val="none"/>
          <w:lang w:bidi="ar"/>
        </w:rPr>
        <w:t xml:space="preserve">             </w:t>
      </w:r>
      <w:r>
        <w:rPr>
          <w:rFonts w:ascii="宋体" w:hAnsi="宋体" w:cs="宋体"/>
          <w:i/>
          <w:highlight w:val="none"/>
          <w:lang w:bidi="ar"/>
        </w:rPr>
        <w:tab/>
      </w:r>
      <w:r>
        <w:rPr>
          <w:rFonts w:ascii="宋体" w:hAnsi="宋体" w:cs="宋体"/>
          <w:i/>
          <w:highlight w:val="none"/>
          <w:lang w:bidi="ar"/>
        </w:rPr>
        <w:tab/>
      </w:r>
      <w:r>
        <w:rPr>
          <w:rFonts w:hint="eastAsia" w:ascii="宋体" w:hAnsi="宋体" w:cs="宋体"/>
          <w:i/>
          <w:highlight w:val="none"/>
          <w:lang w:bidi="ar"/>
        </w:rPr>
        <w:t xml:space="preserve">     </w:t>
      </w:r>
      <w:r>
        <w:rPr>
          <w:rFonts w:hint="default" w:ascii="Times New Roman" w:hAnsi="Times New Roman" w:cs="Times New Roman"/>
          <w:highlight w:val="none"/>
          <w:lang w:bidi="ar"/>
        </w:rPr>
        <w:t>(2)</w:t>
      </w:r>
    </w:p>
    <w:p w14:paraId="1CEB8E61">
      <w:pPr>
        <w:wordWrap w:val="0"/>
        <w:autoSpaceDE w:val="0"/>
        <w:autoSpaceDN w:val="0"/>
        <w:spacing w:before="96" w:after="96" w:line="0" w:lineRule="atLeast"/>
        <w:ind w:firstLine="420"/>
        <w:jc w:val="right"/>
        <w:rPr>
          <w:rFonts w:hint="eastAsia" w:ascii="宋体" w:hAnsi="宋体" w:cs="宋体"/>
          <w:highlight w:val="none"/>
          <w:lang w:bidi="ar"/>
        </w:rPr>
      </w:pPr>
      <w:r>
        <w:rPr>
          <w:rFonts w:ascii="宋体" w:hAnsi="宋体" w:cs="宋体"/>
          <w:i/>
          <w:position w:val="-10"/>
          <w:highlight w:val="none"/>
        </w:rPr>
        <w:object>
          <v:shape id="_x0000_i1062" o:spt="75" type="#_x0000_t75" style="height:14.65pt;width:123.85pt;" o:ole="t" filled="f" o:preferrelative="t" stroked="f" coordsize="21600,21600">
            <v:path/>
            <v:fill on="f" focussize="0,0"/>
            <v:stroke on="f" joinstyle="miter"/>
            <v:imagedata r:id="rId97" o:title=""/>
            <o:lock v:ext="edit" aspectratio="t"/>
            <w10:wrap type="none"/>
            <w10:anchorlock/>
          </v:shape>
          <o:OLEObject Type="Embed" ProgID="Equation.DSMT4" ShapeID="_x0000_i1062" DrawAspect="Content" ObjectID="_1468075762" r:id="rId96">
            <o:LockedField>false</o:LockedField>
          </o:OLEObject>
        </w:object>
      </w:r>
      <w:r>
        <w:rPr>
          <w:rFonts w:hint="eastAsia" w:ascii="宋体" w:hAnsi="宋体" w:cs="宋体"/>
          <w:i/>
          <w:highlight w:val="none"/>
          <w:lang w:bidi="ar"/>
        </w:rPr>
        <w:t xml:space="preserve">    </w:t>
      </w:r>
      <w:r>
        <w:rPr>
          <w:rFonts w:hint="eastAsia" w:ascii="宋体" w:hAnsi="宋体" w:cs="宋体"/>
          <w:i/>
          <w:highlight w:val="none"/>
          <w:lang w:val="en-US" w:eastAsia="zh-CN" w:bidi="ar"/>
        </w:rPr>
        <w:t xml:space="preserve"> </w:t>
      </w:r>
      <w:r>
        <w:rPr>
          <w:rFonts w:hint="eastAsia" w:ascii="宋体" w:hAnsi="宋体" w:cs="宋体"/>
          <w:i/>
          <w:highlight w:val="none"/>
          <w:lang w:bidi="ar"/>
        </w:rPr>
        <w:t xml:space="preserve">        </w:t>
      </w:r>
      <w:r>
        <w:rPr>
          <w:rFonts w:ascii="宋体" w:hAnsi="宋体" w:cs="宋体"/>
          <w:i/>
          <w:highlight w:val="none"/>
          <w:lang w:bidi="ar"/>
        </w:rPr>
        <w:tab/>
      </w:r>
      <w:r>
        <w:rPr>
          <w:rFonts w:ascii="宋体" w:hAnsi="宋体" w:cs="宋体"/>
          <w:i/>
          <w:highlight w:val="none"/>
          <w:lang w:bidi="ar"/>
        </w:rPr>
        <w:tab/>
      </w:r>
      <w:r>
        <w:rPr>
          <w:rFonts w:hint="eastAsia" w:ascii="宋体" w:hAnsi="宋体" w:cs="宋体"/>
          <w:i/>
          <w:highlight w:val="none"/>
          <w:lang w:bidi="ar"/>
        </w:rPr>
        <w:t xml:space="preserve">      </w:t>
      </w:r>
      <w:r>
        <w:rPr>
          <w:rFonts w:hint="default" w:ascii="Times New Roman" w:hAnsi="Times New Roman" w:cs="Times New Roman"/>
          <w:highlight w:val="none"/>
          <w:lang w:bidi="ar"/>
        </w:rPr>
        <w:t>(3)</w:t>
      </w:r>
    </w:p>
    <w:p w14:paraId="64EEF942">
      <w:pPr>
        <w:wordWrap w:val="0"/>
        <w:autoSpaceDE w:val="0"/>
        <w:autoSpaceDN w:val="0"/>
        <w:spacing w:line="0" w:lineRule="atLeast"/>
        <w:ind w:firstLine="420"/>
        <w:jc w:val="right"/>
        <w:rPr>
          <w:rFonts w:ascii="宋体" w:hAnsi="Courier New" w:cs="宋体"/>
          <w:highlight w:val="none"/>
        </w:rPr>
      </w:pPr>
      <w:r>
        <w:rPr>
          <w:rFonts w:ascii="黑体" w:hAnsi="黑体" w:eastAsia="黑体" w:cs="宋体"/>
          <w:position w:val="-22"/>
          <w:highlight w:val="none"/>
        </w:rPr>
        <w:object>
          <v:shape id="_x0000_i1063" o:spt="75" type="#_x0000_t75" style="height:25.1pt;width:69.9pt;" o:ole="t" filled="f" o:preferrelative="t" stroked="f" coordsize="21600,21600">
            <v:path/>
            <v:fill on="f" focussize="0,0"/>
            <v:stroke on="f" joinstyle="miter"/>
            <v:imagedata r:id="rId99" o:title=""/>
            <o:lock v:ext="edit" aspectratio="t"/>
            <w10:wrap type="none"/>
            <w10:anchorlock/>
          </v:shape>
          <o:OLEObject Type="Embed" ProgID="Equation.DSMT4" ShapeID="_x0000_i1063" DrawAspect="Content" ObjectID="_1468075763" r:id="rId98">
            <o:LockedField>false</o:LockedField>
          </o:OLEObject>
        </w:object>
      </w:r>
      <w:r>
        <w:rPr>
          <w:rFonts w:hint="eastAsia" w:ascii="黑体" w:hAnsi="黑体" w:eastAsia="黑体" w:cs="宋体"/>
          <w:highlight w:val="none"/>
        </w:rPr>
        <w:t xml:space="preserve">             </w:t>
      </w:r>
      <w:r>
        <w:rPr>
          <w:rFonts w:hint="eastAsia" w:ascii="黑体" w:hAnsi="黑体" w:eastAsia="黑体" w:cs="宋体"/>
          <w:highlight w:val="none"/>
          <w:lang w:val="en-US" w:eastAsia="zh-CN"/>
        </w:rPr>
        <w:t xml:space="preserve"> </w:t>
      </w:r>
      <w:r>
        <w:rPr>
          <w:rFonts w:hint="eastAsia" w:ascii="黑体" w:hAnsi="黑体" w:eastAsia="黑体" w:cs="宋体"/>
          <w:highlight w:val="none"/>
        </w:rPr>
        <w:t xml:space="preserve">     </w:t>
      </w:r>
      <w:r>
        <w:rPr>
          <w:rFonts w:ascii="黑体" w:hAnsi="黑体" w:eastAsia="黑体" w:cs="宋体"/>
          <w:highlight w:val="none"/>
        </w:rPr>
        <w:tab/>
      </w:r>
      <w:r>
        <w:rPr>
          <w:rFonts w:ascii="黑体" w:hAnsi="黑体" w:eastAsia="黑体" w:cs="宋体"/>
          <w:highlight w:val="none"/>
        </w:rPr>
        <w:tab/>
      </w:r>
      <w:r>
        <w:rPr>
          <w:rFonts w:hint="eastAsia" w:ascii="黑体" w:hAnsi="黑体" w:eastAsia="黑体" w:cs="宋体"/>
          <w:highlight w:val="none"/>
        </w:rPr>
        <w:t xml:space="preserve">      </w:t>
      </w:r>
      <w:r>
        <w:rPr>
          <w:rFonts w:hint="default" w:ascii="Times New Roman" w:hAnsi="Times New Roman" w:eastAsia="黑体" w:cs="Times New Roman"/>
          <w:highlight w:val="none"/>
        </w:rPr>
        <w:t xml:space="preserve"> </w:t>
      </w:r>
      <w:r>
        <w:rPr>
          <w:rFonts w:hint="default" w:ascii="Times New Roman" w:hAnsi="Times New Roman" w:cs="Times New Roman"/>
          <w:highlight w:val="none"/>
        </w:rPr>
        <w:t>(4)</w:t>
      </w:r>
    </w:p>
    <w:p w14:paraId="7EC689DA">
      <w:pPr>
        <w:wordWrap w:val="0"/>
        <w:autoSpaceDE w:val="0"/>
        <w:autoSpaceDN w:val="0"/>
        <w:spacing w:line="0" w:lineRule="atLeast"/>
        <w:ind w:firstLine="420"/>
        <w:jc w:val="right"/>
        <w:rPr>
          <w:rFonts w:ascii="宋体" w:hAnsi="Courier New" w:cs="宋体"/>
          <w:highlight w:val="none"/>
        </w:rPr>
      </w:pPr>
      <w:r>
        <w:rPr>
          <w:rFonts w:ascii="宋体" w:hAnsi="Courier New" w:cs="宋体"/>
          <w:position w:val="-18"/>
          <w:highlight w:val="none"/>
        </w:rPr>
        <w:object>
          <v:shape id="_x0000_i1064" o:spt="75" type="#_x0000_t75" style="height:23.45pt;width:37.25pt;" o:ole="t" filled="f" o:preferrelative="t" stroked="f" coordsize="21600,21600">
            <v:path/>
            <v:fill on="f" focussize="0,0"/>
            <v:stroke on="f" joinstyle="miter"/>
            <v:imagedata r:id="rId101" o:title=""/>
            <o:lock v:ext="edit" aspectratio="t"/>
            <w10:wrap type="none"/>
            <w10:anchorlock/>
          </v:shape>
          <o:OLEObject Type="Embed" ProgID="Equation.DSMT4" ShapeID="_x0000_i1064" DrawAspect="Content" ObjectID="_1468075764" r:id="rId100">
            <o:LockedField>false</o:LockedField>
          </o:OLEObject>
        </w:object>
      </w:r>
      <w:r>
        <w:rPr>
          <w:rFonts w:hint="eastAsia" w:ascii="宋体" w:hAnsi="Courier New" w:cs="宋体"/>
          <w:highlight w:val="none"/>
        </w:rPr>
        <w:t xml:space="preserve">           </w:t>
      </w:r>
      <w:r>
        <w:rPr>
          <w:rFonts w:hint="eastAsia" w:ascii="宋体" w:hAnsi="Courier New" w:cs="宋体"/>
          <w:highlight w:val="none"/>
          <w:lang w:val="en-US" w:eastAsia="zh-CN"/>
        </w:rPr>
        <w:t xml:space="preserve">  </w:t>
      </w:r>
      <w:r>
        <w:rPr>
          <w:rFonts w:hint="eastAsia" w:ascii="宋体" w:hAnsi="Courier New" w:cs="宋体"/>
          <w:highlight w:val="none"/>
        </w:rPr>
        <w:t xml:space="preserve">        </w:t>
      </w:r>
      <w:r>
        <w:rPr>
          <w:rFonts w:ascii="宋体" w:hAnsi="Courier New" w:cs="宋体"/>
          <w:highlight w:val="none"/>
        </w:rPr>
        <w:tab/>
      </w:r>
      <w:r>
        <w:rPr>
          <w:rFonts w:ascii="宋体" w:hAnsi="Courier New" w:cs="宋体"/>
          <w:highlight w:val="none"/>
        </w:rPr>
        <w:tab/>
      </w:r>
      <w:r>
        <w:rPr>
          <w:rFonts w:hint="eastAsia" w:ascii="宋体" w:hAnsi="Courier New" w:cs="宋体"/>
          <w:highlight w:val="none"/>
        </w:rPr>
        <w:t xml:space="preserve">        </w:t>
      </w:r>
      <w:r>
        <w:rPr>
          <w:rFonts w:hint="default" w:ascii="Times New Roman" w:hAnsi="Times New Roman" w:cs="Times New Roman"/>
          <w:highlight w:val="none"/>
        </w:rPr>
        <w:t xml:space="preserve"> (5)</w:t>
      </w:r>
    </w:p>
    <w:p w14:paraId="1891F250">
      <w:pPr>
        <w:wordWrap w:val="0"/>
        <w:autoSpaceDE w:val="0"/>
        <w:autoSpaceDN w:val="0"/>
        <w:spacing w:line="0" w:lineRule="atLeast"/>
        <w:ind w:firstLine="420"/>
        <w:jc w:val="right"/>
        <w:rPr>
          <w:rFonts w:ascii="宋体" w:hAnsi="Courier New" w:cs="宋体"/>
          <w:highlight w:val="none"/>
        </w:rPr>
      </w:pPr>
      <w:r>
        <w:rPr>
          <w:rFonts w:ascii="宋体" w:hAnsi="Courier New" w:cs="宋体"/>
          <w:position w:val="-18"/>
          <w:highlight w:val="none"/>
        </w:rPr>
        <w:object>
          <v:shape id="_x0000_i1065" o:spt="75" type="#_x0000_t75" style="height:23.45pt;width:38.95pt;" o:ole="t" filled="f" o:preferrelative="t" stroked="f" coordsize="21600,21600">
            <v:path/>
            <v:fill on="f" focussize="0,0"/>
            <v:stroke on="f" joinstyle="miter"/>
            <v:imagedata r:id="rId103" o:title=""/>
            <o:lock v:ext="edit" aspectratio="t"/>
            <w10:wrap type="none"/>
            <w10:anchorlock/>
          </v:shape>
          <o:OLEObject Type="Embed" ProgID="Equation.DSMT4" ShapeID="_x0000_i1065" DrawAspect="Content" ObjectID="_1468075765" r:id="rId102">
            <o:LockedField>false</o:LockedField>
          </o:OLEObject>
        </w:object>
      </w:r>
      <w:r>
        <w:rPr>
          <w:rFonts w:hint="eastAsia" w:ascii="宋体" w:hAnsi="Courier New" w:cs="宋体"/>
          <w:highlight w:val="none"/>
        </w:rPr>
        <w:t xml:space="preserve">          </w:t>
      </w:r>
      <w:r>
        <w:rPr>
          <w:rFonts w:hint="eastAsia" w:ascii="宋体" w:hAnsi="Courier New" w:cs="宋体"/>
          <w:highlight w:val="none"/>
          <w:lang w:val="en-US" w:eastAsia="zh-CN"/>
        </w:rPr>
        <w:t xml:space="preserve">   </w:t>
      </w:r>
      <w:r>
        <w:rPr>
          <w:rFonts w:hint="eastAsia" w:ascii="宋体" w:hAnsi="Courier New" w:cs="宋体"/>
          <w:highlight w:val="none"/>
        </w:rPr>
        <w:t xml:space="preserve">        </w:t>
      </w:r>
      <w:r>
        <w:rPr>
          <w:rFonts w:ascii="宋体" w:hAnsi="Courier New" w:cs="宋体"/>
          <w:highlight w:val="none"/>
        </w:rPr>
        <w:tab/>
      </w:r>
      <w:r>
        <w:rPr>
          <w:rFonts w:ascii="宋体" w:hAnsi="Courier New" w:cs="宋体"/>
          <w:highlight w:val="none"/>
        </w:rPr>
        <w:tab/>
      </w:r>
      <w:r>
        <w:rPr>
          <w:rFonts w:hint="eastAsia" w:ascii="宋体" w:hAnsi="Courier New" w:cs="宋体"/>
          <w:highlight w:val="none"/>
        </w:rPr>
        <w:t xml:space="preserve">          </w:t>
      </w:r>
      <w:r>
        <w:rPr>
          <w:rFonts w:hint="default" w:ascii="Times New Roman" w:hAnsi="Times New Roman" w:cs="Times New Roman"/>
          <w:highlight w:val="none"/>
        </w:rPr>
        <w:t>(6)</w:t>
      </w:r>
    </w:p>
    <w:p w14:paraId="35459281">
      <w:pPr>
        <w:pStyle w:val="233"/>
        <w:wordWrap w:val="0"/>
        <w:spacing w:line="0" w:lineRule="atLeast"/>
        <w:ind w:firstLine="420"/>
        <w:jc w:val="right"/>
        <w:rPr>
          <w:rFonts w:hAnsi="Courier New" w:cs="宋体"/>
          <w:szCs w:val="21"/>
          <w:highlight w:val="none"/>
        </w:rPr>
      </w:pPr>
      <w:r>
        <w:rPr>
          <w:rFonts w:hAnsi="宋体"/>
          <w:i/>
          <w:color w:val="000000"/>
          <w:position w:val="-10"/>
          <w:szCs w:val="21"/>
          <w:highlight w:val="none"/>
        </w:rPr>
        <w:object>
          <v:shape id="_x0000_i1066" o:spt="75" type="#_x0000_t75" style="height:13.8pt;width:63.2pt;" o:ole="t" filled="f" o:preferrelative="t" stroked="f" coordsize="21600,21600">
            <v:path/>
            <v:fill on="f" focussize="0,0"/>
            <v:stroke on="f" joinstyle="miter"/>
            <v:imagedata r:id="rId105" o:title=""/>
            <o:lock v:ext="edit" aspectratio="t"/>
            <w10:wrap type="none"/>
            <w10:anchorlock/>
          </v:shape>
          <o:OLEObject Type="Embed" ProgID="Equation.DSMT4" ShapeID="_x0000_i1066" DrawAspect="Content" ObjectID="_1468075766" r:id="rId104">
            <o:LockedField>false</o:LockedField>
          </o:OLEObject>
        </w:object>
      </w:r>
      <w:r>
        <w:rPr>
          <w:rFonts w:hint="eastAsia" w:hAnsi="宋体"/>
          <w:i/>
          <w:color w:val="000000"/>
          <w:szCs w:val="21"/>
          <w:highlight w:val="none"/>
        </w:rPr>
        <w:t xml:space="preserve">         </w:t>
      </w:r>
      <w:r>
        <w:rPr>
          <w:rFonts w:hint="eastAsia" w:hAnsi="宋体"/>
          <w:i/>
          <w:color w:val="000000"/>
          <w:szCs w:val="21"/>
          <w:highlight w:val="none"/>
          <w:lang w:val="en-US" w:eastAsia="zh-CN"/>
        </w:rPr>
        <w:t xml:space="preserve"> </w:t>
      </w:r>
      <w:r>
        <w:rPr>
          <w:rFonts w:hint="eastAsia" w:hAnsi="宋体"/>
          <w:i/>
          <w:color w:val="000000"/>
          <w:szCs w:val="21"/>
          <w:highlight w:val="none"/>
        </w:rPr>
        <w:t xml:space="preserve">      </w:t>
      </w:r>
      <w:r>
        <w:rPr>
          <w:rFonts w:hAnsi="宋体"/>
          <w:i/>
          <w:color w:val="000000"/>
          <w:szCs w:val="21"/>
          <w:highlight w:val="none"/>
        </w:rPr>
        <w:tab/>
      </w:r>
      <w:r>
        <w:rPr>
          <w:rFonts w:hAnsi="宋体"/>
          <w:i/>
          <w:color w:val="000000"/>
          <w:szCs w:val="21"/>
          <w:highlight w:val="none"/>
        </w:rPr>
        <w:tab/>
      </w:r>
      <w:r>
        <w:rPr>
          <w:rFonts w:hint="eastAsia" w:hAnsi="宋体"/>
          <w:i/>
          <w:color w:val="000000"/>
          <w:szCs w:val="21"/>
          <w:highlight w:val="none"/>
        </w:rPr>
        <w:t xml:space="preserve">          </w:t>
      </w:r>
      <w:r>
        <w:rPr>
          <w:rFonts w:hint="default" w:ascii="Times New Roman" w:hAnsi="Times New Roman" w:cs="Times New Roman"/>
          <w:szCs w:val="21"/>
          <w:highlight w:val="none"/>
        </w:rPr>
        <w:t>(7)</w:t>
      </w:r>
    </w:p>
    <w:p w14:paraId="3E3BCCBF">
      <w:pPr>
        <w:pStyle w:val="233"/>
        <w:wordWrap w:val="0"/>
        <w:spacing w:line="0" w:lineRule="atLeast"/>
        <w:ind w:firstLine="420"/>
        <w:jc w:val="right"/>
        <w:rPr>
          <w:rFonts w:hAnsi="Courier New" w:cs="宋体"/>
          <w:szCs w:val="21"/>
          <w:highlight w:val="none"/>
        </w:rPr>
      </w:pPr>
      <w:r>
        <w:rPr>
          <w:rFonts w:hAnsi="宋体"/>
          <w:i/>
          <w:color w:val="000000"/>
          <w:position w:val="-26"/>
          <w:szCs w:val="21"/>
          <w:highlight w:val="none"/>
        </w:rPr>
        <w:object>
          <v:shape id="_x0000_i1067" o:spt="75" type="#_x0000_t75" style="height:29.7pt;width:64.45pt;" o:ole="t" filled="f" o:preferrelative="t" stroked="f" coordsize="21600,21600">
            <v:path/>
            <v:fill on="f" focussize="0,0"/>
            <v:stroke on="f" joinstyle="miter"/>
            <v:imagedata r:id="rId107" o:title=""/>
            <o:lock v:ext="edit" aspectratio="t"/>
            <w10:wrap type="none"/>
            <w10:anchorlock/>
          </v:shape>
          <o:OLEObject Type="Embed" ProgID="Equation.DSMT4" ShapeID="_x0000_i1067" DrawAspect="Content" ObjectID="_1468075767" r:id="rId106">
            <o:LockedField>false</o:LockedField>
          </o:OLEObject>
        </w:object>
      </w:r>
      <w:r>
        <w:rPr>
          <w:rFonts w:hint="eastAsia" w:hAnsi="宋体"/>
          <w:i/>
          <w:color w:val="000000"/>
          <w:szCs w:val="21"/>
          <w:highlight w:val="none"/>
        </w:rPr>
        <w:t xml:space="preserve">        </w:t>
      </w:r>
      <w:r>
        <w:rPr>
          <w:rFonts w:hint="eastAsia" w:hAnsi="宋体"/>
          <w:i/>
          <w:color w:val="000000"/>
          <w:szCs w:val="21"/>
          <w:highlight w:val="none"/>
          <w:lang w:val="en-US" w:eastAsia="zh-CN"/>
        </w:rPr>
        <w:t xml:space="preserve"> </w:t>
      </w:r>
      <w:r>
        <w:rPr>
          <w:rFonts w:hint="eastAsia" w:hAnsi="宋体"/>
          <w:i/>
          <w:color w:val="000000"/>
          <w:szCs w:val="21"/>
          <w:highlight w:val="none"/>
        </w:rPr>
        <w:t xml:space="preserve">       </w:t>
      </w:r>
      <w:r>
        <w:rPr>
          <w:rFonts w:hAnsi="宋体"/>
          <w:i/>
          <w:color w:val="000000"/>
          <w:szCs w:val="21"/>
          <w:highlight w:val="none"/>
        </w:rPr>
        <w:tab/>
      </w:r>
      <w:r>
        <w:rPr>
          <w:rFonts w:hAnsi="宋体"/>
          <w:i/>
          <w:color w:val="000000"/>
          <w:szCs w:val="21"/>
          <w:highlight w:val="none"/>
        </w:rPr>
        <w:tab/>
      </w:r>
      <w:r>
        <w:rPr>
          <w:rFonts w:hint="eastAsia" w:hAnsi="宋体"/>
          <w:i/>
          <w:color w:val="000000"/>
          <w:szCs w:val="21"/>
          <w:highlight w:val="none"/>
        </w:rPr>
        <w:t xml:space="preserve">         </w:t>
      </w:r>
      <w:r>
        <w:rPr>
          <w:rFonts w:hint="default" w:ascii="Times New Roman" w:hAnsi="Times New Roman" w:cs="Times New Roman"/>
          <w:i/>
          <w:color w:val="000000"/>
          <w:szCs w:val="21"/>
          <w:highlight w:val="none"/>
        </w:rPr>
        <w:t xml:space="preserve"> </w:t>
      </w:r>
      <w:r>
        <w:rPr>
          <w:rFonts w:hint="default" w:ascii="Times New Roman" w:hAnsi="Times New Roman" w:cs="Times New Roman"/>
          <w:szCs w:val="21"/>
          <w:highlight w:val="none"/>
        </w:rPr>
        <w:t>(8)</w:t>
      </w:r>
    </w:p>
    <w:p w14:paraId="4C509F00">
      <w:pPr>
        <w:pStyle w:val="233"/>
        <w:wordWrap w:val="0"/>
        <w:spacing w:line="0" w:lineRule="atLeast"/>
        <w:ind w:firstLine="420"/>
        <w:jc w:val="right"/>
        <w:rPr>
          <w:rFonts w:hAnsi="Courier New" w:cs="宋体"/>
          <w:szCs w:val="21"/>
          <w:highlight w:val="none"/>
        </w:rPr>
      </w:pPr>
      <w:r>
        <w:rPr>
          <w:rFonts w:hAnsi="宋体"/>
          <w:i/>
          <w:color w:val="000000"/>
          <w:position w:val="-26"/>
          <w:szCs w:val="21"/>
          <w:highlight w:val="none"/>
        </w:rPr>
        <w:object>
          <v:shape id="_x0000_i1068" o:spt="75" type="#_x0000_t75" style="height:29.7pt;width:244.95pt;" o:ole="t" filled="f" o:preferrelative="t" stroked="f" coordsize="21600,21600">
            <v:path/>
            <v:fill on="f" focussize="0,0"/>
            <v:stroke on="f" joinstyle="miter"/>
            <v:imagedata r:id="rId109" o:title=""/>
            <o:lock v:ext="edit" aspectratio="t"/>
            <w10:wrap type="none"/>
            <w10:anchorlock/>
          </v:shape>
          <o:OLEObject Type="Embed" ProgID="Equation.DSMT4" ShapeID="_x0000_i1068" DrawAspect="Content" ObjectID="_1468075768" r:id="rId108">
            <o:LockedField>false</o:LockedField>
          </o:OLEObject>
        </w:object>
      </w:r>
      <w:r>
        <w:rPr>
          <w:rFonts w:hint="eastAsia" w:hAnsi="宋体"/>
          <w:i/>
          <w:color w:val="000000"/>
          <w:szCs w:val="21"/>
          <w:highlight w:val="none"/>
        </w:rPr>
        <w:t xml:space="preserve">  </w:t>
      </w:r>
      <w:r>
        <w:rPr>
          <w:rFonts w:hAnsi="宋体"/>
          <w:i/>
          <w:color w:val="000000"/>
          <w:szCs w:val="21"/>
          <w:highlight w:val="none"/>
        </w:rPr>
        <w:tab/>
      </w:r>
      <w:r>
        <w:rPr>
          <w:rFonts w:hAnsi="宋体"/>
          <w:i/>
          <w:color w:val="000000"/>
          <w:szCs w:val="21"/>
          <w:highlight w:val="none"/>
        </w:rPr>
        <w:tab/>
      </w:r>
      <w:r>
        <w:rPr>
          <w:rFonts w:hint="eastAsia" w:hAnsi="宋体"/>
          <w:i/>
          <w:color w:val="000000"/>
          <w:szCs w:val="21"/>
          <w:highlight w:val="none"/>
        </w:rPr>
        <w:t xml:space="preserve">    </w:t>
      </w:r>
      <w:r>
        <w:rPr>
          <w:rFonts w:hint="default" w:ascii="Times New Roman" w:hAnsi="Times New Roman" w:cs="Times New Roman"/>
          <w:szCs w:val="21"/>
          <w:highlight w:val="none"/>
        </w:rPr>
        <w:t>(9)</w:t>
      </w:r>
    </w:p>
    <w:p w14:paraId="13751ABC">
      <w:pPr>
        <w:pStyle w:val="58"/>
        <w:spacing w:line="360" w:lineRule="auto"/>
        <w:ind w:firstLine="420"/>
        <w:rPr>
          <w:highlight w:val="none"/>
        </w:rPr>
      </w:pPr>
      <w:r>
        <w:rPr>
          <w:rFonts w:hint="eastAsia"/>
          <w:highlight w:val="none"/>
        </w:rPr>
        <w:t>式中：</w:t>
      </w:r>
    </w:p>
    <w:p w14:paraId="3924C7DE">
      <w:pPr>
        <w:pStyle w:val="58"/>
        <w:spacing w:line="360" w:lineRule="auto"/>
        <w:ind w:firstLine="420"/>
        <w:rPr>
          <w:highlight w:val="none"/>
        </w:rPr>
      </w:pPr>
      <w:r>
        <w:rPr>
          <w:rFonts w:ascii="宋体" w:hAnsi="宋体"/>
          <w:color w:val="000000"/>
          <w:position w:val="-10"/>
          <w:highlight w:val="none"/>
        </w:rPr>
        <w:object>
          <v:shape id="_x0000_i1069" o:spt="75" type="#_x0000_t75" style="height:14.25pt;width:15.05pt;" o:ole="t" filled="f" o:preferrelative="t" stroked="f" coordsize="21600,21600">
            <v:path/>
            <v:fill on="f" focussize="0,0"/>
            <v:stroke on="f" joinstyle="miter"/>
            <v:imagedata r:id="rId111" o:title=""/>
            <o:lock v:ext="edit" aspectratio="t"/>
            <w10:wrap type="none"/>
            <w10:anchorlock/>
          </v:shape>
          <o:OLEObject Type="Embed" ProgID="Equation.DSMT4" ShapeID="_x0000_i1069" DrawAspect="Content" ObjectID="_1468075769" r:id="rId110">
            <o:LockedField>false</o:LockedField>
          </o:OLEObject>
        </w:object>
      </w:r>
      <w:r>
        <w:rPr>
          <w:color w:val="000000"/>
          <w:highlight w:val="none"/>
        </w:rPr>
        <w:t>——</w:t>
      </w:r>
      <w:r>
        <w:rPr>
          <w:rFonts w:hint="eastAsia"/>
          <w:highlight w:val="none"/>
        </w:rPr>
        <w:t>垂直导地线方向的风荷载标准值（</w:t>
      </w:r>
      <w:r>
        <w:rPr>
          <w:highlight w:val="none"/>
        </w:rPr>
        <w:t>kN</w:t>
      </w:r>
      <w:r>
        <w:rPr>
          <w:rFonts w:hint="eastAsia"/>
          <w:highlight w:val="none"/>
        </w:rPr>
        <w:t>），耐张塔风荷载计算示意如图</w:t>
      </w:r>
      <w:r>
        <w:rPr>
          <w:highlight w:val="none"/>
        </w:rPr>
        <w:t>1</w:t>
      </w:r>
      <w:r>
        <w:rPr>
          <w:rFonts w:hint="eastAsia"/>
          <w:highlight w:val="none"/>
        </w:rPr>
        <w:t>所示；</w:t>
      </w:r>
    </w:p>
    <w:p w14:paraId="18253AFF">
      <w:pPr>
        <w:pStyle w:val="58"/>
        <w:spacing w:line="360" w:lineRule="auto"/>
        <w:ind w:firstLine="420"/>
        <w:rPr>
          <w:highlight w:val="none"/>
        </w:rPr>
      </w:pPr>
      <w:r>
        <w:rPr>
          <w:rFonts w:ascii="宋体" w:hAnsi="宋体"/>
          <w:color w:val="000000"/>
          <w:position w:val="-10"/>
          <w:highlight w:val="none"/>
        </w:rPr>
        <w:object>
          <v:shape id="_x0000_i1070" o:spt="75" type="#_x0000_t75" style="height:14.65pt;width:15.05pt;" o:ole="t" filled="f" o:preferrelative="t" stroked="f" coordsize="21600,21600">
            <v:path/>
            <v:fill on="f" focussize="0,0"/>
            <v:stroke on="f" joinstyle="miter"/>
            <v:imagedata r:id="rId113" o:title=""/>
            <o:lock v:ext="edit" aspectratio="t"/>
            <w10:wrap type="none"/>
            <w10:anchorlock/>
          </v:shape>
          <o:OLEObject Type="Embed" ProgID="Equation.DSMT4" ShapeID="_x0000_i1070" DrawAspect="Content" ObjectID="_1468075770" r:id="rId112">
            <o:LockedField>false</o:LockedField>
          </o:OLEObject>
        </w:object>
      </w:r>
      <w:r>
        <w:rPr>
          <w:highlight w:val="none"/>
        </w:rPr>
        <w:t>——</w:t>
      </w:r>
      <w:r>
        <w:rPr>
          <w:rFonts w:hint="eastAsia"/>
          <w:highlight w:val="none"/>
        </w:rPr>
        <w:t>顺导地线方向的风荷载标准值（</w:t>
      </w:r>
      <w:r>
        <w:rPr>
          <w:highlight w:val="none"/>
        </w:rPr>
        <w:t>kN</w:t>
      </w:r>
      <w:r>
        <w:rPr>
          <w:rFonts w:hint="eastAsia"/>
          <w:highlight w:val="none"/>
        </w:rPr>
        <w:t>），耐张塔风荷载</w:t>
      </w:r>
      <w:r>
        <w:rPr>
          <w:rFonts w:hint="eastAsia"/>
          <w:highlight w:val="none"/>
          <w:lang w:val="zh-CN"/>
        </w:rPr>
        <w:t>计算示意如图1所示</w:t>
      </w:r>
      <w:r>
        <w:rPr>
          <w:rFonts w:hint="eastAsia"/>
          <w:highlight w:val="none"/>
        </w:rPr>
        <w:t>；</w:t>
      </w:r>
    </w:p>
    <w:p w14:paraId="273F6589">
      <w:pPr>
        <w:pStyle w:val="58"/>
        <w:spacing w:line="360" w:lineRule="auto"/>
        <w:ind w:firstLine="420"/>
        <w:rPr>
          <w:highlight w:val="none"/>
        </w:rPr>
      </w:pPr>
      <w:r>
        <w:rPr>
          <w:rFonts w:ascii="宋体" w:hAnsi="宋体"/>
          <w:color w:val="000000"/>
          <w:position w:val="-10"/>
          <w:highlight w:val="none"/>
        </w:rPr>
        <w:object>
          <v:shape id="_x0000_i1071" o:spt="75" type="#_x0000_t75" style="height:14.65pt;width:15.05pt;" o:ole="t" filled="f" o:preferrelative="t" stroked="f" coordsize="21600,21600">
            <v:path/>
            <v:fill on="f" focussize="0,0"/>
            <v:stroke on="f" joinstyle="miter"/>
            <v:imagedata r:id="rId115" o:title=""/>
            <o:lock v:ext="edit" aspectratio="t"/>
            <w10:wrap type="none"/>
            <w10:anchorlock/>
          </v:shape>
          <o:OLEObject Type="Embed" ProgID="Equation.DSMT4" ShapeID="_x0000_i1071" DrawAspect="Content" ObjectID="_1468075771" r:id="rId114">
            <o:LockedField>false</o:LockedField>
          </o:OLEObject>
        </w:object>
      </w:r>
      <w:r>
        <w:rPr>
          <w:highlight w:val="none"/>
        </w:rPr>
        <w:t>——</w:t>
      </w:r>
      <w:r>
        <w:rPr>
          <w:rFonts w:hint="eastAsia"/>
          <w:szCs w:val="21"/>
          <w:highlight w:val="none"/>
        </w:rPr>
        <w:t>计算导地线张力比载时垂直于导地线方向的风荷载标准值</w:t>
      </w:r>
      <w:r>
        <w:rPr>
          <w:rFonts w:hint="eastAsia"/>
          <w:highlight w:val="none"/>
        </w:rPr>
        <w:t>（</w:t>
      </w:r>
      <w:r>
        <w:rPr>
          <w:highlight w:val="none"/>
        </w:rPr>
        <w:t>kN</w:t>
      </w:r>
      <w:r>
        <w:rPr>
          <w:rFonts w:hint="eastAsia"/>
          <w:highlight w:val="none"/>
        </w:rPr>
        <w:t>），耐张塔风荷载</w:t>
      </w:r>
      <w:r>
        <w:rPr>
          <w:rFonts w:hint="eastAsia"/>
          <w:highlight w:val="none"/>
          <w:lang w:val="zh-CN"/>
        </w:rPr>
        <w:t>计算示意如图1所示</w:t>
      </w:r>
      <w:r>
        <w:rPr>
          <w:rFonts w:hint="eastAsia"/>
          <w:highlight w:val="none"/>
        </w:rPr>
        <w:t>；</w:t>
      </w:r>
    </w:p>
    <w:p w14:paraId="2DAFC45A">
      <w:pPr>
        <w:pStyle w:val="58"/>
        <w:spacing w:line="360" w:lineRule="auto"/>
        <w:ind w:firstLine="420"/>
        <w:rPr>
          <w:highlight w:val="none"/>
        </w:rPr>
      </w:pPr>
      <w:r>
        <w:rPr>
          <w:rFonts w:ascii="宋体" w:hAnsi="Courier New" w:cs="宋体"/>
          <w:position w:val="-10"/>
          <w:szCs w:val="21"/>
          <w:highlight w:val="none"/>
          <w:lang w:val="zh-CN"/>
        </w:rPr>
        <w:object>
          <v:shape id="_x0000_i1072" o:spt="75" type="#_x0000_t75" style="height:14.65pt;width:12.55pt;" o:ole="t" filled="f" o:preferrelative="t" stroked="f" coordsize="21600,21600">
            <v:path/>
            <v:fill on="f" focussize="0,0"/>
            <v:stroke on="f" joinstyle="miter"/>
            <v:imagedata r:id="rId117" o:title=""/>
            <o:lock v:ext="edit" aspectratio="t"/>
            <w10:wrap type="none"/>
            <w10:anchorlock/>
          </v:shape>
          <o:OLEObject Type="Embed" ProgID="Equation.DSMT4" ShapeID="_x0000_i1072" DrawAspect="Content" ObjectID="_1468075772" r:id="rId116">
            <o:LockedField>false</o:LockedField>
          </o:OLEObject>
        </w:object>
      </w:r>
      <w:r>
        <w:rPr>
          <w:highlight w:val="none"/>
        </w:rPr>
        <w:t>——</w:t>
      </w:r>
      <w:r>
        <w:rPr>
          <w:rFonts w:ascii="宋体" w:hAnsi="宋体" w:cs="宋体"/>
          <w:position w:val="-6"/>
          <w:szCs w:val="21"/>
          <w:highlight w:val="none"/>
          <w:lang w:val="zh-CN"/>
        </w:rPr>
        <w:object>
          <v:shape id="_x0000_i1073" o:spt="75" type="#_x0000_t75" style="height:12.55pt;width:12.55pt;" o:ole="t" filled="f" o:preferrelative="t" stroked="f" coordsize="21600,21600">
            <v:path/>
            <v:fill on="f" focussize="0,0"/>
            <v:stroke on="f" joinstyle="miter"/>
            <v:imagedata r:id="rId119" o:title=""/>
            <o:lock v:ext="edit" aspectratio="t"/>
            <w10:wrap type="none"/>
            <w10:anchorlock/>
          </v:shape>
          <o:OLEObject Type="Embed" ProgID="Equation.DSMT4" ShapeID="_x0000_i1073" DrawAspect="Content" ObjectID="_1468075773" r:id="rId118">
            <o:LockedField>false</o:LockedField>
          </o:OLEObject>
        </w:object>
      </w:r>
      <w:r>
        <w:rPr>
          <w:rFonts w:hint="eastAsia"/>
          <w:highlight w:val="none"/>
        </w:rPr>
        <w:t>高度风压高度变化系数（用于导地线张力荷载计算），基准高度为10m的风压高度变化系数应符合</w:t>
      </w:r>
      <w:r>
        <w:rPr>
          <w:highlight w:val="none"/>
        </w:rPr>
        <w:t>DL</w:t>
      </w:r>
      <w:r>
        <w:rPr>
          <w:rFonts w:hint="eastAsia"/>
          <w:highlight w:val="none"/>
        </w:rPr>
        <w:t>/</w:t>
      </w:r>
      <w:r>
        <w:rPr>
          <w:highlight w:val="none"/>
        </w:rPr>
        <w:t>T 5551</w:t>
      </w:r>
      <w:r>
        <w:rPr>
          <w:rFonts w:hint="eastAsia"/>
          <w:highlight w:val="none"/>
        </w:rPr>
        <w:t>的规定；</w:t>
      </w:r>
    </w:p>
    <w:p w14:paraId="5D72763D">
      <w:pPr>
        <w:pStyle w:val="58"/>
        <w:spacing w:line="360" w:lineRule="auto"/>
        <w:ind w:firstLine="420"/>
        <w:rPr>
          <w:highlight w:val="none"/>
          <w:lang w:val="zh-CN"/>
        </w:rPr>
      </w:pPr>
      <w:r>
        <w:rPr>
          <w:rFonts w:ascii="宋体" w:hAnsi="Courier New" w:cs="宋体"/>
          <w:position w:val="-10"/>
          <w:szCs w:val="21"/>
          <w:highlight w:val="none"/>
          <w:lang w:val="zh-CN"/>
        </w:rPr>
        <w:object>
          <v:shape id="_x0000_i1074" o:spt="75" type="#_x0000_t75" style="height:17.6pt;width:12.55pt;" o:ole="t" filled="f" o:preferrelative="t" stroked="f" coordsize="21600,21600">
            <v:path/>
            <v:fill on="f" focussize="0,0"/>
            <v:stroke on="f" joinstyle="miter"/>
            <v:imagedata r:id="rId121" o:title=""/>
            <o:lock v:ext="edit" aspectratio="t"/>
            <w10:wrap type="none"/>
            <w10:anchorlock/>
          </v:shape>
          <o:OLEObject Type="Embed" ProgID="Equation.DSMT4" ShapeID="_x0000_i1074" DrawAspect="Content" ObjectID="_1468075774" r:id="rId120">
            <o:LockedField>false</o:LockedField>
          </o:OLEObject>
        </w:object>
      </w:r>
      <w:r>
        <w:rPr>
          <w:highlight w:val="none"/>
        </w:rPr>
        <w:t>——</w:t>
      </w:r>
      <w:r>
        <w:rPr>
          <w:rFonts w:hint="eastAsia"/>
          <w:highlight w:val="none"/>
          <w:lang w:val="zh-CN"/>
        </w:rPr>
        <w:t>代表档距（m）；</w:t>
      </w:r>
    </w:p>
    <w:p w14:paraId="5DD7B9D9">
      <w:pPr>
        <w:pStyle w:val="58"/>
        <w:spacing w:line="360" w:lineRule="auto"/>
        <w:ind w:firstLine="420"/>
        <w:rPr>
          <w:highlight w:val="none"/>
          <w:lang w:val="zh-CN"/>
        </w:rPr>
      </w:pPr>
      <w:r>
        <w:rPr>
          <w:rFonts w:ascii="宋体" w:hAnsi="Courier New" w:cs="宋体"/>
          <w:position w:val="-10"/>
          <w:szCs w:val="21"/>
          <w:highlight w:val="none"/>
          <w:lang w:val="zh-CN"/>
        </w:rPr>
        <w:object>
          <v:shape id="_x0000_i1075" o:spt="75" type="#_x0000_t75" style="height:20.5pt;width:15.05pt;" o:ole="t" filled="f" o:preferrelative="t" stroked="f" coordsize="21600,21600">
            <v:path/>
            <v:fill on="f" focussize="0,0"/>
            <v:stroke on="f" joinstyle="miter"/>
            <v:imagedata r:id="rId123" o:title=""/>
            <o:lock v:ext="edit" aspectratio="t"/>
            <w10:wrap type="none"/>
            <w10:anchorlock/>
          </v:shape>
          <o:OLEObject Type="Embed" ProgID="Equation.DSMT4" ShapeID="_x0000_i1075" DrawAspect="Content" ObjectID="_1468075775" r:id="rId122">
            <o:LockedField>false</o:LockedField>
          </o:OLEObject>
        </w:object>
      </w:r>
      <w:r>
        <w:rPr>
          <w:highlight w:val="none"/>
        </w:rPr>
        <w:t>——</w:t>
      </w:r>
      <w:r>
        <w:rPr>
          <w:rFonts w:hint="eastAsia"/>
          <w:highlight w:val="none"/>
        </w:rPr>
        <w:t>导地线风荷载</w:t>
      </w:r>
      <w:r>
        <w:rPr>
          <w:rFonts w:hint="eastAsia"/>
          <w:highlight w:val="none"/>
          <w:lang w:val="zh-CN"/>
        </w:rPr>
        <w:t>脉动折减系数，计算导地线张力时应取0，计算导地线风压荷载（用于摇摆角计算）时应取1，计算导地线风压荷载（用于杆塔结构计算）时应按表1取值；</w:t>
      </w:r>
    </w:p>
    <w:p w14:paraId="332017DC">
      <w:pPr>
        <w:pStyle w:val="58"/>
        <w:spacing w:line="360" w:lineRule="auto"/>
        <w:ind w:firstLine="420"/>
        <w:rPr>
          <w:highlight w:val="none"/>
        </w:rPr>
      </w:pPr>
      <w:r>
        <w:rPr>
          <w:rFonts w:ascii="宋体" w:hAnsi="Courier New" w:cs="宋体"/>
          <w:position w:val="-4"/>
          <w:szCs w:val="21"/>
          <w:highlight w:val="none"/>
          <w:lang w:val="zh-CN"/>
        </w:rPr>
        <w:object>
          <v:shape id="_x0000_i1076" o:spt="75" type="#_x0000_t75" style="height:11.7pt;width:11.7pt;" o:ole="t" filled="f" o:preferrelative="t" stroked="f" coordsize="21600,21600">
            <v:path/>
            <v:fill on="f" focussize="0,0"/>
            <v:stroke on="f" joinstyle="miter"/>
            <v:imagedata r:id="rId125" o:title=""/>
            <o:lock v:ext="edit" aspectratio="t"/>
            <w10:wrap type="none"/>
            <w10:anchorlock/>
          </v:shape>
          <o:OLEObject Type="Embed" ProgID="Equation.DSMT4" ShapeID="_x0000_i1076" DrawAspect="Content" ObjectID="_1468075776" r:id="rId124">
            <o:LockedField>false</o:LockedField>
          </o:OLEObject>
        </w:object>
      </w:r>
      <w:r>
        <w:rPr>
          <w:highlight w:val="none"/>
        </w:rPr>
        <w:t>——</w:t>
      </w:r>
      <w:bookmarkStart w:id="169" w:name="OLE_LINK14"/>
      <w:bookmarkStart w:id="170" w:name="OLE_LINK15"/>
      <w:r>
        <w:rPr>
          <w:rFonts w:hint="eastAsia"/>
          <w:highlight w:val="none"/>
        </w:rPr>
        <w:t>杆塔前后档导地线</w:t>
      </w:r>
      <w:bookmarkEnd w:id="169"/>
      <w:bookmarkEnd w:id="170"/>
      <w:r>
        <w:rPr>
          <w:rFonts w:hint="eastAsia"/>
          <w:highlight w:val="none"/>
        </w:rPr>
        <w:t>平均高度（m）；计算导地线风压荷载时应根据导地线层间距、大风工况下相导线平均高度等计算</w:t>
      </w:r>
      <w:r>
        <w:rPr>
          <w:rFonts w:hint="eastAsia"/>
          <w:highlight w:val="none"/>
          <w:lang w:val="zh-CN"/>
        </w:rPr>
        <w:t>；</w:t>
      </w:r>
    </w:p>
    <w:p w14:paraId="3F4DC03F">
      <w:pPr>
        <w:pStyle w:val="58"/>
        <w:spacing w:line="360" w:lineRule="auto"/>
        <w:ind w:firstLine="420"/>
        <w:rPr>
          <w:highlight w:val="none"/>
          <w:lang w:val="zh-CN"/>
        </w:rPr>
      </w:pPr>
      <w:r>
        <w:rPr>
          <w:rFonts w:ascii="宋体" w:hAnsi="宋体" w:cs="宋体"/>
          <w:position w:val="-6"/>
          <w:szCs w:val="21"/>
          <w:highlight w:val="none"/>
          <w:lang w:val="zh-CN"/>
        </w:rPr>
        <w:object>
          <v:shape id="_x0000_i1077" o:spt="75" type="#_x0000_t75" style="height:12.55pt;width:12.55pt;" o:ole="t" filled="f" o:preferrelative="t" stroked="f" coordsize="21600,21600">
            <v:path/>
            <v:fill on="f" focussize="0,0"/>
            <v:stroke on="f" joinstyle="miter"/>
            <v:imagedata r:id="rId119" o:title=""/>
            <o:lock v:ext="edit" aspectratio="t"/>
            <w10:wrap type="none"/>
            <w10:anchorlock/>
          </v:shape>
          <o:OLEObject Type="Embed" ProgID="Equation.DSMT4" ShapeID="_x0000_i1077" DrawAspect="Content" ObjectID="_1468075777" r:id="rId126">
            <o:LockedField>false</o:LockedField>
          </o:OLEObject>
        </w:object>
      </w:r>
      <w:r>
        <w:rPr>
          <w:highlight w:val="none"/>
        </w:rPr>
        <w:t>——</w:t>
      </w:r>
      <w:r>
        <w:rPr>
          <w:rFonts w:hint="eastAsia"/>
          <w:highlight w:val="none"/>
        </w:rPr>
        <w:t>耐张塔前后耐张段导地线计算平均高度（用于导地线张力荷载计算）（m），未开展定位前计算导地线张力荷载时最下层导线计算平均高度可按表2取值，其它层导地线计算平均高度可根据导地线层间距、最下层导线计算平均高度等计算</w:t>
      </w:r>
      <w:r>
        <w:rPr>
          <w:rFonts w:hint="eastAsia"/>
          <w:highlight w:val="none"/>
          <w:lang w:val="zh-CN"/>
        </w:rPr>
        <w:t>；</w:t>
      </w:r>
    </w:p>
    <w:p w14:paraId="6DC3E9F7">
      <w:pPr>
        <w:pStyle w:val="58"/>
        <w:spacing w:line="360" w:lineRule="auto"/>
        <w:ind w:firstLine="420"/>
        <w:rPr>
          <w:highlight w:val="none"/>
          <w:lang w:val="zh-CN"/>
        </w:rPr>
      </w:pPr>
      <w:r>
        <w:rPr>
          <w:rFonts w:ascii="宋体" w:hAnsi="宋体" w:cs="宋体"/>
          <w:position w:val="-10"/>
          <w:szCs w:val="21"/>
          <w:highlight w:val="none"/>
          <w:lang w:val="zh-CN"/>
        </w:rPr>
        <w:object>
          <v:shape id="_x0000_i1078" o:spt="75" type="#_x0000_t75" style="height:13.8pt;width:11.7pt;" o:ole="t" filled="f" o:preferrelative="t" stroked="f" coordsize="21600,21600">
            <v:path/>
            <v:fill on="f" focussize="0,0"/>
            <v:stroke on="f" joinstyle="miter"/>
            <v:imagedata r:id="rId128" o:title=""/>
            <o:lock v:ext="edit" aspectratio="t"/>
            <w10:wrap type="none"/>
            <w10:anchorlock/>
          </v:shape>
          <o:OLEObject Type="Embed" ProgID="Equation.DSMT4" ShapeID="_x0000_i1078" DrawAspect="Content" ObjectID="_1468075778" r:id="rId127">
            <o:LockedField>false</o:LockedField>
          </o:OLEObject>
        </w:object>
      </w:r>
      <w:r>
        <w:rPr>
          <w:highlight w:val="none"/>
        </w:rPr>
        <w:t>——</w:t>
      </w:r>
      <w:r>
        <w:rPr>
          <w:rFonts w:hint="eastAsia"/>
          <w:highlight w:val="none"/>
        </w:rPr>
        <w:t>定位工况导线弧垂</w:t>
      </w:r>
      <w:r>
        <w:rPr>
          <w:rFonts w:hint="eastAsia"/>
          <w:highlight w:val="none"/>
          <w:lang w:val="zh-CN"/>
        </w:rPr>
        <w:t>（m）；</w:t>
      </w:r>
    </w:p>
    <w:p w14:paraId="435605DE">
      <w:pPr>
        <w:pStyle w:val="58"/>
        <w:spacing w:line="360" w:lineRule="auto"/>
        <w:ind w:firstLine="420"/>
        <w:rPr>
          <w:highlight w:val="none"/>
          <w:lang w:val="zh-CN"/>
        </w:rPr>
      </w:pPr>
      <w:r>
        <w:rPr>
          <w:rFonts w:ascii="宋体" w:hAnsi="宋体" w:cs="宋体"/>
          <w:position w:val="-4"/>
          <w:szCs w:val="21"/>
          <w:highlight w:val="none"/>
          <w:lang w:val="zh-CN"/>
        </w:rPr>
        <w:object>
          <v:shape id="_x0000_i1079" o:spt="75" type="#_x0000_t75" style="height:12.55pt;width:15.05pt;" o:ole="t" filled="f" o:preferrelative="t" stroked="f" coordsize="21600,21600">
            <v:path/>
            <v:fill on="f" focussize="0,0"/>
            <v:stroke on="f" joinstyle="miter"/>
            <v:imagedata r:id="rId130" o:title=""/>
            <o:lock v:ext="edit" aspectratio="t"/>
            <w10:wrap type="none"/>
            <w10:anchorlock/>
          </v:shape>
          <o:OLEObject Type="Embed" ProgID="Equation.DSMT4" ShapeID="_x0000_i1079" DrawAspect="Content" ObjectID="_1468075779" r:id="rId129">
            <o:LockedField>false</o:LockedField>
          </o:OLEObject>
        </w:object>
      </w:r>
      <w:r>
        <w:rPr>
          <w:highlight w:val="none"/>
        </w:rPr>
        <w:t>——</w:t>
      </w:r>
      <w:r>
        <w:rPr>
          <w:rFonts w:hint="eastAsia"/>
          <w:highlight w:val="none"/>
        </w:rPr>
        <w:t>杆塔呼高</w:t>
      </w:r>
      <w:r>
        <w:rPr>
          <w:rFonts w:hint="eastAsia"/>
          <w:highlight w:val="none"/>
          <w:lang w:val="zh-CN"/>
        </w:rPr>
        <w:t>（m）；</w:t>
      </w:r>
    </w:p>
    <w:p w14:paraId="281B6A11">
      <w:pPr>
        <w:pStyle w:val="58"/>
        <w:spacing w:line="360" w:lineRule="auto"/>
        <w:ind w:firstLine="420"/>
        <w:rPr>
          <w:highlight w:val="none"/>
          <w:lang w:val="zh-CN"/>
        </w:rPr>
      </w:pPr>
      <w:r>
        <w:rPr>
          <w:rFonts w:ascii="宋体" w:hAnsi="宋体" w:cs="宋体"/>
          <w:position w:val="-6"/>
          <w:szCs w:val="21"/>
          <w:highlight w:val="none"/>
          <w:lang w:val="zh-CN"/>
        </w:rPr>
        <w:object>
          <v:shape id="_x0000_i1080" o:spt="75" type="#_x0000_t75" style="height:12.55pt;width:9.65pt;" o:ole="t" filled="f" o:preferrelative="t" stroked="f" coordsize="21600,21600">
            <v:path/>
            <v:fill on="f" focussize="0,0"/>
            <v:stroke on="f" joinstyle="miter"/>
            <v:imagedata r:id="rId132" o:title=""/>
            <o:lock v:ext="edit" aspectratio="t"/>
            <w10:wrap type="none"/>
            <w10:anchorlock/>
          </v:shape>
          <o:OLEObject Type="Embed" ProgID="Equation.DSMT4" ShapeID="_x0000_i1080" DrawAspect="Content" ObjectID="_1468075780" r:id="rId131">
            <o:LockedField>false</o:LockedField>
          </o:OLEObject>
        </w:object>
      </w:r>
      <w:r>
        <w:rPr>
          <w:highlight w:val="none"/>
        </w:rPr>
        <w:t>——</w:t>
      </w:r>
      <w:r>
        <w:rPr>
          <w:rFonts w:hint="eastAsia"/>
          <w:highlight w:val="none"/>
        </w:rPr>
        <w:t>绝缘子串长度，耐张塔取0</w:t>
      </w:r>
      <w:r>
        <w:rPr>
          <w:rFonts w:hint="eastAsia"/>
          <w:highlight w:val="none"/>
          <w:lang w:val="zh-CN"/>
        </w:rPr>
        <w:t>（m）；</w:t>
      </w:r>
    </w:p>
    <w:p w14:paraId="7303A76C">
      <w:pPr>
        <w:pStyle w:val="58"/>
        <w:spacing w:line="360" w:lineRule="auto"/>
        <w:ind w:firstLine="420"/>
        <w:rPr>
          <w:highlight w:val="none"/>
          <w:lang w:val="zh-CN"/>
        </w:rPr>
      </w:pPr>
      <w:r>
        <w:rPr>
          <w:rFonts w:ascii="宋体" w:hAnsi="宋体" w:cs="宋体"/>
          <w:position w:val="-10"/>
          <w:szCs w:val="21"/>
          <w:highlight w:val="none"/>
          <w:lang w:val="zh-CN"/>
        </w:rPr>
        <w:object>
          <v:shape id="_x0000_i1081" o:spt="75" type="#_x0000_t75" style="height:15.05pt;width:11.7pt;" o:ole="t" filled="f" o:preferrelative="t" stroked="f" coordsize="21600,21600">
            <v:path/>
            <v:fill on="f" focussize="0,0"/>
            <v:stroke on="f" joinstyle="miter"/>
            <v:imagedata r:id="rId134" o:title=""/>
            <o:lock v:ext="edit" aspectratio="t"/>
            <w10:wrap type="none"/>
            <w10:anchorlock/>
          </v:shape>
          <o:OLEObject Type="Embed" ProgID="Equation.DSMT4" ShapeID="_x0000_i1081" DrawAspect="Content" ObjectID="_1468075781" r:id="rId133">
            <o:LockedField>false</o:LockedField>
          </o:OLEObject>
        </w:object>
      </w:r>
      <w:r>
        <w:rPr>
          <w:highlight w:val="none"/>
        </w:rPr>
        <w:t>——</w:t>
      </w:r>
      <w:r>
        <w:rPr>
          <w:rFonts w:hint="eastAsia"/>
          <w:highlight w:val="none"/>
        </w:rPr>
        <w:t>最下层导线弧垂最低点对地距离</w:t>
      </w:r>
      <w:r>
        <w:rPr>
          <w:rFonts w:hint="eastAsia"/>
          <w:highlight w:val="none"/>
          <w:lang w:val="zh-CN"/>
        </w:rPr>
        <w:t>（m）；</w:t>
      </w:r>
    </w:p>
    <w:p w14:paraId="18DF1ECF">
      <w:pPr>
        <w:pStyle w:val="58"/>
        <w:spacing w:line="360" w:lineRule="auto"/>
        <w:ind w:firstLine="420"/>
        <w:rPr>
          <w:highlight w:val="none"/>
          <w:lang w:val="zh-CN"/>
        </w:rPr>
      </w:pPr>
      <w:r>
        <w:rPr>
          <w:rFonts w:ascii="宋体" w:hAnsi="宋体" w:cs="宋体"/>
          <w:position w:val="-10"/>
          <w:szCs w:val="21"/>
          <w:highlight w:val="none"/>
          <w:lang w:val="zh-CN"/>
        </w:rPr>
        <w:object>
          <v:shape id="_x0000_i1082" o:spt="75" type="#_x0000_t75" style="height:13.8pt;width:12.15pt;" o:ole="t" filled="f" o:preferrelative="t" stroked="f" coordsize="21600,21600">
            <v:path/>
            <v:fill on="f" focussize="0,0"/>
            <v:stroke on="f" joinstyle="miter"/>
            <v:imagedata r:id="rId83" o:title=""/>
            <o:lock v:ext="edit" aspectratio="t"/>
            <w10:wrap type="none"/>
            <w10:anchorlock/>
          </v:shape>
          <o:OLEObject Type="Embed" ProgID="Equation.DSMT4" ShapeID="_x0000_i1082" DrawAspect="Content" ObjectID="_1468075782" r:id="rId135">
            <o:LockedField>false</o:LockedField>
          </o:OLEObject>
        </w:object>
      </w:r>
      <w:r>
        <w:rPr>
          <w:highlight w:val="none"/>
        </w:rPr>
        <w:t>——</w:t>
      </w:r>
      <w:r>
        <w:rPr>
          <w:rFonts w:hint="eastAsia"/>
          <w:highlight w:val="none"/>
        </w:rPr>
        <w:t>大风工况导线弧垂</w:t>
      </w:r>
      <w:r>
        <w:rPr>
          <w:rFonts w:hint="eastAsia"/>
          <w:highlight w:val="none"/>
          <w:lang w:val="zh-CN"/>
        </w:rPr>
        <w:t>（m）；</w:t>
      </w:r>
    </w:p>
    <w:p w14:paraId="54DC0C5E">
      <w:pPr>
        <w:pStyle w:val="58"/>
        <w:spacing w:line="360" w:lineRule="auto"/>
        <w:ind w:firstLine="420"/>
        <w:rPr>
          <w:highlight w:val="none"/>
          <w:lang w:val="zh-CN"/>
        </w:rPr>
      </w:pPr>
      <w:r>
        <w:rPr>
          <w:rFonts w:ascii="宋体" w:hAnsi="宋体" w:cs="宋体"/>
          <w:position w:val="-8"/>
          <w:szCs w:val="21"/>
          <w:highlight w:val="none"/>
          <w:lang w:val="zh-CN"/>
        </w:rPr>
        <w:object>
          <v:shape id="_x0000_i1083" o:spt="75" type="#_x0000_t75" style="height:15.5pt;width:11.7pt;" o:ole="t" filled="f" o:preferrelative="t" stroked="f" coordsize="21600,21600">
            <v:path/>
            <v:fill on="f" focussize="0,0"/>
            <v:stroke on="f" joinstyle="miter"/>
            <v:imagedata r:id="rId137" o:title=""/>
            <o:lock v:ext="edit" aspectratio="t"/>
            <w10:wrap type="none"/>
            <w10:anchorlock/>
          </v:shape>
          <o:OLEObject Type="Embed" ProgID="Equation.DSMT4" ShapeID="_x0000_i1083" DrawAspect="Content" ObjectID="_1468075783" r:id="rId136">
            <o:LockedField>false</o:LockedField>
          </o:OLEObject>
        </w:object>
      </w:r>
      <w:r>
        <w:rPr>
          <w:highlight w:val="none"/>
        </w:rPr>
        <w:t>——</w:t>
      </w:r>
      <w:r>
        <w:rPr>
          <w:rFonts w:hint="eastAsia"/>
          <w:highlight w:val="none"/>
        </w:rPr>
        <w:t>大风工况导线风偏角</w:t>
      </w:r>
      <w:r>
        <w:rPr>
          <w:rFonts w:hint="eastAsia"/>
          <w:highlight w:val="none"/>
          <w:lang w:val="zh-CN"/>
        </w:rPr>
        <w:t>（m）；</w:t>
      </w:r>
    </w:p>
    <w:p w14:paraId="14E3CEFD">
      <w:pPr>
        <w:pStyle w:val="58"/>
        <w:spacing w:line="360" w:lineRule="auto"/>
        <w:ind w:firstLine="420"/>
        <w:rPr>
          <w:highlight w:val="none"/>
          <w:lang w:val="zh-CN"/>
        </w:rPr>
      </w:pPr>
      <w:r>
        <w:rPr>
          <w:rFonts w:ascii="宋体" w:hAnsi="宋体" w:cs="宋体"/>
          <w:position w:val="-10"/>
          <w:szCs w:val="21"/>
          <w:highlight w:val="none"/>
          <w:lang w:val="zh-CN"/>
        </w:rPr>
        <w:object>
          <v:shape id="_x0000_i1084" o:spt="75" type="#_x0000_t75" style="height:13.8pt;width:11.7pt;" o:ole="t" filled="f" o:preferrelative="t" stroked="f" coordsize="21600,21600">
            <v:path/>
            <v:fill on="f" focussize="0,0"/>
            <v:stroke on="f" joinstyle="miter"/>
            <v:imagedata r:id="rId139" o:title=""/>
            <o:lock v:ext="edit" aspectratio="t"/>
            <w10:wrap type="none"/>
            <w10:anchorlock/>
          </v:shape>
          <o:OLEObject Type="Embed" ProgID="Equation.DSMT4" ShapeID="_x0000_i1084" DrawAspect="Content" ObjectID="_1468075784" r:id="rId138">
            <o:LockedField>false</o:LockedField>
          </o:OLEObject>
        </w:object>
      </w:r>
      <w:r>
        <w:rPr>
          <w:highlight w:val="none"/>
        </w:rPr>
        <w:t>——</w:t>
      </w:r>
      <w:r>
        <w:rPr>
          <w:rFonts w:hint="eastAsia"/>
          <w:highlight w:val="none"/>
        </w:rPr>
        <w:t>定位工况导线张力</w:t>
      </w:r>
      <w:r>
        <w:rPr>
          <w:rFonts w:hint="eastAsia"/>
          <w:highlight w:val="none"/>
          <w:lang w:val="zh-CN"/>
        </w:rPr>
        <w:t>（kN）；</w:t>
      </w:r>
    </w:p>
    <w:p w14:paraId="63BD9EF6">
      <w:pPr>
        <w:pStyle w:val="58"/>
        <w:spacing w:line="360" w:lineRule="auto"/>
        <w:ind w:firstLine="420"/>
        <w:rPr>
          <w:highlight w:val="none"/>
          <w:lang w:val="zh-CN"/>
        </w:rPr>
      </w:pPr>
      <w:r>
        <w:rPr>
          <w:rFonts w:ascii="宋体" w:hAnsi="宋体" w:cs="宋体"/>
          <w:position w:val="-10"/>
          <w:szCs w:val="21"/>
          <w:highlight w:val="none"/>
          <w:lang w:val="zh-CN"/>
        </w:rPr>
        <w:object>
          <v:shape id="_x0000_i1085" o:spt="75" type="#_x0000_t75" style="height:13.8pt;width:11.7pt;" o:ole="t" filled="f" o:preferrelative="t" stroked="f" coordsize="21600,21600">
            <v:path/>
            <v:fill on="f" focussize="0,0"/>
            <v:stroke on="f" joinstyle="miter"/>
            <v:imagedata r:id="rId141" o:title=""/>
            <o:lock v:ext="edit" aspectratio="t"/>
            <w10:wrap type="none"/>
            <w10:anchorlock/>
          </v:shape>
          <o:OLEObject Type="Embed" ProgID="Equation.DSMT4" ShapeID="_x0000_i1085" DrawAspect="Content" ObjectID="_1468075785" r:id="rId140">
            <o:LockedField>false</o:LockedField>
          </o:OLEObject>
        </w:object>
      </w:r>
      <w:r>
        <w:rPr>
          <w:highlight w:val="none"/>
        </w:rPr>
        <w:t>——</w:t>
      </w:r>
      <w:r>
        <w:rPr>
          <w:rFonts w:hint="eastAsia"/>
          <w:highlight w:val="none"/>
        </w:rPr>
        <w:t>大风工况导线张力</w:t>
      </w:r>
      <w:r>
        <w:rPr>
          <w:rFonts w:hint="eastAsia"/>
          <w:highlight w:val="none"/>
          <w:lang w:val="zh-CN"/>
        </w:rPr>
        <w:t>（kN）；</w:t>
      </w:r>
    </w:p>
    <w:p w14:paraId="67D722EB">
      <w:pPr>
        <w:pStyle w:val="58"/>
        <w:spacing w:line="360" w:lineRule="auto"/>
        <w:ind w:firstLine="420"/>
        <w:rPr>
          <w:highlight w:val="none"/>
          <w:lang w:val="zh-CN"/>
        </w:rPr>
      </w:pPr>
      <w:r>
        <w:rPr>
          <w:rFonts w:ascii="宋体" w:hAnsi="宋体" w:cs="宋体"/>
          <w:position w:val="-10"/>
          <w:szCs w:val="21"/>
          <w:highlight w:val="none"/>
          <w:lang w:val="zh-CN"/>
        </w:rPr>
        <w:object>
          <v:shape id="_x0000_i1086" o:spt="75" type="#_x0000_t75" style="height:16.75pt;width:11.7pt;" o:ole="t" filled="f" o:preferrelative="t" stroked="f" coordsize="21600,21600">
            <v:path/>
            <v:fill on="f" focussize="0,0"/>
            <v:stroke on="f" joinstyle="miter"/>
            <v:imagedata r:id="rId143" o:title=""/>
            <o:lock v:ext="edit" aspectratio="t"/>
            <w10:wrap type="none"/>
            <w10:anchorlock/>
          </v:shape>
          <o:OLEObject Type="Embed" ProgID="Equation.DSMT4" ShapeID="_x0000_i1086" DrawAspect="Content" ObjectID="_1468075786" r:id="rId142">
            <o:LockedField>false</o:LockedField>
          </o:OLEObject>
        </w:object>
      </w:r>
      <w:r>
        <w:rPr>
          <w:highlight w:val="none"/>
        </w:rPr>
        <w:t>——</w:t>
      </w:r>
      <w:r>
        <w:rPr>
          <w:rFonts w:hint="eastAsia"/>
          <w:highlight w:val="none"/>
        </w:rPr>
        <w:t>大风工况最下层导线平均高度</w:t>
      </w:r>
      <w:r>
        <w:rPr>
          <w:rFonts w:hint="eastAsia"/>
          <w:highlight w:val="none"/>
          <w:lang w:val="zh-CN"/>
        </w:rPr>
        <w:t>（m），计算示意如图2所示。</w:t>
      </w:r>
    </w:p>
    <w:p w14:paraId="2CABDADD">
      <w:pPr>
        <w:pStyle w:val="58"/>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highlight w:val="none"/>
          <w:lang w:val="zh-CN"/>
        </w:rPr>
      </w:pPr>
      <w:r>
        <w:rPr>
          <w:rFonts w:hint="eastAsia"/>
          <w:highlight w:val="none"/>
          <w:lang w:val="zh-CN"/>
        </w:rPr>
        <w:t>注：式中</w:t>
      </w:r>
      <w:r>
        <w:rPr>
          <w:rFonts w:ascii="宋体" w:hAnsi="宋体"/>
          <w:color w:val="000000"/>
          <w:position w:val="-10"/>
          <w:highlight w:val="none"/>
        </w:rPr>
        <w:object>
          <v:shape id="_x0000_i1087" o:spt="75" type="#_x0000_t75" style="height:17.15pt;width:14.65pt;" o:ole="t" filled="f" o:preferrelative="t" stroked="f" coordsize="21600,21600">
            <v:path/>
            <v:fill on="f" focussize="0,0"/>
            <v:stroke on="f" joinstyle="miter"/>
            <v:imagedata r:id="rId145" o:title=""/>
            <o:lock v:ext="edit" aspectratio="t"/>
            <w10:wrap type="none"/>
            <w10:anchorlock/>
          </v:shape>
          <o:OLEObject Type="Embed" ProgID="Equation.DSMT4" ShapeID="_x0000_i1087" DrawAspect="Content" ObjectID="_1468075787" r:id="rId144">
            <o:LockedField>false</o:LockedField>
          </o:OLEObject>
        </w:object>
      </w:r>
      <w:r>
        <w:rPr>
          <w:rFonts w:hint="eastAsia"/>
          <w:highlight w:val="none"/>
        </w:rPr>
        <w:t>、</w:t>
      </w:r>
      <w:r>
        <w:rPr>
          <w:rFonts w:ascii="宋体" w:hAnsi="宋体"/>
          <w:color w:val="000000"/>
          <w:position w:val="-10"/>
          <w:highlight w:val="none"/>
        </w:rPr>
        <w:object>
          <v:shape id="_x0000_i1088" o:spt="75" type="#_x0000_t75" style="height:17.15pt;width:15.05pt;" o:ole="t" filled="f" o:preferrelative="t" stroked="f" coordsize="21600,21600">
            <v:path/>
            <v:fill on="f" focussize="0,0"/>
            <v:stroke on="f" joinstyle="miter"/>
            <v:imagedata r:id="rId147" o:title=""/>
            <o:lock v:ext="edit" aspectratio="t"/>
            <w10:wrap type="none"/>
            <w10:anchorlock/>
          </v:shape>
          <o:OLEObject Type="Embed" ProgID="Equation.DSMT4" ShapeID="_x0000_i1088" DrawAspect="Content" ObjectID="_1468075788" r:id="rId146">
            <o:LockedField>false</o:LockedField>
          </o:OLEObject>
        </w:object>
      </w:r>
      <w:r>
        <w:rPr>
          <w:rFonts w:hint="eastAsia"/>
          <w:highlight w:val="none"/>
        </w:rPr>
        <w:t>、</w:t>
      </w:r>
      <w:r>
        <w:rPr>
          <w:rFonts w:ascii="宋体" w:hAnsi="Courier New" w:cs="宋体"/>
          <w:position w:val="-10"/>
          <w:szCs w:val="21"/>
          <w:highlight w:val="none"/>
          <w:lang w:val="zh-CN"/>
        </w:rPr>
        <w:object>
          <v:shape id="_x0000_i1089" o:spt="75" type="#_x0000_t75" style="height:14.65pt;width:12.55pt;" o:ole="t" filled="f" o:preferrelative="t" stroked="f" coordsize="21600,21600">
            <v:path/>
            <v:fill on="f" focussize="0,0"/>
            <v:stroke on="f" joinstyle="miter"/>
            <v:imagedata r:id="rId149" o:title=""/>
            <o:lock v:ext="edit" aspectratio="t"/>
            <w10:wrap type="none"/>
            <w10:anchorlock/>
          </v:shape>
          <o:OLEObject Type="Embed" ProgID="Equation.DSMT4" ShapeID="_x0000_i1089" DrawAspect="Content" ObjectID="_1468075789" r:id="rId148">
            <o:LockedField>false</o:LockedField>
          </o:OLEObject>
        </w:object>
      </w:r>
      <w:r>
        <w:rPr>
          <w:rFonts w:hint="eastAsia"/>
          <w:highlight w:val="none"/>
          <w:lang w:val="zh-CN"/>
        </w:rPr>
        <w:t>、</w:t>
      </w:r>
      <w:r>
        <w:rPr>
          <w:rFonts w:hint="eastAsia"/>
          <w:position w:val="-10"/>
          <w:highlight w:val="none"/>
        </w:rPr>
        <w:object>
          <v:shape id="_x0000_i1090" o:spt="75" type="#_x0000_t75" style="height:13.8pt;width:13pt;" o:ole="t" filled="f" o:preferrelative="t" stroked="f" coordsize="21600,21600">
            <v:path/>
            <v:fill on="f" focussize="0,0"/>
            <v:stroke on="f" joinstyle="miter"/>
            <v:imagedata r:id="rId151" o:title=""/>
            <o:lock v:ext="edit" aspectratio="t"/>
            <w10:wrap type="none"/>
            <w10:anchorlock/>
          </v:shape>
          <o:OLEObject Type="Embed" ProgID="Equation.DSMT4" ShapeID="_x0000_i1090" DrawAspect="Content" ObjectID="_1468075790" r:id="rId150">
            <o:LockedField>false</o:LockedField>
          </o:OLEObject>
        </w:object>
      </w:r>
      <w:r>
        <w:rPr>
          <w:rFonts w:hint="eastAsia"/>
          <w:highlight w:val="none"/>
          <w:lang w:val="zh-CN"/>
        </w:rPr>
        <w:t>、</w:t>
      </w:r>
      <w:r>
        <w:rPr>
          <w:rFonts w:ascii="宋体" w:hAnsi="Courier New" w:cs="宋体"/>
          <w:position w:val="-6"/>
          <w:szCs w:val="21"/>
          <w:highlight w:val="none"/>
          <w:lang w:val="zh-CN"/>
        </w:rPr>
        <w:object>
          <v:shape id="_x0000_i1091" o:spt="75" type="#_x0000_t75" style="height:15.05pt;width:15.05pt;" o:ole="t" filled="f" o:preferrelative="t" stroked="f" coordsize="21600,21600">
            <v:path/>
            <v:fill on="f" focussize="0,0"/>
            <v:stroke on="f" joinstyle="miter"/>
            <v:imagedata r:id="rId153" o:title=""/>
            <o:lock v:ext="edit" aspectratio="t"/>
            <w10:wrap type="none"/>
            <w10:anchorlock/>
          </v:shape>
          <o:OLEObject Type="Embed" ProgID="Equation.DSMT4" ShapeID="_x0000_i1091" DrawAspect="Content" ObjectID="_1468075791" r:id="rId152">
            <o:LockedField>false</o:LockedField>
          </o:OLEObject>
        </w:object>
      </w:r>
      <w:r>
        <w:rPr>
          <w:rFonts w:hint="eastAsia"/>
          <w:highlight w:val="none"/>
          <w:lang w:val="zh-CN"/>
        </w:rPr>
        <w:t>、</w:t>
      </w:r>
      <w:r>
        <w:rPr>
          <w:rFonts w:ascii="宋体" w:hAnsi="Courier New" w:cs="宋体"/>
          <w:position w:val="-10"/>
          <w:szCs w:val="21"/>
          <w:highlight w:val="none"/>
          <w:lang w:val="zh-CN"/>
        </w:rPr>
        <w:object>
          <v:shape id="_x0000_i1092" o:spt="75" type="#_x0000_t75" style="height:17.15pt;width:12.55pt;" o:ole="t" filled="f" o:preferrelative="t" stroked="f" coordsize="21600,21600">
            <v:path/>
            <v:fill on="f" focussize="0,0"/>
            <v:stroke on="f" joinstyle="miter"/>
            <v:imagedata r:id="rId155" o:title=""/>
            <o:lock v:ext="edit" aspectratio="t"/>
            <w10:wrap type="none"/>
            <w10:anchorlock/>
          </v:shape>
          <o:OLEObject Type="Embed" ProgID="Equation.DSMT4" ShapeID="_x0000_i1092" DrawAspect="Content" ObjectID="_1468075792" r:id="rId154">
            <o:LockedField>false</o:LockedField>
          </o:OLEObject>
        </w:object>
      </w:r>
      <w:r>
        <w:rPr>
          <w:rFonts w:hint="eastAsia"/>
          <w:highlight w:val="none"/>
          <w:lang w:val="zh-CN"/>
        </w:rPr>
        <w:t>、</w:t>
      </w:r>
      <w:r>
        <w:rPr>
          <w:rFonts w:ascii="宋体" w:hAnsi="Courier New" w:cs="宋体"/>
          <w:position w:val="-10"/>
          <w:szCs w:val="21"/>
          <w:highlight w:val="none"/>
          <w:lang w:val="zh-CN"/>
        </w:rPr>
        <w:object>
          <v:shape id="_x0000_i1093" o:spt="75" type="#_x0000_t75" style="height:17.15pt;width:12.55pt;" o:ole="t" filled="f" o:preferrelative="t" stroked="f" coordsize="21600,21600">
            <v:path/>
            <v:fill on="f" focussize="0,0"/>
            <v:stroke on="f" joinstyle="miter"/>
            <v:imagedata r:id="rId157" o:title=""/>
            <o:lock v:ext="edit" aspectratio="t"/>
            <w10:wrap type="none"/>
            <w10:anchorlock/>
          </v:shape>
          <o:OLEObject Type="Embed" ProgID="Equation.DSMT4" ShapeID="_x0000_i1093" DrawAspect="Content" ObjectID="_1468075793" r:id="rId156">
            <o:LockedField>false</o:LockedField>
          </o:OLEObject>
        </w:object>
      </w:r>
      <w:r>
        <w:rPr>
          <w:rFonts w:hint="eastAsia"/>
          <w:highlight w:val="none"/>
          <w:lang w:val="zh-CN"/>
        </w:rPr>
        <w:t>、</w:t>
      </w:r>
      <w:r>
        <w:rPr>
          <w:rFonts w:ascii="宋体" w:hAnsi="宋体" w:cs="宋体"/>
          <w:position w:val="-6"/>
          <w:szCs w:val="21"/>
          <w:highlight w:val="none"/>
          <w:lang w:val="zh-CN"/>
        </w:rPr>
        <w:object>
          <v:shape id="_x0000_i1094" o:spt="75" type="#_x0000_t75" style="height:15.05pt;width:12.55pt;" o:ole="t" filled="f" o:preferrelative="t" stroked="f" coordsize="21600,21600">
            <v:path/>
            <v:fill on="f" focussize="0,0"/>
            <v:stroke on="f" joinstyle="miter"/>
            <v:imagedata r:id="rId159" o:title=""/>
            <o:lock v:ext="edit" aspectratio="t"/>
            <w10:wrap type="none"/>
            <w10:anchorlock/>
          </v:shape>
          <o:OLEObject Type="Embed" ProgID="Equation.DSMT4" ShapeID="_x0000_i1094" DrawAspect="Content" ObjectID="_1468075794" r:id="rId158">
            <o:LockedField>false</o:LockedField>
          </o:OLEObject>
        </w:object>
      </w:r>
      <w:r>
        <w:rPr>
          <w:rFonts w:hint="eastAsia"/>
          <w:highlight w:val="none"/>
          <w:lang w:val="zh-CN"/>
        </w:rPr>
        <w:t>、</w:t>
      </w:r>
      <w:r>
        <w:rPr>
          <w:rFonts w:ascii="宋体" w:hAnsi="宋体" w:cs="宋体"/>
          <w:position w:val="-10"/>
          <w:szCs w:val="21"/>
          <w:highlight w:val="none"/>
          <w:lang w:val="zh-CN"/>
        </w:rPr>
        <w:object>
          <v:shape id="_x0000_i1095" o:spt="75" type="#_x0000_t75" style="height:17.15pt;width:12.55pt;" o:ole="t" filled="f" o:preferrelative="t" stroked="f" coordsize="21600,21600">
            <v:path/>
            <v:fill on="f" focussize="0,0"/>
            <v:stroke on="f" joinstyle="miter"/>
            <v:imagedata r:id="rId161" o:title=""/>
            <o:lock v:ext="edit" aspectratio="t"/>
            <w10:wrap type="none"/>
            <w10:anchorlock/>
          </v:shape>
          <o:OLEObject Type="Embed" ProgID="Equation.DSMT4" ShapeID="_x0000_i1095" DrawAspect="Content" ObjectID="_1468075795" r:id="rId160">
            <o:LockedField>false</o:LockedField>
          </o:OLEObject>
        </w:object>
      </w:r>
      <w:r>
        <w:rPr>
          <w:rFonts w:hint="eastAsia"/>
          <w:highlight w:val="none"/>
          <w:lang w:val="zh-CN"/>
        </w:rPr>
        <w:t>、</w:t>
      </w:r>
      <w:r>
        <w:rPr>
          <w:rFonts w:ascii="宋体" w:hAnsi="Courier New" w:cs="宋体"/>
          <w:i/>
          <w:position w:val="-10"/>
          <w:szCs w:val="21"/>
          <w:highlight w:val="none"/>
          <w:lang w:val="zh-CN"/>
        </w:rPr>
        <w:object>
          <v:shape id="_x0000_i1096" o:spt="75" type="#_x0000_t75" style="height:17.15pt;width:14.65pt;" o:ole="t" filled="f" o:preferrelative="t" stroked="f" coordsize="21600,21600">
            <v:path/>
            <v:fill on="f" focussize="0,0"/>
            <v:stroke on="f" joinstyle="miter"/>
            <v:imagedata r:id="rId163" o:title=""/>
            <o:lock v:ext="edit" aspectratio="t"/>
            <w10:wrap type="none"/>
            <w10:anchorlock/>
          </v:shape>
          <o:OLEObject Type="Embed" ProgID="Equation.DSMT4" ShapeID="_x0000_i1096" DrawAspect="Content" ObjectID="_1468075796" r:id="rId162">
            <o:LockedField>false</o:LockedField>
          </o:OLEObject>
        </w:object>
      </w:r>
      <w:r>
        <w:rPr>
          <w:rFonts w:hint="eastAsia"/>
          <w:highlight w:val="none"/>
          <w:lang w:val="zh-CN"/>
        </w:rPr>
        <w:t>、</w:t>
      </w:r>
      <w:r>
        <w:rPr>
          <w:rFonts w:ascii="宋体" w:hAnsi="Courier New" w:cs="宋体"/>
          <w:position w:val="-10"/>
          <w:szCs w:val="21"/>
          <w:highlight w:val="none"/>
          <w:lang w:val="zh-CN"/>
        </w:rPr>
        <w:object>
          <v:shape id="_x0000_i1097" o:spt="75" type="#_x0000_t75" style="height:17.6pt;width:12.55pt;" o:ole="t" filled="f" o:preferrelative="t" stroked="f" coordsize="21600,21600">
            <v:path/>
            <v:fill on="f" focussize="0,0"/>
            <v:stroke on="f" joinstyle="miter"/>
            <v:imagedata r:id="rId165" o:title=""/>
            <o:lock v:ext="edit" aspectratio="t"/>
            <w10:wrap type="none"/>
            <w10:anchorlock/>
          </v:shape>
          <o:OLEObject Type="Embed" ProgID="Equation.DSMT4" ShapeID="_x0000_i1097" DrawAspect="Content" ObjectID="_1468075797" r:id="rId164">
            <o:LockedField>false</o:LockedField>
          </o:OLEObject>
        </w:object>
      </w:r>
      <w:r>
        <w:rPr>
          <w:rFonts w:hint="eastAsia"/>
          <w:highlight w:val="none"/>
          <w:lang w:val="zh-CN"/>
        </w:rPr>
        <w:t>、</w:t>
      </w:r>
      <w:r>
        <w:rPr>
          <w:position w:val="-10"/>
          <w:highlight w:val="none"/>
        </w:rPr>
        <w:object>
          <v:shape id="_x0000_i1098" o:spt="75" type="#_x0000_t75" style="height:17.15pt;width:12.55pt;" o:ole="t" filled="f" o:preferrelative="t" stroked="f" coordsize="21600,21600">
            <v:path/>
            <v:fill on="f" focussize="0,0"/>
            <v:stroke on="f" joinstyle="miter"/>
            <v:imagedata r:id="rId167" o:title=""/>
            <o:lock v:ext="edit" aspectratio="t"/>
            <w10:wrap type="none"/>
            <w10:anchorlock/>
          </v:shape>
          <o:OLEObject Type="Embed" ProgID="Equation.DSMT4" ShapeID="_x0000_i1098" DrawAspect="Content" ObjectID="_1468075798" r:id="rId166">
            <o:LockedField>false</o:LockedField>
          </o:OLEObject>
        </w:object>
      </w:r>
      <w:r>
        <w:rPr>
          <w:highlight w:val="none"/>
        </w:rPr>
        <w:t>为计算参数，其取值或计算应符合DL/T 5551的规定。</w:t>
      </w:r>
    </w:p>
    <w:p w14:paraId="2FD78FC3">
      <w:pPr>
        <w:autoSpaceDE w:val="0"/>
        <w:autoSpaceDN w:val="0"/>
        <w:snapToGrid w:val="0"/>
        <w:spacing w:line="360" w:lineRule="auto"/>
        <w:ind w:firstLine="420"/>
        <w:jc w:val="center"/>
        <w:rPr>
          <w:rFonts w:ascii="宋体" w:hAnsi="Courier New" w:cs="宋体"/>
          <w:szCs w:val="21"/>
          <w:highlight w:val="none"/>
          <w:lang w:val="zh-CN"/>
        </w:rPr>
      </w:pPr>
      <w:r>
        <w:rPr>
          <w:rFonts w:hint="eastAsia"/>
          <w:highlight w:val="none"/>
        </w:rPr>
        <w:drawing>
          <wp:inline distT="0" distB="0" distL="0" distR="0">
            <wp:extent cx="1743710" cy="1950720"/>
            <wp:effectExtent l="0" t="0" r="5080" b="3175"/>
            <wp:docPr id="45385862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858623" name="图片 2"/>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a:xfrm>
                      <a:off x="0" y="0"/>
                      <a:ext cx="1767740" cy="1978113"/>
                    </a:xfrm>
                    <a:prstGeom prst="rect">
                      <a:avLst/>
                    </a:prstGeom>
                    <a:noFill/>
                    <a:ln>
                      <a:noFill/>
                    </a:ln>
                  </pic:spPr>
                </pic:pic>
              </a:graphicData>
            </a:graphic>
          </wp:inline>
        </w:drawing>
      </w:r>
    </w:p>
    <w:p w14:paraId="65BB263D">
      <w:pPr>
        <w:pStyle w:val="116"/>
        <w:bidi w:val="0"/>
        <w:rPr>
          <w:rFonts w:hint="eastAsia"/>
          <w:highlight w:val="none"/>
          <w:lang w:val="zh-CN"/>
        </w:rPr>
      </w:pPr>
      <w:r>
        <w:rPr>
          <w:rFonts w:hint="eastAsia"/>
          <w:highlight w:val="none"/>
        </w:rPr>
        <w:t>耐张塔风荷载计算示意图</w:t>
      </w:r>
    </w:p>
    <w:p w14:paraId="4235B41E">
      <w:pPr>
        <w:autoSpaceDE w:val="0"/>
        <w:autoSpaceDN w:val="0"/>
        <w:snapToGrid w:val="0"/>
        <w:spacing w:line="360" w:lineRule="auto"/>
        <w:ind w:firstLine="420"/>
        <w:jc w:val="center"/>
        <w:rPr>
          <w:rFonts w:ascii="宋体" w:hAnsi="Courier New" w:cs="宋体"/>
          <w:szCs w:val="21"/>
          <w:highlight w:val="none"/>
          <w:lang w:val="zh-CN"/>
        </w:rPr>
      </w:pPr>
    </w:p>
    <w:p w14:paraId="38806208">
      <w:pPr>
        <w:autoSpaceDE w:val="0"/>
        <w:autoSpaceDN w:val="0"/>
        <w:snapToGrid w:val="0"/>
        <w:spacing w:line="360" w:lineRule="auto"/>
        <w:ind w:firstLine="420"/>
        <w:jc w:val="center"/>
        <w:rPr>
          <w:rFonts w:hint="eastAsia" w:ascii="宋体" w:hAnsi="宋体" w:cs="宋体"/>
          <w:szCs w:val="21"/>
          <w:highlight w:val="none"/>
          <w:lang w:val="zh-CN"/>
        </w:rPr>
      </w:pPr>
      <w:r>
        <w:rPr>
          <w:rFonts w:hint="eastAsia"/>
          <w:highlight w:val="none"/>
        </w:rPr>
        <w:drawing>
          <wp:inline distT="0" distB="0" distL="0" distR="0">
            <wp:extent cx="1681480" cy="2383155"/>
            <wp:effectExtent l="0" t="0" r="10160" b="9525"/>
            <wp:docPr id="20585935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593554" name="图片 1"/>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a:xfrm>
                      <a:off x="0" y="0"/>
                      <a:ext cx="1681480" cy="2383155"/>
                    </a:xfrm>
                    <a:prstGeom prst="rect">
                      <a:avLst/>
                    </a:prstGeom>
                    <a:noFill/>
                    <a:ln>
                      <a:noFill/>
                    </a:ln>
                  </pic:spPr>
                </pic:pic>
              </a:graphicData>
            </a:graphic>
          </wp:inline>
        </w:drawing>
      </w:r>
    </w:p>
    <w:p w14:paraId="1D7C6639">
      <w:pPr>
        <w:pStyle w:val="116"/>
        <w:bidi w:val="0"/>
        <w:rPr>
          <w:rFonts w:hint="eastAsia"/>
          <w:highlight w:val="none"/>
          <w:lang w:val="zh-CN"/>
        </w:rPr>
      </w:pPr>
      <w:r>
        <w:rPr>
          <w:rFonts w:hint="eastAsia"/>
          <w:highlight w:val="none"/>
        </w:rPr>
        <w:t>大风工况最下层导线平均高度计算示意图</w:t>
      </w:r>
    </w:p>
    <w:p w14:paraId="39C4FED9">
      <w:pPr>
        <w:pStyle w:val="114"/>
        <w:bidi w:val="0"/>
        <w:rPr>
          <w:rFonts w:hint="eastAsia"/>
          <w:highlight w:val="none"/>
        </w:rPr>
      </w:pPr>
      <w:r>
        <w:rPr>
          <w:rFonts w:hint="eastAsia"/>
          <w:highlight w:val="none"/>
        </w:rPr>
        <w:t>导地线风荷载脉动折减系数</w:t>
      </w:r>
      <w:r>
        <w:rPr>
          <w:rFonts w:ascii="黑体" w:hAnsi="黑体" w:eastAsia="黑体" w:cs="宋体"/>
          <w:position w:val="-10"/>
          <w:szCs w:val="18"/>
          <w:highlight w:val="none"/>
          <w:lang w:val="zh-CN"/>
        </w:rPr>
        <w:object>
          <v:shape id="_x0000_i1099" o:spt="75" type="#_x0000_t75" style="height:19.15pt;width:14.6pt;" o:ole="t" filled="f" o:preferrelative="t" stroked="f" coordsize="21600,21600">
            <v:path/>
            <v:fill on="f" focussize="0,0"/>
            <v:stroke on="f"/>
            <v:imagedata r:id="rId171" o:title=""/>
            <o:lock v:ext="edit" aspectratio="t"/>
            <w10:wrap type="none"/>
            <w10:anchorlock/>
          </v:shape>
          <o:OLEObject Type="Embed" ProgID="Equation.DSMT4" ShapeID="_x0000_i1099" DrawAspect="Content" ObjectID="_1468075799" r:id="rId170">
            <o:LockedField>false</o:LockedField>
          </o:OLEObject>
        </w:object>
      </w:r>
    </w:p>
    <w:tbl>
      <w:tblPr>
        <w:tblStyle w:val="2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0" w:type="dxa"/>
          <w:bottom w:w="0" w:type="dxa"/>
          <w:right w:w="100" w:type="dxa"/>
        </w:tblCellMar>
      </w:tblPr>
      <w:tblGrid>
        <w:gridCol w:w="2439"/>
        <w:gridCol w:w="1560"/>
        <w:gridCol w:w="2358"/>
        <w:gridCol w:w="2705"/>
      </w:tblGrid>
      <w:tr w14:paraId="4F6ED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rPr>
          <w:trHeight w:val="330" w:hRule="atLeast"/>
          <w:tblHeader/>
          <w:jc w:val="center"/>
        </w:trPr>
        <w:tc>
          <w:tcPr>
            <w:tcW w:w="1346" w:type="pct"/>
            <w:vAlign w:val="center"/>
          </w:tcPr>
          <w:p w14:paraId="5198464D">
            <w:pPr>
              <w:autoSpaceDE w:val="0"/>
              <w:autoSpaceDN w:val="0"/>
              <w:snapToGrid w:val="0"/>
              <w:jc w:val="center"/>
              <w:rPr>
                <w:sz w:val="18"/>
                <w:szCs w:val="18"/>
                <w:highlight w:val="none"/>
                <w:lang w:val="zh-CN"/>
              </w:rPr>
            </w:pPr>
            <w:r>
              <w:rPr>
                <w:rFonts w:hint="eastAsia"/>
                <w:sz w:val="18"/>
                <w:szCs w:val="18"/>
                <w:highlight w:val="none"/>
                <w:lang w:val="zh-CN"/>
              </w:rPr>
              <w:t>线路类型</w:t>
            </w:r>
          </w:p>
        </w:tc>
        <w:tc>
          <w:tcPr>
            <w:tcW w:w="861" w:type="pct"/>
            <w:vAlign w:val="center"/>
          </w:tcPr>
          <w:p w14:paraId="163DA563">
            <w:pPr>
              <w:autoSpaceDE w:val="0"/>
              <w:autoSpaceDN w:val="0"/>
              <w:snapToGrid w:val="0"/>
              <w:jc w:val="center"/>
              <w:rPr>
                <w:sz w:val="18"/>
                <w:szCs w:val="18"/>
                <w:highlight w:val="none"/>
                <w:lang w:val="zh-CN"/>
              </w:rPr>
            </w:pPr>
            <w:r>
              <w:rPr>
                <w:rFonts w:hint="eastAsia"/>
                <w:sz w:val="18"/>
                <w:szCs w:val="18"/>
                <w:highlight w:val="none"/>
                <w:lang w:val="zh-CN"/>
              </w:rPr>
              <w:t>大跨越</w:t>
            </w:r>
          </w:p>
        </w:tc>
        <w:tc>
          <w:tcPr>
            <w:tcW w:w="1301" w:type="pct"/>
            <w:vAlign w:val="center"/>
          </w:tcPr>
          <w:p w14:paraId="343AAEAD">
            <w:pPr>
              <w:pStyle w:val="180"/>
              <w:rPr>
                <w:highlight w:val="none"/>
              </w:rPr>
            </w:pPr>
            <w:r>
              <w:rPr>
                <w:rFonts w:hint="eastAsia"/>
                <w:szCs w:val="18"/>
                <w:highlight w:val="none"/>
              </w:rPr>
              <w:t>特高压交直流输电线路</w:t>
            </w:r>
          </w:p>
        </w:tc>
        <w:tc>
          <w:tcPr>
            <w:tcW w:w="1491" w:type="pct"/>
            <w:vAlign w:val="center"/>
          </w:tcPr>
          <w:p w14:paraId="559996C4">
            <w:pPr>
              <w:pStyle w:val="180"/>
              <w:rPr>
                <w:highlight w:val="none"/>
              </w:rPr>
            </w:pPr>
            <w:r>
              <w:rPr>
                <w:rFonts w:hint="eastAsia"/>
                <w:szCs w:val="18"/>
                <w:highlight w:val="none"/>
              </w:rPr>
              <w:t>高压、超高压交直流输电线路</w:t>
            </w:r>
          </w:p>
        </w:tc>
      </w:tr>
      <w:tr w14:paraId="463F2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rPr>
          <w:trHeight w:val="659" w:hRule="atLeast"/>
          <w:jc w:val="center"/>
        </w:trPr>
        <w:tc>
          <w:tcPr>
            <w:tcW w:w="1346" w:type="pct"/>
            <w:vAlign w:val="center"/>
          </w:tcPr>
          <w:p w14:paraId="6A4C1206">
            <w:pPr>
              <w:autoSpaceDE w:val="0"/>
              <w:autoSpaceDN w:val="0"/>
              <w:snapToGrid w:val="0"/>
              <w:jc w:val="center"/>
              <w:rPr>
                <w:sz w:val="18"/>
                <w:szCs w:val="18"/>
                <w:highlight w:val="none"/>
              </w:rPr>
            </w:pPr>
            <w:r>
              <w:rPr>
                <w:rFonts w:hint="eastAsia"/>
                <w:sz w:val="18"/>
                <w:szCs w:val="18"/>
                <w:highlight w:val="none"/>
              </w:rPr>
              <w:t>导地线风荷载脉动折减系数</w:t>
            </w:r>
            <w:r>
              <w:rPr>
                <w:rFonts w:ascii="黑体" w:hAnsi="黑体" w:eastAsia="黑体" w:cs="宋体"/>
                <w:position w:val="-10"/>
                <w:sz w:val="18"/>
                <w:szCs w:val="18"/>
                <w:highlight w:val="none"/>
                <w:lang w:val="zh-CN"/>
              </w:rPr>
              <w:object>
                <v:shape id="_x0000_i1100" o:spt="75" type="#_x0000_t75" style="height:18.85pt;width:14.65pt;" o:ole="t" filled="f" o:preferrelative="t" stroked="f" coordsize="21600,21600">
                  <v:path/>
                  <v:fill on="f" focussize="0,0"/>
                  <v:stroke on="f" joinstyle="miter"/>
                  <v:imagedata r:id="rId171" o:title=""/>
                  <o:lock v:ext="edit" aspectratio="t"/>
                  <w10:wrap type="none"/>
                  <w10:anchorlock/>
                </v:shape>
                <o:OLEObject Type="Embed" ProgID="Equation.DSMT4" ShapeID="_x0000_i1100" DrawAspect="Content" ObjectID="_1468075800" r:id="rId172">
                  <o:LockedField>false</o:LockedField>
                </o:OLEObject>
              </w:object>
            </w:r>
          </w:p>
        </w:tc>
        <w:tc>
          <w:tcPr>
            <w:tcW w:w="861" w:type="pct"/>
            <w:vAlign w:val="center"/>
          </w:tcPr>
          <w:p w14:paraId="3C6E41B0">
            <w:pPr>
              <w:autoSpaceDE w:val="0"/>
              <w:autoSpaceDN w:val="0"/>
              <w:snapToGrid w:val="0"/>
              <w:jc w:val="center"/>
              <w:rPr>
                <w:sz w:val="18"/>
                <w:szCs w:val="18"/>
                <w:highlight w:val="none"/>
                <w:lang w:val="zh-CN"/>
              </w:rPr>
            </w:pPr>
            <w:r>
              <w:rPr>
                <w:sz w:val="18"/>
                <w:szCs w:val="18"/>
                <w:highlight w:val="none"/>
                <w:lang w:val="zh-CN"/>
              </w:rPr>
              <w:t>0.95</w:t>
            </w:r>
          </w:p>
        </w:tc>
        <w:tc>
          <w:tcPr>
            <w:tcW w:w="1301" w:type="pct"/>
            <w:vAlign w:val="center"/>
          </w:tcPr>
          <w:p w14:paraId="4D977696">
            <w:pPr>
              <w:pStyle w:val="180"/>
              <w:rPr>
                <w:highlight w:val="none"/>
              </w:rPr>
            </w:pPr>
            <w:r>
              <w:rPr>
                <w:szCs w:val="18"/>
                <w:highlight w:val="none"/>
                <w:lang w:val="zh-CN"/>
              </w:rPr>
              <w:t>0.85</w:t>
            </w:r>
          </w:p>
        </w:tc>
        <w:tc>
          <w:tcPr>
            <w:tcW w:w="1491" w:type="pct"/>
            <w:vAlign w:val="center"/>
          </w:tcPr>
          <w:p w14:paraId="7B072136">
            <w:pPr>
              <w:pStyle w:val="180"/>
              <w:rPr>
                <w:highlight w:val="none"/>
              </w:rPr>
            </w:pPr>
            <w:r>
              <w:rPr>
                <w:szCs w:val="18"/>
                <w:highlight w:val="none"/>
                <w:lang w:val="zh-CN"/>
              </w:rPr>
              <w:t>0.80</w:t>
            </w:r>
            <w:r>
              <w:rPr>
                <w:highlight w:val="none"/>
                <w:vertAlign w:val="superscript"/>
              </w:rPr>
              <w:t>a</w:t>
            </w:r>
          </w:p>
        </w:tc>
      </w:tr>
      <w:tr w14:paraId="3CD09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rPr>
          <w:trHeight w:val="324" w:hRule="atLeast"/>
          <w:jc w:val="center"/>
        </w:trPr>
        <w:tc>
          <w:tcPr>
            <w:tcW w:w="5000" w:type="pct"/>
            <w:gridSpan w:val="4"/>
            <w:vAlign w:val="center"/>
          </w:tcPr>
          <w:p w14:paraId="3D272D54">
            <w:pPr>
              <w:pStyle w:val="180"/>
              <w:jc w:val="both"/>
              <w:rPr>
                <w:szCs w:val="18"/>
                <w:highlight w:val="none"/>
                <w:lang w:val="zh-CN"/>
              </w:rPr>
            </w:pPr>
            <w:r>
              <w:rPr>
                <w:rFonts w:hint="eastAsia"/>
                <w:szCs w:val="18"/>
                <w:highlight w:val="none"/>
                <w:lang w:val="zh-CN"/>
              </w:rPr>
              <w:t>注：35kV线路</w:t>
            </w:r>
            <w:r>
              <w:rPr>
                <w:szCs w:val="18"/>
                <w:highlight w:val="none"/>
              </w:rPr>
              <w:t>导地线风荷载脉动折减系数</w:t>
            </w:r>
            <w:r>
              <w:rPr>
                <w:rFonts w:hint="eastAsia"/>
                <w:szCs w:val="18"/>
                <w:highlight w:val="none"/>
                <w:lang w:val="zh-CN"/>
              </w:rPr>
              <w:t>可参考</w:t>
            </w:r>
            <w:r>
              <w:rPr>
                <w:rFonts w:hint="eastAsia"/>
                <w:szCs w:val="18"/>
                <w:highlight w:val="none"/>
              </w:rPr>
              <w:t>高压、超高压交直流输电线路取值。</w:t>
            </w:r>
          </w:p>
        </w:tc>
      </w:tr>
      <w:tr w14:paraId="0A838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rPr>
          <w:trHeight w:val="372" w:hRule="atLeast"/>
          <w:jc w:val="center"/>
        </w:trPr>
        <w:tc>
          <w:tcPr>
            <w:tcW w:w="5000" w:type="pct"/>
            <w:gridSpan w:val="4"/>
            <w:vAlign w:val="center"/>
          </w:tcPr>
          <w:p w14:paraId="10AD7DBE">
            <w:pPr>
              <w:pStyle w:val="180"/>
              <w:jc w:val="left"/>
              <w:rPr>
                <w:szCs w:val="18"/>
                <w:highlight w:val="none"/>
                <w:vertAlign w:val="superscript"/>
                <w:lang w:val="zh-CN"/>
              </w:rPr>
            </w:pPr>
            <w:r>
              <w:rPr>
                <w:szCs w:val="18"/>
                <w:highlight w:val="none"/>
                <w:vertAlign w:val="superscript"/>
                <w:lang w:val="zh-CN"/>
              </w:rPr>
              <w:t>a</w:t>
            </w:r>
            <w:r>
              <w:rPr>
                <w:rFonts w:hint="eastAsia"/>
                <w:szCs w:val="18"/>
                <w:highlight w:val="none"/>
                <w:lang w:val="zh-CN"/>
              </w:rPr>
              <w:t>0.8可包络塔线脉动比例在1:3与3:1之间。</w:t>
            </w:r>
          </w:p>
        </w:tc>
      </w:tr>
    </w:tbl>
    <w:tbl>
      <w:tblPr>
        <w:tblStyle w:val="29"/>
        <w:tblpPr w:leftFromText="180" w:rightFromText="180" w:vertAnchor="text" w:horzAnchor="page" w:tblpX="1528" w:tblpY="368"/>
        <w:tblOverlap w:val="neve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0" w:type="dxa"/>
          <w:bottom w:w="0" w:type="dxa"/>
          <w:right w:w="100" w:type="dxa"/>
        </w:tblCellMar>
      </w:tblPr>
      <w:tblGrid>
        <w:gridCol w:w="1815"/>
        <w:gridCol w:w="1787"/>
        <w:gridCol w:w="1812"/>
        <w:gridCol w:w="1812"/>
        <w:gridCol w:w="1834"/>
      </w:tblGrid>
      <w:tr w14:paraId="4C800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1002" w:type="pct"/>
            <w:vAlign w:val="center"/>
          </w:tcPr>
          <w:p w14:paraId="18354033">
            <w:pPr>
              <w:pStyle w:val="180"/>
              <w:rPr>
                <w:highlight w:val="none"/>
              </w:rPr>
            </w:pPr>
            <w:r>
              <w:rPr>
                <w:rFonts w:hint="eastAsia"/>
                <w:szCs w:val="18"/>
                <w:highlight w:val="none"/>
                <w:lang w:val="zh-CN"/>
              </w:rPr>
              <w:t>线路类型</w:t>
            </w:r>
          </w:p>
        </w:tc>
        <w:tc>
          <w:tcPr>
            <w:tcW w:w="986" w:type="pct"/>
            <w:vAlign w:val="center"/>
          </w:tcPr>
          <w:p w14:paraId="5366C02E">
            <w:pPr>
              <w:pStyle w:val="180"/>
              <w:rPr>
                <w:highlight w:val="none"/>
              </w:rPr>
            </w:pPr>
            <w:r>
              <w:rPr>
                <w:rFonts w:hint="eastAsia"/>
                <w:szCs w:val="18"/>
                <w:highlight w:val="none"/>
                <w:lang w:val="zh-CN"/>
              </w:rPr>
              <w:t>大跨越</w:t>
            </w:r>
          </w:p>
        </w:tc>
        <w:tc>
          <w:tcPr>
            <w:tcW w:w="1000" w:type="pct"/>
            <w:vAlign w:val="center"/>
          </w:tcPr>
          <w:p w14:paraId="7487CF9E">
            <w:pPr>
              <w:pStyle w:val="180"/>
              <w:rPr>
                <w:highlight w:val="none"/>
              </w:rPr>
            </w:pPr>
            <w:r>
              <w:rPr>
                <w:rFonts w:hint="eastAsia"/>
                <w:szCs w:val="18"/>
                <w:highlight w:val="none"/>
              </w:rPr>
              <w:t>特高压交直流输电线路</w:t>
            </w:r>
          </w:p>
        </w:tc>
        <w:tc>
          <w:tcPr>
            <w:tcW w:w="1000" w:type="pct"/>
            <w:vAlign w:val="center"/>
          </w:tcPr>
          <w:p w14:paraId="0236EFC5">
            <w:pPr>
              <w:pStyle w:val="180"/>
              <w:rPr>
                <w:highlight w:val="none"/>
              </w:rPr>
            </w:pPr>
            <w:r>
              <w:rPr>
                <w:rFonts w:hint="eastAsia"/>
                <w:szCs w:val="18"/>
                <w:highlight w:val="none"/>
              </w:rPr>
              <w:t>超高压直流输电线路</w:t>
            </w:r>
          </w:p>
        </w:tc>
        <w:tc>
          <w:tcPr>
            <w:tcW w:w="1009" w:type="pct"/>
            <w:vAlign w:val="center"/>
          </w:tcPr>
          <w:p w14:paraId="7B450AFC">
            <w:pPr>
              <w:pStyle w:val="180"/>
              <w:rPr>
                <w:highlight w:val="none"/>
              </w:rPr>
            </w:pPr>
            <w:r>
              <w:rPr>
                <w:rFonts w:hint="eastAsia"/>
                <w:szCs w:val="18"/>
                <w:highlight w:val="none"/>
              </w:rPr>
              <w:t>高压交流输电线路</w:t>
            </w:r>
          </w:p>
        </w:tc>
      </w:tr>
      <w:tr w14:paraId="3E1A1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1002" w:type="pct"/>
            <w:vAlign w:val="center"/>
          </w:tcPr>
          <w:p w14:paraId="0BD5F4EB">
            <w:pPr>
              <w:pStyle w:val="180"/>
              <w:rPr>
                <w:highlight w:val="none"/>
              </w:rPr>
            </w:pPr>
            <w:r>
              <w:rPr>
                <w:rFonts w:hint="eastAsia"/>
                <w:szCs w:val="18"/>
                <w:highlight w:val="none"/>
                <w:lang w:val="zh-CN"/>
              </w:rPr>
              <w:t>最下层导线计算平均高度</w:t>
            </w:r>
          </w:p>
        </w:tc>
        <w:tc>
          <w:tcPr>
            <w:tcW w:w="986" w:type="pct"/>
            <w:vAlign w:val="center"/>
          </w:tcPr>
          <w:p w14:paraId="6EEF6870">
            <w:pPr>
              <w:pStyle w:val="180"/>
              <w:rPr>
                <w:rFonts w:hint="eastAsia" w:eastAsia="宋体"/>
                <w:highlight w:val="none"/>
                <w:lang w:val="en-US" w:eastAsia="zh-CN"/>
              </w:rPr>
            </w:pPr>
            <w:r>
              <w:rPr>
                <w:rFonts w:hint="eastAsia"/>
                <w:szCs w:val="18"/>
                <w:highlight w:val="none"/>
                <w:lang w:val="zh-CN"/>
              </w:rPr>
              <w:t>＞</w:t>
            </w:r>
            <w:r>
              <w:rPr>
                <w:szCs w:val="18"/>
                <w:highlight w:val="none"/>
                <w:lang w:val="zh-CN"/>
              </w:rPr>
              <w:t>40</w:t>
            </w:r>
            <w:r>
              <w:rPr>
                <w:rFonts w:hint="eastAsia"/>
                <w:szCs w:val="18"/>
                <w:highlight w:val="none"/>
                <w:lang w:val="en-US" w:eastAsia="zh-CN"/>
              </w:rPr>
              <w:t>m</w:t>
            </w:r>
          </w:p>
        </w:tc>
        <w:tc>
          <w:tcPr>
            <w:tcW w:w="1000" w:type="pct"/>
            <w:vAlign w:val="center"/>
          </w:tcPr>
          <w:p w14:paraId="74BC3E6E">
            <w:pPr>
              <w:pStyle w:val="180"/>
              <w:rPr>
                <w:rFonts w:hint="eastAsia" w:eastAsia="宋体"/>
                <w:highlight w:val="none"/>
                <w:lang w:val="en-US" w:eastAsia="zh-CN"/>
              </w:rPr>
            </w:pPr>
            <w:r>
              <w:rPr>
                <w:szCs w:val="18"/>
                <w:highlight w:val="none"/>
                <w:lang w:val="zh-CN"/>
              </w:rPr>
              <w:t>40</w:t>
            </w:r>
            <w:r>
              <w:rPr>
                <w:rFonts w:hint="eastAsia"/>
                <w:szCs w:val="18"/>
                <w:highlight w:val="none"/>
                <w:lang w:val="en-US" w:eastAsia="zh-CN"/>
              </w:rPr>
              <w:t>m</w:t>
            </w:r>
          </w:p>
        </w:tc>
        <w:tc>
          <w:tcPr>
            <w:tcW w:w="1000" w:type="pct"/>
            <w:vAlign w:val="center"/>
          </w:tcPr>
          <w:p w14:paraId="1AC5B6D6">
            <w:pPr>
              <w:pStyle w:val="180"/>
              <w:rPr>
                <w:rFonts w:hint="eastAsia" w:eastAsia="宋体"/>
                <w:highlight w:val="none"/>
                <w:lang w:val="en-US" w:eastAsia="zh-CN"/>
              </w:rPr>
            </w:pPr>
            <w:r>
              <w:rPr>
                <w:szCs w:val="18"/>
                <w:highlight w:val="none"/>
                <w:lang w:val="zh-CN"/>
              </w:rPr>
              <w:t>30</w:t>
            </w:r>
            <w:r>
              <w:rPr>
                <w:rFonts w:hint="eastAsia"/>
                <w:szCs w:val="18"/>
                <w:highlight w:val="none"/>
                <w:lang w:val="en-US" w:eastAsia="zh-CN"/>
              </w:rPr>
              <w:t>m</w:t>
            </w:r>
          </w:p>
        </w:tc>
        <w:tc>
          <w:tcPr>
            <w:tcW w:w="1009" w:type="pct"/>
            <w:vAlign w:val="center"/>
          </w:tcPr>
          <w:p w14:paraId="369886F3">
            <w:pPr>
              <w:pStyle w:val="180"/>
              <w:rPr>
                <w:rFonts w:hint="eastAsia" w:eastAsia="宋体"/>
                <w:highlight w:val="none"/>
                <w:lang w:val="en-US" w:eastAsia="zh-CN"/>
              </w:rPr>
            </w:pPr>
            <w:r>
              <w:rPr>
                <w:szCs w:val="18"/>
                <w:highlight w:val="none"/>
                <w:lang w:val="zh-CN"/>
              </w:rPr>
              <w:t>20</w:t>
            </w:r>
            <w:r>
              <w:rPr>
                <w:rFonts w:hint="eastAsia"/>
                <w:szCs w:val="18"/>
                <w:highlight w:val="none"/>
                <w:lang w:val="en-US" w:eastAsia="zh-CN"/>
              </w:rPr>
              <w:t>m</w:t>
            </w:r>
          </w:p>
        </w:tc>
      </w:tr>
      <w:tr w14:paraId="55861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5000" w:type="pct"/>
            <w:gridSpan w:val="5"/>
            <w:vAlign w:val="center"/>
          </w:tcPr>
          <w:p w14:paraId="6F5063B8">
            <w:pPr>
              <w:pStyle w:val="180"/>
              <w:jc w:val="both"/>
              <w:rPr>
                <w:szCs w:val="18"/>
                <w:highlight w:val="none"/>
                <w:lang w:val="zh-CN"/>
              </w:rPr>
            </w:pPr>
            <w:r>
              <w:rPr>
                <w:rFonts w:hint="eastAsia"/>
                <w:szCs w:val="18"/>
                <w:highlight w:val="none"/>
                <w:lang w:val="zh-CN"/>
              </w:rPr>
              <w:t>注：35kV线路</w:t>
            </w:r>
            <w:r>
              <w:rPr>
                <w:rFonts w:hint="eastAsia"/>
                <w:highlight w:val="none"/>
              </w:rPr>
              <w:t>导地线张力荷载时最下层导线计算平均高度</w:t>
            </w:r>
            <w:r>
              <w:rPr>
                <w:rFonts w:hint="eastAsia"/>
                <w:szCs w:val="18"/>
                <w:highlight w:val="none"/>
                <w:lang w:val="zh-CN"/>
              </w:rPr>
              <w:t>可参考</w:t>
            </w:r>
            <w:r>
              <w:rPr>
                <w:rFonts w:hint="eastAsia"/>
                <w:szCs w:val="18"/>
                <w:highlight w:val="none"/>
              </w:rPr>
              <w:t>高压交直流输电线路取值。</w:t>
            </w:r>
          </w:p>
        </w:tc>
      </w:tr>
    </w:tbl>
    <w:p w14:paraId="57A27296">
      <w:pPr>
        <w:pStyle w:val="114"/>
        <w:bidi w:val="0"/>
        <w:rPr>
          <w:rFonts w:hint="eastAsia"/>
          <w:highlight w:val="none"/>
        </w:rPr>
      </w:pPr>
      <w:r>
        <w:rPr>
          <w:rFonts w:hint="eastAsia"/>
          <w:highlight w:val="none"/>
        </w:rPr>
        <w:t>计算导地线张力荷载时最下层导线计算平均高度</w:t>
      </w:r>
    </w:p>
    <w:p w14:paraId="4FAE75C4">
      <w:pPr>
        <w:pStyle w:val="16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lang w:val="en-US" w:eastAsia="zh-CN"/>
        </w:rPr>
      </w:pPr>
      <w:bookmarkStart w:id="171" w:name="OLE_LINK3"/>
      <w:bookmarkStart w:id="172" w:name="OLE_LINK4"/>
      <w:r>
        <w:rPr>
          <w:rFonts w:hint="eastAsia"/>
          <w:highlight w:val="none"/>
          <w:lang w:val="en-US" w:eastAsia="zh-CN"/>
        </w:rPr>
        <w:t>对于一般耐张塔，其前后档导地线夹角平分线与铁塔横担方向一致。大风工况下的多角度风荷载计算，应按表3规定的角度方向进行。表中α为前档导地线转角，β为后档导地线转角，各风向角的定义见图3。</w:t>
      </w:r>
    </w:p>
    <w:p w14:paraId="74B8F6CB">
      <w:pPr>
        <w:pStyle w:val="114"/>
        <w:bidi w:val="0"/>
        <w:rPr>
          <w:rFonts w:hint="eastAsia"/>
          <w:highlight w:val="none"/>
        </w:rPr>
      </w:pPr>
      <w:r>
        <w:rPr>
          <w:rFonts w:hint="eastAsia"/>
          <w:highlight w:val="none"/>
        </w:rPr>
        <w:t>大风工况风荷载计算风向角</w:t>
      </w:r>
    </w:p>
    <w:p w14:paraId="6BA6052D">
      <w:pPr>
        <w:pStyle w:val="58"/>
        <w:tabs>
          <w:tab w:val="left" w:pos="7260"/>
          <w:tab w:val="left" w:pos="7720"/>
        </w:tabs>
        <w:ind w:firstLine="0" w:firstLineChars="0"/>
        <w:jc w:val="right"/>
        <w:rPr>
          <w:sz w:val="18"/>
          <w:szCs w:val="18"/>
          <w:highlight w:val="none"/>
        </w:rPr>
      </w:pPr>
      <w:r>
        <w:rPr>
          <w:sz w:val="18"/>
          <w:szCs w:val="18"/>
          <w:highlight w:val="none"/>
        </w:rPr>
        <w:tab/>
      </w:r>
      <w:r>
        <w:rPr>
          <w:sz w:val="18"/>
          <w:szCs w:val="18"/>
          <w:highlight w:val="none"/>
        </w:rPr>
        <w:tab/>
      </w:r>
      <w:r>
        <w:rPr>
          <w:rFonts w:hint="eastAsia"/>
          <w:sz w:val="18"/>
          <w:szCs w:val="18"/>
          <w:highlight w:val="none"/>
        </w:rPr>
        <w:t>单位为度</w:t>
      </w:r>
    </w:p>
    <w:tbl>
      <w:tblPr>
        <w:tblStyle w:val="2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0" w:type="dxa"/>
          <w:bottom w:w="0" w:type="dxa"/>
          <w:right w:w="100" w:type="dxa"/>
        </w:tblCellMar>
      </w:tblPr>
      <w:tblGrid>
        <w:gridCol w:w="908"/>
        <w:gridCol w:w="2368"/>
        <w:gridCol w:w="2952"/>
        <w:gridCol w:w="2830"/>
      </w:tblGrid>
      <w:tr w14:paraId="36EBB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rPr>
          <w:tblHeader/>
          <w:jc w:val="center"/>
        </w:trPr>
        <w:tc>
          <w:tcPr>
            <w:tcW w:w="501" w:type="pct"/>
            <w:vAlign w:val="center"/>
          </w:tcPr>
          <w:p w14:paraId="4C4E5737">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序号</w:t>
            </w:r>
          </w:p>
        </w:tc>
        <w:tc>
          <w:tcPr>
            <w:tcW w:w="1307" w:type="pct"/>
            <w:vAlign w:val="center"/>
          </w:tcPr>
          <w:p w14:paraId="78B46DB9">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对塔角度（°）</w:t>
            </w:r>
          </w:p>
        </w:tc>
        <w:tc>
          <w:tcPr>
            <w:tcW w:w="1629" w:type="pct"/>
            <w:vAlign w:val="center"/>
          </w:tcPr>
          <w:p w14:paraId="18741783">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对前档线角度（°）</w:t>
            </w:r>
          </w:p>
        </w:tc>
        <w:tc>
          <w:tcPr>
            <w:tcW w:w="1562" w:type="pct"/>
            <w:vAlign w:val="center"/>
          </w:tcPr>
          <w:p w14:paraId="213BAFE5">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对后档线角度（°）</w:t>
            </w:r>
          </w:p>
        </w:tc>
      </w:tr>
      <w:tr w14:paraId="698F4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rPr>
          <w:jc w:val="center"/>
        </w:trPr>
        <w:tc>
          <w:tcPr>
            <w:tcW w:w="501" w:type="pct"/>
            <w:vAlign w:val="center"/>
          </w:tcPr>
          <w:p w14:paraId="0CF1682C">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1</w:t>
            </w:r>
          </w:p>
        </w:tc>
        <w:tc>
          <w:tcPr>
            <w:tcW w:w="1307" w:type="pct"/>
            <w:shd w:val="clear" w:color="auto" w:fill="auto"/>
            <w:vAlign w:val="center"/>
          </w:tcPr>
          <w:p w14:paraId="670986AB">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90</w:t>
            </w:r>
          </w:p>
        </w:tc>
        <w:tc>
          <w:tcPr>
            <w:tcW w:w="1629" w:type="pct"/>
            <w:shd w:val="clear" w:color="auto" w:fill="auto"/>
            <w:vAlign w:val="center"/>
          </w:tcPr>
          <w:p w14:paraId="0A22B2F1">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90-α</w:t>
            </w:r>
          </w:p>
        </w:tc>
        <w:tc>
          <w:tcPr>
            <w:tcW w:w="1562" w:type="pct"/>
            <w:shd w:val="clear" w:color="auto" w:fill="auto"/>
            <w:vAlign w:val="center"/>
          </w:tcPr>
          <w:p w14:paraId="26B9172D">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90+β</w:t>
            </w:r>
          </w:p>
        </w:tc>
      </w:tr>
      <w:tr w14:paraId="18152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rPr>
          <w:trHeight w:val="90" w:hRule="atLeast"/>
          <w:jc w:val="center"/>
        </w:trPr>
        <w:tc>
          <w:tcPr>
            <w:tcW w:w="501" w:type="pct"/>
            <w:vAlign w:val="center"/>
          </w:tcPr>
          <w:p w14:paraId="3146FCA5">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2</w:t>
            </w:r>
          </w:p>
        </w:tc>
        <w:tc>
          <w:tcPr>
            <w:tcW w:w="1307" w:type="pct"/>
            <w:shd w:val="clear" w:color="auto" w:fill="auto"/>
            <w:vAlign w:val="center"/>
          </w:tcPr>
          <w:p w14:paraId="58383C01">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-90</w:t>
            </w:r>
          </w:p>
        </w:tc>
        <w:tc>
          <w:tcPr>
            <w:tcW w:w="1629" w:type="pct"/>
            <w:shd w:val="clear" w:color="auto" w:fill="auto"/>
            <w:vAlign w:val="center"/>
          </w:tcPr>
          <w:p w14:paraId="46680251">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-90-α</w:t>
            </w:r>
          </w:p>
        </w:tc>
        <w:tc>
          <w:tcPr>
            <w:tcW w:w="1562" w:type="pct"/>
            <w:shd w:val="clear" w:color="auto" w:fill="auto"/>
            <w:vAlign w:val="center"/>
          </w:tcPr>
          <w:p w14:paraId="2A5D3CE2">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-90+β</w:t>
            </w:r>
          </w:p>
        </w:tc>
      </w:tr>
      <w:tr w14:paraId="2FFF6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rPr>
          <w:jc w:val="center"/>
        </w:trPr>
        <w:tc>
          <w:tcPr>
            <w:tcW w:w="501" w:type="pct"/>
            <w:vAlign w:val="center"/>
          </w:tcPr>
          <w:p w14:paraId="35E7A795">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3</w:t>
            </w:r>
          </w:p>
        </w:tc>
        <w:tc>
          <w:tcPr>
            <w:tcW w:w="1307" w:type="pct"/>
            <w:shd w:val="clear" w:color="auto" w:fill="auto"/>
            <w:vAlign w:val="center"/>
          </w:tcPr>
          <w:p w14:paraId="5AD2E63D">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90+α</w:t>
            </w:r>
          </w:p>
        </w:tc>
        <w:tc>
          <w:tcPr>
            <w:tcW w:w="1629" w:type="pct"/>
            <w:shd w:val="clear" w:color="auto" w:fill="auto"/>
            <w:vAlign w:val="center"/>
          </w:tcPr>
          <w:p w14:paraId="7EE8021D">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90</w:t>
            </w:r>
          </w:p>
        </w:tc>
        <w:tc>
          <w:tcPr>
            <w:tcW w:w="1562" w:type="pct"/>
            <w:shd w:val="clear" w:color="auto" w:fill="auto"/>
            <w:vAlign w:val="center"/>
          </w:tcPr>
          <w:p w14:paraId="22EE2FA4">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90+α+β</w:t>
            </w:r>
          </w:p>
        </w:tc>
      </w:tr>
      <w:tr w14:paraId="59EB6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rPr>
          <w:jc w:val="center"/>
        </w:trPr>
        <w:tc>
          <w:tcPr>
            <w:tcW w:w="501" w:type="pct"/>
            <w:vAlign w:val="center"/>
          </w:tcPr>
          <w:p w14:paraId="4E93B9E3">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4</w:t>
            </w:r>
          </w:p>
        </w:tc>
        <w:tc>
          <w:tcPr>
            <w:tcW w:w="1307" w:type="pct"/>
            <w:shd w:val="clear" w:color="auto" w:fill="auto"/>
            <w:vAlign w:val="center"/>
          </w:tcPr>
          <w:p w14:paraId="772EC1B2">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-90+α</w:t>
            </w:r>
          </w:p>
        </w:tc>
        <w:tc>
          <w:tcPr>
            <w:tcW w:w="1629" w:type="pct"/>
            <w:shd w:val="clear" w:color="auto" w:fill="auto"/>
            <w:vAlign w:val="center"/>
          </w:tcPr>
          <w:p w14:paraId="07BAD32B">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-90</w:t>
            </w:r>
          </w:p>
        </w:tc>
        <w:tc>
          <w:tcPr>
            <w:tcW w:w="1562" w:type="pct"/>
            <w:shd w:val="clear" w:color="auto" w:fill="auto"/>
            <w:vAlign w:val="center"/>
          </w:tcPr>
          <w:p w14:paraId="4BF127C8">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-90+α+β</w:t>
            </w:r>
          </w:p>
        </w:tc>
      </w:tr>
      <w:tr w14:paraId="3731C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rPr>
          <w:jc w:val="center"/>
        </w:trPr>
        <w:tc>
          <w:tcPr>
            <w:tcW w:w="501" w:type="pct"/>
            <w:vAlign w:val="center"/>
          </w:tcPr>
          <w:p w14:paraId="7FBBA66B">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5</w:t>
            </w:r>
          </w:p>
        </w:tc>
        <w:tc>
          <w:tcPr>
            <w:tcW w:w="1307" w:type="pct"/>
            <w:shd w:val="clear" w:color="auto" w:fill="auto"/>
            <w:vAlign w:val="center"/>
          </w:tcPr>
          <w:p w14:paraId="695BC0AA">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90-β</w:t>
            </w:r>
          </w:p>
        </w:tc>
        <w:tc>
          <w:tcPr>
            <w:tcW w:w="1629" w:type="pct"/>
            <w:shd w:val="clear" w:color="auto" w:fill="auto"/>
            <w:vAlign w:val="center"/>
          </w:tcPr>
          <w:p w14:paraId="62822387">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90-(α+β)</w:t>
            </w:r>
          </w:p>
        </w:tc>
        <w:tc>
          <w:tcPr>
            <w:tcW w:w="1562" w:type="pct"/>
            <w:shd w:val="clear" w:color="auto" w:fill="auto"/>
            <w:vAlign w:val="center"/>
          </w:tcPr>
          <w:p w14:paraId="0CCB8A47">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90</w:t>
            </w:r>
          </w:p>
        </w:tc>
      </w:tr>
      <w:tr w14:paraId="246D0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rPr>
          <w:jc w:val="center"/>
        </w:trPr>
        <w:tc>
          <w:tcPr>
            <w:tcW w:w="501" w:type="pct"/>
            <w:vAlign w:val="center"/>
          </w:tcPr>
          <w:p w14:paraId="3B35C2FC">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6</w:t>
            </w:r>
          </w:p>
        </w:tc>
        <w:tc>
          <w:tcPr>
            <w:tcW w:w="1307" w:type="pct"/>
            <w:shd w:val="clear" w:color="auto" w:fill="auto"/>
            <w:vAlign w:val="center"/>
          </w:tcPr>
          <w:p w14:paraId="285803D5">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-90-β</w:t>
            </w:r>
          </w:p>
        </w:tc>
        <w:tc>
          <w:tcPr>
            <w:tcW w:w="1629" w:type="pct"/>
            <w:shd w:val="clear" w:color="auto" w:fill="auto"/>
            <w:vAlign w:val="center"/>
          </w:tcPr>
          <w:p w14:paraId="2E420A2F">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-90-(α+β)</w:t>
            </w:r>
          </w:p>
        </w:tc>
        <w:tc>
          <w:tcPr>
            <w:tcW w:w="1562" w:type="pct"/>
            <w:shd w:val="clear" w:color="auto" w:fill="auto"/>
            <w:vAlign w:val="center"/>
          </w:tcPr>
          <w:p w14:paraId="566AC84C">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-90</w:t>
            </w:r>
          </w:p>
        </w:tc>
      </w:tr>
      <w:tr w14:paraId="5A9E1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rPr>
          <w:jc w:val="center"/>
        </w:trPr>
        <w:tc>
          <w:tcPr>
            <w:tcW w:w="501" w:type="pct"/>
            <w:vAlign w:val="center"/>
          </w:tcPr>
          <w:p w14:paraId="4312F9BF">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7</w:t>
            </w:r>
          </w:p>
        </w:tc>
        <w:tc>
          <w:tcPr>
            <w:tcW w:w="1307" w:type="pct"/>
            <w:shd w:val="clear" w:color="auto" w:fill="auto"/>
            <w:vAlign w:val="center"/>
          </w:tcPr>
          <w:p w14:paraId="5B723B14">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45</w:t>
            </w:r>
          </w:p>
        </w:tc>
        <w:tc>
          <w:tcPr>
            <w:tcW w:w="1629" w:type="pct"/>
            <w:shd w:val="clear" w:color="auto" w:fill="auto"/>
            <w:vAlign w:val="center"/>
          </w:tcPr>
          <w:p w14:paraId="4EA13473">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45-α</w:t>
            </w:r>
          </w:p>
        </w:tc>
        <w:tc>
          <w:tcPr>
            <w:tcW w:w="1562" w:type="pct"/>
            <w:shd w:val="clear" w:color="auto" w:fill="auto"/>
            <w:vAlign w:val="center"/>
          </w:tcPr>
          <w:p w14:paraId="134CAB75">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45+β</w:t>
            </w:r>
          </w:p>
        </w:tc>
      </w:tr>
      <w:tr w14:paraId="7C62B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1" w:type="pct"/>
            <w:vAlign w:val="center"/>
          </w:tcPr>
          <w:p w14:paraId="60727245">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8</w:t>
            </w:r>
          </w:p>
        </w:tc>
        <w:tc>
          <w:tcPr>
            <w:tcW w:w="1307" w:type="pct"/>
            <w:shd w:val="clear" w:color="auto" w:fill="auto"/>
            <w:vAlign w:val="center"/>
          </w:tcPr>
          <w:p w14:paraId="2CC97309">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-45</w:t>
            </w:r>
          </w:p>
        </w:tc>
        <w:tc>
          <w:tcPr>
            <w:tcW w:w="1629" w:type="pct"/>
            <w:shd w:val="clear" w:color="auto" w:fill="auto"/>
            <w:vAlign w:val="center"/>
          </w:tcPr>
          <w:p w14:paraId="6EFAA2FC">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-45-α</w:t>
            </w:r>
          </w:p>
        </w:tc>
        <w:tc>
          <w:tcPr>
            <w:tcW w:w="1562" w:type="pct"/>
            <w:shd w:val="clear" w:color="auto" w:fill="auto"/>
            <w:vAlign w:val="center"/>
          </w:tcPr>
          <w:p w14:paraId="02B97DAF">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-45+β</w:t>
            </w:r>
          </w:p>
        </w:tc>
      </w:tr>
      <w:tr w14:paraId="67484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rPr>
          <w:jc w:val="center"/>
        </w:trPr>
        <w:tc>
          <w:tcPr>
            <w:tcW w:w="501" w:type="pct"/>
            <w:vAlign w:val="center"/>
          </w:tcPr>
          <w:p w14:paraId="6289D742">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9</w:t>
            </w:r>
          </w:p>
        </w:tc>
        <w:tc>
          <w:tcPr>
            <w:tcW w:w="1307" w:type="pct"/>
            <w:shd w:val="clear" w:color="auto" w:fill="auto"/>
            <w:vAlign w:val="center"/>
          </w:tcPr>
          <w:p w14:paraId="2A206575">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135</w:t>
            </w:r>
          </w:p>
        </w:tc>
        <w:tc>
          <w:tcPr>
            <w:tcW w:w="1629" w:type="pct"/>
            <w:shd w:val="clear" w:color="auto" w:fill="auto"/>
            <w:vAlign w:val="center"/>
          </w:tcPr>
          <w:p w14:paraId="4C084966">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135-α</w:t>
            </w:r>
          </w:p>
        </w:tc>
        <w:tc>
          <w:tcPr>
            <w:tcW w:w="1562" w:type="pct"/>
            <w:shd w:val="clear" w:color="auto" w:fill="auto"/>
            <w:vAlign w:val="center"/>
          </w:tcPr>
          <w:p w14:paraId="5D94E0E0">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135+β</w:t>
            </w:r>
          </w:p>
        </w:tc>
      </w:tr>
      <w:tr w14:paraId="6B7A5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rPr>
          <w:jc w:val="center"/>
        </w:trPr>
        <w:tc>
          <w:tcPr>
            <w:tcW w:w="501" w:type="pct"/>
            <w:vAlign w:val="center"/>
          </w:tcPr>
          <w:p w14:paraId="38B479AC">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10</w:t>
            </w:r>
          </w:p>
        </w:tc>
        <w:tc>
          <w:tcPr>
            <w:tcW w:w="1307" w:type="pct"/>
            <w:shd w:val="clear" w:color="auto" w:fill="auto"/>
            <w:vAlign w:val="center"/>
          </w:tcPr>
          <w:p w14:paraId="21952DDD">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-135</w:t>
            </w:r>
          </w:p>
        </w:tc>
        <w:tc>
          <w:tcPr>
            <w:tcW w:w="1629" w:type="pct"/>
            <w:shd w:val="clear" w:color="auto" w:fill="auto"/>
            <w:vAlign w:val="center"/>
          </w:tcPr>
          <w:p w14:paraId="5693DC2E">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-135-α</w:t>
            </w:r>
          </w:p>
        </w:tc>
        <w:tc>
          <w:tcPr>
            <w:tcW w:w="1562" w:type="pct"/>
            <w:shd w:val="clear" w:color="auto" w:fill="auto"/>
            <w:vAlign w:val="center"/>
          </w:tcPr>
          <w:p w14:paraId="112B2A70">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-135+β</w:t>
            </w:r>
          </w:p>
        </w:tc>
      </w:tr>
      <w:tr w14:paraId="71A11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rPr>
          <w:jc w:val="center"/>
        </w:trPr>
        <w:tc>
          <w:tcPr>
            <w:tcW w:w="501" w:type="pct"/>
            <w:vAlign w:val="center"/>
          </w:tcPr>
          <w:p w14:paraId="13BE61AE">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11</w:t>
            </w:r>
          </w:p>
        </w:tc>
        <w:tc>
          <w:tcPr>
            <w:tcW w:w="1307" w:type="pct"/>
            <w:shd w:val="clear" w:color="auto" w:fill="auto"/>
            <w:vAlign w:val="center"/>
          </w:tcPr>
          <w:p w14:paraId="4D648B5C">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0</w:t>
            </w:r>
          </w:p>
        </w:tc>
        <w:tc>
          <w:tcPr>
            <w:tcW w:w="1629" w:type="pct"/>
            <w:shd w:val="clear" w:color="auto" w:fill="auto"/>
            <w:vAlign w:val="center"/>
          </w:tcPr>
          <w:p w14:paraId="598B49E0">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α</w:t>
            </w:r>
          </w:p>
        </w:tc>
        <w:tc>
          <w:tcPr>
            <w:tcW w:w="1562" w:type="pct"/>
            <w:shd w:val="clear" w:color="auto" w:fill="auto"/>
            <w:vAlign w:val="center"/>
          </w:tcPr>
          <w:p w14:paraId="7CA6B336">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β</w:t>
            </w:r>
          </w:p>
        </w:tc>
      </w:tr>
      <w:tr w14:paraId="367CA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rPr>
          <w:trHeight w:val="175" w:hRule="atLeast"/>
          <w:jc w:val="center"/>
        </w:trPr>
        <w:tc>
          <w:tcPr>
            <w:tcW w:w="501" w:type="pct"/>
            <w:vAlign w:val="center"/>
          </w:tcPr>
          <w:p w14:paraId="13AA61FA">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12</w:t>
            </w:r>
          </w:p>
        </w:tc>
        <w:tc>
          <w:tcPr>
            <w:tcW w:w="1307" w:type="pct"/>
            <w:shd w:val="clear" w:color="auto" w:fill="auto"/>
            <w:vAlign w:val="center"/>
          </w:tcPr>
          <w:p w14:paraId="27FAA772">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180</w:t>
            </w:r>
          </w:p>
        </w:tc>
        <w:tc>
          <w:tcPr>
            <w:tcW w:w="1629" w:type="pct"/>
            <w:shd w:val="clear" w:color="auto" w:fill="auto"/>
            <w:vAlign w:val="center"/>
          </w:tcPr>
          <w:p w14:paraId="57B53F57">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180-α</w:t>
            </w:r>
          </w:p>
        </w:tc>
        <w:tc>
          <w:tcPr>
            <w:tcW w:w="1562" w:type="pct"/>
            <w:shd w:val="clear" w:color="auto" w:fill="auto"/>
            <w:vAlign w:val="center"/>
          </w:tcPr>
          <w:p w14:paraId="201BBBC5">
            <w:pPr>
              <w:pStyle w:val="180"/>
              <w:bidi w:val="0"/>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180+β</w:t>
            </w:r>
          </w:p>
        </w:tc>
      </w:tr>
    </w:tbl>
    <w:p w14:paraId="76369CA4">
      <w:pPr>
        <w:pStyle w:val="233"/>
        <w:spacing w:line="360" w:lineRule="auto"/>
        <w:ind w:firstLine="420"/>
        <w:jc w:val="center"/>
        <w:rPr>
          <w:highlight w:val="none"/>
        </w:rPr>
      </w:pPr>
    </w:p>
    <w:p w14:paraId="1056380E">
      <w:pPr>
        <w:pStyle w:val="233"/>
        <w:spacing w:line="360" w:lineRule="auto"/>
        <w:ind w:firstLine="420"/>
        <w:jc w:val="center"/>
        <w:rPr>
          <w:rFonts w:hint="eastAsia" w:hAnsi="宋体" w:cs="宋体"/>
          <w:szCs w:val="21"/>
          <w:highlight w:val="none"/>
          <w:lang w:bidi="ar"/>
        </w:rPr>
      </w:pPr>
      <w:r>
        <w:rPr>
          <w:highlight w:val="none"/>
        </w:rPr>
        <w:drawing>
          <wp:inline distT="0" distB="0" distL="0" distR="0">
            <wp:extent cx="2877185" cy="2768600"/>
            <wp:effectExtent l="0" t="0" r="18415" b="12700"/>
            <wp:docPr id="210784100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841004" name="图片 1"/>
                    <pic:cNvPicPr>
                      <a:picLocks noChangeAspect="1"/>
                    </pic:cNvPicPr>
                  </pic:nvPicPr>
                  <pic:blipFill>
                    <a:blip r:embed="rId173"/>
                    <a:stretch>
                      <a:fillRect/>
                    </a:stretch>
                  </pic:blipFill>
                  <pic:spPr>
                    <a:xfrm>
                      <a:off x="0" y="0"/>
                      <a:ext cx="2889519" cy="2780475"/>
                    </a:xfrm>
                    <a:prstGeom prst="rect">
                      <a:avLst/>
                    </a:prstGeom>
                  </pic:spPr>
                </pic:pic>
              </a:graphicData>
            </a:graphic>
          </wp:inline>
        </w:drawing>
      </w:r>
    </w:p>
    <w:p w14:paraId="6337A64B">
      <w:pPr>
        <w:pStyle w:val="116"/>
        <w:bidi w:val="0"/>
        <w:rPr>
          <w:highlight w:val="none"/>
        </w:rPr>
      </w:pPr>
      <w:r>
        <w:rPr>
          <w:rFonts w:hint="eastAsia"/>
          <w:highlight w:val="none"/>
        </w:rPr>
        <w:t>风向角示意图</w:t>
      </w:r>
    </w:p>
    <w:bookmarkEnd w:id="171"/>
    <w:bookmarkEnd w:id="172"/>
    <w:p w14:paraId="311EF32D">
      <w:pPr>
        <w:pStyle w:val="167"/>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CN"/>
        </w:rPr>
      </w:pPr>
      <w:r>
        <w:rPr>
          <w:rFonts w:hint="eastAsia"/>
          <w:highlight w:val="none"/>
          <w:lang w:val="en-US" w:eastAsia="zh-CN"/>
        </w:rPr>
        <w:t>对于分歧塔等前后档导地线夹角平分线与铁塔横担方向不一致的特殊杆塔，还宜增加其他可能起控制作用的风向角度工况进行计算。</w:t>
      </w:r>
    </w:p>
    <w:p w14:paraId="12FCB47D">
      <w:pPr>
        <w:pStyle w:val="167"/>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CN"/>
        </w:rPr>
      </w:pPr>
      <w:r>
        <w:rPr>
          <w:rFonts w:hint="eastAsia"/>
          <w:highlight w:val="none"/>
          <w:lang w:val="en-US" w:eastAsia="zh-CN"/>
        </w:rPr>
        <w:t>覆冰、安装等工况下，风压与张力荷载的计算按下述规则简化：仅考虑“对塔90°”这一风向角，且转角α与β均取值为零。</w:t>
      </w:r>
    </w:p>
    <w:p w14:paraId="6D278A02">
      <w:pPr>
        <w:pStyle w:val="167"/>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CN"/>
        </w:rPr>
      </w:pPr>
      <w:r>
        <w:rPr>
          <w:rFonts w:hint="eastAsia"/>
          <w:highlight w:val="none"/>
          <w:lang w:val="en-US" w:eastAsia="zh-CN"/>
        </w:rPr>
        <w:t>导地线及跳线风荷载的组合值，应根据气象条件按式</w:t>
      </w:r>
      <w:r>
        <w:rPr>
          <w:rFonts w:hint="default" w:ascii="Times New Roman" w:hAnsi="Times New Roman" w:cs="Times New Roman"/>
          <w:highlight w:val="none"/>
          <w:lang w:val="en-US" w:eastAsia="zh-CN"/>
        </w:rPr>
        <w:t>（1）～（9）</w:t>
      </w:r>
      <w:r>
        <w:rPr>
          <w:rFonts w:hint="eastAsia"/>
          <w:highlight w:val="none"/>
          <w:lang w:val="en-US" w:eastAsia="zh-CN"/>
        </w:rPr>
        <w:t>计算。</w:t>
      </w:r>
    </w:p>
    <w:p w14:paraId="4C3B8ADA">
      <w:pPr>
        <w:pStyle w:val="107"/>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
        </w:rPr>
      </w:pPr>
      <w:bookmarkStart w:id="173" w:name="_Toc13896"/>
      <w:bookmarkStart w:id="174" w:name="_Toc30806"/>
      <w:bookmarkStart w:id="175" w:name="_Toc1190"/>
      <w:bookmarkStart w:id="176" w:name="_Toc1529"/>
      <w:bookmarkStart w:id="177" w:name="_Toc1333"/>
      <w:bookmarkStart w:id="178" w:name="_Toc9185"/>
      <w:bookmarkStart w:id="179" w:name="_Toc191733741"/>
      <w:bookmarkStart w:id="180" w:name="_Toc191733742"/>
      <w:bookmarkStart w:id="181" w:name="_Toc10838"/>
      <w:r>
        <w:rPr>
          <w:rFonts w:hint="eastAsia"/>
          <w:highlight w:val="none"/>
          <w:lang w:val="en-US" w:eastAsia="zh"/>
        </w:rPr>
        <w:t>杆塔风荷载</w:t>
      </w:r>
      <w:bookmarkEnd w:id="173"/>
      <w:bookmarkEnd w:id="174"/>
      <w:bookmarkEnd w:id="175"/>
      <w:bookmarkEnd w:id="176"/>
      <w:bookmarkEnd w:id="177"/>
    </w:p>
    <w:p w14:paraId="75842007">
      <w:pPr>
        <w:pStyle w:val="58"/>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CN"/>
        </w:rPr>
      </w:pPr>
      <w:r>
        <w:rPr>
          <w:rFonts w:hint="eastAsia"/>
          <w:highlight w:val="none"/>
          <w:lang w:val="en-US" w:eastAsia="zh-CN"/>
        </w:rPr>
        <w:t>杆塔风荷载</w:t>
      </w:r>
      <w:bookmarkEnd w:id="178"/>
      <w:bookmarkEnd w:id="179"/>
      <w:r>
        <w:rPr>
          <w:rFonts w:hint="eastAsia"/>
          <w:highlight w:val="none"/>
          <w:lang w:val="en-US" w:eastAsia="zh-CN"/>
        </w:rPr>
        <w:t>的计算应符合DL/T5551的规定。</w:t>
      </w:r>
    </w:p>
    <w:p w14:paraId="589FAD7E">
      <w:pPr>
        <w:pStyle w:val="107"/>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
        </w:rPr>
      </w:pPr>
      <w:bookmarkStart w:id="182" w:name="_Toc31139"/>
      <w:bookmarkStart w:id="183" w:name="_Toc25172"/>
      <w:bookmarkStart w:id="184" w:name="_Toc10367"/>
      <w:bookmarkStart w:id="185" w:name="_Toc8059"/>
      <w:bookmarkStart w:id="186" w:name="_Toc32203"/>
      <w:r>
        <w:rPr>
          <w:rFonts w:hint="eastAsia"/>
          <w:highlight w:val="none"/>
          <w:lang w:val="en-US" w:eastAsia="zh"/>
        </w:rPr>
        <w:t>绝缘子串风荷载</w:t>
      </w:r>
      <w:bookmarkEnd w:id="180"/>
      <w:bookmarkEnd w:id="181"/>
      <w:bookmarkEnd w:id="182"/>
      <w:bookmarkEnd w:id="183"/>
      <w:bookmarkEnd w:id="184"/>
      <w:bookmarkEnd w:id="185"/>
      <w:bookmarkEnd w:id="186"/>
    </w:p>
    <w:p w14:paraId="323E747B">
      <w:pPr>
        <w:pStyle w:val="58"/>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CN"/>
        </w:rPr>
      </w:pPr>
      <w:r>
        <w:rPr>
          <w:rFonts w:hint="eastAsia"/>
          <w:highlight w:val="none"/>
          <w:lang w:val="en-US" w:eastAsia="zh-CN"/>
        </w:rPr>
        <w:t>绝缘子串风荷载的计算应符合DL/T5551的规定。</w:t>
      </w:r>
    </w:p>
    <w:bookmarkEnd w:id="161"/>
    <w:bookmarkEnd w:id="162"/>
    <w:p w14:paraId="0FC8FAA5">
      <w:pPr>
        <w:pStyle w:val="106"/>
        <w:keepNext w:val="0"/>
        <w:keepLines w:val="0"/>
        <w:pageBreakBefore w:val="0"/>
        <w:kinsoku/>
        <w:wordWrap/>
        <w:overflowPunct/>
        <w:topLinePunct w:val="0"/>
        <w:bidi w:val="0"/>
        <w:adjustRightInd/>
        <w:snapToGrid/>
        <w:spacing w:line="360" w:lineRule="auto"/>
        <w:textAlignment w:val="auto"/>
        <w:rPr>
          <w:rFonts w:hint="eastAsia"/>
          <w:highlight w:val="none"/>
        </w:rPr>
      </w:pPr>
      <w:bookmarkStart w:id="187" w:name="_Toc24019"/>
      <w:bookmarkStart w:id="188" w:name="_Toc634"/>
      <w:bookmarkStart w:id="189" w:name="_Toc16404"/>
      <w:bookmarkStart w:id="190" w:name="_Toc26624"/>
      <w:bookmarkStart w:id="191" w:name="_Toc14102"/>
      <w:bookmarkStart w:id="192" w:name="_Toc11158"/>
      <w:r>
        <w:rPr>
          <w:rFonts w:hint="eastAsia"/>
          <w:highlight w:val="none"/>
        </w:rPr>
        <w:t>杆塔</w:t>
      </w:r>
      <w:bookmarkEnd w:id="187"/>
      <w:bookmarkEnd w:id="188"/>
      <w:bookmarkEnd w:id="189"/>
      <w:bookmarkEnd w:id="190"/>
    </w:p>
    <w:p w14:paraId="13EA70B7">
      <w:pPr>
        <w:pStyle w:val="107"/>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
        </w:rPr>
      </w:pPr>
      <w:bookmarkStart w:id="193" w:name="_Toc14893"/>
      <w:bookmarkStart w:id="194" w:name="_Toc2732"/>
      <w:bookmarkStart w:id="195" w:name="_Toc29746"/>
      <w:bookmarkStart w:id="196" w:name="_Toc11987"/>
      <w:bookmarkStart w:id="197" w:name="_Toc6164"/>
      <w:r>
        <w:rPr>
          <w:rFonts w:hint="eastAsia"/>
          <w:highlight w:val="none"/>
          <w:lang w:val="en-US" w:eastAsia="zh"/>
        </w:rPr>
        <w:t>一般规定</w:t>
      </w:r>
      <w:bookmarkEnd w:id="193"/>
      <w:bookmarkEnd w:id="194"/>
      <w:bookmarkEnd w:id="195"/>
      <w:bookmarkEnd w:id="196"/>
      <w:bookmarkEnd w:id="197"/>
    </w:p>
    <w:p w14:paraId="189786CE">
      <w:pPr>
        <w:pStyle w:val="167"/>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
        </w:rPr>
      </w:pPr>
      <w:r>
        <w:rPr>
          <w:rFonts w:hint="eastAsia"/>
          <w:highlight w:val="none"/>
          <w:lang w:val="en-US" w:eastAsia="zh"/>
        </w:rPr>
        <w:t>杆塔设计时应对曲线型杆塔斜材计算阵风在高度方向的差异产生不利影响</w:t>
      </w:r>
      <w:r>
        <w:rPr>
          <w:rFonts w:hint="eastAsia"/>
          <w:highlight w:val="none"/>
          <w:lang w:val="en-US" w:eastAsia="zh-CN"/>
        </w:rPr>
        <w:t>，塔身斜材的承载力不应低于所支撑主材内力的3%</w:t>
      </w:r>
      <w:r>
        <w:rPr>
          <w:rFonts w:hint="eastAsia"/>
          <w:highlight w:val="none"/>
          <w:lang w:val="en-US" w:eastAsia="zh"/>
        </w:rPr>
        <w:t>。</w:t>
      </w:r>
    </w:p>
    <w:p w14:paraId="0BA180E7">
      <w:pPr>
        <w:pStyle w:val="167"/>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CN"/>
        </w:rPr>
      </w:pPr>
      <w:r>
        <w:rPr>
          <w:rFonts w:hint="eastAsia"/>
          <w:highlight w:val="none"/>
          <w:lang w:val="en-US" w:eastAsia="zh-CN"/>
        </w:rPr>
        <w:t>与耐张杆塔相邻的直线钢管杆，当地线采用线夹（不采用串）时</w:t>
      </w:r>
      <w:r>
        <w:rPr>
          <w:rFonts w:hint="eastAsia"/>
          <w:highlight w:val="none"/>
          <w:lang w:val="en-US" w:eastAsia="zh"/>
        </w:rPr>
        <w:t>，</w:t>
      </w:r>
      <w:r>
        <w:rPr>
          <w:rFonts w:hint="eastAsia"/>
          <w:highlight w:val="none"/>
          <w:lang w:val="en-US" w:eastAsia="zh-CN"/>
        </w:rPr>
        <w:t>应验算其在0°大风工况下地线挂点处的位移，防止因位移过大、地线伸长量不足引起的地线断裂。</w:t>
      </w:r>
    </w:p>
    <w:p w14:paraId="2DC5FDB4">
      <w:pPr>
        <w:pStyle w:val="167"/>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CN"/>
        </w:rPr>
      </w:pPr>
      <w:r>
        <w:rPr>
          <w:rFonts w:hint="eastAsia"/>
          <w:highlight w:val="none"/>
          <w:lang w:val="en-US" w:eastAsia="zh-CN"/>
        </w:rPr>
        <w:t>杆塔应采取有效的防腐蚀措施,防腐蚀系统的设计使用年限宜与输电线路的设计使用年限相适应。</w:t>
      </w:r>
    </w:p>
    <w:p w14:paraId="4396BC8B">
      <w:pPr>
        <w:pStyle w:val="167"/>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CN"/>
        </w:rPr>
      </w:pPr>
      <w:r>
        <w:rPr>
          <w:rFonts w:hint="eastAsia"/>
          <w:highlight w:val="none"/>
          <w:lang w:val="en-US" w:eastAsia="zh-CN"/>
        </w:rPr>
        <w:t>35kV输电线路杆塔设计应参考110kV及以上电压等级线路规范体系，执行DL/T 5551。</w:t>
      </w:r>
    </w:p>
    <w:p w14:paraId="619C3D6C">
      <w:pPr>
        <w:pStyle w:val="107"/>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
        </w:rPr>
      </w:pPr>
      <w:bookmarkStart w:id="198" w:name="_Toc6790"/>
      <w:bookmarkStart w:id="199" w:name="_Toc30431"/>
      <w:bookmarkStart w:id="200" w:name="_Toc28449"/>
      <w:bookmarkStart w:id="201" w:name="_Toc9958"/>
      <w:bookmarkStart w:id="202" w:name="_Toc31175"/>
      <w:r>
        <w:rPr>
          <w:rFonts w:hint="eastAsia"/>
          <w:highlight w:val="none"/>
          <w:lang w:val="en-US" w:eastAsia="zh"/>
        </w:rPr>
        <w:t>杆塔型式</w:t>
      </w:r>
      <w:bookmarkEnd w:id="198"/>
      <w:bookmarkEnd w:id="199"/>
      <w:bookmarkEnd w:id="200"/>
      <w:bookmarkEnd w:id="201"/>
      <w:bookmarkEnd w:id="202"/>
    </w:p>
    <w:p w14:paraId="072C2699">
      <w:pPr>
        <w:pStyle w:val="167"/>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
        </w:rPr>
      </w:pPr>
      <w:r>
        <w:rPr>
          <w:rFonts w:hint="eastAsia"/>
          <w:highlight w:val="none"/>
          <w:lang w:val="en-US" w:eastAsia="zh"/>
        </w:rPr>
        <w:t>杆塔宜优先选用自立式铁塔，不应采用紧凑型杆塔，不宜采用拉线塔。</w:t>
      </w:r>
    </w:p>
    <w:p w14:paraId="7BA438D9">
      <w:pPr>
        <w:pStyle w:val="167"/>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
        </w:rPr>
      </w:pPr>
      <w:r>
        <w:rPr>
          <w:rFonts w:hint="eastAsia"/>
          <w:highlight w:val="none"/>
          <w:lang w:val="en-US" w:eastAsia="zh"/>
        </w:rPr>
        <w:t>耐张段内连续直线杆塔不宜超过7基，连续直线杆塔超过7基的，应采取防串倒措施。</w:t>
      </w:r>
    </w:p>
    <w:p w14:paraId="79E5BB65">
      <w:pPr>
        <w:pStyle w:val="167"/>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
        </w:rPr>
      </w:pPr>
      <w:r>
        <w:rPr>
          <w:rFonts w:hint="eastAsia"/>
          <w:highlight w:val="none"/>
          <w:lang w:val="en-US" w:eastAsia="zh"/>
        </w:rPr>
        <w:t>杆塔</w:t>
      </w:r>
      <w:r>
        <w:rPr>
          <w:rFonts w:hint="eastAsia"/>
          <w:highlight w:val="none"/>
          <w:lang w:val="en-US" w:eastAsia="zh-CN"/>
        </w:rPr>
        <w:t>可</w:t>
      </w:r>
      <w:r>
        <w:rPr>
          <w:rFonts w:hint="eastAsia"/>
          <w:highlight w:val="none"/>
          <w:lang w:val="en-US" w:eastAsia="zh"/>
        </w:rPr>
        <w:t>采取钢管结构等降低风阻的措施。</w:t>
      </w:r>
    </w:p>
    <w:p w14:paraId="4FB6AE82">
      <w:pPr>
        <w:pStyle w:val="107"/>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
        </w:rPr>
      </w:pPr>
      <w:bookmarkStart w:id="203" w:name="_Toc8641"/>
      <w:bookmarkStart w:id="204" w:name="_Toc23319"/>
      <w:bookmarkStart w:id="205" w:name="_Toc4125"/>
      <w:bookmarkStart w:id="206" w:name="_Toc14715"/>
      <w:bookmarkStart w:id="207" w:name="_Toc32717"/>
      <w:r>
        <w:rPr>
          <w:rFonts w:hint="eastAsia"/>
          <w:highlight w:val="none"/>
          <w:lang w:val="en-US" w:eastAsia="zh"/>
        </w:rPr>
        <w:t>构造要求</w:t>
      </w:r>
      <w:bookmarkEnd w:id="203"/>
      <w:bookmarkEnd w:id="204"/>
      <w:bookmarkEnd w:id="205"/>
      <w:bookmarkEnd w:id="206"/>
      <w:bookmarkEnd w:id="207"/>
    </w:p>
    <w:p w14:paraId="5FCB2EA7">
      <w:pPr>
        <w:pStyle w:val="167"/>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
        </w:rPr>
      </w:pPr>
      <w:r>
        <w:rPr>
          <w:rFonts w:hint="eastAsia"/>
          <w:highlight w:val="none"/>
          <w:lang w:val="en-US" w:eastAsia="zh"/>
        </w:rPr>
        <w:t>圆管构件的端部插板为“一”字型、“[”型和“U”型时，宜采用竖直布置。</w:t>
      </w:r>
    </w:p>
    <w:p w14:paraId="4949D9EF">
      <w:pPr>
        <w:pStyle w:val="167"/>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
        </w:rPr>
      </w:pPr>
      <w:r>
        <w:rPr>
          <w:rFonts w:hint="eastAsia"/>
          <w:highlight w:val="none"/>
          <w:lang w:val="en-US" w:eastAsia="zh"/>
        </w:rPr>
        <w:t>横担长度大于12m或8倍平均宽度的长横担应在中间位置设置竖向隔面，并宜加强塔头和塔身及连接部位的刚度。</w:t>
      </w:r>
    </w:p>
    <w:p w14:paraId="00F423D3">
      <w:pPr>
        <w:pStyle w:val="167"/>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
        </w:rPr>
      </w:pPr>
      <w:r>
        <w:rPr>
          <w:rFonts w:hint="eastAsia"/>
          <w:highlight w:val="none"/>
          <w:lang w:val="en-US" w:eastAsia="zh"/>
        </w:rPr>
        <w:t>高宽比大于6的铁塔，宜适当减小横隔面间距。</w:t>
      </w:r>
    </w:p>
    <w:p w14:paraId="3FB7A357">
      <w:pPr>
        <w:pStyle w:val="167"/>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
        </w:rPr>
      </w:pPr>
      <w:r>
        <w:rPr>
          <w:rFonts w:hint="eastAsia"/>
          <w:highlight w:val="none"/>
          <w:lang w:val="en-US" w:eastAsia="zh"/>
        </w:rPr>
        <w:t>输电线路杆塔用螺栓，除防卸螺栓外均应采取防松措施，挂点等易松动部位应采用等厚双螺母防松螺栓</w:t>
      </w:r>
      <w:r>
        <w:rPr>
          <w:rFonts w:hint="eastAsia"/>
          <w:highlight w:val="none"/>
          <w:lang w:val="en-US" w:eastAsia="zh-CN"/>
        </w:rPr>
        <w:t>或等效防松形式</w:t>
      </w:r>
      <w:r>
        <w:rPr>
          <w:rFonts w:hint="eastAsia"/>
          <w:highlight w:val="none"/>
          <w:lang w:val="en-US" w:eastAsia="zh"/>
        </w:rPr>
        <w:t>。</w:t>
      </w:r>
    </w:p>
    <w:p w14:paraId="29771287">
      <w:pPr>
        <w:pStyle w:val="106"/>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CN"/>
        </w:rPr>
      </w:pPr>
      <w:bookmarkStart w:id="208" w:name="_Toc23410"/>
      <w:bookmarkStart w:id="209" w:name="_Toc9796"/>
      <w:bookmarkStart w:id="210" w:name="_Toc23016"/>
      <w:bookmarkStart w:id="211" w:name="_Toc23286"/>
      <w:r>
        <w:rPr>
          <w:rFonts w:hint="eastAsia"/>
          <w:highlight w:val="none"/>
          <w:lang w:val="en-US" w:eastAsia="zh-CN"/>
        </w:rPr>
        <w:t>基础</w:t>
      </w:r>
      <w:bookmarkEnd w:id="208"/>
      <w:bookmarkEnd w:id="209"/>
      <w:bookmarkEnd w:id="210"/>
      <w:bookmarkEnd w:id="211"/>
    </w:p>
    <w:p w14:paraId="0DB8F619">
      <w:pPr>
        <w:pStyle w:val="164"/>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
        </w:rPr>
      </w:pPr>
      <w:r>
        <w:rPr>
          <w:rFonts w:hint="eastAsia"/>
          <w:highlight w:val="none"/>
          <w:lang w:val="en-US" w:eastAsia="zh"/>
        </w:rPr>
        <w:t>杆塔基础设计应符合下列规定：</w:t>
      </w:r>
    </w:p>
    <w:p w14:paraId="0E123E7E">
      <w:pPr>
        <w:pStyle w:val="134"/>
        <w:keepNext w:val="0"/>
        <w:keepLines w:val="0"/>
        <w:pageBreakBefore w:val="0"/>
        <w:numPr>
          <w:ilvl w:val="0"/>
          <w:numId w:val="0"/>
        </w:numPr>
        <w:kinsoku/>
        <w:wordWrap/>
        <w:overflowPunct/>
        <w:topLinePunct w:val="0"/>
        <w:bidi w:val="0"/>
        <w:adjustRightInd/>
        <w:snapToGrid/>
        <w:spacing w:line="360" w:lineRule="auto"/>
        <w:ind w:left="425" w:leftChars="0"/>
        <w:textAlignment w:val="auto"/>
        <w:rPr>
          <w:rFonts w:hint="eastAsia" w:eastAsia="宋体"/>
          <w:highlight w:val="none"/>
          <w:lang w:val="en-US" w:eastAsia="zh-CN"/>
        </w:rPr>
      </w:pPr>
      <w:r>
        <w:rPr>
          <w:rFonts w:hint="eastAsia"/>
          <w:highlight w:val="none"/>
          <w:lang w:val="en-US" w:eastAsia="zh-CN"/>
        </w:rPr>
        <w:t>a)</w:t>
      </w:r>
      <w:r>
        <w:rPr>
          <w:rFonts w:hint="eastAsia"/>
          <w:highlight w:val="none"/>
          <w:lang w:val="en-US" w:eastAsia="zh"/>
        </w:rPr>
        <w:t>基础设计应保证基础结构的强度，并满足地基承载力计算的有关规定</w:t>
      </w:r>
      <w:r>
        <w:rPr>
          <w:rFonts w:hint="eastAsia"/>
          <w:highlight w:val="none"/>
          <w:lang w:val="en-US" w:eastAsia="zh-CN"/>
        </w:rPr>
        <w:t>。</w:t>
      </w:r>
    </w:p>
    <w:p w14:paraId="57ADA91F">
      <w:pPr>
        <w:pStyle w:val="134"/>
        <w:keepNext w:val="0"/>
        <w:keepLines w:val="0"/>
        <w:pageBreakBefore w:val="0"/>
        <w:numPr>
          <w:ilvl w:val="0"/>
          <w:numId w:val="0"/>
        </w:numPr>
        <w:kinsoku/>
        <w:wordWrap/>
        <w:overflowPunct/>
        <w:topLinePunct w:val="0"/>
        <w:bidi w:val="0"/>
        <w:adjustRightInd/>
        <w:snapToGrid/>
        <w:spacing w:line="360" w:lineRule="auto"/>
        <w:ind w:left="425" w:leftChars="0"/>
        <w:textAlignment w:val="auto"/>
        <w:rPr>
          <w:rFonts w:hint="eastAsia"/>
          <w:highlight w:val="none"/>
          <w:lang w:val="en-US" w:eastAsia="zh"/>
        </w:rPr>
      </w:pPr>
      <w:r>
        <w:rPr>
          <w:rFonts w:hint="eastAsia"/>
          <w:highlight w:val="none"/>
          <w:lang w:val="en-US" w:eastAsia="zh-CN"/>
        </w:rPr>
        <w:t>b)</w:t>
      </w:r>
      <w:r>
        <w:rPr>
          <w:rFonts w:hint="eastAsia"/>
          <w:highlight w:val="none"/>
          <w:lang w:val="en-US" w:eastAsia="zh"/>
        </w:rPr>
        <w:t>处于软弱地基的耐张转角塔、终端杆塔基础，应进行地基变形计算，控制地基变形在允许范围内。</w:t>
      </w:r>
    </w:p>
    <w:p w14:paraId="1309E2C3">
      <w:pPr>
        <w:pStyle w:val="164"/>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CN"/>
        </w:rPr>
      </w:pPr>
      <w:r>
        <w:rPr>
          <w:rFonts w:hint="eastAsia"/>
          <w:highlight w:val="none"/>
          <w:lang w:val="en-US" w:eastAsia="zh-CN"/>
        </w:rPr>
        <w:t>整体基础应验算倾覆稳定，独立基础必要时可验算倾覆稳定。</w:t>
      </w:r>
    </w:p>
    <w:p w14:paraId="1EBF9822">
      <w:pPr>
        <w:pStyle w:val="164"/>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CN"/>
        </w:rPr>
      </w:pPr>
      <w:r>
        <w:rPr>
          <w:rFonts w:hint="eastAsia"/>
          <w:highlight w:val="none"/>
          <w:lang w:val="en-US" w:eastAsia="zh-CN"/>
        </w:rPr>
        <w:t>杆塔基础连接应采用地脚螺栓型式，不应使用角钢插入式。</w:t>
      </w:r>
    </w:p>
    <w:p w14:paraId="40B95776">
      <w:pPr>
        <w:pStyle w:val="164"/>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CN"/>
        </w:rPr>
      </w:pPr>
      <w:r>
        <w:rPr>
          <w:rFonts w:hint="eastAsia"/>
          <w:highlight w:val="none"/>
          <w:lang w:val="en-US" w:eastAsia="zh-CN"/>
        </w:rPr>
        <w:t>山区的基础，应评估地形和地质条件，必要时考虑修建截（排）水沟和挡土墙，对可能产生地质滑坡的区域应采取相应保护措施。截（排）水沟应结合地形和天然水系进行布设，并做好出水口的位置选择。应采取措施防止截（排）水沟出现堵塞、溢流、渗漏、淤积、冲刷和冻结等现象。</w:t>
      </w:r>
    </w:p>
    <w:p w14:paraId="6624136F">
      <w:pPr>
        <w:pStyle w:val="164"/>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CN"/>
        </w:rPr>
      </w:pPr>
      <w:r>
        <w:rPr>
          <w:rFonts w:hint="eastAsia"/>
          <w:highlight w:val="none"/>
          <w:lang w:val="en-US" w:eastAsia="zh-CN"/>
        </w:rPr>
        <w:t>塔基附属设施不应影响塔位所在坡体的整体稳定性，也不应对塔位长期安全运行造成不利影响。</w:t>
      </w:r>
    </w:p>
    <w:p w14:paraId="4BB85524">
      <w:pPr>
        <w:pStyle w:val="164"/>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CN"/>
        </w:rPr>
      </w:pPr>
      <w:r>
        <w:rPr>
          <w:rFonts w:hint="eastAsia"/>
          <w:highlight w:val="none"/>
          <w:lang w:val="en-US" w:eastAsia="zh-CN"/>
        </w:rPr>
        <w:t>对水土流失严重的塔位，宜采取植被恢复、保护基面及边坡的措施。</w:t>
      </w:r>
    </w:p>
    <w:p w14:paraId="5198E9D2">
      <w:pPr>
        <w:pStyle w:val="164"/>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
        </w:rPr>
      </w:pPr>
      <w:r>
        <w:rPr>
          <w:rFonts w:hint="eastAsia"/>
          <w:highlight w:val="none"/>
          <w:lang w:eastAsia="zh-CN"/>
        </w:rPr>
        <w:t>台风引起的内涝区、跨越河流或位于江、河、湖、海等洪泛区的基础，应收集水文地质资料，考虑浸泡、冲刷作用和漂浮物的撞击影响，基础主柱顶面高程不应低于5年一遇洪水位高程且不小于0.5m，在无法收集到水文资料时，宜按最高洪水位以上选择杆塔位置。</w:t>
      </w:r>
    </w:p>
    <w:p w14:paraId="0E85E0CA">
      <w:pPr>
        <w:pStyle w:val="164"/>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
        </w:rPr>
      </w:pPr>
      <w:r>
        <w:rPr>
          <w:rFonts w:hint="eastAsia"/>
          <w:highlight w:val="none"/>
          <w:lang w:val="en-US" w:eastAsia="zh"/>
        </w:rPr>
        <w:t>大跨越塔宜设置在5年一遇洪水淹没区以外，基础应考虑漂浮物和流水面积受阻的影响，必要时可采取防护措施。</w:t>
      </w:r>
    </w:p>
    <w:p w14:paraId="358D43F1">
      <w:pPr>
        <w:pStyle w:val="164"/>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
        </w:rPr>
      </w:pPr>
      <w:r>
        <w:rPr>
          <w:rFonts w:hint="eastAsia"/>
          <w:highlight w:val="none"/>
          <w:lang w:val="en-US" w:eastAsia="zh"/>
        </w:rPr>
        <w:t>当河流两岸堤防低于线路工程防洪标准时，应考虑溃堤洪水和冲刷对塔位的影响。</w:t>
      </w:r>
    </w:p>
    <w:p w14:paraId="1BC14DD5">
      <w:pPr>
        <w:pStyle w:val="164"/>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
        </w:rPr>
      </w:pPr>
      <w:r>
        <w:rPr>
          <w:rFonts w:hint="eastAsia"/>
          <w:highlight w:val="none"/>
          <w:lang w:val="en-US" w:eastAsia="zh"/>
        </w:rPr>
        <w:t>位于易受洪水冲刷区域的塔位，接地装置应考虑冲刷深度影响进行深埋处理或采用垂直接地装置。</w:t>
      </w:r>
    </w:p>
    <w:bookmarkEnd w:id="191"/>
    <w:bookmarkEnd w:id="192"/>
    <w:p w14:paraId="56CAC72D">
      <w:pPr>
        <w:pStyle w:val="106"/>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CN"/>
        </w:rPr>
      </w:pPr>
      <w:bookmarkStart w:id="212" w:name="_Toc12988"/>
      <w:bookmarkStart w:id="213" w:name="_Toc9702"/>
      <w:bookmarkStart w:id="214" w:name="_Toc23156"/>
      <w:bookmarkStart w:id="215" w:name="_Toc18936"/>
      <w:bookmarkStart w:id="216" w:name="_Toc10567"/>
      <w:bookmarkStart w:id="217" w:name="_Toc12652"/>
      <w:r>
        <w:rPr>
          <w:rFonts w:hint="eastAsia"/>
          <w:highlight w:val="none"/>
          <w:lang w:val="en-US" w:eastAsia="zh-CN"/>
        </w:rPr>
        <w:t>附属设施</w:t>
      </w:r>
      <w:bookmarkEnd w:id="212"/>
      <w:bookmarkEnd w:id="213"/>
      <w:bookmarkEnd w:id="214"/>
      <w:bookmarkEnd w:id="215"/>
      <w:bookmarkEnd w:id="216"/>
    </w:p>
    <w:p w14:paraId="1B227F0E">
      <w:pPr>
        <w:pStyle w:val="164"/>
        <w:keepNext w:val="0"/>
        <w:keepLines w:val="0"/>
        <w:pageBreakBefore w:val="0"/>
        <w:kinsoku/>
        <w:wordWrap/>
        <w:overflowPunct/>
        <w:topLinePunct w:val="0"/>
        <w:bidi w:val="0"/>
        <w:adjustRightInd/>
        <w:snapToGrid/>
        <w:spacing w:line="360" w:lineRule="auto"/>
        <w:textAlignment w:val="auto"/>
        <w:rPr>
          <w:rFonts w:hint="eastAsia"/>
          <w:highlight w:val="none"/>
          <w:lang w:eastAsia="zh"/>
        </w:rPr>
      </w:pPr>
      <w:r>
        <w:rPr>
          <w:rFonts w:hint="eastAsia"/>
          <w:highlight w:val="none"/>
          <w:lang w:eastAsia="zh"/>
        </w:rPr>
        <w:t>附属设施的设计原则为抗风能力强、结构稳固、耐久性强。</w:t>
      </w:r>
    </w:p>
    <w:p w14:paraId="04FAD5BD">
      <w:pPr>
        <w:pStyle w:val="164"/>
        <w:keepNext w:val="0"/>
        <w:keepLines w:val="0"/>
        <w:pageBreakBefore w:val="0"/>
        <w:kinsoku/>
        <w:wordWrap/>
        <w:overflowPunct/>
        <w:topLinePunct w:val="0"/>
        <w:bidi w:val="0"/>
        <w:adjustRightInd/>
        <w:snapToGrid/>
        <w:spacing w:line="360" w:lineRule="auto"/>
        <w:textAlignment w:val="auto"/>
        <w:rPr>
          <w:rFonts w:hint="eastAsia"/>
          <w:highlight w:val="none"/>
          <w:lang w:eastAsia="zh"/>
        </w:rPr>
      </w:pPr>
      <w:r>
        <w:rPr>
          <w:rFonts w:hint="eastAsia"/>
          <w:highlight w:val="none"/>
          <w:lang w:eastAsia="zh"/>
        </w:rPr>
        <w:t>标识牌的结构形式宜采用框架式，材质宜选用304不锈钢或热镀锌钢板（镀锌层厚度≥85μm），防止沿海高盐雾环境腐蚀。</w:t>
      </w:r>
    </w:p>
    <w:p w14:paraId="70FB7525">
      <w:pPr>
        <w:pStyle w:val="164"/>
        <w:keepNext w:val="0"/>
        <w:keepLines w:val="0"/>
        <w:pageBreakBefore w:val="0"/>
        <w:kinsoku/>
        <w:wordWrap/>
        <w:overflowPunct/>
        <w:topLinePunct w:val="0"/>
        <w:bidi w:val="0"/>
        <w:adjustRightInd/>
        <w:snapToGrid/>
        <w:spacing w:line="360" w:lineRule="auto"/>
        <w:textAlignment w:val="auto"/>
        <w:rPr>
          <w:rFonts w:hint="eastAsia"/>
          <w:highlight w:val="none"/>
          <w:lang w:eastAsia="zh"/>
        </w:rPr>
      </w:pPr>
      <w:r>
        <w:rPr>
          <w:rFonts w:hint="eastAsia"/>
          <w:highlight w:val="none"/>
          <w:lang w:eastAsia="zh"/>
        </w:rPr>
        <w:t>标识牌的版面尺寸和安装方式应按照DL/T 2871的规定和要求执行。</w:t>
      </w:r>
    </w:p>
    <w:p w14:paraId="4A3A47F9">
      <w:pPr>
        <w:pStyle w:val="164"/>
        <w:keepNext w:val="0"/>
        <w:keepLines w:val="0"/>
        <w:pageBreakBefore w:val="0"/>
        <w:kinsoku/>
        <w:wordWrap/>
        <w:overflowPunct/>
        <w:topLinePunct w:val="0"/>
        <w:bidi w:val="0"/>
        <w:adjustRightInd/>
        <w:snapToGrid/>
        <w:spacing w:line="360" w:lineRule="auto"/>
        <w:textAlignment w:val="auto"/>
        <w:rPr>
          <w:rFonts w:hint="eastAsia"/>
          <w:highlight w:val="none"/>
          <w:lang w:eastAsia="zh"/>
        </w:rPr>
      </w:pPr>
      <w:r>
        <w:rPr>
          <w:rFonts w:hint="eastAsia"/>
          <w:highlight w:val="none"/>
          <w:lang w:eastAsia="zh"/>
        </w:rPr>
        <w:t>标识牌的标识内容宜采用蚀刻+氟碳喷涂工艺或热转印工艺，不宜采用丝网印刷，防止台风暴雨冲刷导致字迹脱落。</w:t>
      </w:r>
    </w:p>
    <w:p w14:paraId="295461CA">
      <w:pPr>
        <w:pStyle w:val="164"/>
        <w:keepNext w:val="0"/>
        <w:keepLines w:val="0"/>
        <w:pageBreakBefore w:val="0"/>
        <w:kinsoku/>
        <w:wordWrap/>
        <w:overflowPunct/>
        <w:topLinePunct w:val="0"/>
        <w:bidi w:val="0"/>
        <w:adjustRightInd/>
        <w:snapToGrid/>
        <w:spacing w:line="360" w:lineRule="auto"/>
        <w:textAlignment w:val="auto"/>
        <w:rPr>
          <w:rFonts w:hint="eastAsia"/>
          <w:highlight w:val="none"/>
          <w:lang w:eastAsia="zh"/>
        </w:rPr>
      </w:pPr>
      <w:r>
        <w:rPr>
          <w:rFonts w:hint="eastAsia"/>
          <w:highlight w:val="none"/>
          <w:lang w:val="en-US" w:eastAsia="zh-CN"/>
        </w:rPr>
        <w:t>杆塔</w:t>
      </w:r>
      <w:r>
        <w:rPr>
          <w:rFonts w:hint="eastAsia"/>
          <w:highlight w:val="none"/>
          <w:lang w:eastAsia="zh"/>
        </w:rPr>
        <w:t>宜按照DL/T 289的规定设置直升机巡视作业标识牌。</w:t>
      </w:r>
    </w:p>
    <w:p w14:paraId="2900813F">
      <w:pPr>
        <w:pStyle w:val="164"/>
        <w:keepNext w:val="0"/>
        <w:keepLines w:val="0"/>
        <w:pageBreakBefore w:val="0"/>
        <w:kinsoku/>
        <w:wordWrap/>
        <w:overflowPunct/>
        <w:topLinePunct w:val="0"/>
        <w:bidi w:val="0"/>
        <w:adjustRightInd/>
        <w:snapToGrid/>
        <w:spacing w:line="360" w:lineRule="auto"/>
        <w:textAlignment w:val="auto"/>
        <w:rPr>
          <w:rFonts w:hint="eastAsia"/>
          <w:highlight w:val="none"/>
          <w:lang w:eastAsia="zh"/>
        </w:rPr>
      </w:pPr>
      <w:r>
        <w:rPr>
          <w:rFonts w:hint="eastAsia"/>
          <w:highlight w:val="none"/>
          <w:lang w:eastAsia="zh"/>
        </w:rPr>
        <w:t>杆塔上安装的在线监测装置、航空障碍标识、防鸟装置、线路避雷器等，应进行抗风能力校验，校验风速不应低于线路本体。</w:t>
      </w:r>
    </w:p>
    <w:p w14:paraId="69252387">
      <w:pPr>
        <w:pStyle w:val="164"/>
        <w:keepNext w:val="0"/>
        <w:keepLines w:val="0"/>
        <w:pageBreakBefore w:val="0"/>
        <w:kinsoku/>
        <w:wordWrap/>
        <w:overflowPunct/>
        <w:topLinePunct w:val="0"/>
        <w:bidi w:val="0"/>
        <w:adjustRightInd/>
        <w:snapToGrid/>
        <w:spacing w:line="360" w:lineRule="auto"/>
        <w:textAlignment w:val="auto"/>
        <w:rPr>
          <w:rFonts w:hint="eastAsia"/>
          <w:highlight w:val="none"/>
          <w:lang w:eastAsia="zh"/>
        </w:rPr>
      </w:pPr>
      <w:r>
        <w:rPr>
          <w:rFonts w:hint="eastAsia"/>
          <w:highlight w:val="none"/>
          <w:lang w:eastAsia="zh"/>
        </w:rPr>
        <w:t>杆塔上安装的</w:t>
      </w:r>
      <w:r>
        <w:rPr>
          <w:rFonts w:hint="eastAsia"/>
          <w:highlight w:val="none"/>
          <w:lang w:val="en-US" w:eastAsia="zh-CN"/>
        </w:rPr>
        <w:t>附属设施挡风面积</w:t>
      </w:r>
      <w:r>
        <w:rPr>
          <w:rFonts w:hint="eastAsia"/>
          <w:highlight w:val="none"/>
          <w:lang w:eastAsia="zh"/>
        </w:rPr>
        <w:t>较大时，应</w:t>
      </w:r>
      <w:r>
        <w:rPr>
          <w:rFonts w:hint="eastAsia"/>
          <w:highlight w:val="none"/>
          <w:lang w:val="en-US" w:eastAsia="zh-CN"/>
        </w:rPr>
        <w:t>考虑其对</w:t>
      </w:r>
      <w:r>
        <w:rPr>
          <w:rFonts w:hint="eastAsia"/>
          <w:highlight w:val="none"/>
          <w:lang w:eastAsia="zh"/>
        </w:rPr>
        <w:t>杆塔</w:t>
      </w:r>
      <w:r>
        <w:rPr>
          <w:rFonts w:hint="eastAsia"/>
          <w:highlight w:val="none"/>
          <w:lang w:val="en-US" w:eastAsia="zh-CN"/>
        </w:rPr>
        <w:t>抗风性能的影响</w:t>
      </w:r>
      <w:r>
        <w:rPr>
          <w:rFonts w:hint="eastAsia"/>
          <w:highlight w:val="none"/>
          <w:lang w:eastAsia="zh"/>
        </w:rPr>
        <w:t>。</w:t>
      </w:r>
    </w:p>
    <w:p w14:paraId="4711DDC1">
      <w:pPr>
        <w:pStyle w:val="164"/>
        <w:keepNext w:val="0"/>
        <w:keepLines w:val="0"/>
        <w:pageBreakBefore w:val="0"/>
        <w:kinsoku/>
        <w:wordWrap/>
        <w:overflowPunct/>
        <w:topLinePunct w:val="0"/>
        <w:bidi w:val="0"/>
        <w:adjustRightInd/>
        <w:snapToGrid/>
        <w:spacing w:line="360" w:lineRule="auto"/>
        <w:textAlignment w:val="auto"/>
        <w:rPr>
          <w:rFonts w:hint="eastAsia"/>
          <w:highlight w:val="none"/>
          <w:lang w:eastAsia="zh"/>
        </w:rPr>
      </w:pPr>
      <w:r>
        <w:rPr>
          <w:rFonts w:hint="eastAsia"/>
          <w:highlight w:val="none"/>
          <w:lang w:eastAsia="zh"/>
        </w:rPr>
        <w:t>重要</w:t>
      </w:r>
      <w:r>
        <w:rPr>
          <w:rFonts w:hint="eastAsia"/>
          <w:highlight w:val="none"/>
          <w:lang w:val="en-US" w:eastAsia="zh-CN"/>
        </w:rPr>
        <w:t>输电</w:t>
      </w:r>
      <w:r>
        <w:rPr>
          <w:rFonts w:hint="eastAsia"/>
          <w:highlight w:val="none"/>
          <w:lang w:eastAsia="zh"/>
        </w:rPr>
        <w:t>线路典型区域可配置微气象监测装置、图像/视频监测装置、杆塔倾斜监测装置、金属腐蚀监测装置，在线监测装置应具备本地存储功能，保证断电后数据不丢失。</w:t>
      </w:r>
    </w:p>
    <w:p w14:paraId="2CE8B34F">
      <w:pPr>
        <w:pStyle w:val="164"/>
        <w:keepNext w:val="0"/>
        <w:keepLines w:val="0"/>
        <w:pageBreakBefore w:val="0"/>
        <w:kinsoku/>
        <w:wordWrap/>
        <w:overflowPunct/>
        <w:topLinePunct w:val="0"/>
        <w:bidi w:val="0"/>
        <w:adjustRightInd/>
        <w:snapToGrid/>
        <w:spacing w:line="360" w:lineRule="auto"/>
        <w:textAlignment w:val="auto"/>
        <w:rPr>
          <w:rFonts w:hint="eastAsia"/>
          <w:highlight w:val="none"/>
          <w:lang w:eastAsia="zh"/>
        </w:rPr>
      </w:pPr>
      <w:r>
        <w:rPr>
          <w:rFonts w:hint="eastAsia"/>
          <w:highlight w:val="none"/>
          <w:lang w:eastAsia="zh"/>
        </w:rPr>
        <w:t>重要</w:t>
      </w:r>
      <w:r>
        <w:rPr>
          <w:rFonts w:hint="eastAsia"/>
          <w:highlight w:val="none"/>
          <w:lang w:val="en-US" w:eastAsia="zh-CN"/>
        </w:rPr>
        <w:t>输电</w:t>
      </w:r>
      <w:r>
        <w:rPr>
          <w:rFonts w:hint="eastAsia"/>
          <w:highlight w:val="none"/>
          <w:lang w:eastAsia="zh"/>
        </w:rPr>
        <w:t>线路可配置无人机“固定+移动机巢”，并宜建立输电线路及通道三维数字化模型，方便台风过境后快速抢修。</w:t>
      </w:r>
    </w:p>
    <w:p w14:paraId="2496FE30">
      <w:pPr>
        <w:pStyle w:val="106"/>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CN"/>
        </w:rPr>
      </w:pPr>
      <w:bookmarkStart w:id="218" w:name="_Toc9537"/>
      <w:r>
        <w:rPr>
          <w:rFonts w:hint="eastAsia"/>
          <w:highlight w:val="none"/>
          <w:lang w:val="en-US" w:eastAsia="zh-CN"/>
        </w:rPr>
        <w:t>台风次生灾害防治</w:t>
      </w:r>
      <w:bookmarkEnd w:id="218"/>
    </w:p>
    <w:p w14:paraId="5D09AE85">
      <w:pPr>
        <w:pStyle w:val="164"/>
        <w:keepNext w:val="0"/>
        <w:keepLines w:val="0"/>
        <w:pageBreakBefore w:val="0"/>
        <w:kinsoku/>
        <w:wordWrap/>
        <w:overflowPunct/>
        <w:topLinePunct w:val="0"/>
        <w:bidi w:val="0"/>
        <w:adjustRightInd/>
        <w:snapToGrid/>
        <w:spacing w:before="0" w:beforeLines="0" w:after="0" w:afterLines="0" w:line="360" w:lineRule="auto"/>
        <w:textAlignment w:val="auto"/>
        <w:rPr>
          <w:rFonts w:hint="eastAsia" w:ascii="宋体" w:hAnsi="宋体" w:eastAsia="宋体" w:cs="宋体"/>
          <w:highlight w:val="none"/>
          <w:lang w:eastAsia="zh-CN"/>
        </w:rPr>
      </w:pPr>
      <w:r>
        <w:rPr>
          <w:rFonts w:hint="eastAsia" w:ascii="宋体" w:hAnsi="宋体" w:eastAsia="宋体" w:cs="宋体"/>
          <w:highlight w:val="none"/>
          <w:lang w:eastAsia="zh-CN"/>
        </w:rPr>
        <w:t>线路设计宜综合考虑台风次生灾害影响，应按DL/T5630相关规定采取避让、设防或防护的针对性措施，增强线路抗灾能力。</w:t>
      </w:r>
    </w:p>
    <w:p w14:paraId="59C1EAE7">
      <w:pPr>
        <w:pStyle w:val="164"/>
        <w:keepNext w:val="0"/>
        <w:keepLines w:val="0"/>
        <w:pageBreakBefore w:val="0"/>
        <w:kinsoku/>
        <w:wordWrap/>
        <w:overflowPunct/>
        <w:topLinePunct w:val="0"/>
        <w:bidi w:val="0"/>
        <w:adjustRightInd/>
        <w:snapToGrid/>
        <w:spacing w:before="0" w:beforeLines="0" w:after="0" w:afterLines="0" w:line="360" w:lineRule="auto"/>
        <w:textAlignment w:val="auto"/>
        <w:rPr>
          <w:rFonts w:hint="eastAsia" w:ascii="宋体" w:hAnsi="宋体" w:eastAsia="宋体" w:cs="宋体"/>
          <w:highlight w:val="none"/>
          <w:lang w:eastAsia="zh-CN"/>
        </w:rPr>
      </w:pPr>
      <w:r>
        <w:rPr>
          <w:rFonts w:hint="eastAsia" w:hAnsi="宋体" w:cs="宋体"/>
          <w:highlight w:val="none"/>
          <w:lang w:val="en-US" w:eastAsia="zh-CN"/>
        </w:rPr>
        <w:t>高杆树木与飞射物防护</w:t>
      </w:r>
    </w:p>
    <w:p w14:paraId="5292C5F8">
      <w:pPr>
        <w:pStyle w:val="167"/>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CN"/>
        </w:rPr>
      </w:pPr>
      <w:r>
        <w:rPr>
          <w:rFonts w:hint="eastAsia"/>
          <w:highlight w:val="none"/>
          <w:lang w:val="en-US" w:eastAsia="zh-CN"/>
        </w:rPr>
        <w:t>在线路选择阶段，应排查线路周边的潜在危险源，如高大树木、临时建筑、广告牌、塑料大棚等，分析其在台风中成为飞射物的风险。</w:t>
      </w:r>
    </w:p>
    <w:p w14:paraId="789CB10A">
      <w:pPr>
        <w:pStyle w:val="167"/>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CN"/>
        </w:rPr>
      </w:pPr>
      <w:r>
        <w:rPr>
          <w:rFonts w:hint="eastAsia"/>
          <w:highlight w:val="none"/>
          <w:lang w:val="en-US" w:eastAsia="zh-CN"/>
        </w:rPr>
        <w:t>线路与潜在危险源之间应保持必要的安全距离。当无法满足安全距离时，应在设计中对超高树木进行砍伐、对临时建筑、广告牌、塑料大棚进行拆除，无法拆除时宜加装视频监控装置。</w:t>
      </w:r>
    </w:p>
    <w:p w14:paraId="238339A8">
      <w:pPr>
        <w:pStyle w:val="164"/>
        <w:keepNext w:val="0"/>
        <w:keepLines w:val="0"/>
        <w:pageBreakBefore w:val="0"/>
        <w:kinsoku/>
        <w:wordWrap/>
        <w:overflowPunct/>
        <w:topLinePunct w:val="0"/>
        <w:bidi w:val="0"/>
        <w:adjustRightInd/>
        <w:snapToGrid/>
        <w:spacing w:before="0" w:beforeLines="0" w:after="0" w:afterLines="0" w:line="360" w:lineRule="auto"/>
        <w:textAlignment w:val="auto"/>
        <w:rPr>
          <w:rFonts w:hint="eastAsia" w:ascii="宋体" w:hAnsi="宋体" w:eastAsia="宋体" w:cs="宋体"/>
          <w:highlight w:val="none"/>
          <w:lang w:eastAsia="zh-CN"/>
        </w:rPr>
      </w:pPr>
      <w:r>
        <w:rPr>
          <w:rFonts w:hint="eastAsia" w:ascii="宋体" w:hAnsi="宋体" w:eastAsia="宋体" w:cs="宋体"/>
          <w:highlight w:val="none"/>
          <w:lang w:eastAsia="zh-CN"/>
        </w:rPr>
        <w:t>洪涝灾害（风暴潮、海水倒灌）</w:t>
      </w:r>
      <w:r>
        <w:rPr>
          <w:rFonts w:hint="eastAsia" w:ascii="宋体" w:hAnsi="宋体" w:eastAsia="宋体" w:cs="宋体"/>
          <w:highlight w:val="none"/>
          <w:lang w:val="en-US" w:eastAsia="zh-CN"/>
        </w:rPr>
        <w:t>防治</w:t>
      </w:r>
    </w:p>
    <w:p w14:paraId="766D3045">
      <w:pPr>
        <w:pStyle w:val="167"/>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CN"/>
        </w:rPr>
      </w:pPr>
      <w:r>
        <w:rPr>
          <w:rFonts w:hint="eastAsia"/>
          <w:highlight w:val="none"/>
          <w:lang w:val="en-US" w:eastAsia="zh-CN"/>
        </w:rPr>
        <w:t>杆塔位置选择时宜避开洪涝灾害影响区。</w:t>
      </w:r>
    </w:p>
    <w:p w14:paraId="4F7FD90A">
      <w:pPr>
        <w:pStyle w:val="167"/>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CN"/>
        </w:rPr>
      </w:pPr>
      <w:r>
        <w:rPr>
          <w:rFonts w:hint="eastAsia"/>
          <w:highlight w:val="none"/>
          <w:lang w:val="en-US" w:eastAsia="zh-CN"/>
        </w:rPr>
        <w:t>位于河道冲沟区、河道拐弯处等易受洪涝影响的杆塔，应结合现场情况在基础周边设置基础围护墩，以减少洪水时冲击，并在杆塔上游方向设计导流沟。</w:t>
      </w:r>
    </w:p>
    <w:p w14:paraId="360A9985">
      <w:pPr>
        <w:pStyle w:val="164"/>
        <w:keepNext w:val="0"/>
        <w:keepLines w:val="0"/>
        <w:pageBreakBefore w:val="0"/>
        <w:kinsoku/>
        <w:wordWrap/>
        <w:overflowPunct/>
        <w:topLinePunct w:val="0"/>
        <w:bidi w:val="0"/>
        <w:adjustRightInd/>
        <w:snapToGrid/>
        <w:spacing w:before="0" w:beforeLines="0" w:after="0" w:afterLines="0" w:line="360" w:lineRule="auto"/>
        <w:textAlignment w:val="auto"/>
        <w:rPr>
          <w:rFonts w:hint="eastAsia" w:ascii="宋体" w:hAnsi="宋体" w:eastAsia="宋体" w:cs="宋体"/>
          <w:highlight w:val="none"/>
          <w:lang w:eastAsia="zh-CN"/>
        </w:rPr>
      </w:pPr>
      <w:r>
        <w:rPr>
          <w:rFonts w:hint="eastAsia" w:ascii="宋体" w:hAnsi="宋体" w:eastAsia="宋体" w:cs="宋体"/>
          <w:highlight w:val="none"/>
          <w:lang w:eastAsia="zh-CN"/>
        </w:rPr>
        <w:t>滑坡与泥石流</w:t>
      </w:r>
      <w:r>
        <w:rPr>
          <w:rFonts w:hint="eastAsia" w:ascii="宋体" w:hAnsi="宋体" w:eastAsia="宋体" w:cs="宋体"/>
          <w:highlight w:val="none"/>
          <w:lang w:val="en-US" w:eastAsia="zh-CN"/>
        </w:rPr>
        <w:t>防治</w:t>
      </w:r>
    </w:p>
    <w:p w14:paraId="516A2BCC">
      <w:pPr>
        <w:pStyle w:val="164"/>
        <w:keepNext w:val="0"/>
        <w:keepLines w:val="0"/>
        <w:pageBreakBefore w:val="0"/>
        <w:kinsoku/>
        <w:wordWrap/>
        <w:overflowPunct/>
        <w:topLinePunct w:val="0"/>
        <w:bidi w:val="0"/>
        <w:adjustRightInd/>
        <w:snapToGrid/>
        <w:spacing w:before="0" w:beforeLines="0" w:after="0" w:afterLines="0" w:line="360" w:lineRule="auto"/>
        <w:textAlignment w:val="auto"/>
        <w:rPr>
          <w:rFonts w:hint="eastAsia"/>
          <w:highlight w:val="none"/>
          <w:lang w:eastAsia="zh-CN"/>
        </w:rPr>
      </w:pPr>
      <w:r>
        <w:rPr>
          <w:rFonts w:hint="eastAsia" w:ascii="宋体" w:hAnsi="宋体" w:eastAsia="宋体" w:cs="宋体"/>
          <w:highlight w:val="none"/>
          <w:lang w:eastAsia="zh-CN"/>
        </w:rPr>
        <w:t>位于不稳定斜坡附近的塔位，宜优先采用原状土基础，适当增加基础埋深和直径，并采取可靠的工程固坡措施，如挡土墙、抗滑桩、格构梁锚固等，并设置完善的坡面截水、排水设施。</w:t>
      </w:r>
    </w:p>
    <w:p w14:paraId="7604E6DD">
      <w:pPr>
        <w:pStyle w:val="106"/>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CN"/>
        </w:rPr>
      </w:pPr>
      <w:bookmarkStart w:id="219" w:name="_Toc5476"/>
      <w:bookmarkStart w:id="220" w:name="_Toc32290"/>
      <w:bookmarkStart w:id="221" w:name="_Toc13383"/>
      <w:bookmarkStart w:id="222" w:name="_Toc26096"/>
      <w:bookmarkStart w:id="223" w:name="_Toc29162"/>
      <w:r>
        <w:rPr>
          <w:rFonts w:hint="eastAsia"/>
          <w:highlight w:val="none"/>
          <w:lang w:val="en-US" w:eastAsia="zh-CN"/>
        </w:rPr>
        <w:t>运行与维护</w:t>
      </w:r>
      <w:bookmarkEnd w:id="217"/>
      <w:bookmarkEnd w:id="219"/>
      <w:bookmarkEnd w:id="220"/>
      <w:bookmarkEnd w:id="221"/>
      <w:bookmarkEnd w:id="222"/>
      <w:r>
        <w:rPr>
          <w:rFonts w:hint="eastAsia"/>
        </w:rPr>
        <w:t>及灾后评估与修复</w:t>
      </w:r>
      <w:bookmarkEnd w:id="223"/>
    </w:p>
    <w:p w14:paraId="0592E1B1">
      <w:pPr>
        <w:pStyle w:val="164"/>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
        </w:rPr>
      </w:pPr>
      <w:bookmarkStart w:id="224" w:name="_Toc23638"/>
      <w:bookmarkStart w:id="225" w:name="_Toc6816"/>
      <w:bookmarkStart w:id="226" w:name="_Toc10712"/>
      <w:r>
        <w:rPr>
          <w:rFonts w:hint="eastAsia"/>
          <w:highlight w:val="none"/>
        </w:rPr>
        <w:t>台风地区</w:t>
      </w:r>
      <w:r>
        <w:rPr>
          <w:rFonts w:hint="eastAsia"/>
          <w:highlight w:val="none"/>
          <w:lang w:val="en-US" w:eastAsia="zh-CN"/>
        </w:rPr>
        <w:t>架空输电线路</w:t>
      </w:r>
      <w:r>
        <w:rPr>
          <w:rFonts w:hint="eastAsia"/>
          <w:highlight w:val="none"/>
        </w:rPr>
        <w:t>运行维护参见附录</w:t>
      </w:r>
      <w:r>
        <w:rPr>
          <w:rFonts w:hint="eastAsia"/>
          <w:highlight w:val="none"/>
          <w:lang w:val="en-US" w:eastAsia="zh-CN"/>
        </w:rPr>
        <w:t>B</w:t>
      </w:r>
      <w:r>
        <w:rPr>
          <w:rFonts w:hint="eastAsia"/>
          <w:highlight w:val="none"/>
        </w:rPr>
        <w:t>。</w:t>
      </w:r>
    </w:p>
    <w:p w14:paraId="4DD98BE9">
      <w:pPr>
        <w:pStyle w:val="164"/>
        <w:adjustRightInd w:val="0"/>
        <w:snapToGrid w:val="0"/>
        <w:spacing w:line="360" w:lineRule="auto"/>
      </w:pPr>
      <w:r>
        <w:rPr>
          <w:rFonts w:hint="eastAsia"/>
        </w:rPr>
        <w:t>台风灾害后应启动灾后评估程序。评估工作应由运行单位组织，设计单位应参与重大灾害的现场调查与修复方案制定。</w:t>
      </w:r>
    </w:p>
    <w:p w14:paraId="22560510">
      <w:pPr>
        <w:pStyle w:val="164"/>
        <w:adjustRightInd w:val="0"/>
        <w:snapToGrid w:val="0"/>
        <w:spacing w:line="360" w:lineRule="auto"/>
      </w:pPr>
      <w:r>
        <w:rPr>
          <w:rFonts w:hint="eastAsia"/>
        </w:rPr>
        <w:t>灾后评估应分为初步巡查与详细评估两个阶段：</w:t>
      </w:r>
    </w:p>
    <w:p w14:paraId="5F33DFDE">
      <w:pPr>
        <w:pStyle w:val="176"/>
        <w:numPr>
          <w:ilvl w:val="0"/>
          <w:numId w:val="32"/>
        </w:numPr>
        <w:adjustRightInd w:val="0"/>
        <w:snapToGrid w:val="0"/>
        <w:spacing w:line="360" w:lineRule="auto"/>
      </w:pPr>
      <w:r>
        <w:rPr>
          <w:rFonts w:hint="eastAsia"/>
        </w:rPr>
        <w:t>初步巡查应在确保安全的前提下，快速排查</w:t>
      </w:r>
      <w:r>
        <w:rPr>
          <w:rFonts w:hint="eastAsia"/>
          <w:lang w:val="en-US" w:eastAsia="zh-CN"/>
        </w:rPr>
        <w:t>输电线路杆塔、基础的</w:t>
      </w:r>
      <w:r>
        <w:rPr>
          <w:rFonts w:hint="eastAsia"/>
        </w:rPr>
        <w:t>稳定及次生灾害风险。</w:t>
      </w:r>
    </w:p>
    <w:p w14:paraId="2A7EB89B">
      <w:pPr>
        <w:pStyle w:val="176"/>
        <w:numPr>
          <w:ilvl w:val="0"/>
          <w:numId w:val="32"/>
        </w:numPr>
        <w:adjustRightInd w:val="0"/>
        <w:snapToGrid w:val="0"/>
        <w:spacing w:line="360" w:lineRule="auto"/>
      </w:pPr>
      <w:r>
        <w:rPr>
          <w:rFonts w:hint="eastAsia"/>
        </w:rPr>
        <w:t>详细评估应依据本规程第6章的设计风荷载及</w:t>
      </w:r>
      <w:r>
        <w:rPr>
          <w:rFonts w:hint="eastAsia"/>
          <w:lang w:val="en-US" w:eastAsia="zh-CN"/>
        </w:rPr>
        <w:t>相应规程规范要求</w:t>
      </w:r>
      <w:r>
        <w:rPr>
          <w:rFonts w:hint="eastAsia"/>
        </w:rPr>
        <w:t>对受损部位进行结构安全复核。</w:t>
      </w:r>
    </w:p>
    <w:p w14:paraId="510A009E">
      <w:pPr>
        <w:pStyle w:val="164"/>
        <w:adjustRightInd w:val="0"/>
        <w:snapToGrid w:val="0"/>
        <w:spacing w:line="360" w:lineRule="auto"/>
      </w:pPr>
      <w:r>
        <w:rPr>
          <w:rFonts w:hint="eastAsia"/>
        </w:rPr>
        <w:t>修复设计应遵循以下原则：</w:t>
      </w:r>
    </w:p>
    <w:p w14:paraId="47C56B7E">
      <w:pPr>
        <w:pStyle w:val="176"/>
        <w:numPr>
          <w:ilvl w:val="0"/>
          <w:numId w:val="33"/>
        </w:numPr>
        <w:adjustRightInd w:val="0"/>
        <w:snapToGrid w:val="0"/>
        <w:spacing w:line="360" w:lineRule="auto"/>
      </w:pPr>
      <w:r>
        <w:rPr>
          <w:rFonts w:hint="eastAsia"/>
        </w:rPr>
        <w:t>修复后的抗风标准不得低于原设计标准。对于中度及以上损伤，宜结合灾后复盘提高关键薄弱环节的设计裕度。</w:t>
      </w:r>
    </w:p>
    <w:p w14:paraId="591E4D18">
      <w:pPr>
        <w:pStyle w:val="176"/>
        <w:numPr>
          <w:ilvl w:val="0"/>
          <w:numId w:val="33"/>
        </w:numPr>
        <w:adjustRightInd w:val="0"/>
        <w:snapToGrid w:val="0"/>
        <w:spacing w:line="360" w:lineRule="auto"/>
      </w:pPr>
      <w:r>
        <w:rPr>
          <w:rFonts w:hint="eastAsia"/>
        </w:rPr>
        <w:t>修复所用材料的性能指标不得低于原设计。</w:t>
      </w:r>
    </w:p>
    <w:p w14:paraId="5CEF6972">
      <w:pPr>
        <w:pStyle w:val="164"/>
        <w:adjustRightInd w:val="0"/>
        <w:snapToGrid w:val="0"/>
        <w:spacing w:line="360" w:lineRule="auto"/>
      </w:pPr>
      <w:r>
        <w:rPr>
          <w:rFonts w:hint="eastAsia"/>
        </w:rPr>
        <w:t>修复工程完成后，应组织专项验收。验收应重点核查修复部位的结构性能及抗风构造措施，验收合格后方可恢复运行。</w:t>
      </w:r>
    </w:p>
    <w:p w14:paraId="7D254DCE">
      <w:pPr>
        <w:pStyle w:val="164"/>
        <w:keepNext w:val="0"/>
        <w:keepLines w:val="0"/>
        <w:pageBreakBefore w:val="0"/>
        <w:kinsoku/>
        <w:wordWrap/>
        <w:overflowPunct/>
        <w:topLinePunct w:val="0"/>
        <w:bidi w:val="0"/>
        <w:adjustRightInd/>
        <w:snapToGrid/>
        <w:spacing w:line="360" w:lineRule="auto"/>
        <w:textAlignment w:val="auto"/>
        <w:rPr>
          <w:rFonts w:hint="eastAsia"/>
          <w:highlight w:val="none"/>
          <w:lang w:val="en-US" w:eastAsia="zh"/>
        </w:rPr>
      </w:pPr>
      <w:r>
        <w:rPr>
          <w:rFonts w:hint="eastAsia"/>
        </w:rPr>
        <w:t>结合灾后评估与修复实践，分析损伤原因与设计、施工的关联，建立典型灾害损伤案例库；针对薄弱环节优化后续工程设计、材料选型及构造措施，持续提升工程抗台风韧性。</w:t>
      </w:r>
    </w:p>
    <w:bookmarkEnd w:id="224"/>
    <w:bookmarkEnd w:id="225"/>
    <w:bookmarkEnd w:id="226"/>
    <w:p w14:paraId="6D9FF711">
      <w:pPr>
        <w:rPr>
          <w:rFonts w:hint="eastAsia"/>
          <w:sz w:val="21"/>
          <w:szCs w:val="21"/>
          <w:highlight w:val="none"/>
          <w:lang w:eastAsia="zh"/>
        </w:rPr>
      </w:pPr>
      <w:bookmarkStart w:id="227" w:name="_Toc22226"/>
      <w:r>
        <w:rPr>
          <w:rFonts w:hint="eastAsia"/>
          <w:sz w:val="21"/>
          <w:szCs w:val="21"/>
          <w:highlight w:val="none"/>
          <w:lang w:eastAsia="zh"/>
        </w:rPr>
        <w:br w:type="page"/>
      </w:r>
    </w:p>
    <w:bookmarkEnd w:id="25"/>
    <w:bookmarkEnd w:id="227"/>
    <w:p w14:paraId="1C749DEE">
      <w:pPr>
        <w:pStyle w:val="200"/>
        <w:bidi w:val="0"/>
        <w:rPr>
          <w:highlight w:val="none"/>
        </w:rPr>
      </w:pPr>
      <w:bookmarkStart w:id="228" w:name="BookMark5"/>
    </w:p>
    <w:p w14:paraId="3A096E15">
      <w:pPr>
        <w:pStyle w:val="201"/>
        <w:bidi w:val="0"/>
        <w:rPr>
          <w:highlight w:val="none"/>
        </w:rPr>
      </w:pPr>
    </w:p>
    <w:p w14:paraId="65EFFD94">
      <w:pPr>
        <w:pStyle w:val="78"/>
        <w:bidi w:val="0"/>
        <w:rPr>
          <w:highlight w:val="none"/>
        </w:rPr>
      </w:pPr>
      <w:bookmarkStart w:id="229" w:name="_Toc14640"/>
      <w:bookmarkStart w:id="230" w:name="_Toc18041"/>
      <w:bookmarkStart w:id="231" w:name="_Toc19680"/>
      <w:bookmarkStart w:id="232" w:name="_Toc10775"/>
      <w:r>
        <w:rPr>
          <w:highlight w:val="none"/>
        </w:rPr>
        <w:br w:type="textWrapping"/>
      </w:r>
      <w:r>
        <w:rPr>
          <w:rFonts w:hint="eastAsia"/>
          <w:highlight w:val="none"/>
          <w:lang w:eastAsia="zh-CN"/>
        </w:rPr>
        <w:t>（规范性）</w:t>
      </w:r>
      <w:r>
        <w:rPr>
          <w:rFonts w:hint="eastAsia"/>
          <w:highlight w:val="none"/>
          <w:lang w:eastAsia="zh-CN"/>
        </w:rPr>
        <w:br w:type="textWrapping"/>
      </w:r>
      <w:bookmarkEnd w:id="229"/>
      <w:bookmarkEnd w:id="230"/>
      <w:bookmarkEnd w:id="231"/>
      <w:r>
        <w:rPr>
          <w:rFonts w:hint="eastAsia"/>
          <w:highlight w:val="none"/>
        </w:rPr>
        <w:t>不同设计基本风速值抵御台风能力</w:t>
      </w:r>
      <w:bookmarkEnd w:id="232"/>
    </w:p>
    <w:p w14:paraId="6AA56C41">
      <w:pPr>
        <w:keepNext w:val="0"/>
        <w:keepLines w:val="0"/>
        <w:widowControl/>
        <w:suppressLineNumbers w:val="0"/>
        <w:ind w:firstLine="420" w:firstLineChars="200"/>
        <w:jc w:val="left"/>
      </w:pPr>
      <w:r>
        <w:rPr>
          <w:rFonts w:hint="eastAsia" w:ascii="宋体" w:hAnsi="宋体" w:eastAsia="宋体" w:cs="宋体"/>
          <w:color w:val="000000"/>
          <w:kern w:val="0"/>
          <w:sz w:val="21"/>
          <w:szCs w:val="21"/>
          <w:lang w:val="en-US" w:eastAsia="zh-CN" w:bidi="ar"/>
        </w:rPr>
        <w:t>根据世界气象组织的指南，对于登陆台风，大致可按下式将</w:t>
      </w:r>
      <w:r>
        <w:rPr>
          <w:rFonts w:hint="default" w:ascii="Times New Roman" w:hAnsi="Times New Roman" w:eastAsia="宋体" w:cs="Times New Roman"/>
          <w:color w:val="000000"/>
          <w:kern w:val="0"/>
          <w:sz w:val="21"/>
          <w:szCs w:val="21"/>
          <w:lang w:val="en-US" w:eastAsia="zh-CN" w:bidi="ar"/>
        </w:rPr>
        <w:t>2min</w:t>
      </w:r>
      <w:r>
        <w:rPr>
          <w:rFonts w:hint="eastAsia" w:ascii="宋体" w:hAnsi="宋体" w:eastAsia="宋体" w:cs="宋体"/>
          <w:color w:val="000000"/>
          <w:kern w:val="0"/>
          <w:sz w:val="21"/>
          <w:szCs w:val="21"/>
          <w:lang w:val="en-US" w:eastAsia="zh-CN" w:bidi="ar"/>
        </w:rPr>
        <w:t>平均最大风速换算为</w:t>
      </w:r>
      <w:r>
        <w:rPr>
          <w:rFonts w:hint="default" w:ascii="Times New Roman" w:hAnsi="Times New Roman" w:eastAsia="宋体" w:cs="Times New Roman"/>
          <w:color w:val="000000"/>
          <w:kern w:val="0"/>
          <w:sz w:val="21"/>
          <w:szCs w:val="21"/>
          <w:lang w:val="en-US" w:eastAsia="zh-CN" w:bidi="ar"/>
        </w:rPr>
        <w:t>10min</w:t>
      </w:r>
      <w:r>
        <w:rPr>
          <w:rFonts w:hint="eastAsia" w:ascii="宋体" w:hAnsi="宋体" w:eastAsia="宋体" w:cs="宋体"/>
          <w:color w:val="000000"/>
          <w:kern w:val="0"/>
          <w:sz w:val="21"/>
          <w:szCs w:val="21"/>
          <w:lang w:val="en-US" w:eastAsia="zh-CN" w:bidi="ar"/>
        </w:rPr>
        <w:t>平均最大风速</w:t>
      </w:r>
    </w:p>
    <w:p w14:paraId="35587126">
      <w:pPr>
        <w:keepNext w:val="0"/>
        <w:keepLines w:val="0"/>
        <w:widowControl/>
        <w:suppressLineNumbers w:val="0"/>
        <w:jc w:val="center"/>
        <w:rPr>
          <w:rFonts w:hint="default" w:hAnsi="Cambria Math" w:eastAsia="TimesNewRomanPS-ItalicMT" w:cs="TimesNewRomanPS-ItalicMT"/>
          <w:i w:val="0"/>
          <w:iCs/>
          <w:color w:val="000000"/>
          <w:kern w:val="0"/>
          <w:sz w:val="21"/>
          <w:szCs w:val="21"/>
          <w:lang w:val="en-US" w:eastAsia="zh-CN" w:bidi="ar"/>
        </w:rPr>
      </w:pPr>
      <m:oMathPara>
        <m:oMath>
          <m:sSub>
            <m:sSubPr>
              <m:ctrlPr>
                <w:rPr>
                  <w:rFonts w:hint="default" w:ascii="Cambria Math" w:hAnsi="Cambria Math" w:eastAsia="TimesNewRomanPS-ItalicMT" w:cs="TimesNewRomanPS-ItalicMT"/>
                  <w:i/>
                  <w:iCs/>
                  <w:color w:val="000000"/>
                  <w:kern w:val="0"/>
                  <w:sz w:val="21"/>
                  <w:szCs w:val="21"/>
                  <w:lang w:val="en-US" w:eastAsia="zh-CN" w:bidi="ar"/>
                </w:rPr>
              </m:ctrlPr>
            </m:sSubPr>
            <m:e>
              <m:r>
                <m:rPr/>
                <w:rPr>
                  <w:rFonts w:hint="default" w:ascii="Cambria Math" w:hAnsi="Cambria Math" w:eastAsia="TimesNewRomanPS-ItalicMT" w:cs="TimesNewRomanPS-ItalicMT"/>
                  <w:color w:val="000000"/>
                  <w:kern w:val="0"/>
                  <w:sz w:val="21"/>
                  <w:szCs w:val="21"/>
                  <w:lang w:val="en-US" w:eastAsia="zh-CN" w:bidi="ar"/>
                </w:rPr>
                <m:t>v</m:t>
              </m:r>
              <m:ctrlPr>
                <w:rPr>
                  <w:rFonts w:hint="default" w:ascii="Cambria Math" w:hAnsi="Cambria Math" w:eastAsia="TimesNewRomanPS-ItalicMT" w:cs="TimesNewRomanPS-ItalicMT"/>
                  <w:i/>
                  <w:iCs/>
                  <w:color w:val="000000"/>
                  <w:kern w:val="0"/>
                  <w:sz w:val="21"/>
                  <w:szCs w:val="21"/>
                  <w:lang w:val="en-US" w:eastAsia="zh-CN" w:bidi="ar"/>
                </w:rPr>
              </m:ctrlPr>
            </m:e>
            <m:sub>
              <m:r>
                <m:rPr/>
                <w:rPr>
                  <w:rFonts w:hint="default" w:ascii="Cambria Math" w:hAnsi="Cambria Math" w:eastAsia="TimesNewRomanPS-ItalicMT" w:cs="TimesNewRomanPS-ItalicMT"/>
                  <w:color w:val="000000"/>
                  <w:kern w:val="0"/>
                  <w:sz w:val="21"/>
                  <w:szCs w:val="21"/>
                  <w:lang w:val="en-US" w:eastAsia="zh-CN" w:bidi="ar"/>
                </w:rPr>
                <m:t>10</m:t>
              </m:r>
              <m:ctrlPr>
                <w:rPr>
                  <w:rFonts w:hint="default" w:ascii="Cambria Math" w:hAnsi="Cambria Math" w:eastAsia="TimesNewRomanPS-ItalicMT" w:cs="TimesNewRomanPS-ItalicMT"/>
                  <w:i/>
                  <w:iCs/>
                  <w:color w:val="000000"/>
                  <w:kern w:val="0"/>
                  <w:sz w:val="21"/>
                  <w:szCs w:val="21"/>
                  <w:lang w:val="en-US" w:eastAsia="zh-CN" w:bidi="ar"/>
                </w:rPr>
              </m:ctrlPr>
            </m:sub>
          </m:sSub>
          <m:r>
            <m:rPr/>
            <w:rPr>
              <w:rFonts w:hint="default" w:ascii="Cambria Math" w:hAnsi="Cambria Math" w:eastAsia="TimesNewRomanPS-ItalicMT" w:cs="TimesNewRomanPS-ItalicMT"/>
              <w:color w:val="000000"/>
              <w:kern w:val="0"/>
              <w:sz w:val="21"/>
              <w:szCs w:val="21"/>
              <w:lang w:val="en-US" w:eastAsia="zh-CN" w:bidi="ar"/>
            </w:rPr>
            <m:t>=</m:t>
          </m:r>
          <m:sSub>
            <m:sSubPr>
              <m:ctrlPr>
                <w:rPr>
                  <w:rFonts w:hint="default" w:ascii="Cambria Math" w:hAnsi="Cambria Math" w:eastAsia="TimesNewRomanPS-ItalicMT" w:cs="TimesNewRomanPS-ItalicMT"/>
                  <w:i/>
                  <w:iCs/>
                  <w:color w:val="000000"/>
                  <w:kern w:val="0"/>
                  <w:sz w:val="21"/>
                  <w:szCs w:val="21"/>
                  <w:lang w:val="en-US" w:eastAsia="zh-CN" w:bidi="ar"/>
                </w:rPr>
              </m:ctrlPr>
            </m:sSubPr>
            <m:e>
              <m:r>
                <m:rPr/>
                <w:rPr>
                  <w:rFonts w:hint="default" w:ascii="Cambria Math" w:hAnsi="Cambria Math" w:eastAsia="TimesNewRomanPS-ItalicMT" w:cs="TimesNewRomanPS-ItalicMT"/>
                  <w:color w:val="000000"/>
                  <w:kern w:val="0"/>
                  <w:sz w:val="21"/>
                  <w:szCs w:val="21"/>
                  <w:lang w:val="en-US" w:eastAsia="zh-CN" w:bidi="ar"/>
                </w:rPr>
                <m:t>v</m:t>
              </m:r>
              <m:ctrlPr>
                <w:rPr>
                  <w:rFonts w:hint="default" w:ascii="Cambria Math" w:hAnsi="Cambria Math" w:eastAsia="TimesNewRomanPS-ItalicMT" w:cs="TimesNewRomanPS-ItalicMT"/>
                  <w:i/>
                  <w:iCs/>
                  <w:color w:val="000000"/>
                  <w:kern w:val="0"/>
                  <w:sz w:val="21"/>
                  <w:szCs w:val="21"/>
                  <w:lang w:val="en-US" w:eastAsia="zh-CN" w:bidi="ar"/>
                </w:rPr>
              </m:ctrlPr>
            </m:e>
            <m:sub>
              <m:r>
                <m:rPr/>
                <w:rPr>
                  <w:rFonts w:hint="default" w:ascii="Cambria Math" w:hAnsi="Cambria Math" w:eastAsia="TimesNewRomanPS-ItalicMT" w:cs="TimesNewRomanPS-ItalicMT"/>
                  <w:color w:val="000000"/>
                  <w:kern w:val="0"/>
                  <w:sz w:val="21"/>
                  <w:szCs w:val="21"/>
                  <w:lang w:val="en-US" w:eastAsia="zh-CN" w:bidi="ar"/>
                </w:rPr>
                <m:t>2</m:t>
              </m:r>
              <m:ctrlPr>
                <w:rPr>
                  <w:rFonts w:hint="default" w:ascii="Cambria Math" w:hAnsi="Cambria Math" w:eastAsia="TimesNewRomanPS-ItalicMT" w:cs="TimesNewRomanPS-ItalicMT"/>
                  <w:i/>
                  <w:iCs/>
                  <w:color w:val="000000"/>
                  <w:kern w:val="0"/>
                  <w:sz w:val="21"/>
                  <w:szCs w:val="21"/>
                  <w:lang w:val="en-US" w:eastAsia="zh-CN" w:bidi="ar"/>
                </w:rPr>
              </m:ctrlPr>
            </m:sub>
          </m:sSub>
          <m:r>
            <m:rPr>
              <m:nor/>
              <m:sty m:val="p"/>
            </m:rPr>
            <w:rPr>
              <w:rFonts w:hint="default" w:ascii="Times New Roman" w:hAnsi="Times New Roman" w:eastAsia="宋体" w:cs="Times New Roman"/>
              <w:b w:val="0"/>
              <w:i w:val="0"/>
              <w:iCs/>
              <w:color w:val="000000"/>
              <w:kern w:val="0"/>
              <w:sz w:val="21"/>
              <w:szCs w:val="21"/>
              <w:lang w:val="en-US" w:eastAsia="zh-CN" w:bidi="ar"/>
            </w:rPr>
            <m:t>×0.88</m:t>
          </m:r>
          <m:r>
            <m:rPr/>
            <w:rPr>
              <w:rFonts w:hint="default" w:ascii="Cambria Math" w:hAnsi="Cambria Math" w:eastAsia="TimesNewRomanPS-ItalicMT" w:cs="TimesNewRomanPS-ItalicMT"/>
              <w:color w:val="000000"/>
              <w:kern w:val="0"/>
              <w:sz w:val="21"/>
              <w:szCs w:val="21"/>
              <w:lang w:val="en-US" w:eastAsia="zh-CN" w:bidi="ar"/>
            </w:rPr>
            <m:t>=</m:t>
          </m:r>
          <m:sSub>
            <m:sSubPr>
              <m:ctrlPr>
                <w:rPr>
                  <w:rFonts w:hint="default" w:ascii="Cambria Math" w:hAnsi="Cambria Math" w:eastAsia="TimesNewRomanPS-ItalicMT" w:cs="Times New Roman"/>
                  <w:i/>
                  <w:iCs/>
                  <w:color w:val="000000"/>
                  <w:kern w:val="0"/>
                  <w:sz w:val="21"/>
                  <w:szCs w:val="21"/>
                  <w:lang w:val="en-US" w:eastAsia="zh-CN" w:bidi="ar"/>
                </w:rPr>
              </m:ctrlPr>
            </m:sSubPr>
            <m:e>
              <m:r>
                <m:rPr>
                  <m:nor/>
                </m:rPr>
                <w:rPr>
                  <w:rFonts w:hint="default" w:ascii="Times New Roman" w:hAnsi="Times New Roman" w:eastAsia="TimesNewRomanPS-ItalicMT" w:cs="Times New Roman"/>
                  <w:i/>
                  <w:color w:val="000000"/>
                  <w:kern w:val="0"/>
                  <w:sz w:val="21"/>
                  <w:szCs w:val="21"/>
                  <w:lang w:val="en-US" w:eastAsia="zh-CN" w:bidi="ar"/>
                </w:rPr>
                <m:t>v</m:t>
              </m:r>
              <m:ctrlPr>
                <w:rPr>
                  <w:rFonts w:hint="default" w:ascii="Cambria Math" w:hAnsi="Cambria Math" w:eastAsia="TimesNewRomanPS-ItalicMT" w:cs="Times New Roman"/>
                  <w:i/>
                  <w:iCs/>
                  <w:color w:val="000000"/>
                  <w:kern w:val="0"/>
                  <w:sz w:val="21"/>
                  <w:szCs w:val="21"/>
                  <w:lang w:val="en-US" w:eastAsia="zh-CN" w:bidi="ar"/>
                </w:rPr>
              </m:ctrlPr>
            </m:e>
            <m:sub>
              <m:r>
                <m:rPr>
                  <m:nor/>
                  <m:sty m:val="p"/>
                </m:rPr>
                <w:rPr>
                  <w:rFonts w:hint="default" w:ascii="Times New Roman" w:hAnsi="Times New Roman" w:eastAsia="TimesNewRomanPS-ItalicMT" w:cs="Times New Roman"/>
                  <w:b w:val="0"/>
                  <w:i w:val="0"/>
                  <w:color w:val="000000"/>
                  <w:kern w:val="0"/>
                  <w:sz w:val="21"/>
                  <w:szCs w:val="21"/>
                  <w:lang w:val="en-US" w:eastAsia="zh-CN" w:bidi="ar"/>
                </w:rPr>
                <m:t>2</m:t>
              </m:r>
              <m:ctrlPr>
                <w:rPr>
                  <w:rFonts w:hint="default" w:ascii="Cambria Math" w:hAnsi="Cambria Math" w:eastAsia="TimesNewRomanPS-ItalicMT" w:cs="Times New Roman"/>
                  <w:i/>
                  <w:iCs/>
                  <w:color w:val="000000"/>
                  <w:kern w:val="0"/>
                  <w:sz w:val="21"/>
                  <w:szCs w:val="21"/>
                  <w:lang w:val="en-US" w:eastAsia="zh-CN" w:bidi="ar"/>
                </w:rPr>
              </m:ctrlPr>
            </m:sub>
          </m:sSub>
          <m:r>
            <m:rPr>
              <m:nor/>
              <m:sty m:val="p"/>
            </m:rPr>
            <w:rPr>
              <w:rFonts w:hint="default" w:ascii="Times New Roman" w:hAnsi="Times New Roman" w:eastAsia="TimesNewRomanPS-ItalicMT" w:cs="Times New Roman"/>
              <w:b w:val="0"/>
              <w:i w:val="0"/>
              <w:iCs/>
              <w:color w:val="000000"/>
              <w:kern w:val="0"/>
              <w:sz w:val="21"/>
              <w:szCs w:val="21"/>
              <w:lang w:val="en-US" w:eastAsia="zh-CN" w:bidi="ar"/>
            </w:rPr>
            <m:t>/</m:t>
          </m:r>
          <m:r>
            <m:rPr>
              <m:nor/>
              <m:sty m:val="p"/>
            </m:rPr>
            <w:rPr>
              <w:rFonts w:hint="default" w:ascii="Times New Roman" w:hAnsi="Times New Roman" w:cs="Times New Roman"/>
              <w:b w:val="0"/>
              <w:i w:val="0"/>
              <w:iCs/>
              <w:color w:val="000000"/>
              <w:kern w:val="0"/>
              <w:sz w:val="21"/>
              <w:szCs w:val="21"/>
              <w:lang w:val="en-US" w:eastAsia="zh-CN" w:bidi="ar"/>
            </w:rPr>
            <m:t>1.14</m:t>
          </m:r>
        </m:oMath>
      </m:oMathPara>
    </w:p>
    <w:p w14:paraId="27F48077">
      <w:pPr>
        <w:keepNext w:val="0"/>
        <w:keepLines w:val="0"/>
        <w:widowControl/>
        <w:suppressLineNumbers w:val="0"/>
        <w:ind w:firstLine="420" w:firstLineChars="200"/>
        <w:jc w:val="left"/>
      </w:pPr>
      <w:r>
        <w:rPr>
          <w:rFonts w:hint="eastAsia" w:ascii="宋体" w:hAnsi="宋体" w:eastAsia="宋体" w:cs="宋体"/>
          <w:color w:val="000000"/>
          <w:kern w:val="0"/>
          <w:sz w:val="21"/>
          <w:szCs w:val="21"/>
          <w:lang w:val="en-US" w:eastAsia="zh-CN" w:bidi="ar"/>
        </w:rPr>
        <w:t xml:space="preserve">式中： </w:t>
      </w:r>
    </w:p>
    <w:p w14:paraId="4394C421">
      <w:pPr>
        <w:keepNext w:val="0"/>
        <w:keepLines w:val="0"/>
        <w:widowControl/>
        <w:suppressLineNumbers w:val="0"/>
        <w:ind w:firstLine="420" w:firstLineChars="200"/>
        <w:jc w:val="left"/>
      </w:pPr>
      <m:oMath>
        <m:sSub>
          <m:sSubPr>
            <m:ctrlPr>
              <w:rPr>
                <w:rFonts w:hint="default" w:ascii="Cambria Math" w:hAnsi="Cambria Math" w:eastAsia="TimesNewRomanPS-ItalicMT" w:cs="Times New Roman"/>
                <w:i/>
                <w:iCs/>
                <w:color w:val="000000"/>
                <w:kern w:val="0"/>
                <w:sz w:val="21"/>
                <w:szCs w:val="21"/>
                <w:lang w:val="en-US" w:eastAsia="zh-CN" w:bidi="ar"/>
              </w:rPr>
            </m:ctrlPr>
          </m:sSubPr>
          <m:e>
            <m:r>
              <m:rPr>
                <m:nor/>
              </m:rPr>
              <w:rPr>
                <w:rFonts w:hint="default" w:ascii="Times New Roman" w:hAnsi="Times New Roman" w:eastAsia="TimesNewRomanPS-ItalicMT" w:cs="Times New Roman"/>
                <w:i/>
                <w:color w:val="000000"/>
                <w:kern w:val="0"/>
                <w:sz w:val="21"/>
                <w:szCs w:val="21"/>
                <w:lang w:val="en-US" w:eastAsia="zh-CN" w:bidi="ar"/>
              </w:rPr>
              <m:t>v</m:t>
            </m:r>
            <m:ctrlPr>
              <w:rPr>
                <w:rFonts w:hint="default" w:ascii="Cambria Math" w:hAnsi="Cambria Math" w:eastAsia="TimesNewRomanPS-ItalicMT" w:cs="Times New Roman"/>
                <w:i/>
                <w:iCs/>
                <w:color w:val="000000"/>
                <w:kern w:val="0"/>
                <w:sz w:val="21"/>
                <w:szCs w:val="21"/>
                <w:lang w:val="en-US" w:eastAsia="zh-CN" w:bidi="ar"/>
              </w:rPr>
            </m:ctrlPr>
          </m:e>
          <m:sub>
            <m:r>
              <m:rPr>
                <m:nor/>
                <m:sty m:val="p"/>
              </m:rPr>
              <w:rPr>
                <w:rFonts w:hint="default" w:ascii="Times New Roman" w:hAnsi="Times New Roman" w:eastAsia="TimesNewRomanPS-ItalicMT" w:cs="Times New Roman"/>
                <w:b w:val="0"/>
                <w:i w:val="0"/>
                <w:color w:val="000000"/>
                <w:kern w:val="0"/>
                <w:sz w:val="21"/>
                <w:szCs w:val="21"/>
                <w:lang w:val="en-US" w:eastAsia="zh-CN" w:bidi="ar"/>
              </w:rPr>
              <m:t>10</m:t>
            </m:r>
            <m:ctrlPr>
              <w:rPr>
                <w:rFonts w:hint="default" w:ascii="Cambria Math" w:hAnsi="Cambria Math" w:eastAsia="TimesNewRomanPS-ItalicMT" w:cs="Times New Roman"/>
                <w:i/>
                <w:iCs/>
                <w:color w:val="000000"/>
                <w:kern w:val="0"/>
                <w:sz w:val="21"/>
                <w:szCs w:val="21"/>
                <w:lang w:val="en-US" w:eastAsia="zh-CN" w:bidi="ar"/>
              </w:rPr>
            </m:ctrlPr>
          </m:sub>
        </m:sSub>
      </m:oMath>
      <w:r>
        <w:rPr>
          <w:rFonts w:hint="default" w:ascii="Times New Roman" w:hAnsi="Times New Roman" w:cs="Times New Roman"/>
          <w:highlight w:val="none"/>
        </w:rPr>
        <w:t>——</w:t>
      </w:r>
      <w:r>
        <w:rPr>
          <w:rFonts w:hint="default" w:ascii="Times New Roman" w:hAnsi="Times New Roman" w:eastAsia="宋体" w:cs="Times New Roman"/>
          <w:color w:val="000000"/>
          <w:kern w:val="0"/>
          <w:sz w:val="21"/>
          <w:szCs w:val="21"/>
          <w:lang w:val="en-US" w:eastAsia="zh-CN" w:bidi="ar"/>
        </w:rPr>
        <w:t>10min平均最大风速</w:t>
      </w:r>
      <w:r>
        <w:rPr>
          <w:rFonts w:hint="eastAsia" w:ascii="宋体" w:hAnsi="宋体" w:eastAsia="宋体" w:cs="宋体"/>
          <w:color w:val="000000"/>
          <w:kern w:val="0"/>
          <w:sz w:val="21"/>
          <w:szCs w:val="21"/>
          <w:lang w:val="en-US" w:eastAsia="zh-CN" w:bidi="ar"/>
        </w:rPr>
        <w:t>；</w:t>
      </w:r>
    </w:p>
    <w:p w14:paraId="23089836">
      <w:pPr>
        <w:keepNext w:val="0"/>
        <w:keepLines w:val="0"/>
        <w:widowControl/>
        <w:suppressLineNumbers w:val="0"/>
        <w:ind w:firstLine="420" w:firstLineChars="200"/>
        <w:jc w:val="left"/>
      </w:pPr>
      <m:oMath>
        <m:sSub>
          <m:sSubPr>
            <m:ctrlPr>
              <w:rPr>
                <w:rFonts w:hint="default" w:ascii="Cambria Math" w:hAnsi="Cambria Math" w:eastAsia="TimesNewRomanPS-ItalicMT" w:cs="TimesNewRomanPS-ItalicMT"/>
                <w:i/>
                <w:iCs/>
                <w:color w:val="000000"/>
                <w:kern w:val="0"/>
                <w:sz w:val="21"/>
                <w:szCs w:val="21"/>
                <w:lang w:val="en-US" w:eastAsia="zh-CN" w:bidi="ar"/>
              </w:rPr>
            </m:ctrlPr>
          </m:sSubPr>
          <m:e>
            <m:r>
              <m:rPr/>
              <w:rPr>
                <w:rFonts w:hint="default" w:ascii="Cambria Math" w:hAnsi="Cambria Math" w:eastAsia="TimesNewRomanPS-ItalicMT" w:cs="TimesNewRomanPS-ItalicMT"/>
                <w:color w:val="000000"/>
                <w:kern w:val="0"/>
                <w:sz w:val="21"/>
                <w:szCs w:val="21"/>
                <w:lang w:val="en-US" w:eastAsia="zh-CN" w:bidi="ar"/>
              </w:rPr>
              <m:t>v</m:t>
            </m:r>
            <m:ctrlPr>
              <w:rPr>
                <w:rFonts w:hint="default" w:ascii="Cambria Math" w:hAnsi="Cambria Math" w:eastAsia="TimesNewRomanPS-ItalicMT" w:cs="TimesNewRomanPS-ItalicMT"/>
                <w:i/>
                <w:iCs/>
                <w:color w:val="000000"/>
                <w:kern w:val="0"/>
                <w:sz w:val="21"/>
                <w:szCs w:val="21"/>
                <w:lang w:val="en-US" w:eastAsia="zh-CN" w:bidi="ar"/>
              </w:rPr>
            </m:ctrlPr>
          </m:e>
          <m:sub>
            <m:r>
              <m:rPr/>
              <w:rPr>
                <w:rFonts w:hint="default" w:ascii="Cambria Math" w:hAnsi="Cambria Math" w:eastAsia="TimesNewRomanPS-ItalicMT" w:cs="TimesNewRomanPS-ItalicMT"/>
                <w:color w:val="000000"/>
                <w:kern w:val="0"/>
                <w:sz w:val="21"/>
                <w:szCs w:val="21"/>
                <w:lang w:val="en-US" w:eastAsia="zh-CN" w:bidi="ar"/>
              </w:rPr>
              <m:t>2</m:t>
            </m:r>
            <m:ctrlPr>
              <w:rPr>
                <w:rFonts w:hint="default" w:ascii="Cambria Math" w:hAnsi="Cambria Math" w:eastAsia="TimesNewRomanPS-ItalicMT" w:cs="TimesNewRomanPS-ItalicMT"/>
                <w:i/>
                <w:iCs/>
                <w:color w:val="000000"/>
                <w:kern w:val="0"/>
                <w:sz w:val="21"/>
                <w:szCs w:val="21"/>
                <w:lang w:val="en-US" w:eastAsia="zh-CN" w:bidi="ar"/>
              </w:rPr>
            </m:ctrlPr>
          </m:sub>
        </m:sSub>
      </m:oMath>
      <w:r>
        <w:rPr>
          <w:rFonts w:hint="default" w:ascii="Times New Roman" w:hAnsi="Times New Roman" w:cs="Times New Roman"/>
          <w:highlight w:val="none"/>
        </w:rPr>
        <w:t>——</w:t>
      </w:r>
      <w:r>
        <w:rPr>
          <w:rFonts w:hint="default" w:ascii="Times New Roman" w:hAnsi="Times New Roman" w:eastAsia="宋体" w:cs="Times New Roman"/>
          <w:color w:val="000000"/>
          <w:kern w:val="0"/>
          <w:sz w:val="21"/>
          <w:szCs w:val="21"/>
          <w:lang w:val="en-US" w:eastAsia="zh-CN" w:bidi="ar"/>
        </w:rPr>
        <w:t>2min平均最大风速。</w:t>
      </w:r>
    </w:p>
    <w:p w14:paraId="0FA409C4">
      <w:pPr>
        <w:keepNext w:val="0"/>
        <w:keepLines w:val="0"/>
        <w:widowControl/>
        <w:suppressLineNumbers w:val="0"/>
        <w:ind w:firstLine="420" w:firstLineChars="20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需要注意的是，在实际情况中，风速的换算还会受到多种因素的影响，如地形、地貌、高度等，因此在进行具体的风速换算时，最好参考当地的气象数据或相关的规范标准。本</w:t>
      </w:r>
      <w:r>
        <w:rPr>
          <w:rFonts w:hint="eastAsia" w:ascii="宋体" w:hAnsi="宋体" w:cs="宋体"/>
          <w:color w:val="000000"/>
          <w:kern w:val="0"/>
          <w:sz w:val="21"/>
          <w:szCs w:val="21"/>
          <w:lang w:val="en-US" w:eastAsia="zh-CN" w:bidi="ar"/>
        </w:rPr>
        <w:t>规程</w:t>
      </w:r>
      <w:r>
        <w:rPr>
          <w:rFonts w:hint="eastAsia" w:ascii="宋体" w:hAnsi="宋体" w:eastAsia="宋体" w:cs="宋体"/>
          <w:color w:val="000000"/>
          <w:kern w:val="0"/>
          <w:sz w:val="21"/>
          <w:szCs w:val="21"/>
          <w:lang w:val="en-US" w:eastAsia="zh-CN" w:bidi="ar"/>
        </w:rPr>
        <w:t>将</w:t>
      </w:r>
      <w:r>
        <w:rPr>
          <w:rFonts w:hint="default" w:ascii="Times New Roman" w:hAnsi="Times New Roman" w:eastAsia="宋体" w:cs="Times New Roman"/>
          <w:color w:val="000000"/>
          <w:kern w:val="0"/>
          <w:sz w:val="21"/>
          <w:szCs w:val="21"/>
          <w:lang w:val="en-US" w:eastAsia="zh-CN" w:bidi="ar"/>
        </w:rPr>
        <w:t>2 min</w:t>
      </w:r>
      <w:r>
        <w:rPr>
          <w:rFonts w:hint="eastAsia" w:ascii="宋体" w:hAnsi="宋体" w:eastAsia="宋体" w:cs="宋体"/>
          <w:color w:val="000000"/>
          <w:kern w:val="0"/>
          <w:sz w:val="21"/>
          <w:szCs w:val="21"/>
          <w:lang w:val="en-US" w:eastAsia="zh-CN" w:bidi="ar"/>
        </w:rPr>
        <w:t>平均最大风速换算为</w:t>
      </w:r>
      <w:r>
        <w:rPr>
          <w:rFonts w:hint="default" w:ascii="Times New Roman" w:hAnsi="Times New Roman" w:eastAsia="宋体" w:cs="Times New Roman"/>
          <w:color w:val="000000"/>
          <w:kern w:val="0"/>
          <w:sz w:val="21"/>
          <w:szCs w:val="21"/>
          <w:lang w:val="en-US" w:eastAsia="zh-CN" w:bidi="ar"/>
        </w:rPr>
        <w:t>10min</w:t>
      </w:r>
      <w:r>
        <w:rPr>
          <w:rFonts w:hint="eastAsia" w:ascii="宋体" w:hAnsi="宋体" w:eastAsia="宋体" w:cs="宋体"/>
          <w:color w:val="000000"/>
          <w:kern w:val="0"/>
          <w:sz w:val="21"/>
          <w:szCs w:val="21"/>
          <w:lang w:val="en-US" w:eastAsia="zh-CN" w:bidi="ar"/>
        </w:rPr>
        <w:t>平均最大风速时，按比值</w:t>
      </w:r>
      <w:r>
        <w:rPr>
          <w:rFonts w:hint="default" w:ascii="Times New Roman" w:hAnsi="Times New Roman" w:eastAsia="宋体" w:cs="Times New Roman"/>
          <w:color w:val="000000"/>
          <w:kern w:val="0"/>
          <w:sz w:val="21"/>
          <w:szCs w:val="21"/>
          <w:lang w:val="en-US" w:eastAsia="zh-CN" w:bidi="ar"/>
        </w:rPr>
        <w:t>1.14</w:t>
      </w:r>
      <w:r>
        <w:rPr>
          <w:rFonts w:hint="eastAsia" w:ascii="宋体" w:hAnsi="宋体" w:eastAsia="宋体" w:cs="宋体"/>
          <w:color w:val="000000"/>
          <w:kern w:val="0"/>
          <w:sz w:val="21"/>
          <w:szCs w:val="21"/>
          <w:lang w:val="en-US" w:eastAsia="zh-CN" w:bidi="ar"/>
        </w:rPr>
        <w:t>统计。</w:t>
      </w:r>
    </w:p>
    <w:p w14:paraId="5E74D3DA">
      <w:pPr>
        <w:keepNext w:val="0"/>
        <w:keepLines w:val="0"/>
        <w:widowControl/>
        <w:suppressLineNumbers w:val="0"/>
        <w:ind w:firstLine="420" w:firstLineChars="200"/>
        <w:jc w:val="left"/>
      </w:pPr>
      <w:r>
        <w:rPr>
          <w:rFonts w:hint="eastAsia" w:ascii="宋体" w:hAnsi="宋体" w:eastAsia="宋体" w:cs="宋体"/>
          <w:color w:val="000000"/>
          <w:kern w:val="0"/>
          <w:sz w:val="21"/>
          <w:szCs w:val="21"/>
          <w:lang w:val="en-US" w:eastAsia="zh-CN" w:bidi="ar"/>
        </w:rPr>
        <w:t xml:space="preserve">热带气旋等级划分表见表 </w:t>
      </w:r>
      <w:r>
        <w:rPr>
          <w:rFonts w:hint="eastAsia" w:ascii="Times New Roman" w:hAnsi="Times New Roman" w:eastAsia="宋体" w:cs="Times New Roman"/>
          <w:color w:val="000000"/>
          <w:kern w:val="0"/>
          <w:sz w:val="21"/>
          <w:szCs w:val="21"/>
          <w:lang w:val="en-US" w:eastAsia="zh-CN" w:bidi="ar"/>
        </w:rPr>
        <w:t>A</w:t>
      </w:r>
      <w:r>
        <w:rPr>
          <w:rFonts w:hint="default" w:ascii="Times New Roman" w:hAnsi="Times New Roman" w:eastAsia="宋体" w:cs="Times New Roman"/>
          <w:color w:val="000000"/>
          <w:kern w:val="0"/>
          <w:sz w:val="21"/>
          <w:szCs w:val="21"/>
          <w:lang w:val="en-US" w:eastAsia="zh-CN" w:bidi="ar"/>
        </w:rPr>
        <w:t>.</w:t>
      </w:r>
      <w:r>
        <w:rPr>
          <w:rFonts w:hint="eastAsia" w:ascii="Times New Roman" w:hAnsi="Times New Roman" w:eastAsia="宋体" w:cs="Times New Roman"/>
          <w:color w:val="000000"/>
          <w:kern w:val="0"/>
          <w:sz w:val="21"/>
          <w:szCs w:val="21"/>
          <w:lang w:val="en-US" w:eastAsia="zh-CN" w:bidi="ar"/>
        </w:rPr>
        <w:t>1</w:t>
      </w:r>
    </w:p>
    <w:p w14:paraId="3ACDA31B">
      <w:pPr>
        <w:pStyle w:val="58"/>
        <w:ind w:firstLine="0" w:firstLineChars="0"/>
        <w:jc w:val="center"/>
      </w:pPr>
      <w:r>
        <w:rPr>
          <w:rFonts w:hint="eastAsia" w:cs="Times New Roman"/>
          <w:color w:val="000000"/>
          <w:kern w:val="0"/>
          <w:sz w:val="21"/>
          <w:szCs w:val="21"/>
          <w:lang w:val="en-US" w:eastAsia="zh-CN" w:bidi="ar"/>
        </w:rPr>
        <w:t>表</w:t>
      </w:r>
      <w:r>
        <w:rPr>
          <w:rFonts w:hint="eastAsia" w:ascii="Times New Roman" w:hAnsi="Times New Roman" w:eastAsia="宋体" w:cs="Times New Roman"/>
          <w:color w:val="000000"/>
          <w:kern w:val="0"/>
          <w:sz w:val="21"/>
          <w:szCs w:val="21"/>
          <w:lang w:val="en-US" w:eastAsia="zh-CN" w:bidi="ar"/>
        </w:rPr>
        <w:t>A</w:t>
      </w:r>
      <w:r>
        <w:rPr>
          <w:rFonts w:hint="default" w:ascii="Times New Roman" w:hAnsi="Times New Roman" w:eastAsia="宋体" w:cs="Times New Roman"/>
          <w:color w:val="000000"/>
          <w:kern w:val="0"/>
          <w:sz w:val="21"/>
          <w:szCs w:val="21"/>
          <w:lang w:val="en-US" w:eastAsia="zh-CN" w:bidi="ar"/>
        </w:rPr>
        <w:t>.</w:t>
      </w:r>
      <w:r>
        <w:rPr>
          <w:rFonts w:hint="eastAsia" w:ascii="Times New Roman" w:hAnsi="Times New Roman" w:eastAsia="宋体" w:cs="Times New Roman"/>
          <w:color w:val="000000"/>
          <w:kern w:val="0"/>
          <w:sz w:val="21"/>
          <w:szCs w:val="21"/>
          <w:lang w:val="en-US" w:eastAsia="zh-CN" w:bidi="ar"/>
        </w:rPr>
        <w:t>1</w:t>
      </w:r>
      <w:r>
        <w:rPr>
          <w:rFonts w:hint="eastAsia" w:cs="Times New Roman"/>
          <w:color w:val="000000"/>
          <w:kern w:val="0"/>
          <w:sz w:val="21"/>
          <w:szCs w:val="21"/>
          <w:lang w:val="en-US" w:eastAsia="zh-CN" w:bidi="ar"/>
        </w:rPr>
        <w:t xml:space="preserve"> </w:t>
      </w:r>
      <w:r>
        <w:rPr>
          <w:rFonts w:hint="eastAsia"/>
          <w:highlight w:val="none"/>
          <w:lang w:eastAsia="zh-CN"/>
        </w:rPr>
        <w:t>热带气旋等级划分表</w:t>
      </w:r>
    </w:p>
    <w:tbl>
      <w:tblPr>
        <w:tblStyle w:val="29"/>
        <w:tblW w:w="499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3014"/>
        <w:gridCol w:w="3018"/>
        <w:gridCol w:w="3018"/>
      </w:tblGrid>
      <w:tr w14:paraId="3D2E0C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1665" w:type="pct"/>
            <w:tcBorders>
              <w:bottom w:val="single" w:color="auto" w:sz="8" w:space="0"/>
            </w:tcBorders>
            <w:vAlign w:val="center"/>
          </w:tcPr>
          <w:p w14:paraId="5EC19F0D">
            <w:pPr>
              <w:pStyle w:val="180"/>
              <w:bidi w:val="0"/>
              <w:spacing w:line="240" w:lineRule="auto"/>
              <w:jc w:val="center"/>
              <w:rPr>
                <w:highlight w:val="none"/>
              </w:rPr>
            </w:pPr>
            <w:r>
              <w:rPr>
                <w:rFonts w:hint="eastAsia"/>
                <w:highlight w:val="none"/>
              </w:rPr>
              <w:t>热带气旋等级</w:t>
            </w:r>
          </w:p>
        </w:tc>
        <w:tc>
          <w:tcPr>
            <w:tcW w:w="1667" w:type="pct"/>
            <w:tcBorders>
              <w:bottom w:val="single" w:color="auto" w:sz="8" w:space="0"/>
            </w:tcBorders>
            <w:vAlign w:val="center"/>
          </w:tcPr>
          <w:p w14:paraId="1B7D0C2D">
            <w:pPr>
              <w:pStyle w:val="180"/>
              <w:bidi w:val="0"/>
              <w:spacing w:line="240" w:lineRule="auto"/>
              <w:jc w:val="center"/>
              <w:rPr>
                <w:highlight w:val="none"/>
              </w:rPr>
            </w:pPr>
            <w:r>
              <w:rPr>
                <w:rFonts w:hint="eastAsia"/>
                <w:highlight w:val="none"/>
              </w:rPr>
              <w:t>底层中心附近最大平均风速（m/s）</w:t>
            </w:r>
          </w:p>
        </w:tc>
        <w:tc>
          <w:tcPr>
            <w:tcW w:w="1667" w:type="pct"/>
            <w:tcBorders>
              <w:bottom w:val="single" w:color="auto" w:sz="8" w:space="0"/>
            </w:tcBorders>
            <w:vAlign w:val="center"/>
          </w:tcPr>
          <w:p w14:paraId="65F87246">
            <w:pPr>
              <w:pStyle w:val="180"/>
              <w:bidi w:val="0"/>
              <w:spacing w:line="240" w:lineRule="auto"/>
              <w:jc w:val="center"/>
              <w:rPr>
                <w:highlight w:val="none"/>
              </w:rPr>
            </w:pPr>
            <w:r>
              <w:rPr>
                <w:rFonts w:hint="eastAsia"/>
                <w:highlight w:val="none"/>
              </w:rPr>
              <w:t>底层中心附近最大风力（级）</w:t>
            </w:r>
          </w:p>
        </w:tc>
      </w:tr>
      <w:tr w14:paraId="084659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665" w:type="pct"/>
            <w:vMerge w:val="restart"/>
            <w:tcBorders>
              <w:top w:val="single" w:color="auto" w:sz="8" w:space="0"/>
            </w:tcBorders>
            <w:vAlign w:val="center"/>
          </w:tcPr>
          <w:p w14:paraId="0A613E76">
            <w:pPr>
              <w:pStyle w:val="180"/>
              <w:bidi w:val="0"/>
              <w:spacing w:line="240" w:lineRule="auto"/>
              <w:jc w:val="center"/>
              <w:rPr>
                <w:rFonts w:hint="default"/>
                <w:highlight w:val="none"/>
                <w:lang w:val="en-US" w:eastAsia="zh-CN"/>
              </w:rPr>
            </w:pPr>
            <w:r>
              <w:rPr>
                <w:rFonts w:hint="eastAsia"/>
                <w:highlight w:val="none"/>
                <w:lang w:val="en-US" w:eastAsia="zh-CN"/>
              </w:rPr>
              <w:t>热带低压</w:t>
            </w:r>
          </w:p>
        </w:tc>
        <w:tc>
          <w:tcPr>
            <w:tcW w:w="1667" w:type="pct"/>
            <w:tcBorders>
              <w:top w:val="single" w:color="auto" w:sz="8" w:space="0"/>
            </w:tcBorders>
            <w:shd w:val="clear" w:color="auto" w:fill="auto"/>
            <w:vAlign w:val="center"/>
          </w:tcPr>
          <w:p w14:paraId="20148D72">
            <w:pPr>
              <w:pStyle w:val="180"/>
              <w:bidi w:val="0"/>
              <w:spacing w:line="240" w:lineRule="auto"/>
              <w:jc w:val="center"/>
              <w:rPr>
                <w:rFonts w:hint="eastAsia"/>
                <w:highlight w:val="none"/>
                <w:lang w:val="en-US" w:eastAsia="zh-CN"/>
              </w:rPr>
            </w:pPr>
            <w:r>
              <w:rPr>
                <w:rFonts w:hint="eastAsia"/>
                <w:highlight w:val="none"/>
              </w:rPr>
              <w:t>10.8</w:t>
            </w:r>
            <w:r>
              <w:rPr>
                <w:rFonts w:hint="eastAsia"/>
                <w:highlight w:val="none"/>
                <w:lang w:eastAsia="zh-CN"/>
              </w:rPr>
              <w:t>~</w:t>
            </w:r>
            <w:r>
              <w:rPr>
                <w:rFonts w:hint="eastAsia"/>
                <w:highlight w:val="none"/>
              </w:rPr>
              <w:t>1</w:t>
            </w:r>
            <w:r>
              <w:rPr>
                <w:rFonts w:hint="eastAsia"/>
                <w:highlight w:val="none"/>
                <w:lang w:eastAsia="zh"/>
              </w:rPr>
              <w:t>3.8</w:t>
            </w:r>
          </w:p>
        </w:tc>
        <w:tc>
          <w:tcPr>
            <w:tcW w:w="1667" w:type="pct"/>
            <w:tcBorders>
              <w:top w:val="single" w:color="auto" w:sz="8" w:space="0"/>
            </w:tcBorders>
            <w:shd w:val="clear" w:color="auto" w:fill="auto"/>
            <w:vAlign w:val="center"/>
          </w:tcPr>
          <w:p w14:paraId="0866FB68">
            <w:pPr>
              <w:pStyle w:val="180"/>
              <w:bidi w:val="0"/>
              <w:spacing w:line="240" w:lineRule="auto"/>
              <w:jc w:val="center"/>
              <w:rPr>
                <w:rFonts w:hint="eastAsia"/>
                <w:highlight w:val="none"/>
                <w:lang w:val="en-US" w:eastAsia="zh-CN"/>
              </w:rPr>
            </w:pPr>
            <w:r>
              <w:rPr>
                <w:rFonts w:hint="eastAsia"/>
                <w:highlight w:val="none"/>
              </w:rPr>
              <w:t>6</w:t>
            </w:r>
          </w:p>
        </w:tc>
      </w:tr>
      <w:tr w14:paraId="721653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665" w:type="pct"/>
            <w:vMerge w:val="continue"/>
            <w:vAlign w:val="center"/>
          </w:tcPr>
          <w:p w14:paraId="069AFF31">
            <w:pPr>
              <w:pStyle w:val="180"/>
              <w:bidi w:val="0"/>
              <w:spacing w:line="240" w:lineRule="auto"/>
              <w:jc w:val="center"/>
              <w:rPr>
                <w:rFonts w:hint="eastAsia"/>
                <w:highlight w:val="none"/>
              </w:rPr>
            </w:pPr>
          </w:p>
        </w:tc>
        <w:tc>
          <w:tcPr>
            <w:tcW w:w="1667" w:type="pct"/>
            <w:shd w:val="clear" w:color="auto" w:fill="auto"/>
            <w:vAlign w:val="center"/>
          </w:tcPr>
          <w:p w14:paraId="505080AB">
            <w:pPr>
              <w:pStyle w:val="180"/>
              <w:bidi w:val="0"/>
              <w:spacing w:line="240" w:lineRule="auto"/>
              <w:jc w:val="center"/>
              <w:rPr>
                <w:rFonts w:hint="eastAsia"/>
                <w:highlight w:val="none"/>
                <w:lang w:val="en-US" w:eastAsia="zh-CN"/>
              </w:rPr>
            </w:pPr>
            <w:r>
              <w:rPr>
                <w:rFonts w:hint="eastAsia"/>
                <w:highlight w:val="none"/>
              </w:rPr>
              <w:t>1</w:t>
            </w:r>
            <w:r>
              <w:rPr>
                <w:rFonts w:hint="eastAsia"/>
                <w:highlight w:val="none"/>
                <w:lang w:eastAsia="zh"/>
              </w:rPr>
              <w:t>3.9</w:t>
            </w:r>
            <w:r>
              <w:rPr>
                <w:rFonts w:hint="eastAsia"/>
                <w:highlight w:val="none"/>
                <w:lang w:eastAsia="zh-CN"/>
              </w:rPr>
              <w:t>~</w:t>
            </w:r>
            <w:r>
              <w:rPr>
                <w:rFonts w:hint="eastAsia"/>
                <w:highlight w:val="none"/>
              </w:rPr>
              <w:t>17.1</w:t>
            </w:r>
          </w:p>
        </w:tc>
        <w:tc>
          <w:tcPr>
            <w:tcW w:w="1667" w:type="pct"/>
            <w:shd w:val="clear" w:color="auto" w:fill="auto"/>
            <w:vAlign w:val="center"/>
          </w:tcPr>
          <w:p w14:paraId="79F0BF9A">
            <w:pPr>
              <w:pStyle w:val="180"/>
              <w:bidi w:val="0"/>
              <w:spacing w:line="240" w:lineRule="auto"/>
              <w:jc w:val="center"/>
              <w:rPr>
                <w:rFonts w:hint="eastAsia"/>
                <w:highlight w:val="none"/>
                <w:lang w:val="en-US" w:eastAsia="zh"/>
              </w:rPr>
            </w:pPr>
            <w:r>
              <w:rPr>
                <w:rFonts w:hint="eastAsia"/>
                <w:highlight w:val="none"/>
                <w:lang w:eastAsia="zh"/>
              </w:rPr>
              <w:t>7</w:t>
            </w:r>
          </w:p>
        </w:tc>
      </w:tr>
      <w:tr w14:paraId="1D9833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665" w:type="pct"/>
            <w:vMerge w:val="restart"/>
            <w:vAlign w:val="center"/>
          </w:tcPr>
          <w:p w14:paraId="43F50CEB">
            <w:pPr>
              <w:pStyle w:val="180"/>
              <w:bidi w:val="0"/>
              <w:spacing w:line="240" w:lineRule="auto"/>
              <w:jc w:val="center"/>
              <w:rPr>
                <w:rFonts w:hint="eastAsia"/>
                <w:highlight w:val="none"/>
              </w:rPr>
            </w:pPr>
            <w:r>
              <w:rPr>
                <w:rFonts w:hint="eastAsia"/>
                <w:highlight w:val="none"/>
              </w:rPr>
              <w:t>热带风暴</w:t>
            </w:r>
            <w:r>
              <w:rPr>
                <w:rFonts w:hint="eastAsia"/>
                <w:highlight w:val="none"/>
                <w:lang w:eastAsia="zh-CN"/>
              </w:rPr>
              <w:t>（</w:t>
            </w:r>
            <w:r>
              <w:rPr>
                <w:rFonts w:hint="eastAsia"/>
                <w:highlight w:val="none"/>
              </w:rPr>
              <w:t>TS</w:t>
            </w:r>
            <w:r>
              <w:rPr>
                <w:rFonts w:hint="eastAsia"/>
                <w:highlight w:val="none"/>
                <w:lang w:eastAsia="zh-CN"/>
              </w:rPr>
              <w:t>）</w:t>
            </w:r>
          </w:p>
        </w:tc>
        <w:tc>
          <w:tcPr>
            <w:tcW w:w="1667" w:type="pct"/>
            <w:shd w:val="clear" w:color="auto" w:fill="auto"/>
            <w:vAlign w:val="center"/>
          </w:tcPr>
          <w:p w14:paraId="22233C92">
            <w:pPr>
              <w:pStyle w:val="180"/>
              <w:bidi w:val="0"/>
              <w:spacing w:line="240" w:lineRule="auto"/>
              <w:jc w:val="center"/>
              <w:rPr>
                <w:rFonts w:hint="eastAsia"/>
                <w:highlight w:val="none"/>
                <w:lang w:val="en-US" w:eastAsia="zh-CN"/>
              </w:rPr>
            </w:pPr>
            <w:r>
              <w:rPr>
                <w:rFonts w:hint="eastAsia"/>
                <w:highlight w:val="none"/>
              </w:rPr>
              <w:t>17.2</w:t>
            </w:r>
            <w:r>
              <w:rPr>
                <w:rFonts w:hint="eastAsia"/>
                <w:highlight w:val="none"/>
                <w:lang w:eastAsia="zh-CN"/>
              </w:rPr>
              <w:t>~</w:t>
            </w:r>
            <w:r>
              <w:rPr>
                <w:rFonts w:hint="eastAsia"/>
                <w:highlight w:val="none"/>
                <w:lang w:eastAsia="zh"/>
              </w:rPr>
              <w:t>20.7</w:t>
            </w:r>
          </w:p>
        </w:tc>
        <w:tc>
          <w:tcPr>
            <w:tcW w:w="1667" w:type="pct"/>
            <w:shd w:val="clear" w:color="auto" w:fill="auto"/>
            <w:vAlign w:val="center"/>
          </w:tcPr>
          <w:p w14:paraId="262B573D">
            <w:pPr>
              <w:pStyle w:val="180"/>
              <w:bidi w:val="0"/>
              <w:spacing w:line="240" w:lineRule="auto"/>
              <w:jc w:val="center"/>
              <w:rPr>
                <w:rFonts w:hint="eastAsia"/>
                <w:highlight w:val="none"/>
                <w:lang w:val="en-US" w:eastAsia="zh-CN"/>
              </w:rPr>
            </w:pPr>
            <w:r>
              <w:rPr>
                <w:rFonts w:hint="eastAsia"/>
                <w:highlight w:val="none"/>
              </w:rPr>
              <w:t>8</w:t>
            </w:r>
          </w:p>
        </w:tc>
      </w:tr>
      <w:tr w14:paraId="48E068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665" w:type="pct"/>
            <w:vMerge w:val="continue"/>
            <w:vAlign w:val="center"/>
          </w:tcPr>
          <w:p w14:paraId="03DF8644">
            <w:pPr>
              <w:pStyle w:val="180"/>
              <w:bidi w:val="0"/>
              <w:spacing w:line="240" w:lineRule="auto"/>
              <w:jc w:val="center"/>
              <w:rPr>
                <w:rFonts w:hint="eastAsia"/>
                <w:highlight w:val="none"/>
              </w:rPr>
            </w:pPr>
          </w:p>
        </w:tc>
        <w:tc>
          <w:tcPr>
            <w:tcW w:w="1667" w:type="pct"/>
            <w:shd w:val="clear" w:color="auto" w:fill="auto"/>
            <w:vAlign w:val="center"/>
          </w:tcPr>
          <w:p w14:paraId="216D7FF7">
            <w:pPr>
              <w:pStyle w:val="180"/>
              <w:bidi w:val="0"/>
              <w:spacing w:line="240" w:lineRule="auto"/>
              <w:jc w:val="center"/>
              <w:rPr>
                <w:rFonts w:hint="eastAsia"/>
                <w:highlight w:val="none"/>
                <w:lang w:val="en-US" w:eastAsia="zh-CN"/>
              </w:rPr>
            </w:pPr>
            <w:r>
              <w:rPr>
                <w:rFonts w:hint="eastAsia"/>
                <w:highlight w:val="none"/>
                <w:lang w:eastAsia="zh"/>
              </w:rPr>
              <w:t>20.8</w:t>
            </w:r>
            <w:r>
              <w:rPr>
                <w:rFonts w:hint="eastAsia"/>
                <w:highlight w:val="none"/>
                <w:lang w:eastAsia="zh-CN"/>
              </w:rPr>
              <w:t>~</w:t>
            </w:r>
            <w:r>
              <w:rPr>
                <w:rFonts w:hint="eastAsia"/>
                <w:highlight w:val="none"/>
              </w:rPr>
              <w:t>24.4</w:t>
            </w:r>
          </w:p>
        </w:tc>
        <w:tc>
          <w:tcPr>
            <w:tcW w:w="1667" w:type="pct"/>
            <w:shd w:val="clear" w:color="auto" w:fill="auto"/>
            <w:vAlign w:val="center"/>
          </w:tcPr>
          <w:p w14:paraId="0C5422EF">
            <w:pPr>
              <w:pStyle w:val="180"/>
              <w:bidi w:val="0"/>
              <w:spacing w:line="240" w:lineRule="auto"/>
              <w:jc w:val="center"/>
              <w:rPr>
                <w:rFonts w:hint="eastAsia"/>
                <w:highlight w:val="none"/>
                <w:lang w:val="en-US" w:eastAsia="zh"/>
              </w:rPr>
            </w:pPr>
            <w:r>
              <w:rPr>
                <w:rFonts w:hint="eastAsia"/>
                <w:highlight w:val="none"/>
                <w:lang w:eastAsia="zh"/>
              </w:rPr>
              <w:t>9</w:t>
            </w:r>
          </w:p>
        </w:tc>
      </w:tr>
      <w:tr w14:paraId="36ED1C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665" w:type="pct"/>
            <w:vMerge w:val="restart"/>
            <w:vAlign w:val="center"/>
          </w:tcPr>
          <w:p w14:paraId="7C3169F8">
            <w:pPr>
              <w:pStyle w:val="180"/>
              <w:bidi w:val="0"/>
              <w:spacing w:line="240" w:lineRule="auto"/>
              <w:jc w:val="center"/>
              <w:rPr>
                <w:rFonts w:hint="eastAsia"/>
                <w:highlight w:val="none"/>
              </w:rPr>
            </w:pPr>
            <w:r>
              <w:rPr>
                <w:rFonts w:hint="eastAsia"/>
                <w:highlight w:val="none"/>
              </w:rPr>
              <w:t>强热带风暴</w:t>
            </w:r>
            <w:r>
              <w:rPr>
                <w:rFonts w:hint="eastAsia"/>
                <w:highlight w:val="none"/>
                <w:lang w:eastAsia="zh-CN"/>
              </w:rPr>
              <w:t>（</w:t>
            </w:r>
            <w:r>
              <w:rPr>
                <w:rFonts w:hint="eastAsia"/>
                <w:highlight w:val="none"/>
              </w:rPr>
              <w:t>STS</w:t>
            </w:r>
            <w:r>
              <w:rPr>
                <w:rFonts w:hint="eastAsia"/>
                <w:highlight w:val="none"/>
                <w:lang w:eastAsia="zh-CN"/>
              </w:rPr>
              <w:t>）</w:t>
            </w:r>
          </w:p>
        </w:tc>
        <w:tc>
          <w:tcPr>
            <w:tcW w:w="1667" w:type="pct"/>
            <w:shd w:val="clear" w:color="auto" w:fill="auto"/>
            <w:vAlign w:val="center"/>
          </w:tcPr>
          <w:p w14:paraId="246576EB">
            <w:pPr>
              <w:pStyle w:val="180"/>
              <w:bidi w:val="0"/>
              <w:spacing w:line="240" w:lineRule="auto"/>
              <w:jc w:val="center"/>
              <w:rPr>
                <w:rFonts w:hint="eastAsia"/>
                <w:highlight w:val="none"/>
                <w:lang w:val="en-US" w:eastAsia="zh-CN"/>
              </w:rPr>
            </w:pPr>
            <w:r>
              <w:rPr>
                <w:rFonts w:hint="eastAsia"/>
                <w:highlight w:val="none"/>
              </w:rPr>
              <w:t>24.5</w:t>
            </w:r>
            <w:r>
              <w:rPr>
                <w:rFonts w:hint="eastAsia"/>
                <w:highlight w:val="none"/>
                <w:lang w:eastAsia="zh-CN"/>
              </w:rPr>
              <w:t>~</w:t>
            </w:r>
            <w:r>
              <w:rPr>
                <w:rFonts w:hint="eastAsia"/>
                <w:highlight w:val="none"/>
                <w:lang w:eastAsia="zh"/>
              </w:rPr>
              <w:t>28.4</w:t>
            </w:r>
          </w:p>
        </w:tc>
        <w:tc>
          <w:tcPr>
            <w:tcW w:w="1667" w:type="pct"/>
            <w:shd w:val="clear" w:color="auto" w:fill="auto"/>
            <w:vAlign w:val="center"/>
          </w:tcPr>
          <w:p w14:paraId="7ED58A2D">
            <w:pPr>
              <w:pStyle w:val="180"/>
              <w:bidi w:val="0"/>
              <w:spacing w:line="240" w:lineRule="auto"/>
              <w:jc w:val="center"/>
              <w:rPr>
                <w:rFonts w:hint="eastAsia"/>
                <w:highlight w:val="none"/>
                <w:lang w:val="en-US" w:eastAsia="zh-CN"/>
              </w:rPr>
            </w:pPr>
            <w:r>
              <w:rPr>
                <w:rFonts w:hint="eastAsia"/>
                <w:highlight w:val="none"/>
              </w:rPr>
              <w:t>101</w:t>
            </w:r>
          </w:p>
        </w:tc>
      </w:tr>
      <w:tr w14:paraId="28B128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665" w:type="pct"/>
            <w:vMerge w:val="continue"/>
            <w:vAlign w:val="center"/>
          </w:tcPr>
          <w:p w14:paraId="3EDFFA31">
            <w:pPr>
              <w:pStyle w:val="180"/>
              <w:bidi w:val="0"/>
              <w:spacing w:line="240" w:lineRule="auto"/>
              <w:jc w:val="center"/>
              <w:rPr>
                <w:rFonts w:hint="eastAsia"/>
                <w:highlight w:val="none"/>
              </w:rPr>
            </w:pPr>
          </w:p>
        </w:tc>
        <w:tc>
          <w:tcPr>
            <w:tcW w:w="1667" w:type="pct"/>
            <w:shd w:val="clear" w:color="auto" w:fill="auto"/>
            <w:vAlign w:val="center"/>
          </w:tcPr>
          <w:p w14:paraId="184090D9">
            <w:pPr>
              <w:pStyle w:val="180"/>
              <w:bidi w:val="0"/>
              <w:spacing w:line="240" w:lineRule="auto"/>
              <w:jc w:val="center"/>
              <w:rPr>
                <w:rFonts w:hint="eastAsia"/>
                <w:highlight w:val="none"/>
                <w:lang w:val="en-US" w:eastAsia="zh-CN"/>
              </w:rPr>
            </w:pPr>
            <w:r>
              <w:rPr>
                <w:rFonts w:hint="eastAsia"/>
                <w:highlight w:val="none"/>
                <w:lang w:eastAsia="zh"/>
              </w:rPr>
              <w:t>28.5</w:t>
            </w:r>
            <w:r>
              <w:rPr>
                <w:rFonts w:hint="eastAsia"/>
                <w:highlight w:val="none"/>
                <w:lang w:eastAsia="zh-CN"/>
              </w:rPr>
              <w:t>~</w:t>
            </w:r>
            <w:r>
              <w:rPr>
                <w:rFonts w:hint="eastAsia"/>
                <w:highlight w:val="none"/>
              </w:rPr>
              <w:t>32.6</w:t>
            </w:r>
          </w:p>
        </w:tc>
        <w:tc>
          <w:tcPr>
            <w:tcW w:w="1667" w:type="pct"/>
            <w:shd w:val="clear" w:color="auto" w:fill="auto"/>
            <w:vAlign w:val="center"/>
          </w:tcPr>
          <w:p w14:paraId="0B3BEAC7">
            <w:pPr>
              <w:pStyle w:val="180"/>
              <w:bidi w:val="0"/>
              <w:spacing w:line="240" w:lineRule="auto"/>
              <w:jc w:val="center"/>
              <w:rPr>
                <w:rFonts w:hint="eastAsia"/>
                <w:highlight w:val="none"/>
                <w:lang w:val="en-US" w:eastAsia="zh"/>
              </w:rPr>
            </w:pPr>
            <w:r>
              <w:rPr>
                <w:rFonts w:hint="eastAsia"/>
                <w:highlight w:val="none"/>
                <w:lang w:eastAsia="zh"/>
              </w:rPr>
              <w:t>11</w:t>
            </w:r>
          </w:p>
        </w:tc>
      </w:tr>
      <w:tr w14:paraId="509262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665" w:type="pct"/>
            <w:vMerge w:val="restart"/>
            <w:vAlign w:val="center"/>
          </w:tcPr>
          <w:p w14:paraId="0BD6D34A">
            <w:pPr>
              <w:pStyle w:val="180"/>
              <w:bidi w:val="0"/>
              <w:spacing w:line="240" w:lineRule="auto"/>
              <w:jc w:val="center"/>
              <w:rPr>
                <w:rFonts w:hint="eastAsia"/>
                <w:highlight w:val="none"/>
              </w:rPr>
            </w:pPr>
            <w:r>
              <w:rPr>
                <w:rFonts w:hint="eastAsia"/>
                <w:highlight w:val="none"/>
              </w:rPr>
              <w:t>台风</w:t>
            </w:r>
            <w:r>
              <w:rPr>
                <w:rFonts w:hint="eastAsia"/>
                <w:highlight w:val="none"/>
                <w:lang w:eastAsia="zh-CN"/>
              </w:rPr>
              <w:t>（</w:t>
            </w:r>
            <w:r>
              <w:rPr>
                <w:rFonts w:hint="eastAsia"/>
                <w:highlight w:val="none"/>
              </w:rPr>
              <w:t>TY</w:t>
            </w:r>
            <w:r>
              <w:rPr>
                <w:rFonts w:hint="eastAsia"/>
                <w:highlight w:val="none"/>
                <w:lang w:eastAsia="zh-CN"/>
              </w:rPr>
              <w:t>）</w:t>
            </w:r>
          </w:p>
        </w:tc>
        <w:tc>
          <w:tcPr>
            <w:tcW w:w="1667" w:type="pct"/>
            <w:shd w:val="clear" w:color="auto" w:fill="auto"/>
            <w:vAlign w:val="center"/>
          </w:tcPr>
          <w:p w14:paraId="1095682D">
            <w:pPr>
              <w:pStyle w:val="180"/>
              <w:bidi w:val="0"/>
              <w:spacing w:line="240" w:lineRule="auto"/>
              <w:jc w:val="center"/>
              <w:rPr>
                <w:rFonts w:hint="eastAsia"/>
                <w:highlight w:val="none"/>
                <w:lang w:val="en-US" w:eastAsia="zh-CN"/>
              </w:rPr>
            </w:pPr>
            <w:r>
              <w:rPr>
                <w:rFonts w:hint="eastAsia"/>
                <w:highlight w:val="none"/>
              </w:rPr>
              <w:t>32.7</w:t>
            </w:r>
            <w:r>
              <w:rPr>
                <w:rFonts w:hint="eastAsia"/>
                <w:highlight w:val="none"/>
                <w:lang w:eastAsia="zh-CN"/>
              </w:rPr>
              <w:t>~</w:t>
            </w:r>
            <w:r>
              <w:rPr>
                <w:rFonts w:hint="eastAsia"/>
                <w:highlight w:val="none"/>
                <w:lang w:eastAsia="zh"/>
              </w:rPr>
              <w:t>36.9</w:t>
            </w:r>
          </w:p>
        </w:tc>
        <w:tc>
          <w:tcPr>
            <w:tcW w:w="1667" w:type="pct"/>
            <w:shd w:val="clear" w:color="auto" w:fill="auto"/>
            <w:vAlign w:val="center"/>
          </w:tcPr>
          <w:p w14:paraId="7CFB0F14">
            <w:pPr>
              <w:pStyle w:val="180"/>
              <w:bidi w:val="0"/>
              <w:spacing w:line="240" w:lineRule="auto"/>
              <w:jc w:val="center"/>
              <w:rPr>
                <w:rFonts w:hint="eastAsia"/>
                <w:highlight w:val="none"/>
                <w:lang w:val="en-US" w:eastAsia="zh-CN"/>
              </w:rPr>
            </w:pPr>
            <w:r>
              <w:rPr>
                <w:rFonts w:hint="eastAsia"/>
                <w:highlight w:val="none"/>
              </w:rPr>
              <w:t>123</w:t>
            </w:r>
          </w:p>
        </w:tc>
      </w:tr>
      <w:tr w14:paraId="7EE451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665" w:type="pct"/>
            <w:vMerge w:val="continue"/>
            <w:vAlign w:val="center"/>
          </w:tcPr>
          <w:p w14:paraId="0B43482D">
            <w:pPr>
              <w:pStyle w:val="180"/>
              <w:bidi w:val="0"/>
              <w:spacing w:line="240" w:lineRule="auto"/>
              <w:jc w:val="center"/>
              <w:rPr>
                <w:rFonts w:hint="eastAsia"/>
                <w:highlight w:val="none"/>
              </w:rPr>
            </w:pPr>
          </w:p>
        </w:tc>
        <w:tc>
          <w:tcPr>
            <w:tcW w:w="1667" w:type="pct"/>
            <w:shd w:val="clear" w:color="auto" w:fill="auto"/>
            <w:vAlign w:val="center"/>
          </w:tcPr>
          <w:p w14:paraId="0684750D">
            <w:pPr>
              <w:pStyle w:val="180"/>
              <w:bidi w:val="0"/>
              <w:spacing w:line="240" w:lineRule="auto"/>
              <w:jc w:val="center"/>
              <w:rPr>
                <w:rFonts w:hint="eastAsia"/>
                <w:highlight w:val="none"/>
                <w:lang w:val="en-US" w:eastAsia="zh-CN"/>
              </w:rPr>
            </w:pPr>
            <w:r>
              <w:rPr>
                <w:rFonts w:hint="eastAsia"/>
                <w:highlight w:val="none"/>
                <w:lang w:eastAsia="zh"/>
              </w:rPr>
              <w:t>37.0</w:t>
            </w:r>
            <w:r>
              <w:rPr>
                <w:rFonts w:hint="eastAsia"/>
                <w:highlight w:val="none"/>
                <w:lang w:eastAsia="zh-CN"/>
              </w:rPr>
              <w:t>~</w:t>
            </w:r>
            <w:r>
              <w:rPr>
                <w:rFonts w:hint="eastAsia"/>
                <w:highlight w:val="none"/>
              </w:rPr>
              <w:t>41.4</w:t>
            </w:r>
          </w:p>
        </w:tc>
        <w:tc>
          <w:tcPr>
            <w:tcW w:w="1667" w:type="pct"/>
            <w:shd w:val="clear" w:color="auto" w:fill="auto"/>
            <w:vAlign w:val="center"/>
          </w:tcPr>
          <w:p w14:paraId="5B31B231">
            <w:pPr>
              <w:pStyle w:val="180"/>
              <w:bidi w:val="0"/>
              <w:spacing w:line="240" w:lineRule="auto"/>
              <w:jc w:val="center"/>
              <w:rPr>
                <w:rFonts w:hint="eastAsia"/>
                <w:highlight w:val="none"/>
                <w:lang w:val="en-US" w:eastAsia="zh"/>
              </w:rPr>
            </w:pPr>
            <w:r>
              <w:rPr>
                <w:rFonts w:hint="eastAsia"/>
                <w:highlight w:val="none"/>
                <w:lang w:eastAsia="zh"/>
              </w:rPr>
              <w:t>13</w:t>
            </w:r>
          </w:p>
        </w:tc>
      </w:tr>
      <w:tr w14:paraId="6906A4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665" w:type="pct"/>
            <w:vMerge w:val="restart"/>
            <w:vAlign w:val="center"/>
          </w:tcPr>
          <w:p w14:paraId="2418967D">
            <w:pPr>
              <w:pStyle w:val="180"/>
              <w:bidi w:val="0"/>
              <w:spacing w:line="240" w:lineRule="auto"/>
              <w:jc w:val="center"/>
              <w:rPr>
                <w:rFonts w:hint="eastAsia"/>
                <w:highlight w:val="none"/>
              </w:rPr>
            </w:pPr>
            <w:r>
              <w:rPr>
                <w:rFonts w:hint="eastAsia"/>
                <w:highlight w:val="none"/>
              </w:rPr>
              <w:t>强台风</w:t>
            </w:r>
            <w:r>
              <w:rPr>
                <w:rFonts w:hint="eastAsia"/>
                <w:highlight w:val="none"/>
                <w:lang w:eastAsia="zh-CN"/>
              </w:rPr>
              <w:t>（</w:t>
            </w:r>
            <w:r>
              <w:rPr>
                <w:rFonts w:hint="eastAsia"/>
                <w:highlight w:val="none"/>
              </w:rPr>
              <w:t>STY</w:t>
            </w:r>
            <w:r>
              <w:rPr>
                <w:rFonts w:hint="eastAsia"/>
                <w:highlight w:val="none"/>
                <w:lang w:eastAsia="zh-CN"/>
              </w:rPr>
              <w:t>）</w:t>
            </w:r>
          </w:p>
        </w:tc>
        <w:tc>
          <w:tcPr>
            <w:tcW w:w="1667" w:type="pct"/>
            <w:shd w:val="clear" w:color="auto" w:fill="auto"/>
            <w:vAlign w:val="center"/>
          </w:tcPr>
          <w:p w14:paraId="20CA4589">
            <w:pPr>
              <w:pStyle w:val="180"/>
              <w:bidi w:val="0"/>
              <w:spacing w:line="240" w:lineRule="auto"/>
              <w:jc w:val="center"/>
              <w:rPr>
                <w:rFonts w:hint="eastAsia"/>
                <w:highlight w:val="none"/>
                <w:lang w:val="en-US" w:eastAsia="zh-CN"/>
              </w:rPr>
            </w:pPr>
            <w:r>
              <w:rPr>
                <w:rFonts w:hint="eastAsia"/>
                <w:highlight w:val="none"/>
              </w:rPr>
              <w:t>41.5</w:t>
            </w:r>
            <w:r>
              <w:rPr>
                <w:rFonts w:hint="eastAsia"/>
                <w:highlight w:val="none"/>
                <w:lang w:eastAsia="zh-CN"/>
              </w:rPr>
              <w:t>~</w:t>
            </w:r>
            <w:r>
              <w:rPr>
                <w:rFonts w:hint="eastAsia"/>
                <w:highlight w:val="none"/>
                <w:lang w:eastAsia="zh"/>
              </w:rPr>
              <w:t>46.1</w:t>
            </w:r>
          </w:p>
        </w:tc>
        <w:tc>
          <w:tcPr>
            <w:tcW w:w="1667" w:type="pct"/>
            <w:shd w:val="clear" w:color="auto" w:fill="auto"/>
            <w:vAlign w:val="center"/>
          </w:tcPr>
          <w:p w14:paraId="7A3119CC">
            <w:pPr>
              <w:pStyle w:val="180"/>
              <w:bidi w:val="0"/>
              <w:spacing w:line="240" w:lineRule="auto"/>
              <w:jc w:val="center"/>
              <w:rPr>
                <w:rFonts w:hint="eastAsia"/>
                <w:highlight w:val="none"/>
                <w:lang w:val="en-US" w:eastAsia="zh-CN"/>
              </w:rPr>
            </w:pPr>
            <w:r>
              <w:rPr>
                <w:rFonts w:hint="eastAsia"/>
                <w:highlight w:val="none"/>
              </w:rPr>
              <w:t>14</w:t>
            </w:r>
          </w:p>
        </w:tc>
      </w:tr>
      <w:tr w14:paraId="53740A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665" w:type="pct"/>
            <w:vMerge w:val="continue"/>
            <w:vAlign w:val="center"/>
          </w:tcPr>
          <w:p w14:paraId="6ED84F5E">
            <w:pPr>
              <w:pStyle w:val="180"/>
              <w:bidi w:val="0"/>
              <w:spacing w:line="240" w:lineRule="auto"/>
              <w:jc w:val="center"/>
              <w:rPr>
                <w:rFonts w:hint="eastAsia"/>
                <w:highlight w:val="none"/>
              </w:rPr>
            </w:pPr>
          </w:p>
        </w:tc>
        <w:tc>
          <w:tcPr>
            <w:tcW w:w="1667" w:type="pct"/>
            <w:shd w:val="clear" w:color="auto" w:fill="auto"/>
            <w:vAlign w:val="center"/>
          </w:tcPr>
          <w:p w14:paraId="7F15C843">
            <w:pPr>
              <w:pStyle w:val="180"/>
              <w:bidi w:val="0"/>
              <w:spacing w:line="240" w:lineRule="auto"/>
              <w:jc w:val="center"/>
              <w:rPr>
                <w:rFonts w:hint="eastAsia"/>
                <w:highlight w:val="none"/>
                <w:lang w:val="en-US" w:eastAsia="zh-CN"/>
              </w:rPr>
            </w:pPr>
            <w:r>
              <w:rPr>
                <w:rFonts w:hint="eastAsia"/>
                <w:highlight w:val="none"/>
              </w:rPr>
              <w:t>4</w:t>
            </w:r>
            <w:r>
              <w:rPr>
                <w:rFonts w:hint="eastAsia"/>
                <w:highlight w:val="none"/>
                <w:lang w:eastAsia="zh"/>
              </w:rPr>
              <w:t>6.2</w:t>
            </w:r>
            <w:r>
              <w:rPr>
                <w:rFonts w:hint="eastAsia"/>
                <w:highlight w:val="none"/>
                <w:lang w:eastAsia="zh-CN"/>
              </w:rPr>
              <w:t>~</w:t>
            </w:r>
            <w:r>
              <w:rPr>
                <w:rFonts w:hint="eastAsia"/>
                <w:highlight w:val="none"/>
              </w:rPr>
              <w:t>50.9</w:t>
            </w:r>
          </w:p>
        </w:tc>
        <w:tc>
          <w:tcPr>
            <w:tcW w:w="1667" w:type="pct"/>
            <w:shd w:val="clear" w:color="auto" w:fill="auto"/>
            <w:vAlign w:val="center"/>
          </w:tcPr>
          <w:p w14:paraId="0F81B52E">
            <w:pPr>
              <w:pStyle w:val="180"/>
              <w:bidi w:val="0"/>
              <w:spacing w:line="240" w:lineRule="auto"/>
              <w:jc w:val="center"/>
              <w:rPr>
                <w:rFonts w:hint="eastAsia"/>
                <w:highlight w:val="none"/>
                <w:lang w:val="en-US" w:eastAsia="zh"/>
              </w:rPr>
            </w:pPr>
            <w:r>
              <w:rPr>
                <w:rFonts w:hint="eastAsia"/>
                <w:highlight w:val="none"/>
                <w:lang w:eastAsia="zh"/>
              </w:rPr>
              <w:t>15</w:t>
            </w:r>
          </w:p>
        </w:tc>
      </w:tr>
      <w:tr w14:paraId="2B72CA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90" w:hRule="atLeast"/>
          <w:jc w:val="center"/>
        </w:trPr>
        <w:tc>
          <w:tcPr>
            <w:tcW w:w="1665" w:type="pct"/>
            <w:vMerge w:val="restart"/>
            <w:vAlign w:val="center"/>
          </w:tcPr>
          <w:p w14:paraId="2759412E">
            <w:pPr>
              <w:pStyle w:val="180"/>
              <w:bidi w:val="0"/>
              <w:spacing w:line="240" w:lineRule="auto"/>
              <w:jc w:val="center"/>
              <w:rPr>
                <w:rFonts w:hint="eastAsia"/>
                <w:highlight w:val="none"/>
              </w:rPr>
            </w:pPr>
            <w:r>
              <w:rPr>
                <w:rFonts w:hint="eastAsia"/>
                <w:highlight w:val="none"/>
              </w:rPr>
              <w:t>超强台风（SuperTY）</w:t>
            </w:r>
          </w:p>
        </w:tc>
        <w:tc>
          <w:tcPr>
            <w:tcW w:w="1667" w:type="pct"/>
            <w:shd w:val="clear" w:color="auto" w:fill="auto"/>
            <w:vAlign w:val="center"/>
          </w:tcPr>
          <w:p w14:paraId="50676327">
            <w:pPr>
              <w:pStyle w:val="180"/>
              <w:bidi w:val="0"/>
              <w:spacing w:line="240" w:lineRule="auto"/>
              <w:jc w:val="center"/>
              <w:rPr>
                <w:rFonts w:hint="eastAsia"/>
                <w:highlight w:val="none"/>
                <w:lang w:val="en-US" w:eastAsia="zh"/>
              </w:rPr>
            </w:pPr>
            <w:r>
              <w:rPr>
                <w:rFonts w:hint="eastAsia"/>
                <w:highlight w:val="none"/>
              </w:rPr>
              <w:t>51.0</w:t>
            </w:r>
            <w:r>
              <w:rPr>
                <w:rFonts w:hint="eastAsia"/>
                <w:highlight w:val="none"/>
                <w:lang w:eastAsia="zh-CN"/>
              </w:rPr>
              <w:t>~</w:t>
            </w:r>
            <w:r>
              <w:rPr>
                <w:rFonts w:hint="eastAsia"/>
                <w:highlight w:val="none"/>
                <w:lang w:eastAsia="zh"/>
              </w:rPr>
              <w:t>56.0</w:t>
            </w:r>
          </w:p>
        </w:tc>
        <w:tc>
          <w:tcPr>
            <w:tcW w:w="1667" w:type="pct"/>
            <w:shd w:val="clear" w:color="auto" w:fill="auto"/>
            <w:vAlign w:val="center"/>
          </w:tcPr>
          <w:p w14:paraId="5C3FF8EB">
            <w:pPr>
              <w:pStyle w:val="180"/>
              <w:bidi w:val="0"/>
              <w:spacing w:line="240" w:lineRule="auto"/>
              <w:jc w:val="center"/>
              <w:rPr>
                <w:rFonts w:hint="eastAsia"/>
                <w:highlight w:val="none"/>
                <w:lang w:val="en-US" w:eastAsia="zh"/>
              </w:rPr>
            </w:pPr>
            <w:r>
              <w:rPr>
                <w:rFonts w:hint="eastAsia"/>
                <w:highlight w:val="none"/>
              </w:rPr>
              <w:t>16</w:t>
            </w:r>
          </w:p>
        </w:tc>
      </w:tr>
      <w:tr w14:paraId="10A25B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665" w:type="pct"/>
            <w:vMerge w:val="continue"/>
            <w:vAlign w:val="center"/>
          </w:tcPr>
          <w:p w14:paraId="5140B05B">
            <w:pPr>
              <w:pStyle w:val="180"/>
              <w:bidi w:val="0"/>
              <w:spacing w:line="240" w:lineRule="auto"/>
              <w:jc w:val="center"/>
              <w:rPr>
                <w:rFonts w:hint="eastAsia"/>
                <w:highlight w:val="none"/>
              </w:rPr>
            </w:pPr>
          </w:p>
        </w:tc>
        <w:tc>
          <w:tcPr>
            <w:tcW w:w="1667" w:type="pct"/>
            <w:shd w:val="clear" w:color="auto" w:fill="auto"/>
            <w:vAlign w:val="center"/>
          </w:tcPr>
          <w:p w14:paraId="554F846D">
            <w:pPr>
              <w:pStyle w:val="180"/>
              <w:bidi w:val="0"/>
              <w:spacing w:line="240" w:lineRule="auto"/>
              <w:jc w:val="center"/>
              <w:rPr>
                <w:rFonts w:hint="eastAsia"/>
                <w:highlight w:val="none"/>
                <w:lang w:val="en-US" w:eastAsia="zh-CN"/>
              </w:rPr>
            </w:pPr>
            <w:r>
              <w:rPr>
                <w:rFonts w:hint="eastAsia"/>
                <w:highlight w:val="none"/>
              </w:rPr>
              <w:t>5</w:t>
            </w:r>
            <w:r>
              <w:rPr>
                <w:rFonts w:hint="eastAsia"/>
                <w:highlight w:val="none"/>
                <w:lang w:eastAsia="zh"/>
              </w:rPr>
              <w:t>6.1</w:t>
            </w:r>
            <w:r>
              <w:rPr>
                <w:rFonts w:hint="eastAsia"/>
                <w:highlight w:val="none"/>
                <w:lang w:eastAsia="zh-CN"/>
              </w:rPr>
              <w:t>~</w:t>
            </w:r>
            <w:r>
              <w:rPr>
                <w:rFonts w:hint="eastAsia"/>
                <w:highlight w:val="none"/>
                <w:lang w:eastAsia="zh"/>
              </w:rPr>
              <w:t>61.2</w:t>
            </w:r>
          </w:p>
        </w:tc>
        <w:tc>
          <w:tcPr>
            <w:tcW w:w="1667" w:type="pct"/>
            <w:shd w:val="clear" w:color="auto" w:fill="auto"/>
            <w:vAlign w:val="center"/>
          </w:tcPr>
          <w:p w14:paraId="7EF1A101">
            <w:pPr>
              <w:pStyle w:val="180"/>
              <w:bidi w:val="0"/>
              <w:spacing w:line="240" w:lineRule="auto"/>
              <w:jc w:val="center"/>
              <w:rPr>
                <w:rFonts w:hint="eastAsia"/>
                <w:highlight w:val="none"/>
                <w:lang w:val="en-US" w:eastAsia="zh"/>
              </w:rPr>
            </w:pPr>
            <w:r>
              <w:rPr>
                <w:rFonts w:hint="eastAsia"/>
                <w:highlight w:val="none"/>
                <w:lang w:eastAsia="zh"/>
              </w:rPr>
              <w:t>17</w:t>
            </w:r>
          </w:p>
        </w:tc>
      </w:tr>
    </w:tbl>
    <w:p w14:paraId="5112E0FB">
      <w:pPr>
        <w:pStyle w:val="181"/>
        <w:keepNext w:val="0"/>
        <w:keepLines w:val="0"/>
        <w:pageBreakBefore w:val="0"/>
        <w:widowControl w:val="0"/>
        <w:kinsoku/>
        <w:wordWrap/>
        <w:overflowPunct/>
        <w:topLinePunct w:val="0"/>
        <w:autoSpaceDE w:val="0"/>
        <w:autoSpaceDN w:val="0"/>
        <w:bidi w:val="0"/>
        <w:adjustRightInd/>
        <w:snapToGrid/>
        <w:spacing w:line="360" w:lineRule="auto"/>
        <w:ind w:left="363" w:firstLine="374"/>
        <w:textAlignment w:val="auto"/>
        <w:rPr>
          <w:highlight w:val="none"/>
        </w:rPr>
      </w:pPr>
      <w:r>
        <w:rPr>
          <w:rFonts w:hint="eastAsia"/>
          <w:highlight w:val="none"/>
        </w:rPr>
        <w:t>表中数值为</w:t>
      </w:r>
      <w:r>
        <w:rPr>
          <w:rFonts w:hint="eastAsia"/>
          <w:highlight w:val="none"/>
          <w:lang w:eastAsia="zh"/>
        </w:rPr>
        <w:t>热带气旋登陆时，</w:t>
      </w:r>
      <w:r>
        <w:rPr>
          <w:rFonts w:hint="eastAsia"/>
          <w:highlight w:val="none"/>
        </w:rPr>
        <w:t>离地10m高，2分钟平均风速。</w:t>
      </w:r>
    </w:p>
    <w:p w14:paraId="6737C598">
      <w:pPr>
        <w:pStyle w:val="58"/>
        <w:bidi w:val="0"/>
        <w:rPr>
          <w:highlight w:val="none"/>
        </w:rPr>
        <w:sectPr>
          <w:headerReference r:id="rId16" w:type="default"/>
          <w:footerReference r:id="rId18" w:type="default"/>
          <w:headerReference r:id="rId17" w:type="even"/>
          <w:footerReference r:id="rId19" w:type="even"/>
          <w:pgSz w:w="11906" w:h="16838"/>
          <w:pgMar w:top="1417" w:right="1134" w:bottom="1134" w:left="1417" w:header="1418" w:footer="1134" w:gutter="283"/>
          <w:pgBorders>
            <w:top w:val="none" w:sz="0" w:space="0"/>
            <w:left w:val="none" w:sz="0" w:space="0"/>
            <w:bottom w:val="none" w:sz="0" w:space="0"/>
            <w:right w:val="none" w:sz="0" w:space="0"/>
          </w:pgBorders>
          <w:pgNumType w:fmt="decimal" w:start="1"/>
          <w:cols w:space="0" w:num="1"/>
          <w:formProt w:val="0"/>
          <w:rtlGutter w:val="0"/>
          <w:docGrid w:linePitch="312" w:charSpace="0"/>
        </w:sectPr>
      </w:pPr>
    </w:p>
    <w:p w14:paraId="5F5C21AE">
      <w:pPr>
        <w:pStyle w:val="58"/>
        <w:bidi w:val="0"/>
        <w:rPr>
          <w:highlight w:val="none"/>
        </w:rPr>
      </w:pPr>
    </w:p>
    <w:bookmarkEnd w:id="228"/>
    <w:p w14:paraId="12C4F59B">
      <w:pPr>
        <w:pStyle w:val="78"/>
        <w:bidi w:val="0"/>
        <w:rPr>
          <w:highlight w:val="none"/>
        </w:rPr>
      </w:pPr>
      <w:bookmarkStart w:id="233" w:name="_Toc14856"/>
      <w:r>
        <w:rPr>
          <w:highlight w:val="none"/>
        </w:rPr>
        <w:br w:type="textWrapping"/>
      </w:r>
      <w:r>
        <w:rPr>
          <w:rFonts w:hint="eastAsia"/>
          <w:highlight w:val="none"/>
          <w:lang w:eastAsia="zh-CN"/>
        </w:rPr>
        <w:t>（</w:t>
      </w:r>
      <w:r>
        <w:rPr>
          <w:rFonts w:hint="eastAsia"/>
          <w:highlight w:val="none"/>
          <w:lang w:val="en-US" w:eastAsia="zh-CN"/>
        </w:rPr>
        <w:t>资料</w:t>
      </w:r>
      <w:r>
        <w:rPr>
          <w:rFonts w:hint="eastAsia"/>
          <w:highlight w:val="none"/>
          <w:lang w:eastAsia="zh-CN"/>
        </w:rPr>
        <w:t>性）</w:t>
      </w:r>
      <w:r>
        <w:rPr>
          <w:rFonts w:hint="eastAsia"/>
          <w:highlight w:val="none"/>
          <w:lang w:eastAsia="zh-CN"/>
        </w:rPr>
        <w:br w:type="textWrapping"/>
      </w:r>
      <w:r>
        <w:rPr>
          <w:rFonts w:hint="eastAsia"/>
          <w:highlight w:val="none"/>
          <w:lang w:val="en-US" w:eastAsia="zh-CN"/>
        </w:rPr>
        <w:t>输</w:t>
      </w:r>
      <w:r>
        <w:rPr>
          <w:highlight w:val="none"/>
        </w:rPr>
        <w:t>电</w:t>
      </w:r>
      <w:r>
        <w:rPr>
          <w:rFonts w:hint="eastAsia"/>
          <w:highlight w:val="none"/>
          <w:lang w:val="en-US" w:eastAsia="zh-CN"/>
        </w:rPr>
        <w:t>线路</w:t>
      </w:r>
      <w:r>
        <w:rPr>
          <w:highlight w:val="none"/>
        </w:rPr>
        <w:t>抗台风运维相关事项汇总表</w:t>
      </w:r>
      <w:bookmarkEnd w:id="233"/>
    </w:p>
    <w:p w14:paraId="226CFA64">
      <w:pPr>
        <w:spacing w:before="120" w:after="120" w:line="360" w:lineRule="auto"/>
        <w:ind w:firstLine="420" w:firstLineChars="200"/>
        <w:jc w:val="left"/>
        <w:rPr>
          <w:rFonts w:hint="eastAsia" w:ascii="宋体" w:hAnsi="宋体" w:eastAsia="宋体" w:cs="宋体"/>
          <w:sz w:val="21"/>
          <w:szCs w:val="21"/>
        </w:rPr>
      </w:pPr>
      <w:r>
        <w:rPr>
          <w:rFonts w:hint="eastAsia" w:ascii="宋体" w:hAnsi="宋体" w:eastAsia="宋体" w:cs="宋体"/>
          <w:color w:val="auto"/>
          <w:sz w:val="21"/>
          <w:szCs w:val="21"/>
        </w:rPr>
        <w:t>本附录依据架空输电线路抗台风运维核心要求编制，整合全流程关键内容，涵盖日常运维及台风前准备、台风中处置、台风后恢复各阶段，覆盖线路本体、杆塔、基础、通道及附属设施等核心模块，明确运维重点、操作要求及与设计的衔接点，为运维人员提供标准化指引，规范关键环节操</w:t>
      </w:r>
      <w:r>
        <w:rPr>
          <w:rFonts w:hint="eastAsia" w:ascii="宋体" w:hAnsi="宋体" w:eastAsia="宋体" w:cs="宋体"/>
          <w:sz w:val="21"/>
          <w:szCs w:val="21"/>
        </w:rPr>
        <w:t>作。</w:t>
      </w:r>
    </w:p>
    <w:tbl>
      <w:tblPr>
        <w:tblStyle w:val="28"/>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648"/>
        <w:gridCol w:w="919"/>
        <w:gridCol w:w="1179"/>
        <w:gridCol w:w="3214"/>
        <w:gridCol w:w="1727"/>
        <w:gridCol w:w="1368"/>
      </w:tblGrid>
      <w:tr w14:paraId="13CEC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blHeader/>
          <w:jc w:val="center"/>
        </w:trPr>
        <w:tc>
          <w:tcPr>
            <w:tcW w:w="358" w:type="pct"/>
            <w:tcBorders>
              <w:tl2br w:val="nil"/>
            </w:tcBorders>
            <w:shd w:val="clear" w:color="auto" w:fill="FFFFFF"/>
            <w:tcMar>
              <w:top w:w="60" w:type="dxa"/>
              <w:left w:w="120" w:type="dxa"/>
              <w:bottom w:w="30" w:type="dxa"/>
              <w:right w:w="120" w:type="dxa"/>
            </w:tcMar>
            <w:vAlign w:val="center"/>
          </w:tcPr>
          <w:p w14:paraId="1F2463D6">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序号</w:t>
            </w:r>
          </w:p>
        </w:tc>
        <w:tc>
          <w:tcPr>
            <w:tcW w:w="507" w:type="pct"/>
            <w:shd w:val="clear" w:color="auto" w:fill="FFFFFF"/>
            <w:tcMar>
              <w:top w:w="60" w:type="dxa"/>
              <w:left w:w="120" w:type="dxa"/>
              <w:bottom w:w="30" w:type="dxa"/>
              <w:right w:w="120" w:type="dxa"/>
            </w:tcMar>
            <w:vAlign w:val="center"/>
          </w:tcPr>
          <w:p w14:paraId="5328790A">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运维阶段</w:t>
            </w:r>
          </w:p>
        </w:tc>
        <w:tc>
          <w:tcPr>
            <w:tcW w:w="651" w:type="pct"/>
            <w:shd w:val="clear" w:color="auto" w:fill="FFFFFF"/>
            <w:tcMar>
              <w:top w:w="60" w:type="dxa"/>
              <w:left w:w="120" w:type="dxa"/>
              <w:bottom w:w="30" w:type="dxa"/>
              <w:right w:w="120" w:type="dxa"/>
            </w:tcMar>
            <w:vAlign w:val="center"/>
          </w:tcPr>
          <w:p w14:paraId="110AAD27">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具体类别</w:t>
            </w:r>
          </w:p>
        </w:tc>
        <w:tc>
          <w:tcPr>
            <w:tcW w:w="1774" w:type="pct"/>
            <w:shd w:val="clear" w:color="auto" w:fill="FFFFFF"/>
            <w:tcMar>
              <w:top w:w="60" w:type="dxa"/>
              <w:left w:w="120" w:type="dxa"/>
              <w:bottom w:w="30" w:type="dxa"/>
              <w:right w:w="120" w:type="dxa"/>
            </w:tcMar>
            <w:vAlign w:val="center"/>
          </w:tcPr>
          <w:p w14:paraId="19B11147">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核心运维内容</w:t>
            </w:r>
          </w:p>
        </w:tc>
        <w:tc>
          <w:tcPr>
            <w:tcW w:w="953" w:type="pct"/>
            <w:shd w:val="clear" w:color="auto" w:fill="FFFFFF"/>
            <w:tcMar>
              <w:top w:w="60" w:type="dxa"/>
              <w:left w:w="120" w:type="dxa"/>
              <w:bottom w:w="30" w:type="dxa"/>
              <w:right w:w="120" w:type="dxa"/>
            </w:tcMar>
            <w:vAlign w:val="center"/>
          </w:tcPr>
          <w:p w14:paraId="22CF1847">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关键要求</w:t>
            </w:r>
          </w:p>
        </w:tc>
        <w:tc>
          <w:tcPr>
            <w:tcW w:w="755" w:type="pct"/>
            <w:shd w:val="clear" w:color="auto" w:fill="FFFFFF"/>
            <w:tcMar>
              <w:top w:w="60" w:type="dxa"/>
              <w:left w:w="120" w:type="dxa"/>
              <w:bottom w:w="30" w:type="dxa"/>
              <w:right w:w="120" w:type="dxa"/>
            </w:tcMar>
            <w:vAlign w:val="center"/>
          </w:tcPr>
          <w:p w14:paraId="0B98F3C7">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设计衔接点</w:t>
            </w:r>
          </w:p>
        </w:tc>
      </w:tr>
      <w:tr w14:paraId="18653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358" w:type="pct"/>
            <w:shd w:val="clear" w:color="auto" w:fill="FFFFFF"/>
            <w:tcMar>
              <w:top w:w="60" w:type="dxa"/>
              <w:left w:w="120" w:type="dxa"/>
              <w:bottom w:w="30" w:type="dxa"/>
              <w:right w:w="120" w:type="dxa"/>
            </w:tcMar>
            <w:vAlign w:val="center"/>
          </w:tcPr>
          <w:p w14:paraId="157271F9">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1</w:t>
            </w:r>
          </w:p>
        </w:tc>
        <w:tc>
          <w:tcPr>
            <w:tcW w:w="507" w:type="pct"/>
            <w:shd w:val="clear" w:color="auto" w:fill="FFFFFF"/>
            <w:tcMar>
              <w:top w:w="60" w:type="dxa"/>
              <w:left w:w="120" w:type="dxa"/>
              <w:bottom w:w="30" w:type="dxa"/>
              <w:right w:w="120" w:type="dxa"/>
            </w:tcMar>
            <w:vAlign w:val="center"/>
          </w:tcPr>
          <w:p w14:paraId="566B081E">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日常运维</w:t>
            </w:r>
          </w:p>
        </w:tc>
        <w:tc>
          <w:tcPr>
            <w:tcW w:w="651" w:type="pct"/>
            <w:shd w:val="clear" w:color="auto" w:fill="FFFFFF"/>
            <w:tcMar>
              <w:top w:w="60" w:type="dxa"/>
              <w:left w:w="120" w:type="dxa"/>
              <w:bottom w:w="30" w:type="dxa"/>
              <w:right w:w="120" w:type="dxa"/>
            </w:tcMar>
            <w:vAlign w:val="center"/>
          </w:tcPr>
          <w:p w14:paraId="2BFC2137">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线路本体运维</w:t>
            </w:r>
          </w:p>
        </w:tc>
        <w:tc>
          <w:tcPr>
            <w:tcW w:w="1774" w:type="pct"/>
            <w:shd w:val="clear" w:color="auto" w:fill="FFFFFF"/>
            <w:tcMar>
              <w:top w:w="60" w:type="dxa"/>
              <w:left w:w="120" w:type="dxa"/>
              <w:bottom w:w="30" w:type="dxa"/>
              <w:right w:w="120" w:type="dxa"/>
            </w:tcMar>
            <w:vAlign w:val="center"/>
          </w:tcPr>
          <w:p w14:paraId="04D52A38">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定期检查导线磨损、断股，轻微磨损修补、严重断股及时更换；检查地线、光缆完好性；测试防振锤、预绞丝紧固性，调整线夹握力</w:t>
            </w:r>
          </w:p>
        </w:tc>
        <w:tc>
          <w:tcPr>
            <w:tcW w:w="953" w:type="pct"/>
            <w:shd w:val="clear" w:color="auto" w:fill="FFFFFF"/>
            <w:tcMar>
              <w:top w:w="60" w:type="dxa"/>
              <w:left w:w="120" w:type="dxa"/>
              <w:bottom w:w="30" w:type="dxa"/>
              <w:right w:w="120" w:type="dxa"/>
            </w:tcMar>
            <w:vAlign w:val="center"/>
          </w:tcPr>
          <w:p w14:paraId="7E58840E">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导线无断股、无严重磨损；防振装置无滑移；金具紧固可靠</w:t>
            </w:r>
          </w:p>
        </w:tc>
        <w:tc>
          <w:tcPr>
            <w:tcW w:w="755" w:type="pct"/>
            <w:shd w:val="clear" w:color="auto" w:fill="FFFFFF"/>
            <w:tcMar>
              <w:top w:w="60" w:type="dxa"/>
              <w:left w:w="120" w:type="dxa"/>
              <w:bottom w:w="30" w:type="dxa"/>
              <w:right w:w="120" w:type="dxa"/>
            </w:tcMar>
            <w:vAlign w:val="center"/>
          </w:tcPr>
          <w:p w14:paraId="251666B6">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衔接导线选型、防振金具、防舞动设计</w:t>
            </w:r>
          </w:p>
        </w:tc>
      </w:tr>
      <w:tr w14:paraId="064CE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358" w:type="pct"/>
            <w:shd w:val="clear" w:color="auto" w:fill="FFFFFF"/>
            <w:tcMar>
              <w:top w:w="60" w:type="dxa"/>
              <w:left w:w="120" w:type="dxa"/>
              <w:bottom w:w="30" w:type="dxa"/>
              <w:right w:w="120" w:type="dxa"/>
            </w:tcMar>
            <w:vAlign w:val="center"/>
          </w:tcPr>
          <w:p w14:paraId="23A70703">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2</w:t>
            </w:r>
          </w:p>
        </w:tc>
        <w:tc>
          <w:tcPr>
            <w:tcW w:w="507" w:type="pct"/>
            <w:shd w:val="clear" w:color="auto" w:fill="FFFFFF"/>
            <w:tcMar>
              <w:top w:w="60" w:type="dxa"/>
              <w:left w:w="120" w:type="dxa"/>
              <w:bottom w:w="30" w:type="dxa"/>
              <w:right w:w="120" w:type="dxa"/>
            </w:tcMar>
            <w:vAlign w:val="center"/>
          </w:tcPr>
          <w:p w14:paraId="783A10B9">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日常运维</w:t>
            </w:r>
          </w:p>
        </w:tc>
        <w:tc>
          <w:tcPr>
            <w:tcW w:w="651" w:type="pct"/>
            <w:shd w:val="clear" w:color="auto" w:fill="FFFFFF"/>
            <w:tcMar>
              <w:top w:w="60" w:type="dxa"/>
              <w:left w:w="120" w:type="dxa"/>
              <w:bottom w:w="30" w:type="dxa"/>
              <w:right w:w="120" w:type="dxa"/>
            </w:tcMar>
            <w:vAlign w:val="center"/>
          </w:tcPr>
          <w:p w14:paraId="3320AEC8">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杆塔运维</w:t>
            </w:r>
          </w:p>
        </w:tc>
        <w:tc>
          <w:tcPr>
            <w:tcW w:w="1774" w:type="pct"/>
            <w:shd w:val="clear" w:color="auto" w:fill="FFFFFF"/>
            <w:tcMar>
              <w:top w:w="60" w:type="dxa"/>
              <w:left w:w="120" w:type="dxa"/>
              <w:bottom w:w="30" w:type="dxa"/>
              <w:right w:w="120" w:type="dxa"/>
            </w:tcMar>
            <w:vAlign w:val="center"/>
          </w:tcPr>
          <w:p w14:paraId="5E26DD95">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检查杆塔防腐涂层，脱落 / 破损立即修补；核查螺栓防松，紧固松动部位；检查杆塔倾斜、变形及杆件完好情况</w:t>
            </w:r>
          </w:p>
        </w:tc>
        <w:tc>
          <w:tcPr>
            <w:tcW w:w="953" w:type="pct"/>
            <w:shd w:val="clear" w:color="auto" w:fill="FFFFFF"/>
            <w:tcMar>
              <w:top w:w="60" w:type="dxa"/>
              <w:left w:w="120" w:type="dxa"/>
              <w:bottom w:w="30" w:type="dxa"/>
              <w:right w:w="120" w:type="dxa"/>
            </w:tcMar>
            <w:vAlign w:val="center"/>
          </w:tcPr>
          <w:p w14:paraId="01BDE33A">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杆塔无锈蚀、无倾斜变形，杆件完好、防松可靠</w:t>
            </w:r>
          </w:p>
        </w:tc>
        <w:tc>
          <w:tcPr>
            <w:tcW w:w="755" w:type="pct"/>
            <w:shd w:val="clear" w:color="auto" w:fill="FFFFFF"/>
            <w:tcMar>
              <w:top w:w="60" w:type="dxa"/>
              <w:left w:w="120" w:type="dxa"/>
              <w:bottom w:w="30" w:type="dxa"/>
              <w:right w:w="120" w:type="dxa"/>
            </w:tcMar>
            <w:vAlign w:val="center"/>
          </w:tcPr>
          <w:p w14:paraId="6B63E65F">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对接杆塔防腐、抗风构造、防串倒设计</w:t>
            </w:r>
          </w:p>
        </w:tc>
      </w:tr>
      <w:tr w14:paraId="4CD71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358" w:type="pct"/>
            <w:shd w:val="clear" w:color="auto" w:fill="FFFFFF"/>
            <w:tcMar>
              <w:top w:w="60" w:type="dxa"/>
              <w:left w:w="120" w:type="dxa"/>
              <w:bottom w:w="30" w:type="dxa"/>
              <w:right w:w="120" w:type="dxa"/>
            </w:tcMar>
            <w:vAlign w:val="center"/>
          </w:tcPr>
          <w:p w14:paraId="382974E4">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3</w:t>
            </w:r>
          </w:p>
        </w:tc>
        <w:tc>
          <w:tcPr>
            <w:tcW w:w="507" w:type="pct"/>
            <w:shd w:val="clear" w:color="auto" w:fill="FFFFFF"/>
            <w:tcMar>
              <w:top w:w="60" w:type="dxa"/>
              <w:left w:w="120" w:type="dxa"/>
              <w:bottom w:w="30" w:type="dxa"/>
              <w:right w:w="120" w:type="dxa"/>
            </w:tcMar>
            <w:vAlign w:val="center"/>
          </w:tcPr>
          <w:p w14:paraId="1A19B639">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日常运维</w:t>
            </w:r>
          </w:p>
        </w:tc>
        <w:tc>
          <w:tcPr>
            <w:tcW w:w="651" w:type="pct"/>
            <w:shd w:val="clear" w:color="auto" w:fill="FFFFFF"/>
            <w:tcMar>
              <w:top w:w="60" w:type="dxa"/>
              <w:left w:w="120" w:type="dxa"/>
              <w:bottom w:w="30" w:type="dxa"/>
              <w:right w:w="120" w:type="dxa"/>
            </w:tcMar>
            <w:vAlign w:val="center"/>
          </w:tcPr>
          <w:p w14:paraId="15E53671">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基础及边坡运维</w:t>
            </w:r>
          </w:p>
        </w:tc>
        <w:tc>
          <w:tcPr>
            <w:tcW w:w="1774" w:type="pct"/>
            <w:shd w:val="clear" w:color="auto" w:fill="FFFFFF"/>
            <w:tcMar>
              <w:top w:w="60" w:type="dxa"/>
              <w:left w:w="120" w:type="dxa"/>
              <w:bottom w:w="30" w:type="dxa"/>
              <w:right w:w="120" w:type="dxa"/>
            </w:tcMar>
            <w:vAlign w:val="center"/>
          </w:tcPr>
          <w:p w14:paraId="41DFE2D6">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检查基础沉降、开裂、周边无塌陷与腐蚀性物品堆放；核查截排水、挡土墙、护坡稳定性与通畅性；清理塔基杂物</w:t>
            </w:r>
          </w:p>
        </w:tc>
        <w:tc>
          <w:tcPr>
            <w:tcW w:w="953" w:type="pct"/>
            <w:shd w:val="clear" w:color="auto" w:fill="FFFFFF"/>
            <w:tcMar>
              <w:top w:w="60" w:type="dxa"/>
              <w:left w:w="120" w:type="dxa"/>
              <w:bottom w:w="30" w:type="dxa"/>
              <w:right w:w="120" w:type="dxa"/>
            </w:tcMar>
            <w:vAlign w:val="center"/>
          </w:tcPr>
          <w:p w14:paraId="41A95929">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基础无倾覆，排水通畅、边坡稳定</w:t>
            </w:r>
          </w:p>
        </w:tc>
        <w:tc>
          <w:tcPr>
            <w:tcW w:w="755" w:type="pct"/>
            <w:shd w:val="clear" w:color="auto" w:fill="FFFFFF"/>
            <w:tcMar>
              <w:top w:w="60" w:type="dxa"/>
              <w:left w:w="120" w:type="dxa"/>
              <w:bottom w:w="30" w:type="dxa"/>
              <w:right w:w="120" w:type="dxa"/>
            </w:tcMar>
            <w:vAlign w:val="center"/>
          </w:tcPr>
          <w:p w14:paraId="3F6C182B">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衔接基础抗倾覆、抗冲刷、地质灾害防护设计</w:t>
            </w:r>
          </w:p>
        </w:tc>
      </w:tr>
      <w:tr w14:paraId="5CD2B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358" w:type="pct"/>
            <w:shd w:val="clear" w:color="auto" w:fill="FFFFFF"/>
            <w:tcMar>
              <w:top w:w="60" w:type="dxa"/>
              <w:left w:w="120" w:type="dxa"/>
              <w:bottom w:w="30" w:type="dxa"/>
              <w:right w:w="120" w:type="dxa"/>
            </w:tcMar>
            <w:vAlign w:val="center"/>
          </w:tcPr>
          <w:p w14:paraId="05A19F16">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4</w:t>
            </w:r>
          </w:p>
        </w:tc>
        <w:tc>
          <w:tcPr>
            <w:tcW w:w="507" w:type="pct"/>
            <w:shd w:val="clear" w:color="auto" w:fill="FFFFFF"/>
            <w:tcMar>
              <w:top w:w="60" w:type="dxa"/>
              <w:left w:w="120" w:type="dxa"/>
              <w:bottom w:w="30" w:type="dxa"/>
              <w:right w:w="120" w:type="dxa"/>
            </w:tcMar>
            <w:vAlign w:val="center"/>
          </w:tcPr>
          <w:p w14:paraId="4C48B5AC">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日常运维</w:t>
            </w:r>
          </w:p>
        </w:tc>
        <w:tc>
          <w:tcPr>
            <w:tcW w:w="651" w:type="pct"/>
            <w:shd w:val="clear" w:color="auto" w:fill="FFFFFF"/>
            <w:tcMar>
              <w:top w:w="60" w:type="dxa"/>
              <w:left w:w="120" w:type="dxa"/>
              <w:bottom w:w="30" w:type="dxa"/>
              <w:right w:w="120" w:type="dxa"/>
            </w:tcMar>
            <w:vAlign w:val="center"/>
          </w:tcPr>
          <w:p w14:paraId="76A12C29">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绝缘子及金具运维</w:t>
            </w:r>
          </w:p>
        </w:tc>
        <w:tc>
          <w:tcPr>
            <w:tcW w:w="1774" w:type="pct"/>
            <w:shd w:val="clear" w:color="auto" w:fill="FFFFFF"/>
            <w:tcMar>
              <w:top w:w="60" w:type="dxa"/>
              <w:left w:w="120" w:type="dxa"/>
              <w:bottom w:w="30" w:type="dxa"/>
              <w:right w:w="120" w:type="dxa"/>
            </w:tcMar>
            <w:vAlign w:val="center"/>
          </w:tcPr>
          <w:p w14:paraId="5C0FCAB8">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检查绝缘子破损、污秽；核查串型连接可靠性；检查线夹、跳线串、重锤紧固，确保跳线防风偏可靠</w:t>
            </w:r>
          </w:p>
        </w:tc>
        <w:tc>
          <w:tcPr>
            <w:tcW w:w="953" w:type="pct"/>
            <w:shd w:val="clear" w:color="auto" w:fill="FFFFFF"/>
            <w:tcMar>
              <w:top w:w="60" w:type="dxa"/>
              <w:left w:w="120" w:type="dxa"/>
              <w:bottom w:w="30" w:type="dxa"/>
              <w:right w:w="120" w:type="dxa"/>
            </w:tcMar>
            <w:vAlign w:val="center"/>
          </w:tcPr>
          <w:p w14:paraId="24105F22">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绝缘子完好、金具无松动，跳线防风偏可靠</w:t>
            </w:r>
          </w:p>
        </w:tc>
        <w:tc>
          <w:tcPr>
            <w:tcW w:w="755" w:type="pct"/>
            <w:shd w:val="clear" w:color="auto" w:fill="FFFFFF"/>
            <w:tcMar>
              <w:top w:w="60" w:type="dxa"/>
              <w:left w:w="120" w:type="dxa"/>
              <w:bottom w:w="30" w:type="dxa"/>
              <w:right w:w="120" w:type="dxa"/>
            </w:tcMar>
            <w:vAlign w:val="center"/>
          </w:tcPr>
          <w:p w14:paraId="7608862D">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衔接绝缘子串型、金具防松、跳线防风偏设计</w:t>
            </w:r>
          </w:p>
        </w:tc>
      </w:tr>
      <w:tr w14:paraId="3FB34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358" w:type="pct"/>
            <w:shd w:val="clear" w:color="auto" w:fill="FFFFFF"/>
            <w:tcMar>
              <w:top w:w="60" w:type="dxa"/>
              <w:left w:w="120" w:type="dxa"/>
              <w:bottom w:w="30" w:type="dxa"/>
              <w:right w:w="120" w:type="dxa"/>
            </w:tcMar>
            <w:vAlign w:val="center"/>
          </w:tcPr>
          <w:p w14:paraId="7742CE69">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5</w:t>
            </w:r>
          </w:p>
        </w:tc>
        <w:tc>
          <w:tcPr>
            <w:tcW w:w="507" w:type="pct"/>
            <w:shd w:val="clear" w:color="auto" w:fill="FFFFFF"/>
            <w:tcMar>
              <w:top w:w="60" w:type="dxa"/>
              <w:left w:w="120" w:type="dxa"/>
              <w:bottom w:w="30" w:type="dxa"/>
              <w:right w:w="120" w:type="dxa"/>
            </w:tcMar>
            <w:vAlign w:val="center"/>
          </w:tcPr>
          <w:p w14:paraId="0029C935">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日常运维</w:t>
            </w:r>
          </w:p>
        </w:tc>
        <w:tc>
          <w:tcPr>
            <w:tcW w:w="651" w:type="pct"/>
            <w:shd w:val="clear" w:color="auto" w:fill="FFFFFF"/>
            <w:tcMar>
              <w:top w:w="60" w:type="dxa"/>
              <w:left w:w="120" w:type="dxa"/>
              <w:bottom w:w="30" w:type="dxa"/>
              <w:right w:w="120" w:type="dxa"/>
            </w:tcMar>
            <w:vAlign w:val="center"/>
          </w:tcPr>
          <w:p w14:paraId="15D33551">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线路通道运维</w:t>
            </w:r>
          </w:p>
        </w:tc>
        <w:tc>
          <w:tcPr>
            <w:tcW w:w="1774" w:type="pct"/>
            <w:shd w:val="clear" w:color="auto" w:fill="FFFFFF"/>
            <w:tcMar>
              <w:top w:w="60" w:type="dxa"/>
              <w:left w:w="120" w:type="dxa"/>
              <w:bottom w:w="30" w:type="dxa"/>
              <w:right w:w="120" w:type="dxa"/>
            </w:tcMar>
            <w:vAlign w:val="center"/>
          </w:tcPr>
          <w:p w14:paraId="645A3AA2">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排查高杆树木、临时建筑、广告牌等飞射物隐患；清理危险源，保持安全距离</w:t>
            </w:r>
          </w:p>
        </w:tc>
        <w:tc>
          <w:tcPr>
            <w:tcW w:w="953" w:type="pct"/>
            <w:shd w:val="clear" w:color="auto" w:fill="FFFFFF"/>
            <w:tcMar>
              <w:top w:w="60" w:type="dxa"/>
              <w:left w:w="120" w:type="dxa"/>
              <w:bottom w:w="30" w:type="dxa"/>
              <w:right w:w="120" w:type="dxa"/>
            </w:tcMar>
            <w:vAlign w:val="center"/>
          </w:tcPr>
          <w:p w14:paraId="5F50375E">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无漂浮物撞击风险，通道安全</w:t>
            </w:r>
          </w:p>
        </w:tc>
        <w:tc>
          <w:tcPr>
            <w:tcW w:w="755" w:type="pct"/>
            <w:shd w:val="clear" w:color="auto" w:fill="FFFFFF"/>
            <w:tcMar>
              <w:top w:w="60" w:type="dxa"/>
              <w:left w:w="120" w:type="dxa"/>
              <w:bottom w:w="30" w:type="dxa"/>
              <w:right w:w="120" w:type="dxa"/>
            </w:tcMar>
            <w:vAlign w:val="center"/>
          </w:tcPr>
          <w:p w14:paraId="1EBFE523">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衔接台风次生灾害（飞射物）防治设计</w:t>
            </w:r>
          </w:p>
        </w:tc>
      </w:tr>
      <w:tr w14:paraId="1EFF6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358" w:type="pct"/>
            <w:shd w:val="clear" w:color="auto" w:fill="FFFFFF"/>
            <w:tcMar>
              <w:top w:w="60" w:type="dxa"/>
              <w:left w:w="120" w:type="dxa"/>
              <w:bottom w:w="30" w:type="dxa"/>
              <w:right w:w="120" w:type="dxa"/>
            </w:tcMar>
            <w:vAlign w:val="center"/>
          </w:tcPr>
          <w:p w14:paraId="0E0AC3EA">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6</w:t>
            </w:r>
          </w:p>
        </w:tc>
        <w:tc>
          <w:tcPr>
            <w:tcW w:w="507" w:type="pct"/>
            <w:shd w:val="clear" w:color="auto" w:fill="FFFFFF"/>
            <w:tcMar>
              <w:top w:w="60" w:type="dxa"/>
              <w:left w:w="120" w:type="dxa"/>
              <w:bottom w:w="30" w:type="dxa"/>
              <w:right w:w="120" w:type="dxa"/>
            </w:tcMar>
            <w:vAlign w:val="center"/>
          </w:tcPr>
          <w:p w14:paraId="797455BF">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日常运维</w:t>
            </w:r>
          </w:p>
        </w:tc>
        <w:tc>
          <w:tcPr>
            <w:tcW w:w="651" w:type="pct"/>
            <w:shd w:val="clear" w:color="auto" w:fill="FFFFFF"/>
            <w:tcMar>
              <w:top w:w="60" w:type="dxa"/>
              <w:left w:w="120" w:type="dxa"/>
              <w:bottom w:w="30" w:type="dxa"/>
              <w:right w:w="120" w:type="dxa"/>
            </w:tcMar>
            <w:vAlign w:val="center"/>
          </w:tcPr>
          <w:p w14:paraId="6781E9D2">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附属设施运维</w:t>
            </w:r>
          </w:p>
        </w:tc>
        <w:tc>
          <w:tcPr>
            <w:tcW w:w="1774" w:type="pct"/>
            <w:shd w:val="clear" w:color="auto" w:fill="FFFFFF"/>
            <w:tcMar>
              <w:top w:w="60" w:type="dxa"/>
              <w:left w:w="120" w:type="dxa"/>
              <w:bottom w:w="30" w:type="dxa"/>
              <w:right w:w="120" w:type="dxa"/>
            </w:tcMar>
            <w:vAlign w:val="center"/>
          </w:tcPr>
          <w:p w14:paraId="7EF6823E">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检查标识牌、警示牌、防鸟装置、在线监测、航空灯抗风防腐与完好性；校验抗风能力不低于线路本体</w:t>
            </w:r>
          </w:p>
        </w:tc>
        <w:tc>
          <w:tcPr>
            <w:tcW w:w="953" w:type="pct"/>
            <w:shd w:val="clear" w:color="auto" w:fill="FFFFFF"/>
            <w:tcMar>
              <w:top w:w="60" w:type="dxa"/>
              <w:left w:w="120" w:type="dxa"/>
              <w:bottom w:w="30" w:type="dxa"/>
              <w:right w:w="120" w:type="dxa"/>
            </w:tcMar>
            <w:vAlign w:val="center"/>
          </w:tcPr>
          <w:p w14:paraId="60BEB40D">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附属设施稳固、完好、监测正常</w:t>
            </w:r>
          </w:p>
        </w:tc>
        <w:tc>
          <w:tcPr>
            <w:tcW w:w="755" w:type="pct"/>
            <w:shd w:val="clear" w:color="auto" w:fill="FFFFFF"/>
            <w:tcMar>
              <w:top w:w="60" w:type="dxa"/>
              <w:left w:w="120" w:type="dxa"/>
              <w:bottom w:w="30" w:type="dxa"/>
              <w:right w:w="120" w:type="dxa"/>
            </w:tcMar>
            <w:vAlign w:val="center"/>
          </w:tcPr>
          <w:p w14:paraId="40472E1F">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对接附属设施抗风、防腐、在线监测设计</w:t>
            </w:r>
          </w:p>
        </w:tc>
      </w:tr>
      <w:tr w14:paraId="72BE5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358" w:type="pct"/>
            <w:shd w:val="clear" w:color="auto" w:fill="FFFFFF"/>
            <w:tcMar>
              <w:top w:w="60" w:type="dxa"/>
              <w:left w:w="120" w:type="dxa"/>
              <w:bottom w:w="30" w:type="dxa"/>
              <w:right w:w="120" w:type="dxa"/>
            </w:tcMar>
            <w:vAlign w:val="center"/>
          </w:tcPr>
          <w:p w14:paraId="1FC01370">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7</w:t>
            </w:r>
          </w:p>
        </w:tc>
        <w:tc>
          <w:tcPr>
            <w:tcW w:w="507" w:type="pct"/>
            <w:shd w:val="clear" w:color="auto" w:fill="FFFFFF"/>
            <w:tcMar>
              <w:top w:w="60" w:type="dxa"/>
              <w:left w:w="120" w:type="dxa"/>
              <w:bottom w:w="30" w:type="dxa"/>
              <w:right w:w="120" w:type="dxa"/>
            </w:tcMar>
            <w:vAlign w:val="center"/>
          </w:tcPr>
          <w:p w14:paraId="323E5165">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日常运维</w:t>
            </w:r>
          </w:p>
        </w:tc>
        <w:tc>
          <w:tcPr>
            <w:tcW w:w="651" w:type="pct"/>
            <w:shd w:val="clear" w:color="auto" w:fill="FFFFFF"/>
            <w:tcMar>
              <w:top w:w="60" w:type="dxa"/>
              <w:left w:w="120" w:type="dxa"/>
              <w:bottom w:w="30" w:type="dxa"/>
              <w:right w:w="120" w:type="dxa"/>
            </w:tcMar>
            <w:vAlign w:val="center"/>
          </w:tcPr>
          <w:p w14:paraId="18EF1D1A">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监测与巡检</w:t>
            </w:r>
          </w:p>
        </w:tc>
        <w:tc>
          <w:tcPr>
            <w:tcW w:w="1774" w:type="pct"/>
            <w:shd w:val="clear" w:color="auto" w:fill="FFFFFF"/>
            <w:tcMar>
              <w:top w:w="60" w:type="dxa"/>
              <w:left w:w="120" w:type="dxa"/>
              <w:bottom w:w="30" w:type="dxa"/>
              <w:right w:w="120" w:type="dxa"/>
            </w:tcMar>
            <w:vAlign w:val="center"/>
          </w:tcPr>
          <w:p w14:paraId="34926444">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有条件时布设专项测风装置；定期巡检，台风季加密巡检；建立隐患台账闭环管理</w:t>
            </w:r>
          </w:p>
        </w:tc>
        <w:tc>
          <w:tcPr>
            <w:tcW w:w="953" w:type="pct"/>
            <w:shd w:val="clear" w:color="auto" w:fill="FFFFFF"/>
            <w:tcMar>
              <w:top w:w="60" w:type="dxa"/>
              <w:left w:w="120" w:type="dxa"/>
              <w:bottom w:w="30" w:type="dxa"/>
              <w:right w:w="120" w:type="dxa"/>
            </w:tcMar>
            <w:vAlign w:val="center"/>
          </w:tcPr>
          <w:p w14:paraId="05A8CBFC">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隐患早发现早处置，积累风区运行数据</w:t>
            </w:r>
          </w:p>
        </w:tc>
        <w:tc>
          <w:tcPr>
            <w:tcW w:w="755" w:type="pct"/>
            <w:shd w:val="clear" w:color="auto" w:fill="FFFFFF"/>
            <w:tcMar>
              <w:top w:w="60" w:type="dxa"/>
              <w:left w:w="120" w:type="dxa"/>
              <w:bottom w:w="30" w:type="dxa"/>
              <w:right w:w="120" w:type="dxa"/>
            </w:tcMar>
            <w:vAlign w:val="center"/>
          </w:tcPr>
          <w:p w14:paraId="4B54A6BE">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衔接微地形微气象、风区分布设计</w:t>
            </w:r>
          </w:p>
        </w:tc>
      </w:tr>
      <w:tr w14:paraId="130A3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358" w:type="pct"/>
            <w:shd w:val="clear" w:color="auto" w:fill="FFFFFF"/>
            <w:tcMar>
              <w:top w:w="60" w:type="dxa"/>
              <w:left w:w="120" w:type="dxa"/>
              <w:bottom w:w="30" w:type="dxa"/>
              <w:right w:w="120" w:type="dxa"/>
            </w:tcMar>
            <w:vAlign w:val="center"/>
          </w:tcPr>
          <w:p w14:paraId="21B5EF9D">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8</w:t>
            </w:r>
          </w:p>
        </w:tc>
        <w:tc>
          <w:tcPr>
            <w:tcW w:w="507" w:type="pct"/>
            <w:shd w:val="clear" w:color="auto" w:fill="FFFFFF"/>
            <w:tcMar>
              <w:top w:w="60" w:type="dxa"/>
              <w:left w:w="120" w:type="dxa"/>
              <w:bottom w:w="30" w:type="dxa"/>
              <w:right w:w="120" w:type="dxa"/>
            </w:tcMar>
            <w:vAlign w:val="center"/>
          </w:tcPr>
          <w:p w14:paraId="0C9C5DB5">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日常运维</w:t>
            </w:r>
          </w:p>
        </w:tc>
        <w:tc>
          <w:tcPr>
            <w:tcW w:w="651" w:type="pct"/>
            <w:shd w:val="clear" w:color="auto" w:fill="FFFFFF"/>
            <w:tcMar>
              <w:top w:w="60" w:type="dxa"/>
              <w:left w:w="120" w:type="dxa"/>
              <w:bottom w:w="30" w:type="dxa"/>
              <w:right w:w="120" w:type="dxa"/>
            </w:tcMar>
            <w:vAlign w:val="center"/>
          </w:tcPr>
          <w:p w14:paraId="7C7FB012">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人员与培训</w:t>
            </w:r>
          </w:p>
        </w:tc>
        <w:tc>
          <w:tcPr>
            <w:tcW w:w="1774" w:type="pct"/>
            <w:shd w:val="clear" w:color="auto" w:fill="FFFFFF"/>
            <w:tcMar>
              <w:top w:w="60" w:type="dxa"/>
              <w:left w:w="120" w:type="dxa"/>
              <w:bottom w:w="30" w:type="dxa"/>
              <w:right w:w="120" w:type="dxa"/>
            </w:tcMar>
            <w:vAlign w:val="center"/>
          </w:tcPr>
          <w:p w14:paraId="4162BE74">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开展抗台风技能培训；熟悉应急预案、杆塔结构、线路参数；掌握隐患识别与应急处置能力</w:t>
            </w:r>
          </w:p>
        </w:tc>
        <w:tc>
          <w:tcPr>
            <w:tcW w:w="953" w:type="pct"/>
            <w:shd w:val="clear" w:color="auto" w:fill="FFFFFF"/>
            <w:tcMar>
              <w:top w:w="60" w:type="dxa"/>
              <w:left w:w="120" w:type="dxa"/>
              <w:bottom w:w="30" w:type="dxa"/>
              <w:right w:w="120" w:type="dxa"/>
            </w:tcMar>
            <w:vAlign w:val="center"/>
          </w:tcPr>
          <w:p w14:paraId="3E30DABA">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具备应急处置与安全避险能力</w:t>
            </w:r>
          </w:p>
        </w:tc>
        <w:tc>
          <w:tcPr>
            <w:tcW w:w="755" w:type="pct"/>
            <w:shd w:val="clear" w:color="auto" w:fill="FFFFFF"/>
            <w:tcMar>
              <w:top w:w="60" w:type="dxa"/>
              <w:left w:w="120" w:type="dxa"/>
              <w:bottom w:w="30" w:type="dxa"/>
              <w:right w:w="120" w:type="dxa"/>
            </w:tcMar>
            <w:vAlign w:val="center"/>
          </w:tcPr>
          <w:p w14:paraId="72807971">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衔接应急处置流程设计</w:t>
            </w:r>
          </w:p>
        </w:tc>
      </w:tr>
      <w:tr w14:paraId="3E4B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358" w:type="pct"/>
            <w:shd w:val="clear" w:color="auto" w:fill="FFFFFF"/>
            <w:tcMar>
              <w:top w:w="60" w:type="dxa"/>
              <w:left w:w="120" w:type="dxa"/>
              <w:bottom w:w="30" w:type="dxa"/>
              <w:right w:w="120" w:type="dxa"/>
            </w:tcMar>
            <w:vAlign w:val="center"/>
          </w:tcPr>
          <w:p w14:paraId="0945E4F4">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9</w:t>
            </w:r>
          </w:p>
        </w:tc>
        <w:tc>
          <w:tcPr>
            <w:tcW w:w="507" w:type="pct"/>
            <w:shd w:val="clear" w:color="auto" w:fill="FFFFFF"/>
            <w:tcMar>
              <w:top w:w="60" w:type="dxa"/>
              <w:left w:w="120" w:type="dxa"/>
              <w:bottom w:w="30" w:type="dxa"/>
              <w:right w:w="120" w:type="dxa"/>
            </w:tcMar>
            <w:vAlign w:val="center"/>
          </w:tcPr>
          <w:p w14:paraId="43D6BCCC">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台风前准备</w:t>
            </w:r>
          </w:p>
        </w:tc>
        <w:tc>
          <w:tcPr>
            <w:tcW w:w="651" w:type="pct"/>
            <w:shd w:val="clear" w:color="auto" w:fill="FFFFFF"/>
            <w:tcMar>
              <w:top w:w="60" w:type="dxa"/>
              <w:left w:w="120" w:type="dxa"/>
              <w:bottom w:w="30" w:type="dxa"/>
              <w:right w:w="120" w:type="dxa"/>
            </w:tcMar>
            <w:vAlign w:val="center"/>
          </w:tcPr>
          <w:p w14:paraId="3559EDFF">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预警响应</w:t>
            </w:r>
          </w:p>
        </w:tc>
        <w:tc>
          <w:tcPr>
            <w:tcW w:w="1774" w:type="pct"/>
            <w:shd w:val="clear" w:color="auto" w:fill="FFFFFF"/>
            <w:tcMar>
              <w:top w:w="60" w:type="dxa"/>
              <w:left w:w="120" w:type="dxa"/>
              <w:bottom w:w="30" w:type="dxa"/>
              <w:right w:w="120" w:type="dxa"/>
            </w:tcMar>
            <w:vAlign w:val="center"/>
          </w:tcPr>
          <w:p w14:paraId="4532465F">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启动台风预警，明确重点区段；成立应急小组，落实各部门及岗位职责；快速响应部署</w:t>
            </w:r>
          </w:p>
        </w:tc>
        <w:tc>
          <w:tcPr>
            <w:tcW w:w="953" w:type="pct"/>
            <w:shd w:val="clear" w:color="auto" w:fill="FFFFFF"/>
            <w:tcMar>
              <w:top w:w="60" w:type="dxa"/>
              <w:left w:w="120" w:type="dxa"/>
              <w:bottom w:w="30" w:type="dxa"/>
              <w:right w:w="120" w:type="dxa"/>
            </w:tcMar>
            <w:vAlign w:val="center"/>
          </w:tcPr>
          <w:p w14:paraId="7582ED1C">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响应及时、责任到人</w:t>
            </w:r>
          </w:p>
        </w:tc>
        <w:tc>
          <w:tcPr>
            <w:tcW w:w="755" w:type="pct"/>
            <w:shd w:val="clear" w:color="auto" w:fill="FFFFFF"/>
            <w:tcMar>
              <w:top w:w="60" w:type="dxa"/>
              <w:left w:w="120" w:type="dxa"/>
              <w:bottom w:w="30" w:type="dxa"/>
              <w:right w:w="120" w:type="dxa"/>
            </w:tcMar>
            <w:vAlign w:val="center"/>
          </w:tcPr>
          <w:p w14:paraId="7FEF4130">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对接应急响应机制设计</w:t>
            </w:r>
          </w:p>
        </w:tc>
      </w:tr>
      <w:tr w14:paraId="06D8E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358" w:type="pct"/>
            <w:shd w:val="clear" w:color="auto" w:fill="FFFFFF"/>
            <w:tcMar>
              <w:top w:w="60" w:type="dxa"/>
              <w:left w:w="120" w:type="dxa"/>
              <w:bottom w:w="30" w:type="dxa"/>
              <w:right w:w="120" w:type="dxa"/>
            </w:tcMar>
            <w:vAlign w:val="center"/>
          </w:tcPr>
          <w:p w14:paraId="43D42DA1">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10</w:t>
            </w:r>
          </w:p>
        </w:tc>
        <w:tc>
          <w:tcPr>
            <w:tcW w:w="507" w:type="pct"/>
            <w:shd w:val="clear" w:color="auto" w:fill="FFFFFF"/>
            <w:tcMar>
              <w:top w:w="60" w:type="dxa"/>
              <w:left w:w="120" w:type="dxa"/>
              <w:bottom w:w="30" w:type="dxa"/>
              <w:right w:w="120" w:type="dxa"/>
            </w:tcMar>
            <w:vAlign w:val="center"/>
          </w:tcPr>
          <w:p w14:paraId="4C605B88">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台风前准备</w:t>
            </w:r>
          </w:p>
        </w:tc>
        <w:tc>
          <w:tcPr>
            <w:tcW w:w="651" w:type="pct"/>
            <w:shd w:val="clear" w:color="auto" w:fill="FFFFFF"/>
            <w:tcMar>
              <w:top w:w="60" w:type="dxa"/>
              <w:left w:w="120" w:type="dxa"/>
              <w:bottom w:w="30" w:type="dxa"/>
              <w:right w:w="120" w:type="dxa"/>
            </w:tcMar>
            <w:vAlign w:val="center"/>
          </w:tcPr>
          <w:p w14:paraId="65C9F3A9">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线路专项加固</w:t>
            </w:r>
          </w:p>
        </w:tc>
        <w:tc>
          <w:tcPr>
            <w:tcW w:w="1774" w:type="pct"/>
            <w:shd w:val="clear" w:color="auto" w:fill="FFFFFF"/>
            <w:tcMar>
              <w:top w:w="60" w:type="dxa"/>
              <w:left w:w="120" w:type="dxa"/>
              <w:bottom w:w="30" w:type="dxa"/>
              <w:right w:w="120" w:type="dxa"/>
            </w:tcMar>
            <w:vAlign w:val="center"/>
          </w:tcPr>
          <w:p w14:paraId="04EB0F0B">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全面紧固杆塔螺栓、金具；补强薄弱杆塔与基础；检查跳线、防振装置；消除线行缺陷和险情</w:t>
            </w:r>
          </w:p>
        </w:tc>
        <w:tc>
          <w:tcPr>
            <w:tcW w:w="953" w:type="pct"/>
            <w:shd w:val="clear" w:color="auto" w:fill="FFFFFF"/>
            <w:tcMar>
              <w:top w:w="60" w:type="dxa"/>
              <w:left w:w="120" w:type="dxa"/>
              <w:bottom w:w="30" w:type="dxa"/>
              <w:right w:w="120" w:type="dxa"/>
            </w:tcMar>
            <w:vAlign w:val="center"/>
          </w:tcPr>
          <w:p w14:paraId="3230B828">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满足抗风荷载，防舞动、防风偏闪络</w:t>
            </w:r>
          </w:p>
        </w:tc>
        <w:tc>
          <w:tcPr>
            <w:tcW w:w="755" w:type="pct"/>
            <w:shd w:val="clear" w:color="auto" w:fill="FFFFFF"/>
            <w:tcMar>
              <w:top w:w="60" w:type="dxa"/>
              <w:left w:w="120" w:type="dxa"/>
              <w:bottom w:w="30" w:type="dxa"/>
              <w:right w:w="120" w:type="dxa"/>
            </w:tcMar>
            <w:vAlign w:val="center"/>
          </w:tcPr>
          <w:p w14:paraId="01228866">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聚焦防风薄弱部位优化设计</w:t>
            </w:r>
          </w:p>
        </w:tc>
      </w:tr>
      <w:tr w14:paraId="3D4D5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358" w:type="pct"/>
            <w:shd w:val="clear" w:color="auto" w:fill="FFFFFF"/>
            <w:tcMar>
              <w:top w:w="60" w:type="dxa"/>
              <w:left w:w="120" w:type="dxa"/>
              <w:bottom w:w="30" w:type="dxa"/>
              <w:right w:w="120" w:type="dxa"/>
            </w:tcMar>
            <w:vAlign w:val="center"/>
          </w:tcPr>
          <w:p w14:paraId="6A2B8536">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11</w:t>
            </w:r>
          </w:p>
        </w:tc>
        <w:tc>
          <w:tcPr>
            <w:tcW w:w="507" w:type="pct"/>
            <w:shd w:val="clear" w:color="auto" w:fill="FFFFFF"/>
            <w:tcMar>
              <w:top w:w="60" w:type="dxa"/>
              <w:left w:w="120" w:type="dxa"/>
              <w:bottom w:w="30" w:type="dxa"/>
              <w:right w:w="120" w:type="dxa"/>
            </w:tcMar>
            <w:vAlign w:val="center"/>
          </w:tcPr>
          <w:p w14:paraId="643E54C7">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台风前准备</w:t>
            </w:r>
          </w:p>
        </w:tc>
        <w:tc>
          <w:tcPr>
            <w:tcW w:w="651" w:type="pct"/>
            <w:shd w:val="clear" w:color="auto" w:fill="FFFFFF"/>
            <w:tcMar>
              <w:top w:w="60" w:type="dxa"/>
              <w:left w:w="120" w:type="dxa"/>
              <w:bottom w:w="30" w:type="dxa"/>
              <w:right w:w="120" w:type="dxa"/>
            </w:tcMar>
            <w:vAlign w:val="center"/>
          </w:tcPr>
          <w:p w14:paraId="56F6CC67">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通道与隐患清理</w:t>
            </w:r>
          </w:p>
        </w:tc>
        <w:tc>
          <w:tcPr>
            <w:tcW w:w="1774" w:type="pct"/>
            <w:shd w:val="clear" w:color="auto" w:fill="FFFFFF"/>
            <w:tcMar>
              <w:top w:w="60" w:type="dxa"/>
              <w:left w:w="120" w:type="dxa"/>
              <w:bottom w:w="30" w:type="dxa"/>
              <w:right w:w="120" w:type="dxa"/>
            </w:tcMar>
            <w:vAlign w:val="center"/>
          </w:tcPr>
          <w:p w14:paraId="1FB79F95">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清理通道飞射物；无法清除的</w:t>
            </w:r>
            <w:r>
              <w:rPr>
                <w:rFonts w:hint="eastAsia" w:ascii="宋体" w:eastAsia="宋体" w:cs="Times New Roman"/>
                <w:lang w:val="en-US" w:eastAsia="zh-CN" w:bidi="ar-SA"/>
              </w:rPr>
              <w:t>设置警示标识</w:t>
            </w:r>
            <w:r>
              <w:rPr>
                <w:rFonts w:hint="eastAsia" w:ascii="宋体" w:hAnsi="Times New Roman" w:eastAsia="宋体" w:cs="Times New Roman"/>
                <w:lang w:val="en-US" w:eastAsia="zh-CN" w:bidi="ar-SA"/>
              </w:rPr>
              <w:t>；加固边坡、确保排水通道通畅</w:t>
            </w:r>
          </w:p>
        </w:tc>
        <w:tc>
          <w:tcPr>
            <w:tcW w:w="953" w:type="pct"/>
            <w:shd w:val="clear" w:color="auto" w:fill="FFFFFF"/>
            <w:tcMar>
              <w:top w:w="60" w:type="dxa"/>
              <w:left w:w="120" w:type="dxa"/>
              <w:bottom w:w="30" w:type="dxa"/>
              <w:right w:w="120" w:type="dxa"/>
            </w:tcMar>
            <w:vAlign w:val="center"/>
          </w:tcPr>
          <w:p w14:paraId="05C15C01">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通道无风险，次生灾害可控</w:t>
            </w:r>
          </w:p>
        </w:tc>
        <w:tc>
          <w:tcPr>
            <w:tcW w:w="755" w:type="pct"/>
            <w:shd w:val="clear" w:color="auto" w:fill="FFFFFF"/>
            <w:tcMar>
              <w:top w:w="60" w:type="dxa"/>
              <w:left w:w="120" w:type="dxa"/>
              <w:bottom w:w="30" w:type="dxa"/>
              <w:right w:w="120" w:type="dxa"/>
            </w:tcMar>
            <w:vAlign w:val="center"/>
          </w:tcPr>
          <w:p w14:paraId="6D2AD053">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衔接通道防护、地质灾害防治设计</w:t>
            </w:r>
          </w:p>
        </w:tc>
      </w:tr>
      <w:tr w14:paraId="21373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358" w:type="pct"/>
            <w:shd w:val="clear" w:color="auto" w:fill="FFFFFF"/>
            <w:tcMar>
              <w:top w:w="60" w:type="dxa"/>
              <w:left w:w="120" w:type="dxa"/>
              <w:bottom w:w="30" w:type="dxa"/>
              <w:right w:w="120" w:type="dxa"/>
            </w:tcMar>
            <w:vAlign w:val="center"/>
          </w:tcPr>
          <w:p w14:paraId="70650431">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12</w:t>
            </w:r>
          </w:p>
        </w:tc>
        <w:tc>
          <w:tcPr>
            <w:tcW w:w="507" w:type="pct"/>
            <w:shd w:val="clear" w:color="auto" w:fill="FFFFFF"/>
            <w:tcMar>
              <w:top w:w="60" w:type="dxa"/>
              <w:left w:w="120" w:type="dxa"/>
              <w:bottom w:w="30" w:type="dxa"/>
              <w:right w:w="120" w:type="dxa"/>
            </w:tcMar>
            <w:vAlign w:val="center"/>
          </w:tcPr>
          <w:p w14:paraId="02876B37">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台风前准备</w:t>
            </w:r>
          </w:p>
        </w:tc>
        <w:tc>
          <w:tcPr>
            <w:tcW w:w="651" w:type="pct"/>
            <w:shd w:val="clear" w:color="auto" w:fill="FFFFFF"/>
            <w:tcMar>
              <w:top w:w="60" w:type="dxa"/>
              <w:left w:w="120" w:type="dxa"/>
              <w:bottom w:w="30" w:type="dxa"/>
              <w:right w:w="120" w:type="dxa"/>
            </w:tcMar>
            <w:vAlign w:val="center"/>
          </w:tcPr>
          <w:p w14:paraId="61FDCFFE">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高风险区域管控</w:t>
            </w:r>
          </w:p>
        </w:tc>
        <w:tc>
          <w:tcPr>
            <w:tcW w:w="1774" w:type="pct"/>
            <w:shd w:val="clear" w:color="auto" w:fill="FFFFFF"/>
            <w:tcMar>
              <w:top w:w="60" w:type="dxa"/>
              <w:left w:w="120" w:type="dxa"/>
              <w:bottom w:w="30" w:type="dxa"/>
              <w:right w:w="120" w:type="dxa"/>
            </w:tcMar>
            <w:vAlign w:val="center"/>
          </w:tcPr>
          <w:p w14:paraId="3BE0D442">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易滑坡、冲刷、内涝塔位</w:t>
            </w:r>
            <w:r>
              <w:rPr>
                <w:rFonts w:hint="eastAsia" w:ascii="宋体" w:eastAsia="宋体" w:cs="Times New Roman"/>
                <w:lang w:val="en-US" w:eastAsia="zh-CN" w:bidi="ar-SA"/>
              </w:rPr>
              <w:t>设置</w:t>
            </w:r>
            <w:r>
              <w:rPr>
                <w:rFonts w:hint="eastAsia" w:ascii="宋体" w:hAnsi="Times New Roman" w:eastAsia="宋体" w:cs="Times New Roman"/>
                <w:lang w:val="en-US" w:eastAsia="zh-CN" w:bidi="ar-SA"/>
              </w:rPr>
              <w:t>警示并采取挡水、加固措施；封闭管控危险区域</w:t>
            </w:r>
          </w:p>
        </w:tc>
        <w:tc>
          <w:tcPr>
            <w:tcW w:w="953" w:type="pct"/>
            <w:shd w:val="clear" w:color="auto" w:fill="FFFFFF"/>
            <w:tcMar>
              <w:top w:w="60" w:type="dxa"/>
              <w:left w:w="120" w:type="dxa"/>
              <w:bottom w:w="30" w:type="dxa"/>
              <w:right w:w="120" w:type="dxa"/>
            </w:tcMar>
            <w:vAlign w:val="center"/>
          </w:tcPr>
          <w:p w14:paraId="318516D8">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严禁无关人员进入</w:t>
            </w:r>
          </w:p>
        </w:tc>
        <w:tc>
          <w:tcPr>
            <w:tcW w:w="755" w:type="pct"/>
            <w:shd w:val="clear" w:color="auto" w:fill="FFFFFF"/>
            <w:tcMar>
              <w:top w:w="60" w:type="dxa"/>
              <w:left w:w="120" w:type="dxa"/>
              <w:bottom w:w="30" w:type="dxa"/>
              <w:right w:w="120" w:type="dxa"/>
            </w:tcMar>
            <w:vAlign w:val="center"/>
          </w:tcPr>
          <w:p w14:paraId="3AB7AE5B">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对接高风险区域划定、防淹设计</w:t>
            </w:r>
          </w:p>
        </w:tc>
      </w:tr>
      <w:tr w14:paraId="2D7C0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358" w:type="pct"/>
            <w:shd w:val="clear" w:color="auto" w:fill="FFFFFF"/>
            <w:tcMar>
              <w:top w:w="60" w:type="dxa"/>
              <w:left w:w="120" w:type="dxa"/>
              <w:bottom w:w="30" w:type="dxa"/>
              <w:right w:w="120" w:type="dxa"/>
            </w:tcMar>
            <w:vAlign w:val="center"/>
          </w:tcPr>
          <w:p w14:paraId="63D20CBF">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13</w:t>
            </w:r>
          </w:p>
        </w:tc>
        <w:tc>
          <w:tcPr>
            <w:tcW w:w="507" w:type="pct"/>
            <w:shd w:val="clear" w:color="auto" w:fill="FFFFFF"/>
            <w:tcMar>
              <w:top w:w="60" w:type="dxa"/>
              <w:left w:w="120" w:type="dxa"/>
              <w:bottom w:w="30" w:type="dxa"/>
              <w:right w:w="120" w:type="dxa"/>
            </w:tcMar>
            <w:vAlign w:val="center"/>
          </w:tcPr>
          <w:p w14:paraId="60D072ED">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台风前准备</w:t>
            </w:r>
          </w:p>
        </w:tc>
        <w:tc>
          <w:tcPr>
            <w:tcW w:w="651" w:type="pct"/>
            <w:shd w:val="clear" w:color="auto" w:fill="FFFFFF"/>
            <w:tcMar>
              <w:top w:w="60" w:type="dxa"/>
              <w:left w:w="120" w:type="dxa"/>
              <w:bottom w:w="30" w:type="dxa"/>
              <w:right w:w="120" w:type="dxa"/>
            </w:tcMar>
            <w:vAlign w:val="center"/>
          </w:tcPr>
          <w:p w14:paraId="023CDA2A">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应急保障</w:t>
            </w:r>
          </w:p>
        </w:tc>
        <w:tc>
          <w:tcPr>
            <w:tcW w:w="1774" w:type="pct"/>
            <w:shd w:val="clear" w:color="auto" w:fill="FFFFFF"/>
            <w:tcMar>
              <w:top w:w="60" w:type="dxa"/>
              <w:left w:w="120" w:type="dxa"/>
              <w:bottom w:w="30" w:type="dxa"/>
              <w:right w:w="120" w:type="dxa"/>
            </w:tcMar>
            <w:vAlign w:val="center"/>
          </w:tcPr>
          <w:p w14:paraId="1A3BF077">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储备72小时抢修物资；检查车辆、无人机、应急电源；宜配置应急卫星通信车 / 便携式卫星通信站</w:t>
            </w:r>
          </w:p>
        </w:tc>
        <w:tc>
          <w:tcPr>
            <w:tcW w:w="953" w:type="pct"/>
            <w:shd w:val="clear" w:color="auto" w:fill="FFFFFF"/>
            <w:tcMar>
              <w:top w:w="60" w:type="dxa"/>
              <w:left w:w="120" w:type="dxa"/>
              <w:bottom w:w="30" w:type="dxa"/>
              <w:right w:w="120" w:type="dxa"/>
            </w:tcMar>
            <w:vAlign w:val="center"/>
          </w:tcPr>
          <w:p w14:paraId="290B5D35">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物资充足、设备可用、通信可靠</w:t>
            </w:r>
          </w:p>
        </w:tc>
        <w:tc>
          <w:tcPr>
            <w:tcW w:w="755" w:type="pct"/>
            <w:shd w:val="clear" w:color="auto" w:fill="FFFFFF"/>
            <w:tcMar>
              <w:top w:w="60" w:type="dxa"/>
              <w:left w:w="120" w:type="dxa"/>
              <w:bottom w:w="30" w:type="dxa"/>
              <w:right w:w="120" w:type="dxa"/>
            </w:tcMar>
            <w:vAlign w:val="center"/>
          </w:tcPr>
          <w:p w14:paraId="474ED6F5">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对照应急物资储备、应急通信设计</w:t>
            </w:r>
          </w:p>
        </w:tc>
      </w:tr>
      <w:tr w14:paraId="14AAC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358" w:type="pct"/>
            <w:shd w:val="clear" w:color="auto" w:fill="FFFFFF"/>
            <w:tcMar>
              <w:top w:w="60" w:type="dxa"/>
              <w:left w:w="120" w:type="dxa"/>
              <w:bottom w:w="30" w:type="dxa"/>
              <w:right w:w="120" w:type="dxa"/>
            </w:tcMar>
            <w:vAlign w:val="center"/>
          </w:tcPr>
          <w:p w14:paraId="797966A0">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14</w:t>
            </w:r>
          </w:p>
        </w:tc>
        <w:tc>
          <w:tcPr>
            <w:tcW w:w="507" w:type="pct"/>
            <w:shd w:val="clear" w:color="auto" w:fill="FFFFFF"/>
            <w:tcMar>
              <w:top w:w="60" w:type="dxa"/>
              <w:left w:w="120" w:type="dxa"/>
              <w:bottom w:w="30" w:type="dxa"/>
              <w:right w:w="120" w:type="dxa"/>
            </w:tcMar>
            <w:vAlign w:val="center"/>
          </w:tcPr>
          <w:p w14:paraId="4F53C225">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台风前准备</w:t>
            </w:r>
          </w:p>
        </w:tc>
        <w:tc>
          <w:tcPr>
            <w:tcW w:w="651" w:type="pct"/>
            <w:shd w:val="clear" w:color="auto" w:fill="FFFFFF"/>
            <w:tcMar>
              <w:top w:w="60" w:type="dxa"/>
              <w:left w:w="120" w:type="dxa"/>
              <w:bottom w:w="30" w:type="dxa"/>
              <w:right w:w="120" w:type="dxa"/>
            </w:tcMar>
            <w:vAlign w:val="center"/>
          </w:tcPr>
          <w:p w14:paraId="10FCBC0C">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值班与信息</w:t>
            </w:r>
          </w:p>
        </w:tc>
        <w:tc>
          <w:tcPr>
            <w:tcW w:w="1774" w:type="pct"/>
            <w:shd w:val="clear" w:color="auto" w:fill="FFFFFF"/>
            <w:tcMar>
              <w:top w:w="60" w:type="dxa"/>
              <w:left w:w="120" w:type="dxa"/>
              <w:bottom w:w="30" w:type="dxa"/>
              <w:right w:w="120" w:type="dxa"/>
            </w:tcMar>
            <w:vAlign w:val="center"/>
          </w:tcPr>
          <w:p w14:paraId="7E377561">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执行24小时值班；对接气象获取实时路径、强度、风速信息</w:t>
            </w:r>
          </w:p>
        </w:tc>
        <w:tc>
          <w:tcPr>
            <w:tcW w:w="953" w:type="pct"/>
            <w:shd w:val="clear" w:color="auto" w:fill="FFFFFF"/>
            <w:tcMar>
              <w:top w:w="60" w:type="dxa"/>
              <w:left w:w="120" w:type="dxa"/>
              <w:bottom w:w="30" w:type="dxa"/>
              <w:right w:w="120" w:type="dxa"/>
            </w:tcMar>
            <w:vAlign w:val="center"/>
          </w:tcPr>
          <w:p w14:paraId="27039264">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实时掌握台风动态</w:t>
            </w:r>
          </w:p>
        </w:tc>
        <w:tc>
          <w:tcPr>
            <w:tcW w:w="755" w:type="pct"/>
            <w:shd w:val="clear" w:color="auto" w:fill="FFFFFF"/>
            <w:tcMar>
              <w:top w:w="60" w:type="dxa"/>
              <w:left w:w="120" w:type="dxa"/>
              <w:bottom w:w="30" w:type="dxa"/>
              <w:right w:w="120" w:type="dxa"/>
            </w:tcMar>
            <w:vAlign w:val="center"/>
          </w:tcPr>
          <w:p w14:paraId="66A527EB">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对接应急指挥、气象联动设计</w:t>
            </w:r>
          </w:p>
        </w:tc>
      </w:tr>
      <w:tr w14:paraId="3991F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358" w:type="pct"/>
            <w:shd w:val="clear" w:color="auto" w:fill="FFFFFF"/>
            <w:tcMar>
              <w:top w:w="60" w:type="dxa"/>
              <w:left w:w="120" w:type="dxa"/>
              <w:bottom w:w="30" w:type="dxa"/>
              <w:right w:w="120" w:type="dxa"/>
            </w:tcMar>
            <w:vAlign w:val="center"/>
          </w:tcPr>
          <w:p w14:paraId="49D13756">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15</w:t>
            </w:r>
          </w:p>
        </w:tc>
        <w:tc>
          <w:tcPr>
            <w:tcW w:w="507" w:type="pct"/>
            <w:shd w:val="clear" w:color="auto" w:fill="FFFFFF"/>
            <w:tcMar>
              <w:top w:w="60" w:type="dxa"/>
              <w:left w:w="120" w:type="dxa"/>
              <w:bottom w:w="30" w:type="dxa"/>
              <w:right w:w="120" w:type="dxa"/>
            </w:tcMar>
            <w:vAlign w:val="center"/>
          </w:tcPr>
          <w:p w14:paraId="389FBAA8">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台风中处置</w:t>
            </w:r>
          </w:p>
        </w:tc>
        <w:tc>
          <w:tcPr>
            <w:tcW w:w="651" w:type="pct"/>
            <w:shd w:val="clear" w:color="auto" w:fill="FFFFFF"/>
            <w:tcMar>
              <w:top w:w="60" w:type="dxa"/>
              <w:left w:w="120" w:type="dxa"/>
              <w:bottom w:w="30" w:type="dxa"/>
              <w:right w:w="120" w:type="dxa"/>
            </w:tcMar>
            <w:vAlign w:val="center"/>
          </w:tcPr>
          <w:p w14:paraId="0D36D062">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现场管控</w:t>
            </w:r>
          </w:p>
        </w:tc>
        <w:tc>
          <w:tcPr>
            <w:tcW w:w="1774" w:type="pct"/>
            <w:shd w:val="clear" w:color="auto" w:fill="FFFFFF"/>
            <w:tcMar>
              <w:top w:w="60" w:type="dxa"/>
              <w:left w:w="120" w:type="dxa"/>
              <w:bottom w:w="30" w:type="dxa"/>
              <w:right w:w="120" w:type="dxa"/>
            </w:tcMar>
            <w:vAlign w:val="center"/>
          </w:tcPr>
          <w:p w14:paraId="47BAE98F">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通过在线监测系统实时监测风速、杆塔倾斜、导线舞动；强风时段严禁户外巡视与检修，特殊作业需审批并防护；设警戒区</w:t>
            </w:r>
          </w:p>
        </w:tc>
        <w:tc>
          <w:tcPr>
            <w:tcW w:w="953" w:type="pct"/>
            <w:shd w:val="clear" w:color="auto" w:fill="FFFFFF"/>
            <w:tcMar>
              <w:top w:w="60" w:type="dxa"/>
              <w:left w:w="120" w:type="dxa"/>
              <w:bottom w:w="30" w:type="dxa"/>
              <w:right w:w="120" w:type="dxa"/>
            </w:tcMar>
            <w:vAlign w:val="center"/>
          </w:tcPr>
          <w:p w14:paraId="28C31EAF">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保障人员安全，严禁冒险作业</w:t>
            </w:r>
          </w:p>
        </w:tc>
        <w:tc>
          <w:tcPr>
            <w:tcW w:w="755" w:type="pct"/>
            <w:shd w:val="clear" w:color="auto" w:fill="FFFFFF"/>
            <w:tcMar>
              <w:top w:w="60" w:type="dxa"/>
              <w:left w:w="120" w:type="dxa"/>
              <w:bottom w:w="30" w:type="dxa"/>
              <w:right w:w="120" w:type="dxa"/>
            </w:tcMar>
            <w:vAlign w:val="center"/>
          </w:tcPr>
          <w:p w14:paraId="0C336C82">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对接运维作业风速限值设计</w:t>
            </w:r>
          </w:p>
        </w:tc>
      </w:tr>
      <w:tr w14:paraId="06EB5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358" w:type="pct"/>
            <w:shd w:val="clear" w:color="auto" w:fill="FFFFFF"/>
            <w:tcMar>
              <w:top w:w="60" w:type="dxa"/>
              <w:left w:w="120" w:type="dxa"/>
              <w:bottom w:w="30" w:type="dxa"/>
              <w:right w:w="120" w:type="dxa"/>
            </w:tcMar>
            <w:vAlign w:val="center"/>
          </w:tcPr>
          <w:p w14:paraId="7DAEA1DC">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16</w:t>
            </w:r>
          </w:p>
        </w:tc>
        <w:tc>
          <w:tcPr>
            <w:tcW w:w="507" w:type="pct"/>
            <w:shd w:val="clear" w:color="auto" w:fill="FFFFFF"/>
            <w:tcMar>
              <w:top w:w="60" w:type="dxa"/>
              <w:left w:w="120" w:type="dxa"/>
              <w:bottom w:w="30" w:type="dxa"/>
              <w:right w:w="120" w:type="dxa"/>
            </w:tcMar>
            <w:vAlign w:val="center"/>
          </w:tcPr>
          <w:p w14:paraId="52CC1F85">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台风中处置</w:t>
            </w:r>
          </w:p>
        </w:tc>
        <w:tc>
          <w:tcPr>
            <w:tcW w:w="651" w:type="pct"/>
            <w:shd w:val="clear" w:color="auto" w:fill="FFFFFF"/>
            <w:tcMar>
              <w:top w:w="60" w:type="dxa"/>
              <w:left w:w="120" w:type="dxa"/>
              <w:bottom w:w="30" w:type="dxa"/>
              <w:right w:w="120" w:type="dxa"/>
            </w:tcMar>
            <w:vAlign w:val="center"/>
          </w:tcPr>
          <w:p w14:paraId="5433E92C">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异常处置</w:t>
            </w:r>
          </w:p>
        </w:tc>
        <w:tc>
          <w:tcPr>
            <w:tcW w:w="1774" w:type="pct"/>
            <w:shd w:val="clear" w:color="auto" w:fill="FFFFFF"/>
            <w:tcMar>
              <w:top w:w="60" w:type="dxa"/>
              <w:left w:w="120" w:type="dxa"/>
              <w:bottom w:w="30" w:type="dxa"/>
              <w:right w:w="120" w:type="dxa"/>
            </w:tcMar>
            <w:vAlign w:val="center"/>
          </w:tcPr>
          <w:p w14:paraId="5AAB50A6">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发现杆塔倾斜、导线断股、绝缘子破损等异常立即启动应急；禁止靠近危险区域；设置警示防止行人车辆靠近</w:t>
            </w:r>
          </w:p>
        </w:tc>
        <w:tc>
          <w:tcPr>
            <w:tcW w:w="953" w:type="pct"/>
            <w:shd w:val="clear" w:color="auto" w:fill="FFFFFF"/>
            <w:tcMar>
              <w:top w:w="60" w:type="dxa"/>
              <w:left w:w="120" w:type="dxa"/>
              <w:bottom w:w="30" w:type="dxa"/>
              <w:right w:w="120" w:type="dxa"/>
            </w:tcMar>
            <w:vAlign w:val="center"/>
          </w:tcPr>
          <w:p w14:paraId="0E1A5293">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防止故障扩大、次生灾害</w:t>
            </w:r>
          </w:p>
        </w:tc>
        <w:tc>
          <w:tcPr>
            <w:tcW w:w="755" w:type="pct"/>
            <w:shd w:val="clear" w:color="auto" w:fill="FFFFFF"/>
            <w:tcMar>
              <w:top w:w="60" w:type="dxa"/>
              <w:left w:w="120" w:type="dxa"/>
              <w:bottom w:w="30" w:type="dxa"/>
              <w:right w:w="120" w:type="dxa"/>
            </w:tcMar>
            <w:vAlign w:val="center"/>
          </w:tcPr>
          <w:p w14:paraId="4BEDD5E2">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对接线路抗风、杆塔稳定设计</w:t>
            </w:r>
          </w:p>
        </w:tc>
      </w:tr>
      <w:tr w14:paraId="66974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358" w:type="pct"/>
            <w:shd w:val="clear" w:color="auto" w:fill="FFFFFF"/>
            <w:tcMar>
              <w:top w:w="60" w:type="dxa"/>
              <w:left w:w="120" w:type="dxa"/>
              <w:bottom w:w="30" w:type="dxa"/>
              <w:right w:w="120" w:type="dxa"/>
            </w:tcMar>
            <w:vAlign w:val="center"/>
          </w:tcPr>
          <w:p w14:paraId="42AF5612">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17</w:t>
            </w:r>
          </w:p>
        </w:tc>
        <w:tc>
          <w:tcPr>
            <w:tcW w:w="507" w:type="pct"/>
            <w:shd w:val="clear" w:color="auto" w:fill="FFFFFF"/>
            <w:tcMar>
              <w:top w:w="60" w:type="dxa"/>
              <w:left w:w="120" w:type="dxa"/>
              <w:bottom w:w="30" w:type="dxa"/>
              <w:right w:w="120" w:type="dxa"/>
            </w:tcMar>
            <w:vAlign w:val="center"/>
          </w:tcPr>
          <w:p w14:paraId="0924C690">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台风中处置</w:t>
            </w:r>
          </w:p>
        </w:tc>
        <w:tc>
          <w:tcPr>
            <w:tcW w:w="651" w:type="pct"/>
            <w:shd w:val="clear" w:color="auto" w:fill="FFFFFF"/>
            <w:tcMar>
              <w:top w:w="60" w:type="dxa"/>
              <w:left w:w="120" w:type="dxa"/>
              <w:bottom w:w="30" w:type="dxa"/>
              <w:right w:w="120" w:type="dxa"/>
            </w:tcMar>
            <w:vAlign w:val="center"/>
          </w:tcPr>
          <w:p w14:paraId="4D65BB1D">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信息上报</w:t>
            </w:r>
          </w:p>
        </w:tc>
        <w:tc>
          <w:tcPr>
            <w:tcW w:w="1774" w:type="pct"/>
            <w:shd w:val="clear" w:color="auto" w:fill="FFFFFF"/>
            <w:tcMar>
              <w:top w:w="60" w:type="dxa"/>
              <w:left w:w="120" w:type="dxa"/>
              <w:bottom w:w="30" w:type="dxa"/>
              <w:right w:w="120" w:type="dxa"/>
            </w:tcMar>
            <w:vAlign w:val="center"/>
          </w:tcPr>
          <w:p w14:paraId="147286C6">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实时上报线路状态、险情、处置进展；重大故障立即求援；发布实时预警信息</w:t>
            </w:r>
          </w:p>
        </w:tc>
        <w:tc>
          <w:tcPr>
            <w:tcW w:w="953" w:type="pct"/>
            <w:shd w:val="clear" w:color="auto" w:fill="FFFFFF"/>
            <w:tcMar>
              <w:top w:w="60" w:type="dxa"/>
              <w:left w:w="120" w:type="dxa"/>
              <w:bottom w:w="30" w:type="dxa"/>
              <w:right w:w="120" w:type="dxa"/>
            </w:tcMar>
            <w:vAlign w:val="center"/>
          </w:tcPr>
          <w:p w14:paraId="6B7D6084">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不迟报、漏报、瞒报</w:t>
            </w:r>
          </w:p>
        </w:tc>
        <w:tc>
          <w:tcPr>
            <w:tcW w:w="755" w:type="pct"/>
            <w:shd w:val="clear" w:color="auto" w:fill="FFFFFF"/>
            <w:tcMar>
              <w:top w:w="60" w:type="dxa"/>
              <w:left w:w="120" w:type="dxa"/>
              <w:bottom w:w="30" w:type="dxa"/>
              <w:right w:w="120" w:type="dxa"/>
            </w:tcMar>
            <w:vAlign w:val="center"/>
          </w:tcPr>
          <w:p w14:paraId="78E52646">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对接应急指挥联动、信息上报设计</w:t>
            </w:r>
          </w:p>
        </w:tc>
      </w:tr>
      <w:tr w14:paraId="4E83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358" w:type="pct"/>
            <w:shd w:val="clear" w:color="auto" w:fill="FFFFFF"/>
            <w:tcMar>
              <w:top w:w="60" w:type="dxa"/>
              <w:left w:w="120" w:type="dxa"/>
              <w:bottom w:w="30" w:type="dxa"/>
              <w:right w:w="120" w:type="dxa"/>
            </w:tcMar>
            <w:vAlign w:val="center"/>
          </w:tcPr>
          <w:p w14:paraId="2F71534D">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18</w:t>
            </w:r>
          </w:p>
        </w:tc>
        <w:tc>
          <w:tcPr>
            <w:tcW w:w="507" w:type="pct"/>
            <w:shd w:val="clear" w:color="auto" w:fill="FFFFFF"/>
            <w:tcMar>
              <w:top w:w="60" w:type="dxa"/>
              <w:left w:w="120" w:type="dxa"/>
              <w:bottom w:w="30" w:type="dxa"/>
              <w:right w:w="120" w:type="dxa"/>
            </w:tcMar>
            <w:vAlign w:val="center"/>
          </w:tcPr>
          <w:p w14:paraId="51EB266B">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台风后恢复</w:t>
            </w:r>
          </w:p>
        </w:tc>
        <w:tc>
          <w:tcPr>
            <w:tcW w:w="651" w:type="pct"/>
            <w:shd w:val="clear" w:color="auto" w:fill="FFFFFF"/>
            <w:tcMar>
              <w:top w:w="60" w:type="dxa"/>
              <w:left w:w="120" w:type="dxa"/>
              <w:bottom w:w="30" w:type="dxa"/>
              <w:right w:w="120" w:type="dxa"/>
            </w:tcMar>
            <w:vAlign w:val="center"/>
          </w:tcPr>
          <w:p w14:paraId="47C00240">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全面排查评估</w:t>
            </w:r>
          </w:p>
        </w:tc>
        <w:tc>
          <w:tcPr>
            <w:tcW w:w="1774" w:type="pct"/>
            <w:shd w:val="clear" w:color="auto" w:fill="FFFFFF"/>
            <w:tcMar>
              <w:top w:w="60" w:type="dxa"/>
              <w:left w:w="120" w:type="dxa"/>
              <w:bottom w:w="30" w:type="dxa"/>
              <w:right w:w="120" w:type="dxa"/>
            </w:tcMar>
            <w:vAlign w:val="center"/>
          </w:tcPr>
          <w:p w14:paraId="60D55270">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风速安全后立即开展人工+无人机全面巡检；核查杆塔、基础、导线、绝缘子、金具、通道损伤情况；联合设计评估等级</w:t>
            </w:r>
          </w:p>
        </w:tc>
        <w:tc>
          <w:tcPr>
            <w:tcW w:w="953" w:type="pct"/>
            <w:shd w:val="clear" w:color="auto" w:fill="FFFFFF"/>
            <w:tcMar>
              <w:top w:w="60" w:type="dxa"/>
              <w:left w:w="120" w:type="dxa"/>
              <w:bottom w:w="30" w:type="dxa"/>
              <w:right w:w="120" w:type="dxa"/>
            </w:tcMar>
            <w:vAlign w:val="center"/>
          </w:tcPr>
          <w:p w14:paraId="7D021C17">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不漏检、损伤判定准确</w:t>
            </w:r>
          </w:p>
        </w:tc>
        <w:tc>
          <w:tcPr>
            <w:tcW w:w="755" w:type="pct"/>
            <w:shd w:val="clear" w:color="auto" w:fill="FFFFFF"/>
            <w:tcMar>
              <w:top w:w="60" w:type="dxa"/>
              <w:left w:w="120" w:type="dxa"/>
              <w:bottom w:w="30" w:type="dxa"/>
              <w:right w:w="120" w:type="dxa"/>
            </w:tcMar>
            <w:vAlign w:val="center"/>
          </w:tcPr>
          <w:p w14:paraId="72BB4D3A">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对照抗台风设计标准、损伤等级评估要求</w:t>
            </w:r>
          </w:p>
        </w:tc>
      </w:tr>
      <w:tr w14:paraId="68F45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358" w:type="pct"/>
            <w:shd w:val="clear" w:color="auto" w:fill="FFFFFF"/>
            <w:tcMar>
              <w:top w:w="60" w:type="dxa"/>
              <w:left w:w="120" w:type="dxa"/>
              <w:bottom w:w="30" w:type="dxa"/>
              <w:right w:w="120" w:type="dxa"/>
            </w:tcMar>
            <w:vAlign w:val="center"/>
          </w:tcPr>
          <w:p w14:paraId="66AECC56">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19</w:t>
            </w:r>
          </w:p>
        </w:tc>
        <w:tc>
          <w:tcPr>
            <w:tcW w:w="507" w:type="pct"/>
            <w:shd w:val="clear" w:color="auto" w:fill="FFFFFF"/>
            <w:tcMar>
              <w:top w:w="60" w:type="dxa"/>
              <w:left w:w="120" w:type="dxa"/>
              <w:bottom w:w="30" w:type="dxa"/>
              <w:right w:w="120" w:type="dxa"/>
            </w:tcMar>
            <w:vAlign w:val="center"/>
          </w:tcPr>
          <w:p w14:paraId="4AB10F77">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台风后恢复</w:t>
            </w:r>
          </w:p>
        </w:tc>
        <w:tc>
          <w:tcPr>
            <w:tcW w:w="651" w:type="pct"/>
            <w:shd w:val="clear" w:color="auto" w:fill="FFFFFF"/>
            <w:tcMar>
              <w:top w:w="60" w:type="dxa"/>
              <w:left w:w="120" w:type="dxa"/>
              <w:bottom w:w="30" w:type="dxa"/>
              <w:right w:w="120" w:type="dxa"/>
            </w:tcMar>
            <w:vAlign w:val="center"/>
          </w:tcPr>
          <w:p w14:paraId="47564FDD">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设施修复</w:t>
            </w:r>
          </w:p>
        </w:tc>
        <w:tc>
          <w:tcPr>
            <w:tcW w:w="1774" w:type="pct"/>
            <w:shd w:val="clear" w:color="auto" w:fill="FFFFFF"/>
            <w:tcMar>
              <w:top w:w="60" w:type="dxa"/>
              <w:left w:w="120" w:type="dxa"/>
              <w:bottom w:w="30" w:type="dxa"/>
              <w:right w:w="120" w:type="dxa"/>
            </w:tcMar>
            <w:vAlign w:val="center"/>
          </w:tcPr>
          <w:p w14:paraId="52B26AB0">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轻度损伤按原标准修复；中度损伤关键部位补强；重度损伤按不低于原标准重建；材料不低于原设计</w:t>
            </w:r>
          </w:p>
        </w:tc>
        <w:tc>
          <w:tcPr>
            <w:tcW w:w="953" w:type="pct"/>
            <w:shd w:val="clear" w:color="auto" w:fill="FFFFFF"/>
            <w:tcMar>
              <w:top w:w="60" w:type="dxa"/>
              <w:left w:w="120" w:type="dxa"/>
              <w:bottom w:w="30" w:type="dxa"/>
              <w:right w:w="120" w:type="dxa"/>
            </w:tcMar>
            <w:vAlign w:val="center"/>
          </w:tcPr>
          <w:p w14:paraId="5B2D1FE5">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抗风能力不降低</w:t>
            </w:r>
          </w:p>
        </w:tc>
        <w:tc>
          <w:tcPr>
            <w:tcW w:w="755" w:type="pct"/>
            <w:shd w:val="clear" w:color="auto" w:fill="FFFFFF"/>
            <w:tcMar>
              <w:top w:w="60" w:type="dxa"/>
              <w:left w:w="120" w:type="dxa"/>
              <w:bottom w:w="30" w:type="dxa"/>
              <w:right w:w="120" w:type="dxa"/>
            </w:tcMar>
            <w:vAlign w:val="center"/>
          </w:tcPr>
          <w:p w14:paraId="4BFCC511">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遵循原线路抗台风设计要求</w:t>
            </w:r>
          </w:p>
        </w:tc>
      </w:tr>
      <w:tr w14:paraId="568AF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358" w:type="pct"/>
            <w:shd w:val="clear" w:color="auto" w:fill="FFFFFF"/>
            <w:tcMar>
              <w:top w:w="60" w:type="dxa"/>
              <w:left w:w="120" w:type="dxa"/>
              <w:bottom w:w="30" w:type="dxa"/>
              <w:right w:w="120" w:type="dxa"/>
            </w:tcMar>
            <w:vAlign w:val="center"/>
          </w:tcPr>
          <w:p w14:paraId="5385D71A">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20</w:t>
            </w:r>
          </w:p>
        </w:tc>
        <w:tc>
          <w:tcPr>
            <w:tcW w:w="507" w:type="pct"/>
            <w:shd w:val="clear" w:color="auto" w:fill="FFFFFF"/>
            <w:tcMar>
              <w:top w:w="60" w:type="dxa"/>
              <w:left w:w="120" w:type="dxa"/>
              <w:bottom w:w="30" w:type="dxa"/>
              <w:right w:w="120" w:type="dxa"/>
            </w:tcMar>
            <w:vAlign w:val="center"/>
          </w:tcPr>
          <w:p w14:paraId="04885F98">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台风后恢复</w:t>
            </w:r>
          </w:p>
        </w:tc>
        <w:tc>
          <w:tcPr>
            <w:tcW w:w="651" w:type="pct"/>
            <w:shd w:val="clear" w:color="auto" w:fill="FFFFFF"/>
            <w:tcMar>
              <w:top w:w="60" w:type="dxa"/>
              <w:left w:w="120" w:type="dxa"/>
              <w:bottom w:w="30" w:type="dxa"/>
              <w:right w:w="120" w:type="dxa"/>
            </w:tcMar>
            <w:vAlign w:val="center"/>
          </w:tcPr>
          <w:p w14:paraId="72BAC630">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附属设施恢复</w:t>
            </w:r>
          </w:p>
        </w:tc>
        <w:tc>
          <w:tcPr>
            <w:tcW w:w="1774" w:type="pct"/>
            <w:shd w:val="clear" w:color="auto" w:fill="FFFFFF"/>
            <w:tcMar>
              <w:top w:w="60" w:type="dxa"/>
              <w:left w:w="120" w:type="dxa"/>
              <w:bottom w:w="30" w:type="dxa"/>
              <w:right w:w="120" w:type="dxa"/>
            </w:tcMar>
            <w:vAlign w:val="center"/>
          </w:tcPr>
          <w:p w14:paraId="7BDDB273">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修复/更换标识、警示牌、防鸟装置、监测装置；校准传感器；清理通道杂物、倒伏树木</w:t>
            </w:r>
          </w:p>
        </w:tc>
        <w:tc>
          <w:tcPr>
            <w:tcW w:w="953" w:type="pct"/>
            <w:shd w:val="clear" w:color="auto" w:fill="FFFFFF"/>
            <w:tcMar>
              <w:top w:w="60" w:type="dxa"/>
              <w:left w:w="120" w:type="dxa"/>
              <w:bottom w:w="30" w:type="dxa"/>
              <w:right w:w="120" w:type="dxa"/>
            </w:tcMar>
            <w:vAlign w:val="center"/>
          </w:tcPr>
          <w:p w14:paraId="0BD07859">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功能正常、监测准确</w:t>
            </w:r>
          </w:p>
        </w:tc>
        <w:tc>
          <w:tcPr>
            <w:tcW w:w="755" w:type="pct"/>
            <w:shd w:val="clear" w:color="auto" w:fill="FFFFFF"/>
            <w:tcMar>
              <w:top w:w="60" w:type="dxa"/>
              <w:left w:w="120" w:type="dxa"/>
              <w:bottom w:w="30" w:type="dxa"/>
              <w:right w:w="120" w:type="dxa"/>
            </w:tcMar>
            <w:vAlign w:val="center"/>
          </w:tcPr>
          <w:p w14:paraId="43284333">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契合原附属设施抗风设计</w:t>
            </w:r>
          </w:p>
        </w:tc>
      </w:tr>
      <w:tr w14:paraId="79B5A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358" w:type="pct"/>
            <w:shd w:val="clear" w:color="auto" w:fill="FFFFFF"/>
            <w:tcMar>
              <w:top w:w="60" w:type="dxa"/>
              <w:left w:w="120" w:type="dxa"/>
              <w:bottom w:w="30" w:type="dxa"/>
              <w:right w:w="120" w:type="dxa"/>
            </w:tcMar>
            <w:vAlign w:val="center"/>
          </w:tcPr>
          <w:p w14:paraId="68703AB0">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21</w:t>
            </w:r>
          </w:p>
        </w:tc>
        <w:tc>
          <w:tcPr>
            <w:tcW w:w="507" w:type="pct"/>
            <w:shd w:val="clear" w:color="auto" w:fill="FFFFFF"/>
            <w:tcMar>
              <w:top w:w="60" w:type="dxa"/>
              <w:left w:w="120" w:type="dxa"/>
              <w:bottom w:w="30" w:type="dxa"/>
              <w:right w:w="120" w:type="dxa"/>
            </w:tcMar>
            <w:vAlign w:val="center"/>
          </w:tcPr>
          <w:p w14:paraId="5B6C8203">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台风后恢复</w:t>
            </w:r>
          </w:p>
        </w:tc>
        <w:tc>
          <w:tcPr>
            <w:tcW w:w="651" w:type="pct"/>
            <w:shd w:val="clear" w:color="auto" w:fill="FFFFFF"/>
            <w:tcMar>
              <w:top w:w="60" w:type="dxa"/>
              <w:left w:w="120" w:type="dxa"/>
              <w:bottom w:w="30" w:type="dxa"/>
              <w:right w:w="120" w:type="dxa"/>
            </w:tcMar>
            <w:vAlign w:val="center"/>
          </w:tcPr>
          <w:p w14:paraId="716328C0">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系统测试与复电</w:t>
            </w:r>
          </w:p>
        </w:tc>
        <w:tc>
          <w:tcPr>
            <w:tcW w:w="1774" w:type="pct"/>
            <w:shd w:val="clear" w:color="auto" w:fill="FFFFFF"/>
            <w:tcMar>
              <w:top w:w="60" w:type="dxa"/>
              <w:left w:w="120" w:type="dxa"/>
              <w:bottom w:w="30" w:type="dxa"/>
              <w:right w:w="120" w:type="dxa"/>
            </w:tcMar>
            <w:vAlign w:val="center"/>
          </w:tcPr>
          <w:p w14:paraId="3508049C">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全面电气测试；按先主干后分支、先重要后一般复电；复电后24小时值守</w:t>
            </w:r>
          </w:p>
        </w:tc>
        <w:tc>
          <w:tcPr>
            <w:tcW w:w="953" w:type="pct"/>
            <w:shd w:val="clear" w:color="auto" w:fill="FFFFFF"/>
            <w:tcMar>
              <w:top w:w="60" w:type="dxa"/>
              <w:left w:w="120" w:type="dxa"/>
              <w:bottom w:w="30" w:type="dxa"/>
              <w:right w:w="120" w:type="dxa"/>
            </w:tcMar>
            <w:vAlign w:val="center"/>
          </w:tcPr>
          <w:p w14:paraId="3CE578A9">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运行稳定、符合指标</w:t>
            </w:r>
          </w:p>
        </w:tc>
        <w:tc>
          <w:tcPr>
            <w:tcW w:w="755" w:type="pct"/>
            <w:shd w:val="clear" w:color="auto" w:fill="FFFFFF"/>
            <w:tcMar>
              <w:top w:w="60" w:type="dxa"/>
              <w:left w:w="120" w:type="dxa"/>
              <w:bottom w:w="30" w:type="dxa"/>
              <w:right w:w="120" w:type="dxa"/>
            </w:tcMar>
            <w:vAlign w:val="center"/>
          </w:tcPr>
          <w:p w14:paraId="0F317093">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对照原设计抗风性能要求</w:t>
            </w:r>
          </w:p>
        </w:tc>
      </w:tr>
      <w:tr w14:paraId="2EEFE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358" w:type="pct"/>
            <w:shd w:val="clear" w:color="auto" w:fill="FFFFFF"/>
            <w:tcMar>
              <w:top w:w="60" w:type="dxa"/>
              <w:left w:w="120" w:type="dxa"/>
              <w:bottom w:w="30" w:type="dxa"/>
              <w:right w:w="120" w:type="dxa"/>
            </w:tcMar>
            <w:vAlign w:val="center"/>
          </w:tcPr>
          <w:p w14:paraId="5D46985E">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22</w:t>
            </w:r>
          </w:p>
        </w:tc>
        <w:tc>
          <w:tcPr>
            <w:tcW w:w="507" w:type="pct"/>
            <w:shd w:val="clear" w:color="auto" w:fill="FFFFFF"/>
            <w:tcMar>
              <w:top w:w="60" w:type="dxa"/>
              <w:left w:w="120" w:type="dxa"/>
              <w:bottom w:w="30" w:type="dxa"/>
              <w:right w:w="120" w:type="dxa"/>
            </w:tcMar>
            <w:vAlign w:val="center"/>
          </w:tcPr>
          <w:p w14:paraId="238867E4">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台风后恢复</w:t>
            </w:r>
          </w:p>
        </w:tc>
        <w:tc>
          <w:tcPr>
            <w:tcW w:w="651" w:type="pct"/>
            <w:shd w:val="clear" w:color="auto" w:fill="FFFFFF"/>
            <w:tcMar>
              <w:top w:w="60" w:type="dxa"/>
              <w:left w:w="120" w:type="dxa"/>
              <w:bottom w:w="30" w:type="dxa"/>
              <w:right w:w="120" w:type="dxa"/>
            </w:tcMar>
            <w:vAlign w:val="center"/>
          </w:tcPr>
          <w:p w14:paraId="446E3AAC">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总结优化</w:t>
            </w:r>
          </w:p>
        </w:tc>
        <w:tc>
          <w:tcPr>
            <w:tcW w:w="1774" w:type="pct"/>
            <w:shd w:val="clear" w:color="auto" w:fill="FFFFFF"/>
            <w:tcMar>
              <w:top w:w="60" w:type="dxa"/>
              <w:left w:w="120" w:type="dxa"/>
              <w:bottom w:w="30" w:type="dxa"/>
              <w:right w:w="120" w:type="dxa"/>
            </w:tcMar>
            <w:vAlign w:val="center"/>
          </w:tcPr>
          <w:p w14:paraId="0B16E7DC">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形成台风后评估报告；总结抗台风设计与运行经验；提出设计优化与技改建议</w:t>
            </w:r>
          </w:p>
        </w:tc>
        <w:tc>
          <w:tcPr>
            <w:tcW w:w="953" w:type="pct"/>
            <w:shd w:val="clear" w:color="auto" w:fill="FFFFFF"/>
            <w:tcMar>
              <w:top w:w="60" w:type="dxa"/>
              <w:left w:w="120" w:type="dxa"/>
              <w:bottom w:w="30" w:type="dxa"/>
              <w:right w:w="120" w:type="dxa"/>
            </w:tcMar>
            <w:vAlign w:val="center"/>
          </w:tcPr>
          <w:p w14:paraId="390D11FD">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提升线路抗台风韧性</w:t>
            </w:r>
          </w:p>
        </w:tc>
        <w:tc>
          <w:tcPr>
            <w:tcW w:w="755" w:type="pct"/>
            <w:shd w:val="clear" w:color="auto" w:fill="FFFFFF"/>
            <w:tcMar>
              <w:top w:w="60" w:type="dxa"/>
              <w:left w:w="120" w:type="dxa"/>
              <w:bottom w:w="30" w:type="dxa"/>
              <w:right w:w="120" w:type="dxa"/>
            </w:tcMar>
            <w:vAlign w:val="center"/>
          </w:tcPr>
          <w:p w14:paraId="064A61B8">
            <w:pPr>
              <w:pStyle w:val="180"/>
              <w:bidi w:val="0"/>
              <w:spacing w:line="240" w:lineRule="auto"/>
              <w:jc w:val="center"/>
              <w:rPr>
                <w:rFonts w:hint="eastAsia" w:ascii="宋体" w:hAnsi="Times New Roman" w:eastAsia="宋体" w:cs="Times New Roman"/>
                <w:lang w:val="en-US" w:eastAsia="zh-CN" w:bidi="ar-SA"/>
              </w:rPr>
            </w:pPr>
            <w:r>
              <w:rPr>
                <w:rFonts w:hint="eastAsia" w:ascii="宋体" w:hAnsi="Times New Roman" w:eastAsia="宋体" w:cs="Times New Roman"/>
                <w:lang w:val="en-US" w:eastAsia="zh-CN" w:bidi="ar-SA"/>
              </w:rPr>
              <w:t>对接抗台风设计方案优化</w:t>
            </w:r>
          </w:p>
        </w:tc>
      </w:tr>
    </w:tbl>
    <w:p w14:paraId="3C086C4E">
      <w:pPr>
        <w:pStyle w:val="58"/>
        <w:bidi w:val="0"/>
        <w:rPr>
          <w:highlight w:val="none"/>
        </w:rPr>
      </w:pPr>
    </w:p>
    <w:sectPr>
      <w:pgSz w:w="11906" w:h="16838"/>
      <w:pgMar w:top="1417" w:right="1134" w:bottom="1134" w:left="1417" w:header="1418" w:footer="1134" w:gutter="283"/>
      <w:pgBorders>
        <w:top w:val="none" w:sz="0" w:space="0"/>
        <w:left w:val="none" w:sz="0" w:space="0"/>
        <w:bottom w:val="none" w:sz="0" w:space="0"/>
        <w:right w:val="none" w:sz="0" w:space="0"/>
      </w:pgBorders>
      <w:pgNumType w:fmt="decimal"/>
      <w:cols w:space="0" w:num="1"/>
      <w:formProt w:val="0"/>
      <w:rtlGutter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TimesNewRomanPS-Italic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3F85B">
    <w:pPr>
      <w:pStyle w:val="18"/>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C86412">
                          <w:pPr>
                            <w:pStyle w:val="18"/>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38C86412">
                    <w:pPr>
                      <w:pStyle w:val="18"/>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7FC9C">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19A97">
    <w:pPr>
      <w:pStyle w:val="54"/>
      <w:bidi w:val="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A3499F">
    <w:pPr>
      <w:pStyle w:val="1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E4374">
    <w:pPr>
      <w:pStyle w:val="54"/>
      <w:bidi w:val="0"/>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5F217E">
                          <w:pPr>
                            <w:pStyle w:val="18"/>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J9wA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0kMUyj4qcf308/&#10;H06/vhGcQaDGhRni7h0iY/vOtmib4TzgMPFuK6/TF4wI/MA6XuQVbSQ8XZpOptMcLg7fsAF+9njd&#10;+RDfC6tJMgrqUb9OVnbYhNiHDiEpm7FrqVRXQ2VIU9Cr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7J9wAzAgAAYwQAAA4AAAAAAAAAAQAgAAAAHwEAAGRycy9lMm9Eb2MueG1sUEsF&#10;BgAAAAAGAAYAWQEAAMQFAAAAAA==&#10;">
              <v:fill on="f" focussize="0,0"/>
              <v:stroke on="f" weight="0.5pt"/>
              <v:imagedata o:title=""/>
              <o:lock v:ext="edit" aspectratio="f"/>
              <v:textbox inset="0mm,0mm,0mm,0mm" style="mso-fit-shape-to-text:t;">
                <w:txbxContent>
                  <w:p w14:paraId="295F217E">
                    <w:pPr>
                      <w:pStyle w:val="18"/>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10D8A">
    <w:pPr>
      <w:pStyle w:val="18"/>
    </w:pPr>
    <w:r>
      <w:rPr>
        <w:sz w:val="18"/>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6F4A5F">
                          <w:pPr>
                            <w:pStyle w:val="18"/>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hYO8zAgAAYw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lTYphGx08/vp9+&#10;Ppx+fSM4g0CNCzPE3TtExvadbTE2w3nAYeLdVl6nLxgR+CHv8SKvaCPh6dJ0Mp3mcHH4hg3ws8fr&#10;zof4XlhNklFQj/51srLDJsQ+dAhJ2YxdS6W6HipDmoJevX6b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xhYO8zAgAAYwQAAA4AAAAAAAAAAQAgAAAAHwEAAGRycy9lMm9Eb2MueG1sUEsF&#10;BgAAAAAGAAYAWQEAAMQFAAAAAA==&#10;">
              <v:fill on="f" focussize="0,0"/>
              <v:stroke on="f" weight="0.5pt"/>
              <v:imagedata o:title=""/>
              <o:lock v:ext="edit" aspectratio="f"/>
              <v:textbox inset="0mm,0mm,0mm,0mm" style="mso-fit-shape-to-text:t;">
                <w:txbxContent>
                  <w:p w14:paraId="6B6F4A5F">
                    <w:pPr>
                      <w:pStyle w:val="18"/>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D5B23">
    <w:pPr>
      <w:pStyle w:val="54"/>
      <w:bidi w:val="0"/>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A0433E">
                          <w:pPr>
                            <w:pStyle w:val="18"/>
                          </w:pPr>
                          <w:r>
                            <w:fldChar w:fldCharType="begin"/>
                          </w:r>
                          <w:r>
                            <w:instrText xml:space="preserve"> PAGE  \* MERGEFORMAT </w:instrText>
                          </w:r>
                          <w:r>
                            <w:fldChar w:fldCharType="separate"/>
                          </w:r>
                          <w:r>
                            <w:t>XXIII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7R3IzAgAAYw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m/e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7R3IzAgAAYwQAAA4AAAAAAAAAAQAgAAAAHwEAAGRycy9lMm9Eb2MueG1sUEsF&#10;BgAAAAAGAAYAWQEAAMQFAAAAAA==&#10;">
              <v:fill on="f" focussize="0,0"/>
              <v:stroke on="f" weight="0.5pt"/>
              <v:imagedata o:title=""/>
              <o:lock v:ext="edit" aspectratio="f"/>
              <v:textbox inset="0mm,0mm,0mm,0mm" style="mso-fit-shape-to-text:t;">
                <w:txbxContent>
                  <w:p w14:paraId="36A0433E">
                    <w:pPr>
                      <w:pStyle w:val="18"/>
                    </w:pPr>
                    <w:r>
                      <w:fldChar w:fldCharType="begin"/>
                    </w:r>
                    <w:r>
                      <w:instrText xml:space="preserve"> PAGE  \* MERGEFORMAT </w:instrText>
                    </w:r>
                    <w:r>
                      <w:fldChar w:fldCharType="separate"/>
                    </w:r>
                    <w:r>
                      <w:t>XXIII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7DD59">
    <w:pPr>
      <w:pStyle w:val="53"/>
      <w:bidi w:val="0"/>
    </w:pPr>
    <w:r>
      <w:rPr>
        <w:sz w:val="1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78F412">
                          <w:pPr>
                            <w:pStyle w:val="18"/>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0J0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0J0zAgAAYwQAAA4AAAAAAAAAAQAgAAAAHwEAAGRycy9lMm9Eb2MueG1sUEsF&#10;BgAAAAAGAAYAWQEAAMQFAAAAAA==&#10;">
              <v:fill on="f" focussize="0,0"/>
              <v:stroke on="f" weight="0.5pt"/>
              <v:imagedata o:title=""/>
              <o:lock v:ext="edit" aspectratio="f"/>
              <v:textbox inset="0mm,0mm,0mm,0mm" style="mso-fit-shape-to-text:t;">
                <w:txbxContent>
                  <w:p w14:paraId="6578F412">
                    <w:pPr>
                      <w:pStyle w:val="18"/>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216BB">
    <w:pPr>
      <w:pStyle w:val="19"/>
      <w:wordWrap w:val="0"/>
      <w:jc w:val="right"/>
      <w:rPr>
        <w:rFonts w:hint="eastAsia" w:ascii="黑体" w:hAnsi="黑体" w:eastAsia="黑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C8FE4">
    <w:pPr>
      <w:pStyle w:val="64"/>
      <w:bidi w:val="0"/>
    </w:pPr>
    <w:r>
      <w:fldChar w:fldCharType="begin"/>
    </w:r>
    <w:r>
      <w:instrText xml:space="preserve"> STYLEREF  标准文件_文件编号 \* MERGEFORMAT </w:instrText>
    </w:r>
    <w:r>
      <w:fldChar w:fldCharType="separate"/>
    </w:r>
    <w:r>
      <w:t>T/XXX XXXX—XXXX</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B48E8">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F93E4">
    <w:pPr>
      <w:pStyle w:val="63"/>
      <w:bidi w:val="0"/>
      <w:rPr>
        <w:rFonts w:hint="eastAsia"/>
      </w:rPr>
    </w:pPr>
    <w:r>
      <w:fldChar w:fldCharType="begin"/>
    </w:r>
    <w:r>
      <w:instrText xml:space="preserve"> STYLEREF  标准文件_文件编号  \* MERGEFORMAT </w:instrText>
    </w:r>
    <w:r>
      <w:fldChar w:fldCharType="separate"/>
    </w:r>
    <w:r>
      <w:t>T/XXX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14A10">
    <w:pPr>
      <w:pStyle w:val="64"/>
      <w:bidi w:val="0"/>
    </w:pPr>
    <w:r>
      <w:fldChar w:fldCharType="begin"/>
    </w:r>
    <w:r>
      <w:instrText xml:space="preserve"> STYLEREF  标准文件_文件编号 \* MERGEFORMAT </w:instrText>
    </w:r>
    <w:r>
      <w:fldChar w:fldCharType="separate"/>
    </w:r>
    <w:r>
      <w:t>T/XXX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F1A1E1">
    <w:pPr>
      <w:pStyle w:val="63"/>
      <w:bidi w:val="0"/>
      <w:rPr>
        <w:rFonts w:hint="eastAsia"/>
      </w:rPr>
    </w:pPr>
    <w:r>
      <w:fldChar w:fldCharType="begin"/>
    </w:r>
    <w:r>
      <w:instrText xml:space="preserve"> STYLEREF  标准文件_文件编号  \* MERGEFORMAT </w:instrText>
    </w:r>
    <w:r>
      <w:fldChar w:fldCharType="separate"/>
    </w:r>
    <w:r>
      <w:t>T/XXX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A40FB">
    <w:pPr>
      <w:pStyle w:val="64"/>
      <w:bidi w:val="0"/>
    </w:pPr>
    <w:r>
      <w:fldChar w:fldCharType="begin"/>
    </w:r>
    <w:r>
      <w:instrText xml:space="preserve"> STYLEREF  标准文件_文件编号 \* MERGEFORMAT </w:instrText>
    </w:r>
    <w:r>
      <w:fldChar w:fldCharType="separate"/>
    </w:r>
    <w:r>
      <w:t>T/XXX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attachedTemplate r:id="rId1"/>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11265D2"/>
    <w:rsid w:val="00000134"/>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13144F"/>
    <w:rsid w:val="0491115B"/>
    <w:rsid w:val="049A11CE"/>
    <w:rsid w:val="0663120E"/>
    <w:rsid w:val="08F915DF"/>
    <w:rsid w:val="091A2F90"/>
    <w:rsid w:val="0B276FDD"/>
    <w:rsid w:val="0B5D2205"/>
    <w:rsid w:val="0CC573FD"/>
    <w:rsid w:val="0E455916"/>
    <w:rsid w:val="1001144E"/>
    <w:rsid w:val="106A1297"/>
    <w:rsid w:val="10710D91"/>
    <w:rsid w:val="1196704E"/>
    <w:rsid w:val="14172445"/>
    <w:rsid w:val="155669BC"/>
    <w:rsid w:val="16553C4F"/>
    <w:rsid w:val="168F2486"/>
    <w:rsid w:val="16CB4230"/>
    <w:rsid w:val="16D01B7A"/>
    <w:rsid w:val="16D3186C"/>
    <w:rsid w:val="172448A5"/>
    <w:rsid w:val="1C6E4CA6"/>
    <w:rsid w:val="1F97411C"/>
    <w:rsid w:val="1FA447FF"/>
    <w:rsid w:val="211265D2"/>
    <w:rsid w:val="2368448B"/>
    <w:rsid w:val="24756DE9"/>
    <w:rsid w:val="26247F64"/>
    <w:rsid w:val="27CF1738"/>
    <w:rsid w:val="2B895FC1"/>
    <w:rsid w:val="2C5B34F7"/>
    <w:rsid w:val="2C621396"/>
    <w:rsid w:val="2E9E5924"/>
    <w:rsid w:val="2ECE794E"/>
    <w:rsid w:val="2F6E7D83"/>
    <w:rsid w:val="304376ED"/>
    <w:rsid w:val="30AF00AB"/>
    <w:rsid w:val="31602387"/>
    <w:rsid w:val="336A7954"/>
    <w:rsid w:val="354B736D"/>
    <w:rsid w:val="36034D29"/>
    <w:rsid w:val="37372351"/>
    <w:rsid w:val="379D2A5B"/>
    <w:rsid w:val="38F62CD1"/>
    <w:rsid w:val="392972E0"/>
    <w:rsid w:val="39CF4309"/>
    <w:rsid w:val="3A37345E"/>
    <w:rsid w:val="3B6F2027"/>
    <w:rsid w:val="3E300685"/>
    <w:rsid w:val="4311774E"/>
    <w:rsid w:val="433D705E"/>
    <w:rsid w:val="449F7661"/>
    <w:rsid w:val="44BC1764"/>
    <w:rsid w:val="468A6DA0"/>
    <w:rsid w:val="46BA2397"/>
    <w:rsid w:val="47747D70"/>
    <w:rsid w:val="48ED1AB1"/>
    <w:rsid w:val="49AF6D72"/>
    <w:rsid w:val="4A91694F"/>
    <w:rsid w:val="4C105676"/>
    <w:rsid w:val="4F186E88"/>
    <w:rsid w:val="4FFA12CB"/>
    <w:rsid w:val="519F57E1"/>
    <w:rsid w:val="52203A7D"/>
    <w:rsid w:val="52726643"/>
    <w:rsid w:val="52D26933"/>
    <w:rsid w:val="54307869"/>
    <w:rsid w:val="556E215B"/>
    <w:rsid w:val="55DA499C"/>
    <w:rsid w:val="55E715B3"/>
    <w:rsid w:val="561E40FA"/>
    <w:rsid w:val="59C3050E"/>
    <w:rsid w:val="5C6D4698"/>
    <w:rsid w:val="5C8174DE"/>
    <w:rsid w:val="602C2F4B"/>
    <w:rsid w:val="610F68C1"/>
    <w:rsid w:val="61CF2F54"/>
    <w:rsid w:val="638070F5"/>
    <w:rsid w:val="653528A1"/>
    <w:rsid w:val="65485B93"/>
    <w:rsid w:val="65670FD5"/>
    <w:rsid w:val="65E53F36"/>
    <w:rsid w:val="67BB17E8"/>
    <w:rsid w:val="67F270C2"/>
    <w:rsid w:val="6CC079EF"/>
    <w:rsid w:val="6D533235"/>
    <w:rsid w:val="6EC43463"/>
    <w:rsid w:val="6FCE478F"/>
    <w:rsid w:val="72C30AE4"/>
    <w:rsid w:val="74B02034"/>
    <w:rsid w:val="76131DE4"/>
    <w:rsid w:val="76A73437"/>
    <w:rsid w:val="76AF3B36"/>
    <w:rsid w:val="7798262D"/>
    <w:rsid w:val="77C65969"/>
    <w:rsid w:val="7B444530"/>
    <w:rsid w:val="7DA53E99"/>
    <w:rsid w:val="7FA63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kern w:val="2"/>
      <w:sz w:val="32"/>
      <w:szCs w:val="32"/>
    </w:rPr>
  </w:style>
  <w:style w:type="paragraph" w:styleId="4">
    <w:name w:val="heading 3"/>
    <w:basedOn w:val="1"/>
    <w:next w:val="1"/>
    <w:link w:val="38"/>
    <w:qFormat/>
    <w:uiPriority w:val="0"/>
    <w:pPr>
      <w:keepNext/>
      <w:keepLines/>
      <w:spacing w:before="260" w:after="260" w:line="416" w:lineRule="auto"/>
      <w:outlineLvl w:val="2"/>
    </w:pPr>
    <w:rPr>
      <w:b/>
      <w:bCs/>
      <w:kern w:val="2"/>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kern w:val="2"/>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kern w:val="2"/>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kern w:val="2"/>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kern w:val="2"/>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kern w:val="2"/>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kern w:val="2"/>
      <w:sz w:val="21"/>
      <w:szCs w:val="21"/>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88"/>
    <w:qFormat/>
    <w:uiPriority w:val="0"/>
    <w:pPr>
      <w:spacing w:after="120"/>
    </w:pPr>
    <w:rPr>
      <w:kern w:val="2"/>
      <w:sz w:val="21"/>
      <w:szCs w:val="21"/>
    </w:r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kern w:val="2"/>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kern w:val="2"/>
      <w:sz w:val="18"/>
      <w:szCs w:val="18"/>
    </w:rPr>
  </w:style>
  <w:style w:type="paragraph" w:styleId="19">
    <w:name w:val="header"/>
    <w:basedOn w:val="1"/>
    <w:link w:val="45"/>
    <w:qFormat/>
    <w:uiPriority w:val="99"/>
    <w:pPr>
      <w:tabs>
        <w:tab w:val="center" w:pos="4153"/>
        <w:tab w:val="right" w:pos="8306"/>
      </w:tabs>
      <w:adjustRightInd/>
      <w:snapToGrid w:val="0"/>
      <w:jc w:val="center"/>
    </w:pPr>
    <w:rPr>
      <w:kern w:val="2"/>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kern w:val="2"/>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qFormat/>
    <w:uiPriority w:val="0"/>
    <w:pPr>
      <w:widowControl/>
      <w:topLinePunct w:val="0"/>
      <w:adjustRightInd/>
      <w:spacing w:beforeAutospacing="1" w:afterAutospacing="1"/>
      <w:ind w:firstLine="0" w:firstLineChars="0"/>
      <w:jc w:val="left"/>
      <w:textAlignment w:val="auto"/>
    </w:pPr>
    <w:rPr>
      <w:rFonts w:ascii="宋体" w:hAnsi="宋体"/>
      <w:sz w:val="24"/>
      <w:szCs w:val="24"/>
    </w:rPr>
  </w:style>
  <w:style w:type="paragraph" w:styleId="27">
    <w:name w:val="Title"/>
    <w:basedOn w:val="1"/>
    <w:link w:val="50"/>
    <w:qFormat/>
    <w:uiPriority w:val="0"/>
    <w:pPr>
      <w:spacing w:before="240" w:after="60"/>
      <w:jc w:val="center"/>
      <w:outlineLvl w:val="0"/>
    </w:pPr>
    <w:rPr>
      <w:rFonts w:ascii="Arial" w:hAnsi="Arial" w:cs="Arial"/>
      <w:b/>
      <w:bCs/>
      <w:kern w:val="2"/>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19"/>
    <w:qFormat/>
    <w:uiPriority w:val="99"/>
    <w:rPr>
      <w:kern w:val="2"/>
      <w:sz w:val="18"/>
      <w:szCs w:val="18"/>
    </w:rPr>
  </w:style>
  <w:style w:type="character" w:customStyle="1" w:styleId="46">
    <w:name w:val="页脚 字符"/>
    <w:link w:val="18"/>
    <w:qFormat/>
    <w:uiPriority w:val="99"/>
    <w:rPr>
      <w:rFonts w:ascii="宋体"/>
      <w:kern w:val="2"/>
      <w:sz w:val="18"/>
      <w:szCs w:val="18"/>
    </w:rPr>
  </w:style>
  <w:style w:type="character" w:customStyle="1" w:styleId="47">
    <w:name w:val="批注框文本 字符"/>
    <w:link w:val="17"/>
    <w:semiHidden/>
    <w:qFormat/>
    <w:uiPriority w:val="99"/>
    <w:rPr>
      <w:kern w:val="2"/>
      <w:sz w:val="18"/>
      <w:szCs w:val="18"/>
    </w:rPr>
  </w:style>
  <w:style w:type="paragraph" w:styleId="48">
    <w:name w:val="Quote"/>
    <w:basedOn w:val="1"/>
    <w:next w:val="1"/>
    <w:link w:val="49"/>
    <w:qFormat/>
    <w:uiPriority w:val="29"/>
    <w:rPr>
      <w:i/>
      <w:iCs/>
      <w:color w:val="000000"/>
      <w:kern w:val="2"/>
      <w:sz w:val="21"/>
      <w:szCs w:val="21"/>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7"/>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Times New Roman" w:hAnsi="Times New Roman" w:eastAsia="宋体" w:cs="Times New Roman"/>
      <w:sz w:val="21"/>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Subtle Reference"/>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Times New Roman"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style>
  <w:style w:type="paragraph" w:customStyle="1" w:styleId="191">
    <w:name w:val="标准文件_一级项2"/>
    <w:basedOn w:val="58"/>
    <w:qFormat/>
    <w:uiPriority w:val="0"/>
    <w:pPr>
      <w:numPr>
        <w:ilvl w:val="0"/>
        <w:numId w:val="31"/>
      </w:numPr>
      <w:spacing w:line="300" w:lineRule="exact"/>
      <w:ind w:firstLineChars="0"/>
    </w:p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rFonts w:ascii="宋体" w:hAnsi="Times New Roman"/>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paragraph" w:customStyle="1" w:styleId="232">
    <w:name w:val="章标题"/>
    <w:next w:val="1"/>
    <w:qFormat/>
    <w:uiPriority w:val="0"/>
    <w:pPr>
      <w:spacing w:beforeLines="50" w:afterLines="50"/>
      <w:jc w:val="both"/>
      <w:outlineLvl w:val="1"/>
    </w:pPr>
    <w:rPr>
      <w:rFonts w:ascii="黑体" w:hAnsi="Times New Roman" w:eastAsia="黑体" w:cs="Times New Roman"/>
      <w:sz w:val="21"/>
      <w:lang w:val="en-US" w:eastAsia="zh-CN" w:bidi="ar-SA"/>
    </w:rPr>
  </w:style>
  <w:style w:type="paragraph" w:customStyle="1" w:styleId="233">
    <w:name w:val="段"/>
    <w:qFormat/>
    <w:uiPriority w:val="0"/>
    <w:pPr>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image" Target="media/image40.wmf"/><Relationship Id="rId98" Type="http://schemas.openxmlformats.org/officeDocument/2006/relationships/oleObject" Target="embeddings/oleObject39.bin"/><Relationship Id="rId97" Type="http://schemas.openxmlformats.org/officeDocument/2006/relationships/image" Target="media/image39.wmf"/><Relationship Id="rId96" Type="http://schemas.openxmlformats.org/officeDocument/2006/relationships/oleObject" Target="embeddings/oleObject38.bin"/><Relationship Id="rId95" Type="http://schemas.openxmlformats.org/officeDocument/2006/relationships/image" Target="media/image38.wmf"/><Relationship Id="rId94" Type="http://schemas.openxmlformats.org/officeDocument/2006/relationships/oleObject" Target="embeddings/oleObject37.bin"/><Relationship Id="rId93" Type="http://schemas.openxmlformats.org/officeDocument/2006/relationships/image" Target="media/image37.wmf"/><Relationship Id="rId92" Type="http://schemas.openxmlformats.org/officeDocument/2006/relationships/oleObject" Target="embeddings/oleObject36.bin"/><Relationship Id="rId91" Type="http://schemas.openxmlformats.org/officeDocument/2006/relationships/image" Target="media/image36.wmf"/><Relationship Id="rId90" Type="http://schemas.openxmlformats.org/officeDocument/2006/relationships/oleObject" Target="embeddings/oleObject35.bin"/><Relationship Id="rId9" Type="http://schemas.openxmlformats.org/officeDocument/2006/relationships/footer" Target="footer2.xml"/><Relationship Id="rId89" Type="http://schemas.openxmlformats.org/officeDocument/2006/relationships/image" Target="media/image35.wmf"/><Relationship Id="rId88" Type="http://schemas.openxmlformats.org/officeDocument/2006/relationships/oleObject" Target="embeddings/oleObject34.bin"/><Relationship Id="rId87" Type="http://schemas.openxmlformats.org/officeDocument/2006/relationships/image" Target="media/image34.wmf"/><Relationship Id="rId86" Type="http://schemas.openxmlformats.org/officeDocument/2006/relationships/oleObject" Target="embeddings/oleObject33.bin"/><Relationship Id="rId85" Type="http://schemas.openxmlformats.org/officeDocument/2006/relationships/image" Target="media/image33.wmf"/><Relationship Id="rId84" Type="http://schemas.openxmlformats.org/officeDocument/2006/relationships/oleObject" Target="embeddings/oleObject32.bin"/><Relationship Id="rId83" Type="http://schemas.openxmlformats.org/officeDocument/2006/relationships/image" Target="media/image32.wmf"/><Relationship Id="rId82" Type="http://schemas.openxmlformats.org/officeDocument/2006/relationships/oleObject" Target="embeddings/oleObject31.bin"/><Relationship Id="rId81" Type="http://schemas.openxmlformats.org/officeDocument/2006/relationships/image" Target="media/image31.wmf"/><Relationship Id="rId80" Type="http://schemas.openxmlformats.org/officeDocument/2006/relationships/oleObject" Target="embeddings/oleObject30.bin"/><Relationship Id="rId8" Type="http://schemas.openxmlformats.org/officeDocument/2006/relationships/footer" Target="footer1.xml"/><Relationship Id="rId79" Type="http://schemas.openxmlformats.org/officeDocument/2006/relationships/image" Target="media/image30.wmf"/><Relationship Id="rId78" Type="http://schemas.openxmlformats.org/officeDocument/2006/relationships/oleObject" Target="embeddings/oleObject29.bin"/><Relationship Id="rId77" Type="http://schemas.openxmlformats.org/officeDocument/2006/relationships/image" Target="media/image29.wmf"/><Relationship Id="rId76" Type="http://schemas.openxmlformats.org/officeDocument/2006/relationships/oleObject" Target="embeddings/oleObject28.bin"/><Relationship Id="rId75" Type="http://schemas.openxmlformats.org/officeDocument/2006/relationships/image" Target="media/image28.wmf"/><Relationship Id="rId74" Type="http://schemas.openxmlformats.org/officeDocument/2006/relationships/oleObject" Target="embeddings/oleObject27.bin"/><Relationship Id="rId73" Type="http://schemas.openxmlformats.org/officeDocument/2006/relationships/image" Target="media/image27.wmf"/><Relationship Id="rId72" Type="http://schemas.openxmlformats.org/officeDocument/2006/relationships/oleObject" Target="embeddings/oleObject26.bin"/><Relationship Id="rId71" Type="http://schemas.openxmlformats.org/officeDocument/2006/relationships/image" Target="media/image26.wmf"/><Relationship Id="rId70" Type="http://schemas.openxmlformats.org/officeDocument/2006/relationships/oleObject" Target="embeddings/oleObject25.bin"/><Relationship Id="rId7" Type="http://schemas.openxmlformats.org/officeDocument/2006/relationships/header" Target="header3.xml"/><Relationship Id="rId69" Type="http://schemas.openxmlformats.org/officeDocument/2006/relationships/image" Target="media/image25.wmf"/><Relationship Id="rId68" Type="http://schemas.openxmlformats.org/officeDocument/2006/relationships/oleObject" Target="embeddings/oleObject24.bin"/><Relationship Id="rId67" Type="http://schemas.openxmlformats.org/officeDocument/2006/relationships/image" Target="media/image24.wmf"/><Relationship Id="rId66" Type="http://schemas.openxmlformats.org/officeDocument/2006/relationships/oleObject" Target="embeddings/oleObject23.bin"/><Relationship Id="rId65" Type="http://schemas.openxmlformats.org/officeDocument/2006/relationships/image" Target="media/image23.wmf"/><Relationship Id="rId64" Type="http://schemas.openxmlformats.org/officeDocument/2006/relationships/oleObject" Target="embeddings/oleObject22.bin"/><Relationship Id="rId63" Type="http://schemas.openxmlformats.org/officeDocument/2006/relationships/image" Target="media/image22.wmf"/><Relationship Id="rId62" Type="http://schemas.openxmlformats.org/officeDocument/2006/relationships/oleObject" Target="embeddings/oleObject21.bin"/><Relationship Id="rId61" Type="http://schemas.openxmlformats.org/officeDocument/2006/relationships/image" Target="media/image21.wmf"/><Relationship Id="rId60" Type="http://schemas.openxmlformats.org/officeDocument/2006/relationships/oleObject" Target="embeddings/oleObject20.bin"/><Relationship Id="rId6" Type="http://schemas.openxmlformats.org/officeDocument/2006/relationships/header" Target="header2.xml"/><Relationship Id="rId59" Type="http://schemas.openxmlformats.org/officeDocument/2006/relationships/image" Target="media/image20.wmf"/><Relationship Id="rId58" Type="http://schemas.openxmlformats.org/officeDocument/2006/relationships/oleObject" Target="embeddings/oleObject19.bin"/><Relationship Id="rId57" Type="http://schemas.openxmlformats.org/officeDocument/2006/relationships/image" Target="media/image19.wmf"/><Relationship Id="rId56" Type="http://schemas.openxmlformats.org/officeDocument/2006/relationships/oleObject" Target="embeddings/oleObject18.bin"/><Relationship Id="rId55" Type="http://schemas.openxmlformats.org/officeDocument/2006/relationships/image" Target="media/image18.wmf"/><Relationship Id="rId54" Type="http://schemas.openxmlformats.org/officeDocument/2006/relationships/oleObject" Target="embeddings/oleObject17.bin"/><Relationship Id="rId53" Type="http://schemas.openxmlformats.org/officeDocument/2006/relationships/image" Target="media/image17.wmf"/><Relationship Id="rId52" Type="http://schemas.openxmlformats.org/officeDocument/2006/relationships/oleObject" Target="embeddings/oleObject16.bin"/><Relationship Id="rId51" Type="http://schemas.openxmlformats.org/officeDocument/2006/relationships/image" Target="media/image16.wmf"/><Relationship Id="rId50" Type="http://schemas.openxmlformats.org/officeDocument/2006/relationships/oleObject" Target="embeddings/oleObject15.bin"/><Relationship Id="rId5" Type="http://schemas.openxmlformats.org/officeDocument/2006/relationships/header" Target="header1.xml"/><Relationship Id="rId49" Type="http://schemas.openxmlformats.org/officeDocument/2006/relationships/image" Target="media/image15.wmf"/><Relationship Id="rId48" Type="http://schemas.openxmlformats.org/officeDocument/2006/relationships/oleObject" Target="embeddings/oleObject14.bin"/><Relationship Id="rId47" Type="http://schemas.openxmlformats.org/officeDocument/2006/relationships/image" Target="media/image14.wmf"/><Relationship Id="rId46" Type="http://schemas.openxmlformats.org/officeDocument/2006/relationships/oleObject" Target="embeddings/oleObject13.bin"/><Relationship Id="rId45" Type="http://schemas.openxmlformats.org/officeDocument/2006/relationships/image" Target="media/image13.wmf"/><Relationship Id="rId44" Type="http://schemas.openxmlformats.org/officeDocument/2006/relationships/oleObject" Target="embeddings/oleObject12.bin"/><Relationship Id="rId43" Type="http://schemas.openxmlformats.org/officeDocument/2006/relationships/image" Target="media/image12.wmf"/><Relationship Id="rId42" Type="http://schemas.openxmlformats.org/officeDocument/2006/relationships/oleObject" Target="embeddings/oleObject11.bin"/><Relationship Id="rId41" Type="http://schemas.openxmlformats.org/officeDocument/2006/relationships/image" Target="media/image11.wmf"/><Relationship Id="rId40" Type="http://schemas.openxmlformats.org/officeDocument/2006/relationships/oleObject" Target="embeddings/oleObject10.bin"/><Relationship Id="rId4" Type="http://schemas.openxmlformats.org/officeDocument/2006/relationships/endnotes" Target="endnotes.xml"/><Relationship Id="rId39" Type="http://schemas.openxmlformats.org/officeDocument/2006/relationships/image" Target="media/image10.wmf"/><Relationship Id="rId38" Type="http://schemas.openxmlformats.org/officeDocument/2006/relationships/oleObject" Target="embeddings/oleObject9.bin"/><Relationship Id="rId37" Type="http://schemas.openxmlformats.org/officeDocument/2006/relationships/image" Target="media/image9.wmf"/><Relationship Id="rId36" Type="http://schemas.openxmlformats.org/officeDocument/2006/relationships/oleObject" Target="embeddings/oleObject8.bin"/><Relationship Id="rId35" Type="http://schemas.openxmlformats.org/officeDocument/2006/relationships/image" Target="media/image8.wmf"/><Relationship Id="rId34" Type="http://schemas.openxmlformats.org/officeDocument/2006/relationships/oleObject" Target="embeddings/oleObject7.bin"/><Relationship Id="rId33" Type="http://schemas.openxmlformats.org/officeDocument/2006/relationships/image" Target="media/image7.wmf"/><Relationship Id="rId32" Type="http://schemas.openxmlformats.org/officeDocument/2006/relationships/oleObject" Target="embeddings/oleObject6.bin"/><Relationship Id="rId31" Type="http://schemas.openxmlformats.org/officeDocument/2006/relationships/image" Target="media/image6.wmf"/><Relationship Id="rId30" Type="http://schemas.openxmlformats.org/officeDocument/2006/relationships/oleObject" Target="embeddings/oleObject5.bin"/><Relationship Id="rId3" Type="http://schemas.openxmlformats.org/officeDocument/2006/relationships/footnotes" Target="footnotes.xml"/><Relationship Id="rId29" Type="http://schemas.openxmlformats.org/officeDocument/2006/relationships/image" Target="media/image5.wmf"/><Relationship Id="rId28" Type="http://schemas.openxmlformats.org/officeDocument/2006/relationships/oleObject" Target="embeddings/oleObject4.bin"/><Relationship Id="rId27" Type="http://schemas.openxmlformats.org/officeDocument/2006/relationships/image" Target="media/image4.wmf"/><Relationship Id="rId26" Type="http://schemas.openxmlformats.org/officeDocument/2006/relationships/oleObject" Target="embeddings/oleObject3.bin"/><Relationship Id="rId25" Type="http://schemas.openxmlformats.org/officeDocument/2006/relationships/image" Target="media/image3.wmf"/><Relationship Id="rId24" Type="http://schemas.openxmlformats.org/officeDocument/2006/relationships/oleObject" Target="embeddings/oleObject2.bin"/><Relationship Id="rId23" Type="http://schemas.openxmlformats.org/officeDocument/2006/relationships/image" Target="media/image2.wmf"/><Relationship Id="rId22" Type="http://schemas.openxmlformats.org/officeDocument/2006/relationships/oleObject" Target="embeddings/oleObject1.bin"/><Relationship Id="rId21" Type="http://schemas.openxmlformats.org/officeDocument/2006/relationships/image" Target="media/image1.jpe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footer" Target="footer7.xml"/><Relationship Id="rId179" Type="http://schemas.openxmlformats.org/officeDocument/2006/relationships/glossaryDocument" Target="glossary/document.xml"/><Relationship Id="rId178" Type="http://schemas.openxmlformats.org/officeDocument/2006/relationships/fontTable" Target="fontTable.xml"/><Relationship Id="rId177" Type="http://schemas.openxmlformats.org/officeDocument/2006/relationships/customXml" Target="../customXml/item3.xml"/><Relationship Id="rId176" Type="http://schemas.openxmlformats.org/officeDocument/2006/relationships/customXml" Target="../customXml/item2.xml"/><Relationship Id="rId175" Type="http://schemas.openxmlformats.org/officeDocument/2006/relationships/numbering" Target="numbering.xml"/><Relationship Id="rId174" Type="http://schemas.openxmlformats.org/officeDocument/2006/relationships/customXml" Target="../customXml/item1.xml"/><Relationship Id="rId173" Type="http://schemas.openxmlformats.org/officeDocument/2006/relationships/image" Target="media/image77.png"/><Relationship Id="rId172" Type="http://schemas.openxmlformats.org/officeDocument/2006/relationships/oleObject" Target="embeddings/oleObject76.bin"/><Relationship Id="rId171" Type="http://schemas.openxmlformats.org/officeDocument/2006/relationships/image" Target="media/image76.wmf"/><Relationship Id="rId170" Type="http://schemas.openxmlformats.org/officeDocument/2006/relationships/oleObject" Target="embeddings/oleObject75.bin"/><Relationship Id="rId17" Type="http://schemas.openxmlformats.org/officeDocument/2006/relationships/header" Target="header7.xml"/><Relationship Id="rId169" Type="http://schemas.openxmlformats.org/officeDocument/2006/relationships/image" Target="media/image75.png"/><Relationship Id="rId168" Type="http://schemas.openxmlformats.org/officeDocument/2006/relationships/image" Target="media/image74.png"/><Relationship Id="rId167" Type="http://schemas.openxmlformats.org/officeDocument/2006/relationships/image" Target="media/image73.wmf"/><Relationship Id="rId166" Type="http://schemas.openxmlformats.org/officeDocument/2006/relationships/oleObject" Target="embeddings/oleObject74.bin"/><Relationship Id="rId165" Type="http://schemas.openxmlformats.org/officeDocument/2006/relationships/image" Target="media/image72.wmf"/><Relationship Id="rId164" Type="http://schemas.openxmlformats.org/officeDocument/2006/relationships/oleObject" Target="embeddings/oleObject73.bin"/><Relationship Id="rId163" Type="http://schemas.openxmlformats.org/officeDocument/2006/relationships/image" Target="media/image71.wmf"/><Relationship Id="rId162" Type="http://schemas.openxmlformats.org/officeDocument/2006/relationships/oleObject" Target="embeddings/oleObject72.bin"/><Relationship Id="rId161" Type="http://schemas.openxmlformats.org/officeDocument/2006/relationships/image" Target="media/image70.wmf"/><Relationship Id="rId160" Type="http://schemas.openxmlformats.org/officeDocument/2006/relationships/oleObject" Target="embeddings/oleObject71.bin"/><Relationship Id="rId16" Type="http://schemas.openxmlformats.org/officeDocument/2006/relationships/header" Target="header6.xml"/><Relationship Id="rId159" Type="http://schemas.openxmlformats.org/officeDocument/2006/relationships/image" Target="media/image69.wmf"/><Relationship Id="rId158" Type="http://schemas.openxmlformats.org/officeDocument/2006/relationships/oleObject" Target="embeddings/oleObject70.bin"/><Relationship Id="rId157" Type="http://schemas.openxmlformats.org/officeDocument/2006/relationships/image" Target="media/image68.wmf"/><Relationship Id="rId156" Type="http://schemas.openxmlformats.org/officeDocument/2006/relationships/oleObject" Target="embeddings/oleObject69.bin"/><Relationship Id="rId155" Type="http://schemas.openxmlformats.org/officeDocument/2006/relationships/image" Target="media/image67.wmf"/><Relationship Id="rId154" Type="http://schemas.openxmlformats.org/officeDocument/2006/relationships/oleObject" Target="embeddings/oleObject68.bin"/><Relationship Id="rId153" Type="http://schemas.openxmlformats.org/officeDocument/2006/relationships/image" Target="media/image66.wmf"/><Relationship Id="rId152" Type="http://schemas.openxmlformats.org/officeDocument/2006/relationships/oleObject" Target="embeddings/oleObject67.bin"/><Relationship Id="rId151" Type="http://schemas.openxmlformats.org/officeDocument/2006/relationships/image" Target="media/image65.wmf"/><Relationship Id="rId150" Type="http://schemas.openxmlformats.org/officeDocument/2006/relationships/oleObject" Target="embeddings/oleObject66.bin"/><Relationship Id="rId15" Type="http://schemas.openxmlformats.org/officeDocument/2006/relationships/footer" Target="footer6.xml"/><Relationship Id="rId149" Type="http://schemas.openxmlformats.org/officeDocument/2006/relationships/image" Target="media/image64.wmf"/><Relationship Id="rId148" Type="http://schemas.openxmlformats.org/officeDocument/2006/relationships/oleObject" Target="embeddings/oleObject65.bin"/><Relationship Id="rId147" Type="http://schemas.openxmlformats.org/officeDocument/2006/relationships/image" Target="media/image63.wmf"/><Relationship Id="rId146" Type="http://schemas.openxmlformats.org/officeDocument/2006/relationships/oleObject" Target="embeddings/oleObject64.bin"/><Relationship Id="rId145" Type="http://schemas.openxmlformats.org/officeDocument/2006/relationships/image" Target="media/image62.wmf"/><Relationship Id="rId144" Type="http://schemas.openxmlformats.org/officeDocument/2006/relationships/oleObject" Target="embeddings/oleObject63.bin"/><Relationship Id="rId143" Type="http://schemas.openxmlformats.org/officeDocument/2006/relationships/image" Target="media/image61.wmf"/><Relationship Id="rId142" Type="http://schemas.openxmlformats.org/officeDocument/2006/relationships/oleObject" Target="embeddings/oleObject62.bin"/><Relationship Id="rId141" Type="http://schemas.openxmlformats.org/officeDocument/2006/relationships/image" Target="media/image60.wmf"/><Relationship Id="rId140" Type="http://schemas.openxmlformats.org/officeDocument/2006/relationships/oleObject" Target="embeddings/oleObject61.bin"/><Relationship Id="rId14" Type="http://schemas.openxmlformats.org/officeDocument/2006/relationships/footer" Target="footer5.xml"/><Relationship Id="rId139" Type="http://schemas.openxmlformats.org/officeDocument/2006/relationships/image" Target="media/image59.wmf"/><Relationship Id="rId138" Type="http://schemas.openxmlformats.org/officeDocument/2006/relationships/oleObject" Target="embeddings/oleObject60.bin"/><Relationship Id="rId137" Type="http://schemas.openxmlformats.org/officeDocument/2006/relationships/image" Target="media/image58.wmf"/><Relationship Id="rId136" Type="http://schemas.openxmlformats.org/officeDocument/2006/relationships/oleObject" Target="embeddings/oleObject59.bin"/><Relationship Id="rId135" Type="http://schemas.openxmlformats.org/officeDocument/2006/relationships/oleObject" Target="embeddings/oleObject58.bin"/><Relationship Id="rId134" Type="http://schemas.openxmlformats.org/officeDocument/2006/relationships/image" Target="media/image57.wmf"/><Relationship Id="rId133" Type="http://schemas.openxmlformats.org/officeDocument/2006/relationships/oleObject" Target="embeddings/oleObject57.bin"/><Relationship Id="rId132" Type="http://schemas.openxmlformats.org/officeDocument/2006/relationships/image" Target="media/image56.wmf"/><Relationship Id="rId131" Type="http://schemas.openxmlformats.org/officeDocument/2006/relationships/oleObject" Target="embeddings/oleObject56.bin"/><Relationship Id="rId130" Type="http://schemas.openxmlformats.org/officeDocument/2006/relationships/image" Target="media/image55.wmf"/><Relationship Id="rId13" Type="http://schemas.openxmlformats.org/officeDocument/2006/relationships/footer" Target="footer4.xml"/><Relationship Id="rId129" Type="http://schemas.openxmlformats.org/officeDocument/2006/relationships/oleObject" Target="embeddings/oleObject55.bin"/><Relationship Id="rId128" Type="http://schemas.openxmlformats.org/officeDocument/2006/relationships/image" Target="media/image54.wmf"/><Relationship Id="rId127" Type="http://schemas.openxmlformats.org/officeDocument/2006/relationships/oleObject" Target="embeddings/oleObject54.bin"/><Relationship Id="rId126" Type="http://schemas.openxmlformats.org/officeDocument/2006/relationships/oleObject" Target="embeddings/oleObject53.bin"/><Relationship Id="rId125" Type="http://schemas.openxmlformats.org/officeDocument/2006/relationships/image" Target="media/image53.wmf"/><Relationship Id="rId124" Type="http://schemas.openxmlformats.org/officeDocument/2006/relationships/oleObject" Target="embeddings/oleObject52.bin"/><Relationship Id="rId123" Type="http://schemas.openxmlformats.org/officeDocument/2006/relationships/image" Target="media/image52.wmf"/><Relationship Id="rId122" Type="http://schemas.openxmlformats.org/officeDocument/2006/relationships/oleObject" Target="embeddings/oleObject51.bin"/><Relationship Id="rId121" Type="http://schemas.openxmlformats.org/officeDocument/2006/relationships/image" Target="media/image51.wmf"/><Relationship Id="rId120" Type="http://schemas.openxmlformats.org/officeDocument/2006/relationships/oleObject" Target="embeddings/oleObject50.bin"/><Relationship Id="rId12" Type="http://schemas.openxmlformats.org/officeDocument/2006/relationships/footer" Target="footer3.xml"/><Relationship Id="rId119" Type="http://schemas.openxmlformats.org/officeDocument/2006/relationships/image" Target="media/image50.wmf"/><Relationship Id="rId118" Type="http://schemas.openxmlformats.org/officeDocument/2006/relationships/oleObject" Target="embeddings/oleObject49.bin"/><Relationship Id="rId117" Type="http://schemas.openxmlformats.org/officeDocument/2006/relationships/image" Target="media/image49.wmf"/><Relationship Id="rId116" Type="http://schemas.openxmlformats.org/officeDocument/2006/relationships/oleObject" Target="embeddings/oleObject48.bin"/><Relationship Id="rId115" Type="http://schemas.openxmlformats.org/officeDocument/2006/relationships/image" Target="media/image48.wmf"/><Relationship Id="rId114" Type="http://schemas.openxmlformats.org/officeDocument/2006/relationships/oleObject" Target="embeddings/oleObject47.bin"/><Relationship Id="rId113" Type="http://schemas.openxmlformats.org/officeDocument/2006/relationships/image" Target="media/image47.wmf"/><Relationship Id="rId112" Type="http://schemas.openxmlformats.org/officeDocument/2006/relationships/oleObject" Target="embeddings/oleObject46.bin"/><Relationship Id="rId111" Type="http://schemas.openxmlformats.org/officeDocument/2006/relationships/image" Target="media/image46.wmf"/><Relationship Id="rId110" Type="http://schemas.openxmlformats.org/officeDocument/2006/relationships/oleObject" Target="embeddings/oleObject45.bin"/><Relationship Id="rId11" Type="http://schemas.openxmlformats.org/officeDocument/2006/relationships/header" Target="header5.xml"/><Relationship Id="rId109" Type="http://schemas.openxmlformats.org/officeDocument/2006/relationships/image" Target="media/image45.wmf"/><Relationship Id="rId108" Type="http://schemas.openxmlformats.org/officeDocument/2006/relationships/oleObject" Target="embeddings/oleObject44.bin"/><Relationship Id="rId107" Type="http://schemas.openxmlformats.org/officeDocument/2006/relationships/image" Target="media/image44.wmf"/><Relationship Id="rId106" Type="http://schemas.openxmlformats.org/officeDocument/2006/relationships/oleObject" Target="embeddings/oleObject43.bin"/><Relationship Id="rId105" Type="http://schemas.openxmlformats.org/officeDocument/2006/relationships/image" Target="media/image43.wmf"/><Relationship Id="rId104" Type="http://schemas.openxmlformats.org/officeDocument/2006/relationships/oleObject" Target="embeddings/oleObject42.bin"/><Relationship Id="rId103" Type="http://schemas.openxmlformats.org/officeDocument/2006/relationships/image" Target="media/image42.wmf"/><Relationship Id="rId102" Type="http://schemas.openxmlformats.org/officeDocument/2006/relationships/oleObject" Target="embeddings/oleObject41.bin"/><Relationship Id="rId101" Type="http://schemas.openxmlformats.org/officeDocument/2006/relationships/image" Target="media/image41.wmf"/><Relationship Id="rId100" Type="http://schemas.openxmlformats.org/officeDocument/2006/relationships/oleObject" Target="embeddings/oleObject40.bin"/><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B3BEDB4F2724F9D81F4444A5CCE266D"/>
        <w:style w:val=""/>
        <w:category>
          <w:name w:val="常规"/>
          <w:gallery w:val="placeholder"/>
        </w:category>
        <w:types>
          <w:type w:val="bbPlcHdr"/>
        </w:types>
        <w:behaviors>
          <w:behavior w:val="content"/>
        </w:behaviors>
        <w:description w:val=""/>
        <w:guid w:val="{9A791DFB-56F6-4B85-997E-8EF3CEE1C2DA}"/>
      </w:docPartPr>
      <w:docPartBody>
        <w:p w14:paraId="40DED2C1">
          <w:pPr>
            <w:pStyle w:val="5"/>
          </w:pPr>
          <w:r>
            <w:rPr>
              <w:rStyle w:val="4"/>
              <w:rFonts w:hint="eastAsia"/>
            </w:rPr>
            <w:t>单击或点击此处输入文字。</w:t>
          </w:r>
        </w:p>
      </w:docPartBody>
    </w:docPart>
    <w:docPart>
      <w:docPartPr>
        <w:name w:val="78956B8278AF41489B4C226600D2E8C4"/>
        <w:style w:val=""/>
        <w:category>
          <w:name w:val="常规"/>
          <w:gallery w:val="placeholder"/>
        </w:category>
        <w:types>
          <w:type w:val="bbPlcHdr"/>
        </w:types>
        <w:behaviors>
          <w:behavior w:val="content"/>
        </w:behaviors>
        <w:description w:val=""/>
        <w:guid w:val="{35D7B9DB-82B3-43EC-9478-2F4253E62990}"/>
      </w:docPartPr>
      <w:docPartBody>
        <w:p w14:paraId="3862A533">
          <w:pPr>
            <w:pStyle w:val="6"/>
          </w:pPr>
          <w:r>
            <w:rPr>
              <w:rStyle w:val="4"/>
              <w:rFonts w:hint="eastAsia"/>
            </w:rPr>
            <w:t>选择一项。</w:t>
          </w:r>
        </w:p>
      </w:docPartBody>
    </w:docPart>
    <w:docPart>
      <w:docPartPr>
        <w:name w:val="{338fecf5-aa80-477e-915f-3a7ef21f5b88}"/>
        <w:style w:val=""/>
        <w:category>
          <w:name w:val="常规"/>
          <w:gallery w:val="placeholder"/>
        </w:category>
        <w:types>
          <w:type w:val="bbPlcHdr"/>
        </w:types>
        <w:behaviors>
          <w:behavior w:val="content"/>
        </w:behaviors>
        <w:description w:val=""/>
        <w:guid w:val="{338fecf5-aa80-477e-915f-3a7ef21f5b88}"/>
      </w:docPartPr>
      <w:docPartBody>
        <w:p w14:paraId="2531A015">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0EA"/>
    <w:rsid w:val="005D70EA"/>
    <w:rsid w:val="006E2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B3BEDB4F2724F9D81F4444A5CCE266D"/>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78956B8278AF41489B4C226600D2E8C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DD487E154D8B46B1811108614A11313A"/>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2235940a-d1a1-44c9-af94-ba12cafe3aa3</errorID>
      <errorWord>  </errorWord>
      <group>L1_Format</group>
      <groupName>格式问题</groupName>
      <ability>L2_Whitespace</ability>
      <abilityName>空白字符</abilityName>
      <candidateList>
        <item/>
      </candidateList>
      <explain>文本间存在多余的空白字符。</explain>
      <paraID>693C25DC</paraID>
      <start>3</start>
      <end>5</end>
      <status>unmodified</status>
      <modifiedWord/>
      <trackRevisions>false</trackRevisions>
    </reviewItem>
    <reviewItem>
      <errorID>ac19db75-0cfb-4c73-8bf9-c208894882bb</errorID>
      <errorWord>  </errorWord>
      <group>L1_Format</group>
      <groupName>格式问题</groupName>
      <ability>L2_Whitespace</ability>
      <abilityName>空白字符</abilityName>
      <candidateList>
        <item/>
      </candidateList>
      <explain>文本间存在多余的空白字符。</explain>
      <paraID>635512AD</paraID>
      <start>3</start>
      <end>5</end>
      <status>unmodified</status>
      <modifiedWord/>
      <trackRevisions>false</trackRevisions>
    </reviewItem>
    <reviewItem>
      <errorID>8a36273b-6d2c-470f-a47c-cc4d28fe8d9c</errorID>
      <errorWord>  </errorWord>
      <group>L1_Format</group>
      <groupName>格式问题</groupName>
      <ability>L2_Whitespace</ability>
      <abilityName>空白字符</abilityName>
      <candidateList>
        <item/>
      </candidateList>
      <explain>文本间存在多余的空白字符。</explain>
      <paraID>114911B7</paraID>
      <start>26</start>
      <end>28</end>
      <status>unmodified</status>
      <modifiedWord/>
      <trackRevisions>false</trackRevisions>
    </reviewItem>
    <reviewItem>
      <errorID/>
      <errorWord>架空输电线路抗台风设计技术规程
</errorWord>
      <group>L1_Other</group>
      <groupName>其他问题</groupName>
      <ability>L2_RepeatSentence</ability>
      <abilityName>重句检查</abilityName>
      <candidateList>
        <item/>
      </candidateList>
      <explain>重句检查</explain>
      <paraID> 83CBE42</paraID>
      <start>0</start>
      <end>18</end>
      <status>unmodified</status>
      <modifiedWord/>
      <trackRevisions>false</trackRevisions>
    </reviewItem>
    <reviewItem>
      <errorID>ecbfc2a7-0aac-4cf1-95ec-1379dfc5aa96</errorID>
      <errorWord> </errorWord>
      <group>L1_Format</group>
      <groupName>格式问题</groupName>
      <ability>L2_Whitespace</ability>
      <abilityName>空白字符</abilityName>
      <candidateList>
        <item/>
      </candidateList>
      <explain>文本间存在多余的空白字符。</explain>
      <paraID>481EDEEB</paraID>
      <start>7</start>
      <end>8</end>
      <status>unmodified</status>
      <modifiedWord/>
      <trackRevisions>false</trackRevisions>
    </reviewItem>
    <reviewItem>
      <errorID>021f40bc-3860-42f8-bb4d-ea4fe738271b</errorID>
      <errorWord> </errorWord>
      <group>L1_Format</group>
      <groupName>格式问题</groupName>
      <ability>L2_Whitespace</ability>
      <abilityName>空白字符</abilityName>
      <candidateList>
        <item/>
      </candidateList>
      <explain>文本间存在多余的空白字符。</explain>
      <paraID>1660AB54</paraID>
      <start>4</start>
      <end>5</end>
      <status>unmodified</status>
      <modifiedWord/>
      <trackRevisions>false</trackRevisions>
    </reviewItem>
    <reviewItem>
      <errorID>370b23aa-6125-4ea9-9103-be3bd29eae7e</errorID>
      <errorWord>。]</errorWord>
      <group>L1_Punc</group>
      <groupName>标点问题</groupName>
      <ability>L2_Punc</ability>
      <abilityName>标点符号检查</abilityName>
      <candidateList>
        <item>]</item>
      </candidateList>
      <explain/>
      <paraID> 2D60181</paraID>
      <start>38</start>
      <end>40</end>
      <status>unmodified</status>
      <modifiedWord/>
      <trackRevisions>false</trackRevisions>
    </reviewItem>
    <reviewItem>
      <errorID>1c4908f8-b7ea-4646-8e63-6b1fe2f58d22</errorID>
      <errorWord>。]</errorWord>
      <group>L1_Punc</group>
      <groupName>标点问题</groupName>
      <ability>L2_Punc</ability>
      <abilityName>标点符号检查</abilityName>
      <candidateList>
        <item>]</item>
      </candidateList>
      <explain/>
      <paraID>1DC1DB71</paraID>
      <start>19</start>
      <end>21</end>
      <status>unmodified</status>
      <modifiedWord/>
      <trackRevisions>false</trackRevisions>
    </reviewItem>
    <reviewItem>
      <errorID>07b3a5ff-e8b8-4229-af93-4c5d2bd69bdc</errorID>
      <errorWord>。]</errorWord>
      <group>L1_Punc</group>
      <groupName>标点问题</groupName>
      <ability>L2_Punc</ability>
      <abilityName>标点符号检查</abilityName>
      <candidateList>
        <item>]</item>
      </candidateList>
      <explain/>
      <paraID>56BDF240</paraID>
      <start>23</start>
      <end>25</end>
      <status>unmodified</status>
      <modifiedWord/>
      <trackRevisions>false</trackRevisions>
    </reviewItem>
    <reviewItem>
      <errorID>f7bbd709-37f2-4310-808e-533f81ddaf93</errorID>
      <errorWord>体型</errorWord>
      <group>L1_Word</group>
      <groupName>字词问题</groupName>
      <ability>L2_Typo</ability>
      <abilityName>字词错误</abilityName>
      <candidateList>
        <item>体形</item>
      </candidateList>
      <explain/>
      <paraID>2DB35407</paraID>
      <start>32</start>
      <end>34</end>
      <status>unmodified</status>
      <modifiedWord/>
      <trackRevisions>false</trackRevisions>
    </reviewItem>
    <reviewItem>
      <errorID>a1012358-5c49-4695-9ccf-98dc1f8dcb3b</errorID>
      <errorWord> </errorWord>
      <group>L1_Format</group>
      <groupName>格式问题</groupName>
      <ability>L2_Whitespace</ability>
      <abilityName>空白字符</abilityName>
      <candidateList>
        <item/>
      </candidateList>
      <explain>文本间存在多余的空白字符。</explain>
      <paraID>1C9C1E44</paraID>
      <start>78</start>
      <end>79</end>
      <status>unmodified</status>
      <modifiedWord/>
      <trackRevisions>false</trackRevisions>
    </reviewItem>
    <reviewItem>
      <errorID>53785226-1cb6-4e93-b9d9-b076389caa64</errorID>
      <errorWord> </errorWord>
      <group>L1_Format</group>
      <groupName>格式问题</groupName>
      <ability>L2_Whitespace</ability>
      <abilityName>空白字符</abilityName>
      <candidateList>
        <item/>
      </candidateList>
      <explain>文本间存在多余的空白字符。</explain>
      <paraID>3E159DF2</paraID>
      <start>0</start>
      <end>0</end>
      <status>modified</status>
      <modifiedWord/>
      <trackRevisions>false</trackRevisions>
    </reviewItem>
    <reviewItem>
      <errorID>6f327648-5959-4a19-b6aa-e6fb36e1e931</errorID>
      <errorWord>c)</errorWord>
      <group>L1_Format</group>
      <groupName>格式问题</groupName>
      <ability>L2_Ordinal</ability>
      <abilityName>序号格式</abilityName>
      <candidateList>
        <item>c）</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43B35364</paraID>
      <start>0</start>
      <end>2</end>
      <status>unmodified</status>
      <modifiedWord/>
      <trackRevisions>false</trackRevisions>
    </reviewItem>
    <reviewItem>
      <errorID>4c2b9dd2-ee69-406a-87aa-b3411edc01fe</errorID>
      <errorWord> </errorWord>
      <group>L1_Format</group>
      <groupName>格式问题</groupName>
      <ability>L2_Whitespace</ability>
      <abilityName>空白字符</abilityName>
      <candidateList>
        <item/>
      </candidateList>
      <explain>文本间存在多余的空白字符。</explain>
      <paraID>43B35364</paraID>
      <start>2</start>
      <end>3</end>
      <status>unmodified</status>
      <modifiedWord/>
      <trackRevisions>false</trackRevisions>
    </reviewItem>
    <reviewItem>
      <errorID>8453d9c4-e458-4bec-b281-f546995dda7d</errorID>
      <errorWord>海拔高度</errorWord>
      <group>L1_Word</group>
      <groupName>字词问题</groupName>
      <ability>L2_Typo</ability>
      <abilityName>字词错误</abilityName>
      <candidateList>
        <item>海拔</item>
      </candidateList>
      <explain>〈名〉从平均海平面起算的高度。</explain>
      <paraID>43B35364</paraID>
      <start>14</start>
      <end>18</end>
      <status>unmodified</status>
      <modifiedWord/>
      <trackRevisions>false</trackRevisions>
    </reviewItem>
    <reviewItem>
      <errorID>9a179c6e-1639-4f51-b1f1-dfff8eabf4b8</errorID>
      <errorWord>d)</errorWord>
      <group>L1_Format</group>
      <groupName>格式问题</groupName>
      <ability>L2_Ordinal</ability>
      <abilityName>序号格式</abilityName>
      <candidateList>
        <item>d）</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1C8ABC3A</paraID>
      <start>0</start>
      <end>2</end>
      <status>unmodified</status>
      <modifiedWord/>
      <trackRevisions>false</trackRevisions>
    </reviewItem>
    <reviewItem>
      <errorID>38987db1-8cb8-4a41-81e1-88dc0f3ca963</errorID>
      <errorWord> </errorWord>
      <group>L1_Format</group>
      <groupName>格式问题</groupName>
      <ability>L2_Whitespace</ability>
      <abilityName>空白字符</abilityName>
      <candidateList>
        <item/>
      </candidateList>
      <explain>文本间存在多余的空白字符。</explain>
      <paraID>1C8ABC3A</paraID>
      <start>2</start>
      <end>3</end>
      <status>unmodified</status>
      <modifiedWord/>
      <trackRevisions>false</trackRevisions>
    </reviewItem>
    <reviewItem>
      <errorID>6ea2fc2a-b7d6-47a0-a06b-da5c2fa7e898</errorID>
      <errorWord>~</errorWord>
      <group>L1_Format</group>
      <groupName>格式问题</groupName>
      <ability>L2_HalfPunc</ability>
      <abilityName>全半角检查</abilityName>
      <candidateList>
        <item>～</item>
      </candidateList>
      <explain>文本全半角错误。</explain>
      <paraID>6A713BE9</paraID>
      <start>69</start>
      <end>70</end>
      <status>unmodified</status>
      <modifiedWord/>
      <trackRevisions>false</trackRevisions>
    </reviewItem>
    <reviewItem>
      <errorID>3aaf6aeb-99b7-4072-9f81-a583b9dc441a</errorID>
      <errorWord>其它</errorWord>
      <group>L1_Word</group>
      <groupName>字词问题</groupName>
      <ability>L2_Alias</ability>
      <abilityName>也作/曾用词</abilityName>
      <candidateList>
        <item>其他</item>
      </candidateList>
      <explain>词汇[其它]为不规范表述或旧称，其规范书面表述为[其他]。</explain>
      <paraID>6418C33F</paraID>
      <start>44</start>
      <end>46</end>
      <status>unmodified</status>
      <modifiedWord/>
      <trackRevisions>false</trackRevisions>
    </reviewItem>
    <reviewItem>
      <errorID/>
      <errorWord>耐张塔风荷载计算示意如图1所示；</errorWord>
      <group>L1_Other</group>
      <groupName>其他问题</groupName>
      <ability>L2_RepeatSentence</ability>
      <abilityName>重句检查</abilityName>
      <candidateList>
        <item/>
      </candidateList>
      <explain>重句检查</explain>
      <paraID>18253AFF</paraID>
      <start>46</start>
      <end>62</end>
      <status>unmodified</status>
      <modifiedWord/>
      <trackRevisions>false</trackRevisions>
    </reviewItem>
    <reviewItem>
      <errorID/>
      <errorWord>耐张塔风荷载计算示意如图1所示；</errorWord>
      <group>L1_Other</group>
      <groupName>其他问题</groupName>
      <ability>L2_RepeatSentence</ability>
      <abilityName>重句检查</abilityName>
      <candidateList>
        <item/>
      </candidateList>
      <explain>重句检查</explain>
      <paraID>273F6589</paraID>
      <start>58</start>
      <end>74</end>
      <status>unmodified</status>
      <modifiedWord/>
      <trackRevisions>false</trackRevisions>
    </reviewItem>
    <reviewItem>
      <errorID/>
      <errorWord>—— 高度风压高度变化系数（用于导地线张力荷载计算），</errorWord>
      <group>L1_Other</group>
      <groupName>其他问题</groupName>
      <ability>L2_RepeatSentence</ability>
      <abilityName>重句检查</abilityName>
      <candidateList>
        <item/>
      </candidateList>
      <explain>重句检查</explain>
      <paraID>2DAFC45A</paraID>
      <start>25</start>
      <end>78</end>
      <status>unmodified</status>
      <modifiedWord/>
      <trackRevisions>false</trackRevisions>
    </reviewItem>
    <reviewItem>
      <errorID/>
      <errorWord>——导地线风荷载脉动折减系数，</errorWord>
      <group>L1_Other</group>
      <groupName>其他问题</groupName>
      <ability>L2_RepeatSentence</ability>
      <abilityName>重句检查</abilityName>
      <candidateList>
        <item/>
      </candidateList>
      <explain>重句检查</explain>
      <paraID>5DD7B9D9</paraID>
      <start>25</start>
      <end>41</end>
      <status>unmodified</status>
      <modifiedWord/>
      <trackRevisions>false</trackRevisions>
    </reviewItem>
    <reviewItem>
      <errorID>dbcb544c-d468-44ef-b713-d2d1c8b1ed9c</errorID>
      <errorWord>其它层</errorWord>
      <group>L1_Word</group>
      <groupName>字词问题</groupName>
      <ability>L2_Alias</ability>
      <abilityName>也作/曾用词</abilityName>
      <candidateList>
        <item>其他层</item>
      </candidateList>
      <explain>词汇[其它层]为不规范表述或旧称，其规范书面表述为[其他层]。</explain>
      <paraID>3F4DC03F</paraID>
      <start>96</start>
      <end>99</end>
      <status>unmodified</status>
      <modifiedWord/>
      <trackRevisions>false</trackRevisions>
    </reviewItem>
    <reviewItem>
      <errorID/>
      <errorWord>——绝缘子串长度，</errorWord>
      <group>L1_Other</group>
      <groupName>其他问题</groupName>
      <ability>L2_RepeatSentence</ability>
      <abilityName>重句检查</abilityName>
      <candidateList>
        <item/>
      </candidateList>
      <explain>重句检查</explain>
      <paraID>281B6A11</paraID>
      <start>25</start>
      <end>35</end>
      <status>unmodified</status>
      <modifiedWord/>
      <trackRevisions>false</trackRevisions>
    </reviewItem>
    <reviewItem>
      <errorID/>
      <errorWord>导地线风荷载脉动折减系数 
</errorWord>
      <group>L1_Other</group>
      <groupName>其他问题</groupName>
      <ability>L2_RepeatSentence</ability>
      <abilityName>重句检查</abilityName>
      <candidateList>
        <item/>
      </candidateList>
      <explain>重句检查</explain>
      <paraID>6A4C1206</paraID>
      <start>0</start>
      <end>38</end>
      <status>unmodified</status>
      <modifiedWord/>
      <trackRevisions>false</trackRevisions>
    </reviewItem>
    <reviewItem>
      <errorID/>
      <errorWord>特高压交直流输电线路
</errorWord>
      <group>L1_Other</group>
      <groupName>其他问题</groupName>
      <ability>L2_RepeatSentence</ability>
      <abilityName>重句检查</abilityName>
      <candidateList>
        <item/>
      </candidateList>
      <explain>重句检查</explain>
      <paraID>7487CF9E</paraID>
      <start>0</start>
      <end>11</end>
      <status>unmodified</status>
      <modifiedWord/>
      <trackRevisions>false</trackRevisions>
    </reviewItem>
    <reviewItem>
      <errorID>858a2c7a-d697-4368-8b5d-1fd37ebfab93</errorID>
      <errorWord>＞</errorWord>
      <group>L1_Format</group>
      <groupName>格式问题</groupName>
      <ability>L2_HalfPunc</ability>
      <abilityName>全半角检查</abilityName>
      <candidateList>
        <item>&gt;</item>
      </candidateList>
      <explain>文本全半角错误。</explain>
      <paraID>6EEF6870</paraID>
      <start>0</start>
      <end>1</end>
      <status>unmodified</status>
      <modifiedWord/>
      <trackRevisions>false</trackRevisions>
    </reviewItem>
    <reviewItem>
      <errorID>a1b41b59-6082-4994-9326-27d3af1a88c5</errorID>
      <errorWord>为前档</errorWord>
      <group>L1_Word</group>
      <groupName>字词问题</groupName>
      <ability>L2_Typo</ability>
      <abilityName>字词错误</abilityName>
      <candidateList>
        <item>为前挡</item>
      </candidateList>
      <explain/>
      <paraID>4FAE75C4</paraID>
      <start>62</start>
      <end>65</end>
      <status>unmodified</status>
      <modifiedWord/>
      <trackRevisions>false</trackRevisions>
    </reviewItem>
    <reviewItem>
      <errorID>670ef1cb-09e6-49bc-bbf6-9703bf7893ca</errorID>
      <errorWord>,</errorWord>
      <group>L1_Format</group>
      <groupName>格式问题</groupName>
      <ability>L2_HalfPunc</ability>
      <abilityName>全半角检查</abilityName>
      <candidateList>
        <item>，</item>
      </candidateList>
      <explain>文本全半角错误。</explain>
      <paraID>2DC5FDB4</paraID>
      <start>13</start>
      <end>14</end>
      <status>unmodified</status>
      <modifiedWord/>
      <trackRevisions>false</trackRevisions>
    </reviewItem>
    <reviewItem>
      <errorID>8a2bc39b-06cf-4d8f-acdc-a5274ffcddcf</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5FCB2EA7</paraID>
      <start>17</start>
      <end>18</end>
      <status>unmodified</status>
      <modifiedWord/>
      <trackRevisions>false</trackRevisions>
    </reviewItem>
    <reviewItem>
      <errorID>2f9f138a-da78-406c-a212-21569bd13266</errorID>
      <errorWord>“U”型</errorWord>
      <group>L1_Word</group>
      <groupName>字词问题</groupName>
      <ability>L2_Typo</ability>
      <abilityName>字词错误</abilityName>
      <candidateList>
        <item>“U”形</item>
      </candidateList>
      <explain/>
      <paraID>5FCB2EA7</paraID>
      <start>21</start>
      <end>25</end>
      <status>unmodified</status>
      <modifiedWord/>
      <trackRevisions>false</trackRevisions>
    </reviewItem>
    <reviewItem>
      <errorID>ba9b0574-176e-4a46-826d-b51300bc0765</errorID>
      <errorWord>横隔面</errorWord>
      <group>L1_Word</group>
      <groupName>字词问题</groupName>
      <ability>L2_Typo</ability>
      <abilityName>字词错误</abilityName>
      <candidateList>
        <item>横截面</item>
      </candidateList>
      <explain/>
      <paraID>  F423D3</paraID>
      <start>15</start>
      <end>18</end>
      <status>unmodified</status>
      <modifiedWord/>
      <trackRevisions>false</trackRevisions>
    </reviewItem>
    <reviewItem>
      <errorID>c6720498-d442-4c5f-a85e-9c3f6c2eb313</errorID>
      <errorWord>a)</errorWord>
      <group>L1_Format</group>
      <groupName>格式问题</groupName>
      <ability>L2_Ordinal</ability>
      <abilityName>序号格式</abilityName>
      <candidateList>
        <item>a）</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E123E7E</paraID>
      <start>0</start>
      <end>2</end>
      <status>unmodified</status>
      <modifiedWord/>
      <trackRevisions>false</trackRevisions>
    </reviewItem>
    <reviewItem>
      <errorID>d42a02aa-8560-4868-95df-eef312b9a566</errorID>
      <errorWord>b)</errorWord>
      <group>L1_Format</group>
      <groupName>格式问题</groupName>
      <ability>L2_Ordinal</ability>
      <abilityName>序号格式</abilityName>
      <candidateList>
        <item>b）</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57ADA91F</paraID>
      <start>0</start>
      <end>2</end>
      <status>unmodified</status>
      <modifiedWord/>
      <trackRevisions>false</trackRevisions>
    </reviewItem>
    <reviewItem>
      <errorID>a55585e6-38c7-4131-9ec6-68311c057122</errorID>
      <errorWord>时</errorWord>
      <group>L1_Word</group>
      <groupName>字词问题</groupName>
      <ability>L2_Typo</ability>
      <abilityName>字词错误</abilityName>
      <candidateList>
        <item>的</item>
      </candidateList>
      <explain>存在字形相近字词的误用。</explain>
      <paraID>4F7FD90A</paraID>
      <start>49</start>
      <end>50</end>
      <status>unmodified</status>
      <modifiedWord/>
      <trackRevisions>false</trackRevisions>
    </reviewItem>
    <reviewItem>
      <errorID>9f630315-81b2-4dc6-b8cd-76096753b353</errorID>
      <errorWord> </errorWord>
      <group>L1_Format</group>
      <groupName>格式问题</groupName>
      <ability>L2_Whitespace</ability>
      <abilityName>空白字符</abilityName>
      <candidateList>
        <item/>
      </candidateList>
      <explain>文本间存在多余的空白字符。</explain>
      <paraID>27F48077</paraID>
      <start>3</start>
      <end>4</end>
      <status>unmodified</status>
      <modifiedWord/>
      <trackRevisions>false</trackRevisions>
    </reviewItem>
    <reviewItem>
      <errorID>996cccc8-3abe-42c6-b419-f6e9b9e314e3</errorID>
      <errorWord> </errorWord>
      <group>L1_Format</group>
      <groupName>格式问题</groupName>
      <ability>L2_Whitespace</ability>
      <abilityName>空白字符</abilityName>
      <candidateList>
        <item/>
      </candidateList>
      <explain>文本间存在多余的空白字符。</explain>
      <paraID>5E74D3DA</paraID>
      <start>11</start>
      <end>12</end>
      <status>unmodified</status>
      <modifiedWord/>
      <trackRevisions>false</trackRevisions>
    </reviewItem>
    <reviewItem>
      <errorID>098ea412-84f2-4f6c-b19f-e82d1dd63d88</errorID>
      <errorWord> </errorWord>
      <group>L1_Format</group>
      <groupName>格式问题</groupName>
      <ability>L2_Whitespace</ability>
      <abilityName>空白字符</abilityName>
      <candidateList>
        <item/>
      </candidateList>
      <explain>文本间存在多余的空白字符。</explain>
      <paraID>3ACDA31B</paraID>
      <start>4</start>
      <end>5</end>
      <status>unmodified</status>
      <modifiedWord/>
      <trackRevisions>false</trackRevisions>
    </reviewItem>
    <reviewItem>
      <errorID>c9033347-fe35-4746-baf6-76e283fde94e</errorID>
      <errorWord>防振</errorWord>
      <group>L1_Word</group>
      <groupName>字词问题</groupName>
      <ability>L2_Typo</ability>
      <abilityName>字词错误</abilityName>
      <candidateList>
        <item>防震</item>
      </candidateList>
      <explain>〈动〉❶采取一定的措施或安装某种装置，使建筑物、机器、仪表等减少震动或免受震动：～手表。❷防备地震：～棚。</explain>
      <paraID>7E58840E</paraID>
      <start>12</start>
      <end>14</end>
      <status>unmodified</status>
      <modifiedWord/>
      <trackRevisions>false</trackRevisions>
    </reviewItem>
    <reviewItem>
      <errorID/>
      <errorWord>台风前准备
</errorWord>
      <group>L1_Other</group>
      <groupName>其他问题</groupName>
      <ability>L2_RepeatSentence</ability>
      <abilityName>重句检查</abilityName>
      <candidateList>
        <item/>
      </candidateList>
      <explain>重句检查</explain>
      <paraID>4C605B88</paraID>
      <start>0</start>
      <end>6</end>
      <status>unmodified</status>
      <modifiedWord/>
      <trackRevisions>false</trackRevisions>
    </reviewItem>
    <reviewItem>
      <errorID/>
      <errorWord>台风前准备
</errorWord>
      <group>L1_Other</group>
      <groupName>其他问题</groupName>
      <ability>L2_RepeatSentence</ability>
      <abilityName>重句检查</abilityName>
      <candidateList>
        <item/>
      </candidateList>
      <explain>重句检查</explain>
      <paraID>643E54C7</paraID>
      <start>0</start>
      <end>6</end>
      <status>unmodified</status>
      <modifiedWord/>
      <trackRevisions>false</trackRevisions>
    </reviewItem>
    <reviewItem>
      <errorID>3db6dca9-b133-4464-a48e-edaf154fdb71</errorID>
      <errorWord>设警示标识</errorWord>
      <group>L1_Word</group>
      <groupName>字词问题</groupName>
      <ability>L2_Typo</ability>
      <abilityName>字词错误</abilityName>
      <candidateList>
        <item>设置警示标识</item>
      </candidateList>
      <explain/>
      <paraID>1FB79F95</paraID>
      <start>13</start>
      <end>19</end>
      <status>modified</status>
      <modifiedWord>设置警示标识</modifiedWord>
      <trackRevisions>false</trackRevisions>
    </reviewItem>
    <reviewItem>
      <errorID/>
      <errorWord>台风前准备
</errorWord>
      <group>L1_Other</group>
      <groupName>其他问题</groupName>
      <ability>L2_RepeatSentence</ability>
      <abilityName>重句检查</abilityName>
      <candidateList>
        <item/>
      </candidateList>
      <explain>重句检查</explain>
      <paraID> 2876B37</paraID>
      <start>0</start>
      <end>6</end>
      <status>unmodified</status>
      <modifiedWord/>
      <trackRevisions>false</trackRevisions>
    </reviewItem>
    <reviewItem>
      <errorID>e27fdc8e-3540-46b4-96b1-8810b97fbb8d</errorID>
      <errorWord>设</errorWord>
      <group>L1_Word</group>
      <groupName>字词问题</groupName>
      <ability>L2_Typo</ability>
      <abilityName>字词错误</abilityName>
      <candidateList>
        <item>设置</item>
      </candidateList>
      <explain>〈动〉❶设立：这座剧院是为儿童～的。❷安放；安装：～障碍。</explain>
      <paraID>3BE0D442</paraID>
      <start>11</start>
      <end>13</end>
      <status>modified</status>
      <modifiedWord>设置</modifiedWord>
      <trackRevisions>false</trackRevisions>
    </reviewItem>
    <reviewItem>
      <errorID/>
      <errorWord>台风前准备
</errorWord>
      <group>L1_Other</group>
      <groupName>其他问题</groupName>
      <ability>L2_RepeatSentence</ability>
      <abilityName>重句检查</abilityName>
      <candidateList>
        <item/>
      </candidateList>
      <explain>重句检查</explain>
      <paraID>60D072ED</paraID>
      <start>0</start>
      <end>6</end>
      <status>unmodified</status>
      <modifiedWord/>
      <trackRevisions>false</trackRevisions>
    </reviewItem>
    <reviewItem>
      <errorID/>
      <errorWord>台风前准备
</errorWord>
      <group>L1_Other</group>
      <groupName>其他问题</groupName>
      <ability>L2_RepeatSentence</ability>
      <abilityName>重句检查</abilityName>
      <candidateList>
        <item/>
      </candidateList>
      <explain>重句检查</explain>
      <paraID>4F53C225</paraID>
      <start>0</start>
      <end>6</end>
      <status>unmodified</status>
      <modifiedWord/>
      <trackRevisions>false</trackRevisions>
    </reviewItem>
    <reviewItem>
      <errorID/>
      <errorWord>台风中处置
</errorWord>
      <group>L1_Other</group>
      <groupName>其他问题</groupName>
      <ability>L2_RepeatSentence</ability>
      <abilityName>重句检查</abilityName>
      <candidateList>
        <item/>
      </candidateList>
      <explain>重句检查</explain>
      <paraID>52CC1F85</paraID>
      <start>0</start>
      <end>6</end>
      <status>unmodified</status>
      <modifiedWord/>
      <trackRevisions>false</trackRevisions>
    </reviewItem>
    <reviewItem>
      <errorID/>
      <errorWord>台风中处置
</errorWord>
      <group>L1_Other</group>
      <groupName>其他问题</groupName>
      <ability>L2_RepeatSentence</ability>
      <abilityName>重句检查</abilityName>
      <candidateList>
        <item/>
      </candidateList>
      <explain>重句检查</explain>
      <paraID> 924C690</paraID>
      <start>0</start>
      <end>6</end>
      <status>unmodified</status>
      <modifiedWord/>
      <trackRevisions>false</trackRevisions>
    </reviewItem>
    <reviewItem>
      <errorID/>
      <errorWord>台风后恢复
</errorWord>
      <group>L1_Other</group>
      <groupName>其他问题</groupName>
      <ability>L2_RepeatSentence</ability>
      <abilityName>重句检查</abilityName>
      <candidateList>
        <item/>
      </candidateList>
      <explain>重句检查</explain>
      <paraID>4AB10F77</paraID>
      <start>0</start>
      <end>6</end>
      <status>unmodified</status>
      <modifiedWord/>
      <trackRevisions>false</trackRevisions>
    </reviewItem>
    <reviewItem>
      <errorID/>
      <errorWord>台风后恢复
</errorWord>
      <group>L1_Other</group>
      <groupName>其他问题</groupName>
      <ability>L2_RepeatSentence</ability>
      <abilityName>重句检查</abilityName>
      <candidateList>
        <item/>
      </candidateList>
      <explain>重句检查</explain>
      <paraID> 4885F98</paraID>
      <start>0</start>
      <end>6</end>
      <status>unmodified</status>
      <modifiedWord/>
      <trackRevisions>false</trackRevisions>
    </reviewItem>
    <reviewItem>
      <errorID/>
      <errorWord>台风后恢复
</errorWord>
      <group>L1_Other</group>
      <groupName>其他问题</groupName>
      <ability>L2_RepeatSentence</ability>
      <abilityName>重句检查</abilityName>
      <candidateList>
        <item/>
      </candidateList>
      <explain>重句检查</explain>
      <paraID>5B6C8203</paraID>
      <start>0</start>
      <end>6</end>
      <status>unmodified</status>
      <modifiedWord/>
      <trackRevisions>false</trackRevisions>
    </reviewItem>
    <reviewItem>
      <errorID/>
      <errorWord>台风后恢复
</errorWord>
      <group>L1_Other</group>
      <groupName>其他问题</groupName>
      <ability>L2_RepeatSentence</ability>
      <abilityName>重句检查</abilityName>
      <candidateList>
        <item/>
      </candidateList>
      <explain>重句检查</explain>
      <paraID>238867E4</paraID>
      <start>0</start>
      <end>6</end>
      <status>unmodified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7a97d1-47ce-4bc0-96b3-800fb671787b}">
  <ds:schemaRefs/>
</ds:datastoreItem>
</file>

<file path=customXml/itemProps3.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Pages>20</Pages>
  <Words>5633</Words>
  <Characters>6389</Characters>
  <Lines>4</Lines>
  <Paragraphs>1</Paragraphs>
  <TotalTime>0</TotalTime>
  <ScaleCrop>false</ScaleCrop>
  <LinksUpToDate>false</LinksUpToDate>
  <CharactersWithSpaces>6733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2026-03-12T08:30:00Z</dcterms:created>
  <dc:creator>HFZ</dc:creator>
  <cp:lastModifiedBy>汪广涛</cp:lastModifiedBy>
  <dcterms:modified xsi:type="dcterms:W3CDTF">2026-05-15T07:01:04Z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4</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ICV">
    <vt:lpwstr>733E7F1DEEBC4C4D9253B672725A7846_13</vt:lpwstr>
  </property>
  <property fmtid="{D5CDD505-2E9C-101B-9397-08002B2CF9AE}" pid="15" name="KSOTemplateDocerSaveRecord">
    <vt:lpwstr>eyJoZGlkIjoiMjdkNjAwMjc0ZGRhMTE2ODAzODAwNTI2NDI1NzczZmUiLCJ1c2VySWQiOiIxMjEwMTI1MDE1In0=</vt:lpwstr>
  </property>
  <property fmtid="{D5CDD505-2E9C-101B-9397-08002B2CF9AE}" pid="16" name="KSOProductBuildVer">
    <vt:lpwstr>2052-12.1.0.25865</vt:lpwstr>
  </property>
  <property fmtid="{D5CDD505-2E9C-101B-9397-08002B2CF9AE}" pid="17" name="DoublePage">
    <vt:lpwstr>true</vt:lpwstr>
  </property>
</Properties>
</file>