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40B8B">
      <w:pPr>
        <w:pStyle w:val="21"/>
        <w:adjustRightInd/>
        <w:ind w:firstLine="0"/>
        <w:rPr>
          <w:rFonts w:hint="eastAsia" w:ascii="黑体" w:hAnsi="黑体" w:eastAsia="黑体" w:cs="黑体"/>
          <w:color w:val="auto"/>
          <w:sz w:val="32"/>
          <w:szCs w:val="32"/>
          <w:highlight w:val="none"/>
          <w:lang w:val="en-US" w:eastAsia="zh-CN"/>
        </w:rPr>
      </w:pPr>
      <w:bookmarkStart w:id="10" w:name="_GoBack"/>
      <w:bookmarkEnd w:id="10"/>
      <w:r>
        <w:rPr>
          <w:rFonts w:hint="eastAsia" w:ascii="黑体" w:hAnsi="黑体" w:eastAsia="黑体" w:cs="黑体"/>
          <w:color w:val="auto"/>
          <w:sz w:val="32"/>
          <w:szCs w:val="32"/>
          <w:highlight w:val="none"/>
          <w:lang w:val="en-US" w:eastAsia="zh-CN"/>
        </w:rPr>
        <w:t>附件1</w:t>
      </w:r>
    </w:p>
    <w:p w14:paraId="7C1F135A">
      <w:pPr>
        <w:rPr>
          <w:rFonts w:hint="eastAsia" w:ascii="Malgun Gothic" w:hAnsi="Malgun Gothic" w:eastAsia="Malgun Gothic" w:cs="Malgun Gothic"/>
          <w:b w:val="0"/>
          <w:bCs w:val="0"/>
          <w:kern w:val="0"/>
          <w:sz w:val="18"/>
          <w:szCs w:val="18"/>
          <w:vertAlign w:val="baseline"/>
          <w:lang w:val="en-US" w:eastAsia="zh-CN"/>
        </w:rPr>
      </w:pPr>
      <w:r>
        <w:rPr>
          <w:rFonts w:ascii="Times New Roman" w:hAnsi="Times New Roman" w:eastAsia="黑体"/>
          <w:sz w:val="21"/>
          <w:szCs w:val="21"/>
        </w:rPr>
        <w:t>ICS</w:t>
      </w:r>
      <w:r>
        <w:rPr>
          <w:rFonts w:hint="eastAsia" w:ascii="方正公文小标宋" w:hAnsi="方正公文小标宋" w:eastAsia="方正公文小标宋" w:cs="方正公文小标宋"/>
          <w:b/>
          <w:bCs/>
          <w:kern w:val="0"/>
          <w:sz w:val="18"/>
          <w:szCs w:val="18"/>
          <w:vertAlign w:val="baseline"/>
          <w:lang w:val="en-US" w:eastAsia="zh-CN"/>
        </w:rPr>
        <w:t xml:space="preserve">  </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p w14:paraId="39A7F0E7">
      <w:pPr>
        <w:rPr>
          <w:rFonts w:ascii="黑体" w:hAnsi="黑体" w:eastAsia="黑体"/>
          <w:sz w:val="21"/>
          <w:szCs w:val="21"/>
        </w:rPr>
      </w:pPr>
      <w:r>
        <w:rPr>
          <w:rFonts w:ascii="Times New Roman" w:hAnsi="Times New Roman" w:eastAsia="黑体"/>
          <w:sz w:val="21"/>
          <w:szCs w:val="21"/>
        </w:rPr>
        <w:t>CCS</w:t>
      </w:r>
      <w:r>
        <w:rPr>
          <w:rFonts w:hint="eastAsia" w:ascii="方正公文小标宋" w:hAnsi="方正公文小标宋" w:eastAsia="方正公文小标宋" w:cs="方正公文小标宋"/>
          <w:b/>
          <w:bCs/>
          <w:kern w:val="0"/>
          <w:sz w:val="18"/>
          <w:szCs w:val="18"/>
          <w:vertAlign w:val="baseline"/>
          <w:lang w:val="en-US" w:eastAsia="zh-CN"/>
        </w:rPr>
        <w:t xml:space="preserve"> </w:t>
      </w: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p w14:paraId="3B84F22B">
      <w:pPr>
        <w:pStyle w:val="2"/>
        <w:rPr>
          <w:rFonts w:hint="eastAsia"/>
          <w:lang w:val="en-US" w:eastAsia="zh-CN"/>
        </w:rPr>
      </w:pPr>
      <w:r>
        <w:rPr>
          <w:rFonts w:hint="eastAsia"/>
        </w:rPr>
        <w:drawing>
          <wp:anchor distT="0" distB="0" distL="114300" distR="114300" simplePos="0" relativeHeight="251663360" behindDoc="0" locked="0" layoutInCell="1" allowOverlap="1">
            <wp:simplePos x="0" y="0"/>
            <wp:positionH relativeFrom="column">
              <wp:posOffset>391160</wp:posOffset>
            </wp:positionH>
            <wp:positionV relativeFrom="paragraph">
              <wp:posOffset>129540</wp:posOffset>
            </wp:positionV>
            <wp:extent cx="657225" cy="657225"/>
            <wp:effectExtent l="0" t="0" r="9525" b="9525"/>
            <wp:wrapSquare wrapText="bothSides"/>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5"/>
                    <a:stretch>
                      <a:fillRect/>
                    </a:stretch>
                  </pic:blipFill>
                  <pic:spPr>
                    <a:xfrm>
                      <a:off x="0" y="0"/>
                      <a:ext cx="657225" cy="657225"/>
                    </a:xfrm>
                    <a:prstGeom prst="rect">
                      <a:avLst/>
                    </a:prstGeom>
                  </pic:spPr>
                </pic:pic>
              </a:graphicData>
            </a:graphic>
          </wp:anchor>
        </w:drawing>
      </w:r>
    </w:p>
    <w:p w14:paraId="1E3CAEB3">
      <w:pPr>
        <w:pStyle w:val="2"/>
        <w:ind w:left="0" w:leftChars="0" w:firstLine="0" w:firstLineChars="0"/>
        <w:rPr>
          <w:rFonts w:hint="eastAsia"/>
          <w:lang w:val="en-US" w:eastAsia="zh-CN"/>
        </w:rPr>
      </w:pPr>
    </w:p>
    <w:p w14:paraId="2C1D4CEC">
      <w:pPr>
        <w:rPr>
          <w:rFonts w:hint="eastAsia"/>
          <w:lang w:val="en-US" w:eastAsia="zh-CN"/>
        </w:rPr>
      </w:pPr>
    </w:p>
    <w:p w14:paraId="7005909B">
      <w:pPr>
        <w:pStyle w:val="21"/>
        <w:keepNext w:val="0"/>
        <w:keepLines w:val="0"/>
        <w:pageBreakBefore w:val="0"/>
        <w:widowControl w:val="0"/>
        <w:kinsoku/>
        <w:wordWrap/>
        <w:overflowPunct/>
        <w:topLinePunct w:val="0"/>
        <w:autoSpaceDE w:val="0"/>
        <w:autoSpaceDN w:val="0"/>
        <w:bidi w:val="0"/>
        <w:adjustRightInd w:val="0"/>
        <w:snapToGrid/>
        <w:spacing w:line="240" w:lineRule="auto"/>
        <w:jc w:val="right"/>
        <w:textAlignment w:val="auto"/>
        <w:rPr>
          <w:b/>
          <w:bCs/>
          <w:color w:val="auto"/>
        </w:rPr>
      </w:pPr>
    </w:p>
    <w:p w14:paraId="319696AD">
      <w:pPr>
        <w:pStyle w:val="23"/>
        <w:framePr w:wrap="around" w:x="1177" w:y="2692"/>
        <w:rPr>
          <w:rFonts w:ascii="Times New Roman" w:hAnsi="Times New Roman"/>
        </w:rPr>
      </w:pPr>
      <w:r>
        <w:rPr>
          <w:rFonts w:hint="eastAsia" w:ascii="Times New Roman" w:hAnsi="Times New Roman"/>
          <w:lang w:val="en-US" w:eastAsia="zh-CN"/>
        </w:rPr>
        <w:t>团体</w:t>
      </w:r>
      <w:r>
        <w:rPr>
          <w:rFonts w:ascii="Times New Roman" w:hAnsi="Times New Roman"/>
        </w:rPr>
        <w:t>标准</w:t>
      </w:r>
    </w:p>
    <w:p w14:paraId="58E00C6A">
      <w:pPr>
        <w:pStyle w:val="21"/>
        <w:pBdr>
          <w:bottom w:val="single" w:color="auto" w:sz="8" w:space="1"/>
        </w:pBdr>
        <w:tabs>
          <w:tab w:val="left" w:pos="660"/>
        </w:tabs>
        <w:spacing w:line="360" w:lineRule="auto"/>
        <w:jc w:val="right"/>
        <w:rPr>
          <w:rFonts w:hint="default" w:eastAsia="宋体"/>
          <w:color w:val="auto"/>
          <w:u w:val="single"/>
          <w:lang w:val="en-US" w:eastAsia="zh-CN"/>
        </w:rPr>
      </w:pPr>
      <w:r>
        <w:rPr>
          <w:rFonts w:hint="eastAsia" w:ascii="方正小标宋_GBK" w:hAnsi="方正小标宋_GBK" w:eastAsia="方正小标宋_GBK" w:cs="方正小标宋_GBK"/>
        </w:rPr>
        <w:t>T/</w:t>
      </w:r>
      <w:r>
        <w:rPr>
          <w:rFonts w:hint="eastAsia" w:ascii="方正小标宋_GBK" w:hAnsi="方正小标宋_GBK" w:eastAsia="方正小标宋_GBK" w:cs="方正小标宋_GBK"/>
        </w:rPr>
        <w:fldChar w:fldCharType="begin">
          <w:ffData>
            <w:name w:val="文字1"/>
            <w:enabled/>
            <w:calcOnExit w:val="0"/>
            <w:textInput>
              <w:default w:val="XXX"/>
            </w:textInput>
          </w:ffData>
        </w:fldChar>
      </w:r>
      <w:bookmarkStart w:id="2" w:name="文字1"/>
      <w:r>
        <w:rPr>
          <w:rFonts w:hint="eastAsia" w:ascii="方正小标宋_GBK" w:hAnsi="方正小标宋_GBK" w:eastAsia="方正小标宋_GBK" w:cs="方正小标宋_GBK"/>
        </w:rPr>
        <w:instrText xml:space="preserve"> FORMTEXT </w:instrText>
      </w:r>
      <w:r>
        <w:rPr>
          <w:rFonts w:hint="eastAsia" w:ascii="方正小标宋_GBK" w:hAnsi="方正小标宋_GBK" w:eastAsia="方正小标宋_GBK" w:cs="方正小标宋_GBK"/>
        </w:rPr>
        <w:fldChar w:fldCharType="separate"/>
      </w:r>
      <w:r>
        <w:rPr>
          <w:rFonts w:hint="eastAsia" w:ascii="方正小标宋_GBK" w:hAnsi="方正小标宋_GBK" w:eastAsia="方正小标宋_GBK" w:cs="方正小标宋_GBK"/>
        </w:rPr>
        <w:t>CEPCA</w:t>
      </w:r>
      <w:r>
        <w:rPr>
          <w:rFonts w:hint="eastAsia" w:ascii="方正小标宋_GBK" w:hAnsi="方正小标宋_GBK" w:eastAsia="方正小标宋_GBK" w:cs="方正小标宋_GBK"/>
        </w:rPr>
        <w:fldChar w:fldCharType="end"/>
      </w:r>
      <w:bookmarkEnd w:id="2"/>
      <w:r>
        <w:rPr>
          <w:rFonts w:hint="eastAsia" w:ascii="方正小标宋_GBK" w:hAnsi="方正小标宋_GBK" w:eastAsia="方正小标宋_GBK" w:cs="方正小标宋_GBK"/>
          <w:lang w:val="en-US" w:eastAsia="zh-CN"/>
        </w:rPr>
        <w:t xml:space="preserve"> </w:t>
      </w:r>
      <w:r>
        <w:rPr>
          <w:rFonts w:hint="eastAsia" w:ascii="方正小标宋_GBK" w:hAnsi="方正小标宋_GBK" w:eastAsia="方正小标宋_GBK" w:cs="方正小标宋_GBK"/>
        </w:rPr>
        <w:t xml:space="preserve"> </w:t>
      </w:r>
      <w:r>
        <w:rPr>
          <w:rFonts w:hint="eastAsia" w:ascii="方正小标宋_GBK" w:hAnsi="方正小标宋_GBK" w:eastAsia="方正小标宋_GBK" w:cs="方正小标宋_GBK"/>
        </w:rPr>
        <w:fldChar w:fldCharType="begin">
          <w:ffData>
            <w:name w:val="NSTD_CODE_F"/>
            <w:enabled/>
            <w:calcOnExit w:val="0"/>
            <w:textInput>
              <w:default w:val="XXXX"/>
            </w:textInput>
          </w:ffData>
        </w:fldChar>
      </w:r>
      <w:bookmarkStart w:id="3" w:name="NSTD_CODE_F"/>
      <w:r>
        <w:rPr>
          <w:rFonts w:hint="eastAsia" w:ascii="方正小标宋_GBK" w:hAnsi="方正小标宋_GBK" w:eastAsia="方正小标宋_GBK" w:cs="方正小标宋_GBK"/>
        </w:rPr>
        <w:instrText xml:space="preserve"> FORMTEXT </w:instrText>
      </w:r>
      <w:r>
        <w:rPr>
          <w:rFonts w:hint="eastAsia" w:ascii="方正小标宋_GBK" w:hAnsi="方正小标宋_GBK" w:eastAsia="方正小标宋_GBK" w:cs="方正小标宋_GBK"/>
        </w:rPr>
        <w:fldChar w:fldCharType="separate"/>
      </w:r>
      <w:r>
        <w:rPr>
          <w:rFonts w:hint="eastAsia" w:ascii="方正小标宋_GBK" w:hAnsi="方正小标宋_GBK" w:eastAsia="方正小标宋_GBK" w:cs="方正小标宋_GBK"/>
        </w:rPr>
        <w:t>XXXX</w:t>
      </w:r>
      <w:r>
        <w:rPr>
          <w:rFonts w:hint="eastAsia" w:ascii="方正小标宋_GBK" w:hAnsi="方正小标宋_GBK" w:eastAsia="方正小标宋_GBK" w:cs="方正小标宋_GBK"/>
        </w:rPr>
        <w:fldChar w:fldCharType="end"/>
      </w:r>
      <w:bookmarkEnd w:id="3"/>
      <w:r>
        <w:rPr>
          <w:rFonts w:hint="eastAsia" w:ascii="方正小标宋_GBK" w:hAnsi="方正小标宋_GBK" w:eastAsia="方正小标宋_GBK" w:cs="方正小标宋_GBK"/>
        </w:rPr>
        <w:t>—</w:t>
      </w:r>
      <w:r>
        <w:rPr>
          <w:rFonts w:hint="eastAsia" w:ascii="方正小标宋_GBK" w:hAnsi="方正小标宋_GBK" w:eastAsia="方正小标宋_GBK" w:cs="方正小标宋_GBK"/>
          <w:lang w:val="en-US" w:eastAsia="zh-CN"/>
        </w:rPr>
        <w:t>2026</w:t>
      </w:r>
    </w:p>
    <w:p w14:paraId="1DD3CF7E">
      <w:pPr>
        <w:spacing w:line="680" w:lineRule="exact"/>
        <w:jc w:val="center"/>
        <w:rPr>
          <w:rFonts w:hint="eastAsia" w:ascii="黑体" w:hAnsi="黑体" w:eastAsia="黑体"/>
          <w:sz w:val="28"/>
          <w:szCs w:val="28"/>
        </w:rPr>
      </w:pPr>
    </w:p>
    <w:p w14:paraId="07FD85F6">
      <w:pPr>
        <w:spacing w:line="680" w:lineRule="exact"/>
        <w:jc w:val="center"/>
        <w:rPr>
          <w:rFonts w:hint="eastAsia" w:ascii="黑体" w:hAnsi="黑体" w:eastAsia="黑体"/>
          <w:sz w:val="28"/>
          <w:szCs w:val="28"/>
        </w:rPr>
      </w:pPr>
    </w:p>
    <w:p w14:paraId="5F992D8A">
      <w:pPr>
        <w:spacing w:line="680" w:lineRule="exact"/>
        <w:jc w:val="center"/>
        <w:rPr>
          <w:rFonts w:hint="eastAsia" w:ascii="黑体" w:hAnsi="黑体" w:eastAsia="黑体"/>
          <w:sz w:val="28"/>
          <w:szCs w:val="28"/>
        </w:rPr>
      </w:pPr>
    </w:p>
    <w:p w14:paraId="26A04D5A">
      <w:pPr>
        <w:spacing w:line="680" w:lineRule="exact"/>
        <w:jc w:val="center"/>
        <w:rPr>
          <w:rFonts w:hint="eastAsia" w:ascii="黑体" w:hAnsi="黑体" w:eastAsia="黑体"/>
          <w:sz w:val="28"/>
          <w:szCs w:val="28"/>
        </w:rPr>
      </w:pPr>
    </w:p>
    <w:p w14:paraId="6B58E4DA">
      <w:pPr>
        <w:spacing w:line="680" w:lineRule="exact"/>
        <w:jc w:val="center"/>
        <w:rPr>
          <w:rFonts w:ascii="黑体" w:hAnsi="黑体" w:eastAsia="黑体" w:cs="Times New Roman"/>
          <w:sz w:val="52"/>
          <w:szCs w:val="48"/>
        </w:rPr>
      </w:pPr>
      <w:r>
        <w:rPr>
          <w:rFonts w:hint="eastAsia" w:ascii="黑体" w:hAnsi="黑体" w:eastAsia="黑体"/>
          <w:sz w:val="52"/>
          <w:szCs w:val="48"/>
        </w:rPr>
        <w:t>深远海风电场土建工程施工技术规程</w:t>
      </w:r>
    </w:p>
    <w:p w14:paraId="4B59EE7B">
      <w:pPr>
        <w:pStyle w:val="24"/>
        <w:framePr w:w="0" w:hRule="auto" w:wrap="auto" w:vAnchor="margin" w:hAnchor="text" w:xAlign="left" w:yAlign="inline"/>
        <w:rPr>
          <w:rFonts w:hint="eastAsia"/>
        </w:rPr>
      </w:pPr>
      <w:r>
        <w:rPr>
          <w:rFonts w:hint="eastAsia"/>
        </w:rPr>
        <w:t>Technical Specification for Civil Engineering Construction of Offshore Wind Farms</w:t>
      </w:r>
    </w:p>
    <w:p w14:paraId="5AF6D1D6">
      <w:pPr>
        <w:pStyle w:val="24"/>
        <w:framePr w:w="0" w:hRule="auto" w:wrap="auto" w:vAnchor="margin" w:hAnchor="text" w:xAlign="left" w:yAlign="inline"/>
        <w:rPr>
          <w:rFonts w:hint="eastAsia"/>
        </w:rPr>
      </w:pPr>
    </w:p>
    <w:p w14:paraId="4B686B32">
      <w:pPr>
        <w:pStyle w:val="24"/>
        <w:framePr w:w="0" w:hRule="auto" w:wrap="auto" w:vAnchor="margin" w:hAnchor="text" w:xAlign="left" w:yAlign="inline"/>
        <w:rPr>
          <w:rFonts w:hint="eastAsia"/>
        </w:rPr>
      </w:pPr>
    </w:p>
    <w:p w14:paraId="6B6342E1">
      <w:pPr>
        <w:pStyle w:val="33"/>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4" w:name="下拉1"/>
      <w:r>
        <w:rPr>
          <w:sz w:val="24"/>
          <w:szCs w:val="28"/>
        </w:rPr>
        <w:instrText xml:space="preserve"> FORMDROPDOWN </w:instrText>
      </w:r>
      <w:r>
        <w:rPr>
          <w:sz w:val="24"/>
          <w:szCs w:val="28"/>
        </w:rPr>
        <w:fldChar w:fldCharType="separate"/>
      </w:r>
      <w:r>
        <w:rPr>
          <w:sz w:val="24"/>
          <w:szCs w:val="28"/>
        </w:rPr>
        <w:fldChar w:fldCharType="end"/>
      </w:r>
      <w:bookmarkEnd w:id="4"/>
    </w:p>
    <w:p w14:paraId="5A0992D8">
      <w:pPr>
        <w:pStyle w:val="33"/>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5"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026.</w:t>
      </w:r>
      <w:r>
        <w:rPr>
          <w:rFonts w:hint="eastAsia"/>
          <w:sz w:val="21"/>
          <w:szCs w:val="28"/>
        </w:rPr>
        <w:t>XX</w:t>
      </w:r>
      <w:r>
        <w:rPr>
          <w:sz w:val="21"/>
          <w:szCs w:val="28"/>
        </w:rPr>
        <w:t>.</w:t>
      </w:r>
      <w:r>
        <w:rPr>
          <w:rFonts w:hint="eastAsia"/>
          <w:sz w:val="21"/>
          <w:szCs w:val="28"/>
        </w:rPr>
        <w:t>XX）</w:t>
      </w:r>
      <w:r>
        <w:rPr>
          <w:sz w:val="21"/>
          <w:szCs w:val="28"/>
        </w:rPr>
        <w:fldChar w:fldCharType="end"/>
      </w:r>
      <w:bookmarkEnd w:id="5"/>
    </w:p>
    <w:p w14:paraId="3C5351E5">
      <w:pPr>
        <w:pStyle w:val="33"/>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6" w:name="下拉2"/>
      <w:r>
        <w:rPr>
          <w:b/>
          <w:sz w:val="21"/>
          <w:szCs w:val="28"/>
        </w:rPr>
        <w:instrText xml:space="preserve"> FORMDROPDOWN </w:instrText>
      </w:r>
      <w:r>
        <w:rPr>
          <w:b/>
          <w:sz w:val="21"/>
          <w:szCs w:val="28"/>
        </w:rPr>
        <w:fldChar w:fldCharType="separate"/>
      </w:r>
      <w:r>
        <w:rPr>
          <w:b/>
          <w:sz w:val="21"/>
          <w:szCs w:val="28"/>
        </w:rPr>
        <w:fldChar w:fldCharType="end"/>
      </w:r>
      <w:bookmarkEnd w:id="6"/>
    </w:p>
    <w:p w14:paraId="7D4983CE">
      <w:pPr>
        <w:pStyle w:val="24"/>
        <w:framePr w:w="0" w:hRule="auto" w:wrap="auto" w:vAnchor="margin" w:hAnchor="text" w:xAlign="left" w:yAlign="inline"/>
        <w:rPr>
          <w:rFonts w:hint="eastAsia"/>
        </w:rPr>
      </w:pPr>
    </w:p>
    <w:p w14:paraId="275E1C73">
      <w:pPr>
        <w:pStyle w:val="25"/>
        <w:ind w:firstLine="140" w:firstLineChars="50"/>
      </w:pPr>
      <w:r>
        <w:fldChar w:fldCharType="begin">
          <w:ffData>
            <w:name w:val="PLSH_DATE_Y"/>
            <w:enabled/>
            <w:calcOnExit w:val="0"/>
            <w:textInput>
              <w:default w:val="XXXX"/>
              <w:maxLength w:val="4"/>
            </w:textInput>
          </w:ffData>
        </w:fldChar>
      </w:r>
      <w:r>
        <w:instrText xml:space="preserve"> FORMTEXT </w:instrText>
      </w:r>
      <w:r>
        <w:fldChar w:fldCharType="separate"/>
      </w:r>
      <w:r>
        <w:t>XXXX</w:t>
      </w:r>
      <w:r>
        <w:fldChar w:fldCharType="end"/>
      </w:r>
      <w:r>
        <w:t xml:space="preserve"> - </w:t>
      </w:r>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PLSH_DATE_D"/>
            <w:enabled/>
            <w:calcOnExit w:val="0"/>
            <w:textInput>
              <w:default w:val="XX"/>
              <w:maxLength w:val="2"/>
            </w:textInput>
          </w:ffData>
        </w:fldChar>
      </w:r>
      <w:r>
        <w:instrText xml:space="preserve"> FORMTEXT </w:instrText>
      </w:r>
      <w:r>
        <w:fldChar w:fldCharType="separate"/>
      </w:r>
      <w:r>
        <w:t>XX</w:t>
      </w:r>
      <w:r>
        <w:fldChar w:fldCharType="end"/>
      </w:r>
      <w:r>
        <w:rPr>
          <w:rFonts w:hint="eastAsia" w:ascii="黑体"/>
        </w:rPr>
        <w:t>发布</w:t>
      </w:r>
      <w:r>
        <mc:AlternateContent>
          <mc:Choice Requires="wps">
            <w:drawing>
              <wp:anchor distT="0" distB="0" distL="114300" distR="114300" simplePos="0" relativeHeight="251659264" behindDoc="0" locked="1" layoutInCell="1" allowOverlap="1">
                <wp:simplePos x="0" y="0"/>
                <wp:positionH relativeFrom="column">
                  <wp:posOffset>74295</wp:posOffset>
                </wp:positionH>
                <wp:positionV relativeFrom="page">
                  <wp:posOffset>9271000</wp:posOffset>
                </wp:positionV>
                <wp:extent cx="6120130" cy="0"/>
                <wp:effectExtent l="0" t="4445" r="0" b="508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5.85pt;margin-top:730pt;height:0pt;width:481.9pt;mso-position-vertical-relative:page;z-index:251659264;mso-width-relative:page;mso-height-relative:page;" filled="f" stroked="t" coordsize="21600,21600" o:gfxdata="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w3CKPX&#10;AAAADAEAAA8AAAAAAAAAAQAgAAAAIgAAAGRycy9kb3ducmV2LnhtbFBLAQIUABQAAAAIAIdO4kB+&#10;2Bv66AEAALgDAAAOAAAAAAAAAAEAIAAAACYBAABkcnMvZTJvRG9jLnhtbFBLBQYAAAAABgAGAFkB&#10;AACABQAAAAA=&#10;">
                <v:fill on="f" focussize="0,0"/>
                <v:stroke color="#000000" joinstyle="round"/>
                <v:imagedata o:title=""/>
                <o:lock v:ext="edit" aspectratio="f"/>
                <w10:anchorlock/>
              </v:line>
            </w:pict>
          </mc:Fallback>
        </mc:AlternateContent>
      </w:r>
    </w:p>
    <w:p w14:paraId="71E2840A">
      <w:pPr>
        <w:pStyle w:val="26"/>
      </w:pPr>
      <w:r>
        <w:fldChar w:fldCharType="begin">
          <w:ffData>
            <w:name w:val="PLSH_DATE_Y"/>
            <w:enabled/>
            <w:calcOnExit w:val="0"/>
            <w:textInput>
              <w:default w:val="XXXX"/>
              <w:maxLength w:val="4"/>
            </w:textInput>
          </w:ffData>
        </w:fldChar>
      </w:r>
      <w:r>
        <w:instrText xml:space="preserve"> FORMTEXT </w:instrText>
      </w:r>
      <w:r>
        <w:fldChar w:fldCharType="separate"/>
      </w:r>
      <w:r>
        <w:t>XXXX</w:t>
      </w:r>
      <w:r>
        <w:fldChar w:fldCharType="end"/>
      </w:r>
      <w:r>
        <w:t xml:space="preserve"> - </w:t>
      </w:r>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PLSH_DATE_D"/>
            <w:enabled/>
            <w:calcOnExit w:val="0"/>
            <w:textInput>
              <w:default w:val="XX"/>
              <w:maxLength w:val="2"/>
            </w:textInput>
          </w:ffData>
        </w:fldChar>
      </w:r>
      <w:r>
        <w:instrText xml:space="preserve"> FORMTEXT </w:instrText>
      </w:r>
      <w:r>
        <w:fldChar w:fldCharType="separate"/>
      </w:r>
      <w:r>
        <w:t>XX</w:t>
      </w:r>
      <w:r>
        <w:fldChar w:fldCharType="end"/>
      </w:r>
      <w:r>
        <w:rPr>
          <w:rFonts w:hint="eastAsia" w:ascii="黑体"/>
        </w:rPr>
        <w:t>实施</w:t>
      </w:r>
    </w:p>
    <w:p w14:paraId="177845E8">
      <w:pPr>
        <w:pStyle w:val="27"/>
        <w:pBdr>
          <w:top w:val="none" w:color="auto" w:sz="0" w:space="0"/>
          <w:left w:val="none" w:color="auto" w:sz="0" w:space="0"/>
          <w:bottom w:val="none" w:color="auto" w:sz="0" w:space="0"/>
          <w:right w:val="none" w:color="auto" w:sz="0" w:space="0"/>
        </w:pBdr>
        <w:rPr>
          <w:rStyle w:val="28"/>
          <w:rFonts w:hint="eastAsia" w:hAnsi="黑体" w:eastAsia="黑体"/>
          <w:b/>
          <w:bCs/>
          <w:sz w:val="36"/>
          <w:szCs w:val="36"/>
          <w:lang w:val="en-US" w:eastAsia="zh-CN"/>
        </w:rPr>
      </w:pPr>
      <w:r>
        <w:rPr>
          <w:rFonts w:hint="eastAsia" w:hAnsi="黑体"/>
          <w:b/>
          <w:bCs/>
          <w:w w:val="100"/>
          <w:sz w:val="36"/>
          <w:szCs w:val="22"/>
          <w:lang w:val="en-US" w:eastAsia="zh-CN"/>
        </w:rPr>
        <w:t>中国电力建设企业协会</w:t>
      </w:r>
      <w:r>
        <w:rPr>
          <w:rFonts w:ascii="Times New Roman"/>
          <w:b/>
          <w:bCs/>
          <w:w w:val="100"/>
          <w:sz w:val="36"/>
          <w:szCs w:val="22"/>
        </w:rPr>
        <w:t>  </w:t>
      </w:r>
      <w:r>
        <w:rPr>
          <w:rFonts w:hint="eastAsia" w:ascii="Times New Roman"/>
          <w:b/>
          <w:bCs/>
          <w:w w:val="100"/>
          <w:sz w:val="36"/>
          <w:szCs w:val="22"/>
          <w:lang w:val="en-US" w:eastAsia="zh-CN"/>
        </w:rPr>
        <w:t>发  布</w:t>
      </w:r>
    </w:p>
    <w:p w14:paraId="3557C64B">
      <w:pPr>
        <w:pStyle w:val="29"/>
        <w:framePr w:x="2223" w:y="14834"/>
        <w:sectPr>
          <w:headerReference r:id="rId7" w:type="first"/>
          <w:headerReference r:id="rId5" w:type="default"/>
          <w:footerReference r:id="rId8" w:type="default"/>
          <w:headerReference r:id="rId6" w:type="even"/>
          <w:footerReference r:id="rId9" w:type="even"/>
          <w:pgSz w:w="11920" w:h="16840"/>
          <w:pgMar w:top="567" w:right="850" w:bottom="280" w:left="1300" w:header="0" w:footer="0" w:gutter="0"/>
          <w:pgNumType w:start="1"/>
          <w:cols w:space="720" w:num="1"/>
          <w:titlePg/>
          <w:docGrid w:linePitch="286" w:charSpace="0"/>
        </w:sectPr>
      </w:pPr>
      <w:r>
        <mc:AlternateContent>
          <mc:Choice Requires="wps">
            <w:drawing>
              <wp:anchor distT="0" distB="0" distL="114300" distR="114300" simplePos="0" relativeHeight="251661312" behindDoc="0" locked="0" layoutInCell="1" allowOverlap="1">
                <wp:simplePos x="0" y="0"/>
                <wp:positionH relativeFrom="column">
                  <wp:posOffset>3175</wp:posOffset>
                </wp:positionH>
                <wp:positionV relativeFrom="paragraph">
                  <wp:posOffset>3460750</wp:posOffset>
                </wp:positionV>
                <wp:extent cx="6153150" cy="1687195"/>
                <wp:effectExtent l="0" t="0" r="6350" b="1905"/>
                <wp:wrapNone/>
                <wp:docPr id="4" name="文本框 4"/>
                <wp:cNvGraphicFramePr/>
                <a:graphic xmlns:a="http://schemas.openxmlformats.org/drawingml/2006/main">
                  <a:graphicData uri="http://schemas.microsoft.com/office/word/2010/wordprocessingShape">
                    <wps:wsp>
                      <wps:cNvSpPr txBox="1"/>
                      <wps:spPr>
                        <a:xfrm>
                          <a:off x="0" y="0"/>
                          <a:ext cx="6153150" cy="3564255"/>
                        </a:xfrm>
                        <a:prstGeom prst="rect">
                          <a:avLst/>
                        </a:prstGeom>
                        <a:solidFill>
                          <a:srgbClr val="FFFFFF"/>
                        </a:solidFill>
                        <a:ln>
                          <a:noFill/>
                        </a:ln>
                        <a:effectLst/>
                      </wps:spPr>
                      <wps:txbx>
                        <w:txbxContent>
                          <w:p w14:paraId="00EC33A3">
                            <w:pPr>
                              <w:spacing w:line="680" w:lineRule="exact"/>
                              <w:jc w:val="center"/>
                              <w:rPr>
                                <w:rFonts w:eastAsia="黑体"/>
                                <w:sz w:val="28"/>
                                <w:szCs w:val="28"/>
                              </w:rPr>
                            </w:pPr>
                            <w:bookmarkStart w:id="9" w:name="OLE_LINK1"/>
                            <w:r>
                              <w:rPr>
                                <w:rFonts w:hint="eastAsia" w:ascii="黑体" w:hAnsi="黑体" w:eastAsia="黑体"/>
                                <w:sz w:val="52"/>
                                <w:szCs w:val="52"/>
                              </w:rPr>
                              <w:t>风力发电机组状态监测系统数据技术要求</w:t>
                            </w:r>
                            <w:bookmarkEnd w:id="9"/>
                            <w:r>
                              <w:rPr>
                                <w:rFonts w:hint="eastAsia" w:eastAsia="黑体"/>
                                <w:sz w:val="28"/>
                                <w:szCs w:val="28"/>
                              </w:rPr>
                              <w:t>Date requirements for condition monitoring system of wind turbines</w:t>
                            </w:r>
                          </w:p>
                        </w:txbxContent>
                      </wps:txbx>
                      <wps:bodyPr upright="1"/>
                    </wps:wsp>
                  </a:graphicData>
                </a:graphic>
              </wp:anchor>
            </w:drawing>
          </mc:Choice>
          <mc:Fallback>
            <w:pict>
              <v:shape id="_x0000_s1026" o:spid="_x0000_s1026" o:spt="202" type="#_x0000_t202" style="position:absolute;left:0pt;margin-left:0.25pt;margin-top:272.5pt;height:132.85pt;width:484.5pt;z-index:251661312;mso-width-relative:page;mso-height-relative:page;" fillcolor="#FFFFFF" filled="t" stroked="f" coordsize="21600,21600" o:gfxdata="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5ljQ39cAAAAIAQAADwAAAAAAAAABACAAAAAiAAAAZHJzL2Rvd25y&#10;ZXYueG1sUEsBAhQAFAAAAAgAh07iQBbEt+jGAQAAhgMAAA4AAAAAAAAAAQAgAAAAJgEAAGRycy9l&#10;Mm9Eb2MueG1sUEsFBgAAAAAGAAYAWQEAAF4FAAAAAA==&#10;">
                <v:fill on="t" focussize="0,0"/>
                <v:stroke on="f"/>
                <v:imagedata o:title=""/>
                <o:lock v:ext="edit" aspectratio="f"/>
                <v:textbox>
                  <w:txbxContent>
                    <w:p w14:paraId="00EC33A3">
                      <w:pPr>
                        <w:spacing w:line="680" w:lineRule="exact"/>
                        <w:jc w:val="center"/>
                        <w:rPr>
                          <w:rFonts w:eastAsia="黑体"/>
                          <w:sz w:val="28"/>
                          <w:szCs w:val="28"/>
                        </w:rPr>
                      </w:pPr>
                      <w:bookmarkStart w:id="9" w:name="OLE_LINK1"/>
                      <w:r>
                        <w:rPr>
                          <w:rFonts w:hint="eastAsia" w:ascii="黑体" w:hAnsi="黑体" w:eastAsia="黑体"/>
                          <w:sz w:val="52"/>
                          <w:szCs w:val="52"/>
                        </w:rPr>
                        <w:t>风力发电机组状态监测系统数据技术要求</w:t>
                      </w:r>
                      <w:bookmarkEnd w:id="9"/>
                      <w:r>
                        <w:rPr>
                          <w:rFonts w:hint="eastAsia" w:eastAsia="黑体"/>
                          <w:sz w:val="28"/>
                          <w:szCs w:val="28"/>
                        </w:rPr>
                        <w:t>Date requirements for condition monitoring system of wind turbines</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149225</wp:posOffset>
                </wp:positionH>
                <wp:positionV relativeFrom="paragraph">
                  <wp:posOffset>2062480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1.75pt;margin-top:162.4pt;height:0pt;width:481.9pt;z-index:251660288;mso-width-relative:page;mso-height-relative:page;" filled="f" stroked="t" coordsize="21600,21600" o:gfxdata="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RwOR/X&#10;AAAACgEAAA8AAAAAAAAAAQAgAAAAIgAAAGRycy9kb3ducmV2LnhtbFBLAQIUABQAAAAIAIdO4kCU&#10;8lY26AEAALgDAAAOAAAAAAAAAAEAIAAAACYBAABkcnMvZTJvRG9jLnhtbFBLBQYAAAAABgAGAFkB&#10;AACABQAAAAA=&#10;">
                <v:fill on="f" focussize="0,0"/>
                <v:stroke color="#000000" joinstyle="round"/>
                <v:imagedata o:title=""/>
                <o:lock v:ext="edit" aspectratio="f"/>
              </v:line>
            </w:pict>
          </mc:Fallback>
        </mc:AlternateContent>
      </w:r>
    </w:p>
    <w:p w14:paraId="6C098F73">
      <w:pPr>
        <w:pStyle w:val="11"/>
        <w:jc w:val="center"/>
        <w:rPr>
          <w:rFonts w:eastAsia="黑体"/>
          <w:sz w:val="32"/>
          <w:szCs w:val="32"/>
        </w:rPr>
      </w:pPr>
      <w:r>
        <w:rPr>
          <w:rFonts w:eastAsia="黑体"/>
          <w:sz w:val="32"/>
          <w:szCs w:val="32"/>
        </w:rPr>
        <w:t>目</w:t>
      </w:r>
      <w:r>
        <w:rPr>
          <w:rFonts w:hint="eastAsia" w:eastAsia="黑体"/>
          <w:sz w:val="32"/>
          <w:szCs w:val="32"/>
        </w:rPr>
        <w:t xml:space="preserve"> </w:t>
      </w:r>
      <w:r>
        <w:rPr>
          <w:rFonts w:hint="eastAsia" w:eastAsia="黑体"/>
          <w:sz w:val="32"/>
          <w:szCs w:val="32"/>
          <w:lang w:val="en-US" w:eastAsia="zh-CN"/>
        </w:rPr>
        <w:t xml:space="preserve">  </w:t>
      </w:r>
      <w:r>
        <w:rPr>
          <w:rFonts w:hint="eastAsia" w:eastAsia="黑体"/>
          <w:sz w:val="32"/>
          <w:szCs w:val="32"/>
        </w:rPr>
        <w:t xml:space="preserve"> 次</w:t>
      </w:r>
    </w:p>
    <w:p w14:paraId="3B6C093C">
      <w:pPr>
        <w:pStyle w:val="11"/>
        <w:tabs>
          <w:tab w:val="right" w:leader="dot" w:pos="8304"/>
          <w:tab w:val="clear" w:pos="9345"/>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TOC \o "1-1" \h \z \u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_Toc6052 </w:instrText>
      </w:r>
      <w:r>
        <w:rPr>
          <w:rFonts w:hint="eastAsia" w:ascii="宋体" w:hAnsi="宋体" w:eastAsia="宋体" w:cs="宋体"/>
          <w:sz w:val="21"/>
          <w:szCs w:val="21"/>
        </w:rPr>
        <w:fldChar w:fldCharType="separate"/>
      </w:r>
      <w:r>
        <w:rPr>
          <w:rFonts w:hint="eastAsia" w:ascii="宋体" w:hAnsi="宋体" w:eastAsia="宋体" w:cs="宋体"/>
          <w:sz w:val="21"/>
          <w:szCs w:val="21"/>
        </w:rPr>
        <w:t>前</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言</w:t>
      </w:r>
      <w:r>
        <w:rPr>
          <w:rFonts w:hint="eastAsia" w:ascii="宋体" w:hAnsi="宋体" w:eastAsia="宋体" w:cs="宋体"/>
          <w:sz w:val="21"/>
          <w:szCs w:val="21"/>
        </w:rPr>
        <w:tab/>
      </w:r>
      <w:r>
        <w:rPr>
          <w:rFonts w:hint="eastAsia" w:ascii="宋体" w:hAnsi="宋体" w:eastAsia="宋体" w:cs="宋体"/>
          <w:sz w:val="21"/>
          <w:szCs w:val="21"/>
          <w:lang w:val="en-US" w:eastAsia="zh-CN"/>
        </w:rPr>
        <w:t>1</w:t>
      </w:r>
      <w:r>
        <w:rPr>
          <w:rFonts w:hint="eastAsia" w:ascii="宋体" w:hAnsi="宋体" w:eastAsia="宋体" w:cs="宋体"/>
          <w:sz w:val="21"/>
          <w:szCs w:val="21"/>
        </w:rPr>
        <w:fldChar w:fldCharType="end"/>
      </w:r>
    </w:p>
    <w:p w14:paraId="7F680A1B">
      <w:pPr>
        <w:pStyle w:val="11"/>
        <w:tabs>
          <w:tab w:val="right" w:leader="dot" w:pos="8304"/>
          <w:tab w:val="clear" w:pos="9345"/>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_Toc4712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1 </w:t>
      </w:r>
      <w:r>
        <w:rPr>
          <w:rFonts w:hint="eastAsia" w:ascii="宋体" w:hAnsi="宋体" w:eastAsia="宋体" w:cs="宋体"/>
          <w:sz w:val="21"/>
          <w:szCs w:val="21"/>
          <w:lang w:val="en-US" w:eastAsia="zh-CN"/>
        </w:rPr>
        <w:t>总则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_Toc4712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51CC5BD">
      <w:pPr>
        <w:pStyle w:val="11"/>
        <w:tabs>
          <w:tab w:val="right" w:leader="dot" w:pos="8304"/>
          <w:tab w:val="clear" w:pos="9345"/>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_Toc7120 </w:instrText>
      </w:r>
      <w:r>
        <w:rPr>
          <w:rFonts w:hint="eastAsia" w:ascii="宋体" w:hAnsi="宋体" w:eastAsia="宋体" w:cs="宋体"/>
          <w:sz w:val="21"/>
          <w:szCs w:val="21"/>
        </w:rPr>
        <w:fldChar w:fldCharType="separate"/>
      </w:r>
      <w:r>
        <w:rPr>
          <w:rFonts w:hint="eastAsia" w:ascii="宋体" w:hAnsi="宋体" w:eastAsia="宋体" w:cs="宋体"/>
          <w:sz w:val="21"/>
          <w:szCs w:val="21"/>
        </w:rPr>
        <w:t>2 术语和定义</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_Toc7120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B19B652">
      <w:pPr>
        <w:pStyle w:val="11"/>
        <w:tabs>
          <w:tab w:val="right" w:leader="dot" w:pos="8304"/>
          <w:tab w:val="clear" w:pos="9345"/>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_Toc31915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3 </w:t>
      </w:r>
      <w:r>
        <w:rPr>
          <w:rFonts w:hint="eastAsia" w:ascii="宋体" w:hAnsi="宋体" w:eastAsia="宋体" w:cs="宋体"/>
          <w:sz w:val="21"/>
          <w:szCs w:val="21"/>
          <w:lang w:val="en-US" w:eastAsia="zh-CN"/>
        </w:rPr>
        <w:t>基本规定</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_Toc31915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92BAD2E">
      <w:pPr>
        <w:pStyle w:val="11"/>
        <w:tabs>
          <w:tab w:val="right" w:leader="dot" w:pos="8304"/>
          <w:tab w:val="clear" w:pos="9345"/>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_Toc25685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4 </w:t>
      </w:r>
      <w:r>
        <w:rPr>
          <w:rFonts w:hint="eastAsia" w:ascii="宋体" w:hAnsi="宋体" w:eastAsia="宋体" w:cs="宋体"/>
          <w:sz w:val="21"/>
          <w:szCs w:val="21"/>
          <w:lang w:val="en-US" w:eastAsia="zh-CN"/>
        </w:rPr>
        <w:t>施工交通运输</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_Toc25685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0D87304">
      <w:pPr>
        <w:pStyle w:val="11"/>
        <w:tabs>
          <w:tab w:val="right" w:leader="dot" w:pos="8304"/>
          <w:tab w:val="clear" w:pos="9345"/>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_Toc19030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5 </w:t>
      </w:r>
      <w:r>
        <w:rPr>
          <w:rFonts w:hint="eastAsia" w:ascii="宋体" w:hAnsi="宋体" w:eastAsia="宋体" w:cs="宋体"/>
          <w:sz w:val="21"/>
          <w:szCs w:val="21"/>
          <w:lang w:val="en-US" w:eastAsia="zh-CN"/>
        </w:rPr>
        <w:t>钢结构工程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_Toc19030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E96F1F1">
      <w:pPr>
        <w:pStyle w:val="11"/>
        <w:tabs>
          <w:tab w:val="right" w:leader="dot" w:pos="8304"/>
          <w:tab w:val="clear" w:pos="9345"/>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_Toc20040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6 </w:t>
      </w:r>
      <w:r>
        <w:rPr>
          <w:rFonts w:hint="eastAsia" w:ascii="宋体" w:hAnsi="宋体" w:eastAsia="宋体" w:cs="宋体"/>
          <w:sz w:val="21"/>
          <w:szCs w:val="21"/>
          <w:lang w:val="en-US" w:eastAsia="zh-CN"/>
        </w:rPr>
        <w:t>舾装工程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_Toc20040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E344BD5">
      <w:pPr>
        <w:pStyle w:val="11"/>
        <w:tabs>
          <w:tab w:val="right" w:leader="dot" w:pos="8304"/>
          <w:tab w:val="clear" w:pos="9345"/>
        </w:tabs>
        <w:rPr>
          <w:rFonts w:hint="eastAsia" w:ascii="宋体" w:hAnsi="宋体" w:eastAsia="宋体" w:cs="宋体"/>
          <w:sz w:val="21"/>
          <w:szCs w:val="21"/>
        </w:rPr>
      </w:pPr>
      <w:r>
        <w:rPr>
          <w:rFonts w:hint="eastAsia" w:ascii="宋体" w:hAnsi="宋体" w:eastAsia="宋体" w:cs="宋体"/>
          <w:sz w:val="21"/>
          <w:szCs w:val="21"/>
          <w:lang w:val="en-US" w:eastAsia="zh-CN"/>
        </w:rPr>
        <w:t xml:space="preserve">7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_Toc14789 </w:instrText>
      </w:r>
      <w:r>
        <w:rPr>
          <w:rFonts w:hint="eastAsia" w:ascii="宋体" w:hAnsi="宋体" w:eastAsia="宋体" w:cs="宋体"/>
          <w:sz w:val="21"/>
          <w:szCs w:val="21"/>
        </w:rPr>
        <w:fldChar w:fldCharType="separate"/>
      </w:r>
      <w:r>
        <w:rPr>
          <w:rFonts w:hint="eastAsia" w:ascii="宋体" w:hAnsi="宋体" w:eastAsia="宋体" w:cs="宋体"/>
          <w:sz w:val="21"/>
          <w:szCs w:val="21"/>
          <w:lang w:val="en-US" w:eastAsia="zh-CN"/>
        </w:rPr>
        <w:t>桩基工程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_Toc14789 \h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41FAFED">
      <w:pPr>
        <w:pStyle w:val="11"/>
        <w:tabs>
          <w:tab w:val="right" w:leader="dot" w:pos="8304"/>
          <w:tab w:val="clear" w:pos="9345"/>
        </w:tabs>
        <w:rPr>
          <w:rFonts w:hint="eastAsia" w:ascii="宋体" w:hAnsi="宋体" w:eastAsia="宋体" w:cs="宋体"/>
          <w:sz w:val="21"/>
          <w:szCs w:val="21"/>
        </w:rPr>
      </w:pPr>
      <w:r>
        <w:rPr>
          <w:rFonts w:hint="eastAsia" w:ascii="宋体" w:hAnsi="宋体" w:eastAsia="宋体" w:cs="宋体"/>
          <w:sz w:val="21"/>
          <w:szCs w:val="21"/>
          <w:lang w:val="en-US" w:eastAsia="zh-CN"/>
        </w:rPr>
        <w:t xml:space="preserve">8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_Toc1477 </w:instrText>
      </w:r>
      <w:r>
        <w:rPr>
          <w:rFonts w:hint="eastAsia" w:ascii="宋体" w:hAnsi="宋体" w:eastAsia="宋体" w:cs="宋体"/>
          <w:sz w:val="21"/>
          <w:szCs w:val="21"/>
        </w:rPr>
        <w:fldChar w:fldCharType="separate"/>
      </w:r>
      <w:r>
        <w:rPr>
          <w:rFonts w:hint="eastAsia" w:ascii="宋体" w:hAnsi="宋体" w:eastAsia="宋体" w:cs="宋体"/>
          <w:kern w:val="0"/>
          <w:sz w:val="21"/>
          <w:szCs w:val="21"/>
          <w:lang w:val="en-US" w:eastAsia="zh-CN"/>
        </w:rPr>
        <w:t>基础与上部组块安装</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_Toc1477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193DFA7">
      <w:pPr>
        <w:pStyle w:val="11"/>
        <w:tabs>
          <w:tab w:val="right" w:leader="dot" w:pos="8304"/>
          <w:tab w:val="clear" w:pos="9345"/>
        </w:tabs>
        <w:rPr>
          <w:rFonts w:hint="eastAsia" w:ascii="宋体" w:hAnsi="宋体" w:eastAsia="宋体" w:cs="宋体"/>
          <w:sz w:val="21"/>
          <w:szCs w:val="21"/>
        </w:rPr>
      </w:pPr>
      <w:r>
        <w:rPr>
          <w:rFonts w:hint="eastAsia" w:ascii="宋体" w:hAnsi="宋体" w:eastAsia="宋体" w:cs="宋体"/>
          <w:sz w:val="21"/>
          <w:szCs w:val="21"/>
          <w:lang w:val="en-US" w:eastAsia="zh-CN"/>
        </w:rPr>
        <w:t xml:space="preserve">9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_Toc22794 </w:instrText>
      </w:r>
      <w:r>
        <w:rPr>
          <w:rFonts w:hint="eastAsia" w:ascii="宋体" w:hAnsi="宋体" w:eastAsia="宋体" w:cs="宋体"/>
          <w:sz w:val="21"/>
          <w:szCs w:val="21"/>
        </w:rPr>
        <w:fldChar w:fldCharType="separate"/>
      </w:r>
      <w:r>
        <w:rPr>
          <w:rFonts w:hint="eastAsia" w:ascii="宋体" w:hAnsi="宋体" w:eastAsia="宋体" w:cs="宋体"/>
          <w:kern w:val="0"/>
          <w:sz w:val="21"/>
          <w:szCs w:val="21"/>
          <w:lang w:val="en-US" w:eastAsia="zh-CN"/>
        </w:rPr>
        <w:t>防腐工程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_Toc22794 \h </w:instrText>
      </w:r>
      <w:r>
        <w:rPr>
          <w:rFonts w:hint="eastAsia" w:ascii="宋体" w:hAnsi="宋体" w:eastAsia="宋体" w:cs="宋体"/>
          <w:sz w:val="21"/>
          <w:szCs w:val="21"/>
        </w:rPr>
        <w:fldChar w:fldCharType="separate"/>
      </w:r>
      <w:r>
        <w:rPr>
          <w:rFonts w:hint="eastAsia" w:ascii="宋体" w:hAnsi="宋体" w:eastAsia="宋体" w:cs="宋体"/>
          <w:sz w:val="21"/>
          <w:szCs w:val="21"/>
        </w:rPr>
        <w:t>28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4D45BBA">
      <w:pPr>
        <w:pStyle w:val="11"/>
        <w:tabs>
          <w:tab w:val="right" w:leader="dot" w:pos="8304"/>
          <w:tab w:val="clear" w:pos="9345"/>
        </w:tabs>
        <w:rPr>
          <w:rFonts w:hint="eastAsia" w:ascii="宋体" w:hAnsi="宋体" w:eastAsia="宋体" w:cs="宋体"/>
          <w:sz w:val="21"/>
          <w:szCs w:val="21"/>
        </w:rPr>
      </w:pPr>
      <w:r>
        <w:rPr>
          <w:rFonts w:hint="eastAsia" w:ascii="宋体" w:hAnsi="宋体" w:eastAsia="宋体" w:cs="宋体"/>
          <w:sz w:val="21"/>
          <w:szCs w:val="21"/>
          <w:lang w:val="en-US" w:eastAsia="zh-CN"/>
        </w:rPr>
        <w:t xml:space="preserve">10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_Toc20828 </w:instrText>
      </w:r>
      <w:r>
        <w:rPr>
          <w:rFonts w:hint="eastAsia" w:ascii="宋体" w:hAnsi="宋体" w:eastAsia="宋体" w:cs="宋体"/>
          <w:sz w:val="21"/>
          <w:szCs w:val="21"/>
        </w:rPr>
        <w:fldChar w:fldCharType="separate"/>
      </w:r>
      <w:r>
        <w:rPr>
          <w:rFonts w:hint="eastAsia" w:ascii="宋体" w:hAnsi="宋体" w:eastAsia="宋体" w:cs="宋体"/>
          <w:kern w:val="0"/>
          <w:sz w:val="21"/>
          <w:szCs w:val="21"/>
          <w:lang w:val="en-US" w:eastAsia="zh-CN"/>
        </w:rPr>
        <w:t>防冲刷保护</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_Toc20828 \h </w:instrText>
      </w:r>
      <w:r>
        <w:rPr>
          <w:rFonts w:hint="eastAsia" w:ascii="宋体" w:hAnsi="宋体" w:eastAsia="宋体" w:cs="宋体"/>
          <w:sz w:val="21"/>
          <w:szCs w:val="21"/>
        </w:rPr>
        <w:fldChar w:fldCharType="separate"/>
      </w:r>
      <w:r>
        <w:rPr>
          <w:rFonts w:hint="eastAsia" w:ascii="宋体" w:hAnsi="宋体" w:eastAsia="宋体" w:cs="宋体"/>
          <w:sz w:val="21"/>
          <w:szCs w:val="21"/>
        </w:rPr>
        <w:t>31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8EF4E9E">
      <w:pPr>
        <w:pStyle w:val="11"/>
        <w:tabs>
          <w:tab w:val="right" w:leader="dot" w:pos="8304"/>
          <w:tab w:val="clear" w:pos="9345"/>
        </w:tabs>
        <w:rPr>
          <w:rFonts w:hint="eastAsia" w:ascii="宋体" w:hAnsi="宋体" w:eastAsia="宋体" w:cs="宋体"/>
          <w:sz w:val="21"/>
          <w:szCs w:val="21"/>
        </w:rPr>
      </w:pPr>
      <w:r>
        <w:rPr>
          <w:rFonts w:hint="eastAsia" w:ascii="宋体" w:hAnsi="宋体" w:eastAsia="宋体" w:cs="宋体"/>
          <w:sz w:val="21"/>
          <w:szCs w:val="21"/>
          <w:lang w:val="en-US" w:eastAsia="zh-CN"/>
        </w:rPr>
        <w:t xml:space="preserve">11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_Toc2612 </w:instrText>
      </w:r>
      <w:r>
        <w:rPr>
          <w:rFonts w:hint="eastAsia" w:ascii="宋体" w:hAnsi="宋体" w:eastAsia="宋体" w:cs="宋体"/>
          <w:sz w:val="21"/>
          <w:szCs w:val="21"/>
        </w:rPr>
        <w:fldChar w:fldCharType="separate"/>
      </w:r>
      <w:r>
        <w:rPr>
          <w:rFonts w:hint="eastAsia" w:ascii="宋体" w:hAnsi="宋体" w:eastAsia="宋体" w:cs="宋体"/>
          <w:kern w:val="0"/>
          <w:sz w:val="21"/>
          <w:szCs w:val="21"/>
          <w:lang w:val="en-US" w:eastAsia="zh-CN"/>
        </w:rPr>
        <w:t>附属构件制作与安装</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_Toc2612 \h </w:instrText>
      </w:r>
      <w:r>
        <w:rPr>
          <w:rFonts w:hint="eastAsia" w:ascii="宋体" w:hAnsi="宋体" w:eastAsia="宋体" w:cs="宋体"/>
          <w:sz w:val="21"/>
          <w:szCs w:val="21"/>
        </w:rPr>
        <w:fldChar w:fldCharType="separate"/>
      </w:r>
      <w:r>
        <w:rPr>
          <w:rFonts w:hint="eastAsia" w:ascii="宋体" w:hAnsi="宋体" w:eastAsia="宋体" w:cs="宋体"/>
          <w:sz w:val="21"/>
          <w:szCs w:val="21"/>
        </w:rPr>
        <w:t>32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34D19BF">
      <w:pPr>
        <w:pStyle w:val="11"/>
        <w:tabs>
          <w:tab w:val="right" w:leader="dot" w:pos="8304"/>
          <w:tab w:val="clear" w:pos="9345"/>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_Toc20912 </w:instrText>
      </w:r>
      <w:r>
        <w:rPr>
          <w:rFonts w:hint="eastAsia" w:ascii="宋体" w:hAnsi="宋体" w:eastAsia="宋体" w:cs="宋体"/>
          <w:sz w:val="21"/>
          <w:szCs w:val="21"/>
        </w:rPr>
        <w:fldChar w:fldCharType="separate"/>
      </w:r>
      <w:r>
        <w:rPr>
          <w:rFonts w:hint="eastAsia" w:ascii="宋体" w:hAnsi="宋体" w:eastAsia="宋体" w:cs="宋体"/>
          <w:kern w:val="0"/>
          <w:sz w:val="21"/>
          <w:szCs w:val="21"/>
        </w:rPr>
        <w:t xml:space="preserve">附  录  </w:t>
      </w:r>
      <w:r>
        <w:rPr>
          <w:rFonts w:hint="eastAsia" w:ascii="宋体" w:hAnsi="宋体" w:eastAsia="宋体" w:cs="宋体"/>
          <w:kern w:val="0"/>
          <w:sz w:val="21"/>
          <w:szCs w:val="21"/>
          <w:lang w:val="en-US" w:eastAsia="zh-CN"/>
        </w:rPr>
        <w:t>A</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en-US" w:eastAsia="zh-CN"/>
        </w:rPr>
        <w:t>施工常用船舶与装备技术参数</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_Toc20912 \h </w:instrText>
      </w:r>
      <w:r>
        <w:rPr>
          <w:rFonts w:hint="eastAsia" w:ascii="宋体" w:hAnsi="宋体" w:eastAsia="宋体" w:cs="宋体"/>
          <w:sz w:val="21"/>
          <w:szCs w:val="21"/>
        </w:rPr>
        <w:fldChar w:fldCharType="separate"/>
      </w:r>
      <w:r>
        <w:rPr>
          <w:rFonts w:hint="eastAsia" w:ascii="宋体" w:hAnsi="宋体" w:eastAsia="宋体" w:cs="宋体"/>
          <w:sz w:val="21"/>
          <w:szCs w:val="21"/>
        </w:rPr>
        <w:t>35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320FA5B">
      <w:pPr>
        <w:pStyle w:val="11"/>
        <w:tabs>
          <w:tab w:val="right" w:leader="dot" w:pos="8304"/>
          <w:tab w:val="clear" w:pos="9345"/>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_Toc24291 </w:instrText>
      </w:r>
      <w:r>
        <w:rPr>
          <w:rFonts w:hint="eastAsia" w:ascii="宋体" w:hAnsi="宋体" w:eastAsia="宋体" w:cs="宋体"/>
          <w:sz w:val="21"/>
          <w:szCs w:val="21"/>
        </w:rPr>
        <w:fldChar w:fldCharType="separate"/>
      </w:r>
      <w:r>
        <w:rPr>
          <w:rFonts w:hint="eastAsia" w:ascii="宋体" w:hAnsi="宋体" w:eastAsia="宋体" w:cs="宋体"/>
          <w:kern w:val="0"/>
          <w:sz w:val="21"/>
          <w:szCs w:val="21"/>
        </w:rPr>
        <w:t xml:space="preserve">附  录  </w:t>
      </w:r>
      <w:r>
        <w:rPr>
          <w:rFonts w:hint="eastAsia" w:ascii="宋体" w:hAnsi="宋体" w:eastAsia="宋体" w:cs="宋体"/>
          <w:kern w:val="0"/>
          <w:sz w:val="21"/>
          <w:szCs w:val="21"/>
          <w:lang w:val="en-US" w:eastAsia="zh-CN"/>
        </w:rPr>
        <w:t>B</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en-US" w:eastAsia="zh-CN"/>
        </w:rPr>
        <w:t>深远海施工环境条件限值参考</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_Toc24291 \h </w:instrText>
      </w:r>
      <w:r>
        <w:rPr>
          <w:rFonts w:hint="eastAsia" w:ascii="宋体" w:hAnsi="宋体" w:eastAsia="宋体" w:cs="宋体"/>
          <w:sz w:val="21"/>
          <w:szCs w:val="21"/>
        </w:rPr>
        <w:fldChar w:fldCharType="separate"/>
      </w:r>
      <w:r>
        <w:rPr>
          <w:rFonts w:hint="eastAsia" w:ascii="宋体" w:hAnsi="宋体" w:eastAsia="宋体" w:cs="宋体"/>
          <w:sz w:val="21"/>
          <w:szCs w:val="21"/>
        </w:rPr>
        <w:t>36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856BF67">
      <w:pPr>
        <w:pStyle w:val="11"/>
        <w:tabs>
          <w:tab w:val="right" w:leader="dot" w:pos="8304"/>
          <w:tab w:val="clear" w:pos="9345"/>
        </w:tabs>
        <w:rPr>
          <w:rFonts w:hint="eastAsia" w:ascii="宋体" w:hAnsi="宋体" w:eastAsia="宋体" w:cs="宋体"/>
          <w:sz w:val="21"/>
          <w:szCs w:val="21"/>
        </w:rPr>
      </w:pPr>
    </w:p>
    <w:p w14:paraId="7DBAFA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
        </w:rPr>
      </w:pPr>
      <w:r>
        <w:rPr>
          <w:rFonts w:hint="eastAsia" w:ascii="宋体" w:hAnsi="宋体" w:eastAsia="宋体" w:cs="宋体"/>
          <w:sz w:val="21"/>
          <w:szCs w:val="21"/>
        </w:rPr>
        <w:fldChar w:fldCharType="end"/>
      </w:r>
    </w:p>
    <w:p w14:paraId="6439BB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
        </w:rPr>
      </w:pPr>
    </w:p>
    <w:p w14:paraId="212879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
        </w:rPr>
      </w:pPr>
    </w:p>
    <w:p w14:paraId="753EE2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
        </w:rPr>
      </w:pPr>
    </w:p>
    <w:p w14:paraId="28E266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
        </w:rPr>
      </w:pPr>
    </w:p>
    <w:p w14:paraId="0F0C31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
        </w:rPr>
      </w:pPr>
    </w:p>
    <w:p w14:paraId="09CB06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
        </w:rPr>
      </w:pPr>
    </w:p>
    <w:p w14:paraId="67EDED19">
      <w:pPr>
        <w:keepNext w:val="0"/>
        <w:keepLines w:val="0"/>
        <w:widowControl/>
        <w:suppressLineNumbers w:val="0"/>
        <w:pBdr>
          <w:top w:val="none" w:color="auto" w:sz="0" w:space="0"/>
          <w:left w:val="none" w:color="auto" w:sz="0" w:space="0"/>
          <w:bottom w:val="none" w:color="auto" w:sz="0" w:space="0"/>
          <w:right w:val="none" w:color="auto" w:sz="0" w:space="0"/>
        </w:pBdr>
        <w:tabs>
          <w:tab w:val="left" w:pos="6998"/>
        </w:tabs>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ab/>
      </w:r>
    </w:p>
    <w:p w14:paraId="4F1FB7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
        </w:rPr>
      </w:pPr>
    </w:p>
    <w:p w14:paraId="6BECB0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
        </w:rPr>
      </w:pPr>
    </w:p>
    <w:p w14:paraId="6639E1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
        </w:rPr>
      </w:pPr>
    </w:p>
    <w:p w14:paraId="76F85FA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
        </w:rPr>
      </w:pPr>
    </w:p>
    <w:p w14:paraId="2D2EDD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
        </w:rPr>
      </w:pPr>
    </w:p>
    <w:p w14:paraId="2B4CCC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color w:val="000000"/>
          <w:kern w:val="0"/>
          <w:sz w:val="21"/>
          <w:szCs w:val="21"/>
          <w:lang w:val="en-US" w:eastAsia="zh-CN" w:bidi="ar"/>
        </w:rPr>
      </w:pPr>
    </w:p>
    <w:p w14:paraId="03AD2936">
      <w:pPr>
        <w:pStyle w:val="21"/>
        <w:adjustRightInd/>
        <w:ind w:firstLine="420"/>
        <w:rPr>
          <w:rFonts w:hint="eastAsia" w:eastAsia="宋体"/>
          <w:color w:val="auto"/>
          <w:sz w:val="21"/>
          <w:szCs w:val="21"/>
          <w:highlight w:val="none"/>
          <w:lang w:val="en-US" w:eastAsia="zh-CN"/>
        </w:rPr>
      </w:pPr>
    </w:p>
    <w:p w14:paraId="0AF96B45">
      <w:pPr>
        <w:pStyle w:val="21"/>
        <w:adjustRightInd/>
        <w:ind w:firstLine="420"/>
        <w:rPr>
          <w:rFonts w:hint="eastAsia" w:eastAsia="宋体"/>
          <w:color w:val="auto"/>
          <w:sz w:val="21"/>
          <w:szCs w:val="21"/>
          <w:highlight w:val="none"/>
          <w:lang w:val="en-US" w:eastAsia="zh-CN"/>
        </w:rPr>
      </w:pPr>
    </w:p>
    <w:p w14:paraId="5B11389C">
      <w:pPr>
        <w:pStyle w:val="21"/>
        <w:adjustRightInd/>
        <w:ind w:firstLine="420"/>
        <w:rPr>
          <w:rFonts w:hint="eastAsia" w:eastAsia="宋体"/>
          <w:color w:val="auto"/>
          <w:sz w:val="21"/>
          <w:szCs w:val="21"/>
          <w:highlight w:val="none"/>
          <w:lang w:val="en-US" w:eastAsia="zh-CN"/>
        </w:rPr>
      </w:pPr>
    </w:p>
    <w:p w14:paraId="3A31E8AC">
      <w:pPr>
        <w:pStyle w:val="21"/>
        <w:adjustRightInd/>
        <w:ind w:firstLine="420"/>
        <w:rPr>
          <w:rFonts w:hint="eastAsia" w:eastAsia="宋体"/>
          <w:color w:val="auto"/>
          <w:sz w:val="21"/>
          <w:szCs w:val="21"/>
          <w:highlight w:val="none"/>
          <w:lang w:val="en-US" w:eastAsia="zh-CN"/>
        </w:rPr>
      </w:pPr>
    </w:p>
    <w:p w14:paraId="2A243937">
      <w:pPr>
        <w:pStyle w:val="21"/>
        <w:adjustRightInd/>
        <w:ind w:firstLine="420"/>
        <w:rPr>
          <w:rFonts w:hint="eastAsia" w:eastAsia="宋体"/>
          <w:color w:val="auto"/>
          <w:sz w:val="21"/>
          <w:szCs w:val="21"/>
          <w:highlight w:val="none"/>
          <w:lang w:val="en-US" w:eastAsia="zh-CN"/>
        </w:rPr>
      </w:pPr>
    </w:p>
    <w:p w14:paraId="0843681A">
      <w:pPr>
        <w:pStyle w:val="21"/>
        <w:adjustRightInd/>
        <w:ind w:firstLine="420"/>
        <w:rPr>
          <w:rFonts w:hint="eastAsia" w:eastAsia="宋体"/>
          <w:color w:val="auto"/>
          <w:sz w:val="21"/>
          <w:szCs w:val="21"/>
          <w:highlight w:val="none"/>
          <w:lang w:val="en-US" w:eastAsia="zh-CN"/>
        </w:rPr>
      </w:pPr>
    </w:p>
    <w:p w14:paraId="005D2B02">
      <w:pPr>
        <w:pStyle w:val="21"/>
        <w:adjustRightInd/>
        <w:ind w:firstLine="420"/>
        <w:rPr>
          <w:rFonts w:hint="eastAsia" w:eastAsia="宋体"/>
          <w:color w:val="auto"/>
          <w:sz w:val="21"/>
          <w:szCs w:val="21"/>
          <w:highlight w:val="none"/>
          <w:lang w:val="en-US" w:eastAsia="zh-CN"/>
        </w:rPr>
      </w:pPr>
    </w:p>
    <w:p w14:paraId="41DFE824">
      <w:pPr>
        <w:pStyle w:val="21"/>
        <w:adjustRightInd/>
        <w:ind w:firstLine="420"/>
        <w:rPr>
          <w:rFonts w:hint="eastAsia" w:eastAsia="宋体"/>
          <w:color w:val="auto"/>
          <w:sz w:val="21"/>
          <w:szCs w:val="21"/>
          <w:highlight w:val="none"/>
          <w:lang w:val="en-US" w:eastAsia="zh-CN"/>
        </w:rPr>
      </w:pPr>
    </w:p>
    <w:p w14:paraId="66CAF840">
      <w:pPr>
        <w:pStyle w:val="21"/>
        <w:adjustRightInd/>
        <w:ind w:firstLine="420"/>
        <w:rPr>
          <w:rFonts w:hint="eastAsia" w:eastAsia="宋体"/>
          <w:color w:val="auto"/>
          <w:sz w:val="21"/>
          <w:szCs w:val="21"/>
          <w:highlight w:val="none"/>
          <w:lang w:val="en-US" w:eastAsia="zh-CN"/>
        </w:rPr>
      </w:pPr>
    </w:p>
    <w:p w14:paraId="63436D14">
      <w:pPr>
        <w:pStyle w:val="21"/>
        <w:adjustRightInd/>
        <w:ind w:firstLine="420"/>
        <w:rPr>
          <w:rFonts w:hint="eastAsia" w:eastAsia="宋体"/>
          <w:color w:val="auto"/>
          <w:sz w:val="21"/>
          <w:szCs w:val="21"/>
          <w:lang w:val="en-US" w:eastAsia="zh-CN"/>
        </w:rPr>
      </w:pPr>
    </w:p>
    <w:p w14:paraId="623FB770">
      <w:pPr>
        <w:rPr>
          <w:rFonts w:hint="eastAsia" w:ascii="宋体" w:hAnsi="宋体" w:eastAsia="宋体" w:cs="宋体"/>
          <w:color w:val="000000"/>
          <w:sz w:val="21"/>
          <w:szCs w:val="21"/>
        </w:rPr>
      </w:pPr>
    </w:p>
    <w:p w14:paraId="19789D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深远海风电场土建工程施工技术规程</w:t>
      </w:r>
    </w:p>
    <w:p w14:paraId="7D9B6C64">
      <w:pPr>
        <w:rPr>
          <w:rFonts w:hint="eastAsia"/>
        </w:rPr>
      </w:pPr>
    </w:p>
    <w:p w14:paraId="5F4B27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前言</w:t>
      </w:r>
    </w:p>
    <w:p w14:paraId="614505A9">
      <w:pPr>
        <w:ind w:firstLine="420" w:firstLineChars="200"/>
        <w:rPr>
          <w:rFonts w:hint="eastAsia"/>
        </w:rPr>
      </w:pPr>
    </w:p>
    <w:p w14:paraId="6A481C00">
      <w:pPr>
        <w:ind w:firstLine="420" w:firstLineChars="200"/>
        <w:rPr>
          <w:rFonts w:hint="eastAsia"/>
        </w:rPr>
      </w:pPr>
    </w:p>
    <w:p w14:paraId="42465510">
      <w:pPr>
        <w:pStyle w:val="21"/>
        <w:adjustRightInd/>
        <w:ind w:firstLine="420"/>
        <w:rPr>
          <w:rFonts w:hint="eastAsia"/>
          <w:color w:val="auto"/>
          <w:sz w:val="21"/>
          <w:szCs w:val="21"/>
          <w:lang w:val="en-US" w:eastAsia="zh-CN"/>
        </w:rPr>
      </w:pPr>
      <w:r>
        <w:rPr>
          <w:rFonts w:hint="eastAsia"/>
          <w:color w:val="auto"/>
          <w:sz w:val="21"/>
          <w:szCs w:val="21"/>
          <w:lang w:val="en-US" w:eastAsia="zh-CN"/>
        </w:rPr>
        <w:t>为统一深远海风电场土建工程施工技术要求，保障工程施工质量及结构长期运行安全耐久，本规程总结国内深远海风电场已建、在建的工程实践经验，借鉴国内外海洋工程施工技术标准，经业内专题研讨、广泛征求意见并反复校核修订后编制而成。本规程主要包括总则、术语和符号、基本规定、施工交通运输、钢结构工程、舾装工程、桩基工程、基础与上部组块安装、防腐工程、防冲刷保护、附属构件制作与安装等技术内容。</w:t>
      </w:r>
    </w:p>
    <w:p w14:paraId="7C386823">
      <w:pPr>
        <w:pStyle w:val="21"/>
        <w:adjustRightInd/>
        <w:ind w:firstLine="420"/>
        <w:rPr>
          <w:rFonts w:hint="eastAsia"/>
          <w:color w:val="auto"/>
          <w:sz w:val="21"/>
          <w:szCs w:val="21"/>
          <w:lang w:val="en-US" w:eastAsia="zh-CN"/>
        </w:rPr>
      </w:pPr>
      <w:r>
        <w:rPr>
          <w:rFonts w:hint="eastAsia"/>
          <w:color w:val="auto"/>
          <w:sz w:val="21"/>
          <w:szCs w:val="21"/>
          <w:lang w:val="en-US" w:eastAsia="zh-CN"/>
        </w:rPr>
        <w:t>本规程由中国电力建设企业协会提出并归口。主编单位、参编单位、主要起草人和主要审查人：</w:t>
      </w:r>
    </w:p>
    <w:p w14:paraId="0CAF5E1C">
      <w:pPr>
        <w:pStyle w:val="21"/>
        <w:adjustRightInd/>
        <w:ind w:firstLine="420"/>
        <w:rPr>
          <w:rFonts w:hint="eastAsia"/>
          <w:color w:val="auto"/>
          <w:sz w:val="21"/>
          <w:szCs w:val="21"/>
          <w:lang w:val="en-US" w:eastAsia="zh-CN"/>
        </w:rPr>
      </w:pPr>
      <w:r>
        <w:rPr>
          <w:rFonts w:hint="eastAsia"/>
          <w:color w:val="auto"/>
          <w:sz w:val="21"/>
          <w:szCs w:val="21"/>
          <w:lang w:val="en-US" w:eastAsia="zh-CN"/>
        </w:rPr>
        <w:t>本规程主编单位：</w:t>
      </w:r>
    </w:p>
    <w:p w14:paraId="15FD6FB6">
      <w:pPr>
        <w:pStyle w:val="21"/>
        <w:adjustRightInd/>
        <w:ind w:firstLine="420"/>
        <w:rPr>
          <w:rFonts w:hint="eastAsia"/>
          <w:color w:val="auto"/>
          <w:sz w:val="21"/>
          <w:szCs w:val="21"/>
          <w:lang w:val="en-US" w:eastAsia="zh-CN"/>
        </w:rPr>
      </w:pPr>
      <w:r>
        <w:rPr>
          <w:rFonts w:hint="eastAsia"/>
          <w:color w:val="auto"/>
          <w:sz w:val="21"/>
          <w:szCs w:val="21"/>
          <w:lang w:val="en-US" w:eastAsia="zh-CN"/>
        </w:rPr>
        <w:t>本规程参编单位：</w:t>
      </w:r>
    </w:p>
    <w:p w14:paraId="70FF8CEB">
      <w:pPr>
        <w:pStyle w:val="21"/>
        <w:adjustRightInd/>
        <w:ind w:firstLine="420"/>
        <w:rPr>
          <w:rFonts w:hint="eastAsia"/>
          <w:color w:val="auto"/>
          <w:sz w:val="21"/>
          <w:szCs w:val="21"/>
          <w:lang w:val="en-US" w:eastAsia="zh-CN"/>
        </w:rPr>
      </w:pPr>
      <w:r>
        <w:rPr>
          <w:rFonts w:hint="eastAsia"/>
          <w:color w:val="auto"/>
          <w:sz w:val="21"/>
          <w:szCs w:val="21"/>
          <w:lang w:val="en-US" w:eastAsia="zh-CN"/>
        </w:rPr>
        <w:t>本规程主要起草人：</w:t>
      </w:r>
    </w:p>
    <w:p w14:paraId="54CA3EC4">
      <w:pPr>
        <w:pStyle w:val="21"/>
        <w:adjustRightInd/>
        <w:ind w:firstLine="420"/>
        <w:rPr>
          <w:rFonts w:hint="eastAsia"/>
          <w:color w:val="auto"/>
          <w:sz w:val="21"/>
          <w:szCs w:val="21"/>
          <w:lang w:val="en-US" w:eastAsia="zh-CN"/>
        </w:rPr>
      </w:pPr>
      <w:r>
        <w:rPr>
          <w:rFonts w:hint="eastAsia"/>
          <w:color w:val="auto"/>
          <w:sz w:val="21"/>
          <w:szCs w:val="21"/>
          <w:lang w:val="en-US" w:eastAsia="zh-CN"/>
        </w:rPr>
        <w:t>本规程主要审查人：</w:t>
      </w:r>
    </w:p>
    <w:p w14:paraId="69FFAF78">
      <w:pPr>
        <w:pStyle w:val="21"/>
        <w:adjustRightInd/>
        <w:ind w:firstLine="420"/>
        <w:rPr>
          <w:rFonts w:hint="eastAsia"/>
          <w:color w:val="auto"/>
          <w:sz w:val="21"/>
          <w:szCs w:val="21"/>
          <w:lang w:val="en-US" w:eastAsia="zh-CN"/>
        </w:rPr>
      </w:pPr>
    </w:p>
    <w:p w14:paraId="06C99EC3">
      <w:pPr>
        <w:widowControl/>
        <w:spacing w:line="360" w:lineRule="atLeast"/>
        <w:ind w:firstLine="480" w:firstLineChars="200"/>
        <w:jc w:val="left"/>
        <w:rPr>
          <w:rFonts w:hint="eastAsia" w:ascii="Arial" w:hAnsi="Arial" w:eastAsia="宋体" w:cs="Arial"/>
          <w:color w:val="000000"/>
          <w:kern w:val="0"/>
          <w:sz w:val="24"/>
          <w:szCs w:val="24"/>
        </w:rPr>
      </w:pPr>
    </w:p>
    <w:p w14:paraId="4CB05F37">
      <w:pPr>
        <w:pStyle w:val="21"/>
        <w:adjustRightInd/>
        <w:ind w:firstLine="420"/>
        <w:rPr>
          <w:color w:val="auto"/>
          <w:sz w:val="21"/>
          <w:szCs w:val="21"/>
        </w:rPr>
      </w:pPr>
      <w:r>
        <w:rPr>
          <w:rFonts w:hint="eastAsia"/>
          <w:color w:val="auto"/>
          <w:sz w:val="21"/>
          <w:szCs w:val="21"/>
        </w:rPr>
        <w:t>本文件为首次发布。</w:t>
      </w:r>
    </w:p>
    <w:p w14:paraId="0A3D71F2">
      <w:pPr>
        <w:pStyle w:val="21"/>
        <w:adjustRightInd/>
        <w:rPr>
          <w:color w:val="auto"/>
          <w:sz w:val="21"/>
          <w:szCs w:val="21"/>
        </w:rPr>
        <w:sectPr>
          <w:headerReference r:id="rId10" w:type="first"/>
          <w:footerReference r:id="rId13" w:type="first"/>
          <w:footerReference r:id="rId11" w:type="default"/>
          <w:footerReference r:id="rId12" w:type="even"/>
          <w:pgSz w:w="11904" w:h="17340"/>
          <w:pgMar w:top="1440" w:right="1800" w:bottom="1440" w:left="1800" w:header="720" w:footer="720" w:gutter="0"/>
          <w:pgBorders>
            <w:top w:val="none" w:sz="0" w:space="0"/>
            <w:left w:val="none" w:sz="0" w:space="0"/>
            <w:bottom w:val="none" w:sz="0" w:space="0"/>
            <w:right w:val="none" w:sz="0" w:space="0"/>
          </w:pgBorders>
          <w:pgNumType w:fmt="upperRoman" w:start="1"/>
          <w:cols w:space="720" w:num="1"/>
          <w:titlePg/>
          <w:docGrid w:linePitch="286" w:charSpace="0"/>
        </w:sectPr>
      </w:pPr>
    </w:p>
    <w:p w14:paraId="5B110942">
      <w:pPr>
        <w:rPr>
          <w:rFonts w:hint="eastAsia" w:ascii="宋体" w:hAnsi="宋体" w:eastAsia="宋体" w:cs="宋体"/>
          <w:color w:val="000000"/>
          <w:sz w:val="21"/>
          <w:szCs w:val="21"/>
        </w:rPr>
      </w:pPr>
    </w:p>
    <w:p w14:paraId="5859C9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1"/>
          <w:szCs w:val="21"/>
        </w:rPr>
      </w:pP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rPr>
        <w:t>总则</w:t>
      </w:r>
    </w:p>
    <w:p w14:paraId="660A2C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1.1为了提高深远海风电场土建工程施工技术、管理水平和施工的规范化，保证施工质量和安全，制定本规范。</w:t>
      </w:r>
    </w:p>
    <w:p w14:paraId="7E1CCA0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1.2 本规范适用于新建、改建和扩建的深远海海上风力发电土建工程施工。</w:t>
      </w:r>
    </w:p>
    <w:p w14:paraId="23F3E8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1.3 深远海风电场土建工程施工除执行本规范外，尚应符合国家现行相关标准的规定。</w:t>
      </w:r>
    </w:p>
    <w:p w14:paraId="545AEC60">
      <w:pPr>
        <w:pStyle w:val="21"/>
        <w:adjustRightInd/>
        <w:ind w:right="112" w:firstLine="420"/>
        <w:jc w:val="both"/>
        <w:rPr>
          <w:rFonts w:hint="eastAsia" w:eastAsia="宋体"/>
          <w:color w:val="auto"/>
          <w:sz w:val="21"/>
          <w:szCs w:val="21"/>
          <w:highlight w:val="none"/>
        </w:rPr>
      </w:pPr>
    </w:p>
    <w:p w14:paraId="7326BD1E">
      <w:pPr>
        <w:rPr>
          <w:rFonts w:hint="eastAsia"/>
        </w:rPr>
      </w:pPr>
    </w:p>
    <w:p w14:paraId="59B136BD">
      <w:pPr>
        <w:rPr>
          <w:rFonts w:hint="eastAsia"/>
        </w:rPr>
      </w:pPr>
    </w:p>
    <w:p w14:paraId="3713125B">
      <w:pPr>
        <w:rPr>
          <w:rFonts w:hint="eastAsia"/>
        </w:rPr>
      </w:pPr>
    </w:p>
    <w:p w14:paraId="52219090">
      <w:pPr>
        <w:rPr>
          <w:rFonts w:hint="eastAsia"/>
        </w:rPr>
      </w:pPr>
    </w:p>
    <w:p w14:paraId="3B4B9EFF">
      <w:pPr>
        <w:rPr>
          <w:rFonts w:hint="eastAsia"/>
        </w:rPr>
      </w:pPr>
    </w:p>
    <w:p w14:paraId="43F9A3C6">
      <w:pPr>
        <w:rPr>
          <w:rFonts w:hint="eastAsia"/>
        </w:rPr>
      </w:pPr>
    </w:p>
    <w:p w14:paraId="2A2D6717">
      <w:pPr>
        <w:rPr>
          <w:rFonts w:hint="eastAsia"/>
        </w:rPr>
      </w:pPr>
    </w:p>
    <w:p w14:paraId="3AA20521">
      <w:pPr>
        <w:rPr>
          <w:rFonts w:hint="eastAsia"/>
        </w:rPr>
      </w:pPr>
    </w:p>
    <w:p w14:paraId="1E02BCFA">
      <w:pPr>
        <w:rPr>
          <w:rFonts w:hint="eastAsia"/>
        </w:rPr>
      </w:pPr>
    </w:p>
    <w:p w14:paraId="326EAB44">
      <w:pPr>
        <w:rPr>
          <w:rFonts w:hint="eastAsia"/>
        </w:rPr>
      </w:pPr>
    </w:p>
    <w:p w14:paraId="5477EDE5">
      <w:pPr>
        <w:rPr>
          <w:rFonts w:hint="eastAsia"/>
        </w:rPr>
      </w:pPr>
    </w:p>
    <w:p w14:paraId="3DACB3E5">
      <w:pPr>
        <w:rPr>
          <w:rFonts w:hint="eastAsia"/>
        </w:rPr>
      </w:pPr>
    </w:p>
    <w:p w14:paraId="1080FD6F">
      <w:pPr>
        <w:rPr>
          <w:rFonts w:hint="eastAsia"/>
        </w:rPr>
      </w:pPr>
    </w:p>
    <w:p w14:paraId="1C50BEF4">
      <w:pPr>
        <w:rPr>
          <w:rFonts w:hint="eastAsia"/>
        </w:rPr>
      </w:pPr>
    </w:p>
    <w:p w14:paraId="4DFDE055">
      <w:pPr>
        <w:rPr>
          <w:rFonts w:hint="eastAsia"/>
        </w:rPr>
      </w:pPr>
    </w:p>
    <w:p w14:paraId="50426D5B">
      <w:pPr>
        <w:rPr>
          <w:rFonts w:hint="eastAsia"/>
        </w:rPr>
      </w:pPr>
    </w:p>
    <w:p w14:paraId="74E874CA">
      <w:pPr>
        <w:rPr>
          <w:rFonts w:hint="eastAsia"/>
        </w:rPr>
      </w:pPr>
    </w:p>
    <w:p w14:paraId="0106446F">
      <w:pPr>
        <w:rPr>
          <w:rFonts w:hint="eastAsia"/>
        </w:rPr>
      </w:pPr>
    </w:p>
    <w:p w14:paraId="7DFC183A">
      <w:pPr>
        <w:rPr>
          <w:rFonts w:hint="eastAsia"/>
        </w:rPr>
      </w:pPr>
    </w:p>
    <w:p w14:paraId="5A94D885">
      <w:pPr>
        <w:rPr>
          <w:rFonts w:hint="eastAsia"/>
        </w:rPr>
      </w:pPr>
    </w:p>
    <w:p w14:paraId="634B4CB3">
      <w:pPr>
        <w:rPr>
          <w:rFonts w:hint="eastAsia"/>
        </w:rPr>
      </w:pPr>
    </w:p>
    <w:p w14:paraId="48C0BE85">
      <w:pPr>
        <w:rPr>
          <w:rFonts w:hint="eastAsia"/>
        </w:rPr>
      </w:pPr>
    </w:p>
    <w:p w14:paraId="3F6D8E4C">
      <w:pPr>
        <w:rPr>
          <w:rFonts w:hint="eastAsia"/>
        </w:rPr>
      </w:pPr>
    </w:p>
    <w:p w14:paraId="292F30EB">
      <w:pPr>
        <w:rPr>
          <w:rFonts w:hint="eastAsia"/>
        </w:rPr>
      </w:pPr>
    </w:p>
    <w:p w14:paraId="3B5D37FF">
      <w:pPr>
        <w:rPr>
          <w:rFonts w:hint="eastAsia"/>
        </w:rPr>
      </w:pPr>
    </w:p>
    <w:p w14:paraId="407D59D8">
      <w:pPr>
        <w:rPr>
          <w:rFonts w:hint="eastAsia"/>
        </w:rPr>
      </w:pPr>
    </w:p>
    <w:p w14:paraId="0691FB1A">
      <w:pPr>
        <w:rPr>
          <w:rFonts w:hint="eastAsia"/>
        </w:rPr>
      </w:pPr>
    </w:p>
    <w:p w14:paraId="64972682">
      <w:pPr>
        <w:rPr>
          <w:rFonts w:hint="eastAsia"/>
        </w:rPr>
      </w:pPr>
    </w:p>
    <w:p w14:paraId="2D797E46">
      <w:pPr>
        <w:rPr>
          <w:rFonts w:hint="eastAsia"/>
        </w:rPr>
      </w:pPr>
    </w:p>
    <w:p w14:paraId="5DF2D384">
      <w:pPr>
        <w:rPr>
          <w:rFonts w:hint="eastAsia"/>
        </w:rPr>
      </w:pPr>
    </w:p>
    <w:p w14:paraId="30AC2C41">
      <w:pPr>
        <w:rPr>
          <w:rFonts w:hint="eastAsia"/>
        </w:rPr>
      </w:pPr>
    </w:p>
    <w:p w14:paraId="0FAC555F">
      <w:pPr>
        <w:rPr>
          <w:rFonts w:hint="eastAsia"/>
        </w:rPr>
      </w:pPr>
    </w:p>
    <w:p w14:paraId="50F6A319">
      <w:pPr>
        <w:rPr>
          <w:rFonts w:hint="eastAsia"/>
        </w:rPr>
      </w:pPr>
    </w:p>
    <w:p w14:paraId="5AB5149C">
      <w:pPr>
        <w:rPr>
          <w:rFonts w:hint="eastAsia"/>
        </w:rPr>
      </w:pPr>
    </w:p>
    <w:p w14:paraId="11EF8BA1">
      <w:pPr>
        <w:rPr>
          <w:rFonts w:hint="eastAsia"/>
        </w:rPr>
      </w:pPr>
    </w:p>
    <w:p w14:paraId="5A0B12AD">
      <w:pPr>
        <w:rPr>
          <w:rFonts w:hint="eastAsia"/>
        </w:rPr>
      </w:pPr>
    </w:p>
    <w:p w14:paraId="4210329F">
      <w:pPr>
        <w:rPr>
          <w:rFonts w:hint="eastAsia"/>
        </w:rPr>
      </w:pPr>
    </w:p>
    <w:p w14:paraId="075FA0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8"/>
          <w:szCs w:val="28"/>
        </w:rPr>
      </w:pPr>
      <w:r>
        <w:rPr>
          <w:rFonts w:hint="eastAsia" w:ascii="宋体" w:hAnsi="宋体" w:eastAsia="宋体" w:cs="宋体"/>
          <w:color w:val="000000"/>
          <w:sz w:val="28"/>
          <w:szCs w:val="28"/>
        </w:rPr>
        <w:t>2 术语与符号</w:t>
      </w:r>
    </w:p>
    <w:p w14:paraId="680AD2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2.1 深远海 offshore deep water</w:t>
      </w:r>
    </w:p>
    <w:p w14:paraId="4733C0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highlight w:val="none"/>
          <w:lang w:val="en-US" w:eastAsia="zh-CN"/>
        </w:rPr>
      </w:pPr>
      <w:r>
        <w:rPr>
          <w:rFonts w:hint="eastAsia"/>
          <w:highlight w:val="none"/>
        </w:rPr>
        <w:t>离岸</w:t>
      </w:r>
      <w:r>
        <w:rPr>
          <w:rFonts w:hint="eastAsia" w:ascii="宋体" w:hAnsi="宋体" w:eastAsia="宋体" w:cs="宋体"/>
          <w:szCs w:val="21"/>
          <w:highlight w:val="none"/>
          <w:shd w:val="clear" w:color="auto" w:fill="FFFFFF"/>
        </w:rPr>
        <w:t>超过65公里或</w:t>
      </w:r>
      <w:r>
        <w:rPr>
          <w:rStyle w:val="18"/>
          <w:rFonts w:hint="eastAsia" w:ascii="宋体" w:hAnsi="宋体" w:eastAsia="宋体" w:cs="宋体"/>
          <w:i w:val="0"/>
          <w:szCs w:val="21"/>
          <w:highlight w:val="none"/>
          <w:shd w:val="clear" w:color="auto" w:fill="FFFFFF"/>
        </w:rPr>
        <w:t>水深</w:t>
      </w:r>
      <w:r>
        <w:rPr>
          <w:rFonts w:hint="eastAsia" w:ascii="宋体" w:hAnsi="宋体" w:eastAsia="宋体" w:cs="宋体"/>
          <w:szCs w:val="21"/>
          <w:highlight w:val="none"/>
          <w:shd w:val="clear" w:color="auto" w:fill="FFFFFF"/>
        </w:rPr>
        <w:t>超过50米</w:t>
      </w:r>
      <w:r>
        <w:rPr>
          <w:rFonts w:hint="eastAsia"/>
          <w:highlight w:val="none"/>
        </w:rPr>
        <w:t>的海域</w:t>
      </w:r>
      <w:r>
        <w:rPr>
          <w:rFonts w:hint="eastAsia"/>
          <w:highlight w:val="none"/>
          <w:lang w:val="en-US" w:eastAsia="zh-CN"/>
        </w:rPr>
        <w:t xml:space="preserve"> </w:t>
      </w:r>
    </w:p>
    <w:p w14:paraId="616E91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lang w:val="en-US" w:eastAsia="zh-CN"/>
        </w:rPr>
        <w:t xml:space="preserve">2.2远海风力发电场 farshore wind farm </w:t>
      </w:r>
    </w:p>
    <w:p w14:paraId="640DD5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lang w:val="en-US" w:eastAsia="zh-CN"/>
        </w:rPr>
        <w:t xml:space="preserve">场区离海底电缆路由登陆点所在岸线最近距离大于65km的风力发电场。 </w:t>
      </w:r>
    </w:p>
    <w:p w14:paraId="7ADB2E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lang w:val="en-US" w:eastAsia="zh-CN"/>
        </w:rPr>
        <w:t xml:space="preserve">2.3深海风力发电场 deep-sea wind farm </w:t>
      </w:r>
    </w:p>
    <w:p w14:paraId="53CE50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lang w:val="en-US" w:eastAsia="zh-CN"/>
        </w:rPr>
        <w:t xml:space="preserve">场区水深大于理论最低潮位以下50m的风力发电场。 </w:t>
      </w:r>
    </w:p>
    <w:p w14:paraId="4DBFDD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2.4桩基础pile foundation</w:t>
      </w:r>
    </w:p>
    <w:p w14:paraId="1C2A32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由基桩和承接上部结构的承台组成基础型式。</w:t>
      </w:r>
    </w:p>
    <w:p w14:paraId="564A31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2.5 导管架基础jacket foundation</w:t>
      </w:r>
    </w:p>
    <w:p w14:paraId="7B57C697">
      <w:pPr>
        <w:keepNext w:val="0"/>
        <w:keepLines w:val="0"/>
        <w:widowControl/>
        <w:suppressLineNumbers w:val="0"/>
        <w:jc w:val="left"/>
        <w:rPr>
          <w:rFonts w:hint="eastAsia" w:ascii="宋体" w:hAnsi="宋体" w:eastAsia="宋体" w:cs="宋体"/>
          <w:b w:val="0"/>
          <w:bCs w:val="0"/>
          <w:highlight w:val="none"/>
          <w:lang w:val="en-US" w:eastAsia="zh-CN"/>
        </w:rPr>
      </w:pPr>
      <w:r>
        <w:rPr>
          <w:rFonts w:hint="eastAsia" w:ascii="宋体" w:hAnsi="宋体" w:eastAsia="宋体" w:cs="宋体"/>
          <w:color w:val="000000"/>
          <w:spacing w:val="0"/>
          <w:kern w:val="0"/>
          <w:position w:val="0"/>
          <w:sz w:val="21"/>
          <w:szCs w:val="21"/>
          <w:lang w:val="en-US" w:eastAsia="zh-CN" w:bidi="ar"/>
        </w:rPr>
        <w:t>由竖向立柱和横向、斜向联接钢管焊接结成的空间结构，与桩基础共同组成支撑风力发电机组结构体系的基础</w:t>
      </w:r>
      <w:r>
        <w:rPr>
          <w:rFonts w:hint="eastAsia" w:ascii="宋体" w:hAnsi="宋体" w:eastAsia="宋体" w:cs="宋体"/>
          <w:b w:val="0"/>
          <w:bCs w:val="0"/>
          <w:highlight w:val="none"/>
          <w:lang w:val="en-US" w:eastAsia="zh-CN"/>
        </w:rPr>
        <w:t>。</w:t>
      </w:r>
    </w:p>
    <w:p w14:paraId="57EB29C1">
      <w:pPr>
        <w:keepNext w:val="0"/>
        <w:keepLines w:val="0"/>
        <w:widowControl/>
        <w:suppressLineNumbers w:val="0"/>
        <w:jc w:val="left"/>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 xml:space="preserve">2.6 漂浮式基础  floating offshore wind turbine foundation </w:t>
      </w:r>
    </w:p>
    <w:p w14:paraId="6E7DD89A">
      <w:pPr>
        <w:keepNext w:val="0"/>
        <w:keepLines w:val="0"/>
        <w:widowControl/>
        <w:suppressLineNumbers w:val="0"/>
        <w:jc w:val="left"/>
      </w:pPr>
      <w:r>
        <w:rPr>
          <w:rFonts w:hint="eastAsia" w:ascii="宋体" w:hAnsi="宋体" w:eastAsia="宋体" w:cs="宋体"/>
          <w:color w:val="000000"/>
          <w:spacing w:val="0"/>
          <w:kern w:val="0"/>
          <w:position w:val="0"/>
          <w:sz w:val="21"/>
          <w:szCs w:val="21"/>
          <w:lang w:val="en-US" w:eastAsia="zh-CN" w:bidi="ar"/>
        </w:rPr>
        <w:t>通过调整水舱水量对漂浮式海上风力发电机组基础进行吃水、浮态调整的系统，由压载泵、压载水舱、管道和相关阀件等设备组成。</w:t>
      </w:r>
      <w:r>
        <w:rPr>
          <w:rFonts w:ascii="宋体" w:hAnsi="宋体" w:eastAsia="宋体" w:cs="宋体"/>
          <w:kern w:val="0"/>
          <w:sz w:val="24"/>
          <w:szCs w:val="24"/>
          <w:lang w:val="en-US" w:eastAsia="zh-CN" w:bidi="ar"/>
        </w:rPr>
        <w:t xml:space="preserve"> </w:t>
      </w:r>
    </w:p>
    <w:p w14:paraId="1841DB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2.7 系泊系统 mooring system</w:t>
      </w:r>
    </w:p>
    <w:p w14:paraId="42D5A9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color w:val="000000"/>
          <w:spacing w:val="0"/>
          <w:kern w:val="0"/>
          <w:position w:val="0"/>
          <w:sz w:val="21"/>
          <w:szCs w:val="21"/>
          <w:lang w:val="en-US" w:eastAsia="zh-CN" w:bidi="ar"/>
        </w:rPr>
        <w:t>一种用于约束漂浮式基础运动的被动锚定系统，包括系泊索或张力筋腱、锚固系统和配套设备</w:t>
      </w:r>
      <w:r>
        <w:rPr>
          <w:rFonts w:hint="eastAsia" w:ascii="宋体" w:hAnsi="宋体" w:eastAsia="宋体" w:cs="宋体"/>
          <w:b w:val="0"/>
          <w:bCs w:val="0"/>
          <w:highlight w:val="none"/>
          <w:lang w:val="en-US" w:eastAsia="zh-CN"/>
        </w:rPr>
        <w:t>。</w:t>
      </w:r>
    </w:p>
    <w:p w14:paraId="31047D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2.8拖航tugging navigation</w:t>
      </w:r>
    </w:p>
    <w:p w14:paraId="0C589E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采用拖轮、拖具及固定装置对海上白升式平台、浮鸣、无动力装置的驳船等进行牵引运输的方式。</w:t>
      </w:r>
    </w:p>
    <w:p w14:paraId="748489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2.9 组装场地 assemblage field</w:t>
      </w:r>
    </w:p>
    <w:p w14:paraId="32E206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设置在陆地、码头或船坞等可进行机组设备装配作业的场所。</w:t>
      </w:r>
    </w:p>
    <w:p w14:paraId="020626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2.10 上部组块 topside</w:t>
      </w:r>
    </w:p>
    <w:p w14:paraId="44B35297">
      <w:pPr>
        <w:keepNext w:val="0"/>
        <w:keepLines w:val="0"/>
        <w:widowControl/>
        <w:suppressLineNumbers w:val="0"/>
        <w:jc w:val="left"/>
      </w:pPr>
      <w:r>
        <w:rPr>
          <w:rFonts w:hint="eastAsia" w:ascii="宋体" w:hAnsi="宋体" w:eastAsia="宋体" w:cs="宋体"/>
          <w:color w:val="000000"/>
          <w:spacing w:val="0"/>
          <w:kern w:val="0"/>
          <w:position w:val="0"/>
          <w:sz w:val="21"/>
          <w:szCs w:val="21"/>
          <w:lang w:val="en-US" w:eastAsia="zh-CN" w:bidi="ar"/>
        </w:rPr>
        <w:t>海上平台在基础以上的结构、设备和设施的总称。</w:t>
      </w:r>
      <w:r>
        <w:rPr>
          <w:rFonts w:ascii="宋体" w:hAnsi="宋体" w:eastAsia="宋体" w:cs="宋体"/>
          <w:kern w:val="0"/>
          <w:sz w:val="24"/>
          <w:szCs w:val="24"/>
          <w:lang w:val="en-US" w:eastAsia="zh-CN" w:bidi="ar"/>
        </w:rPr>
        <w:t xml:space="preserve"> </w:t>
      </w:r>
    </w:p>
    <w:p w14:paraId="433C96E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2.11</w:t>
      </w:r>
      <w:r>
        <w:rPr>
          <w:rFonts w:hint="default" w:ascii="宋体" w:hAnsi="宋体" w:eastAsia="宋体" w:cs="宋体"/>
          <w:b w:val="0"/>
          <w:bCs w:val="0"/>
          <w:highlight w:val="none"/>
          <w:lang w:val="en-US" w:eastAsia="zh-CN"/>
        </w:rPr>
        <w:t>舾装Outfitting</w:t>
      </w:r>
    </w:p>
    <w:p w14:paraId="1F83093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default" w:ascii="宋体" w:hAnsi="宋体" w:eastAsia="宋体" w:cs="宋体"/>
          <w:b w:val="0"/>
          <w:bCs w:val="0"/>
          <w:highlight w:val="none"/>
          <w:lang w:val="en-US" w:eastAsia="zh-CN"/>
        </w:rPr>
        <w:t>海上换流站</w:t>
      </w:r>
      <w:r>
        <w:rPr>
          <w:rFonts w:hint="eastAsia" w:ascii="宋体" w:hAnsi="宋体" w:eastAsia="宋体" w:cs="宋体"/>
          <w:b w:val="0"/>
          <w:bCs w:val="0"/>
          <w:highlight w:val="none"/>
          <w:lang w:val="en-US" w:eastAsia="zh-CN"/>
        </w:rPr>
        <w:t>、升压站</w:t>
      </w:r>
      <w:r>
        <w:rPr>
          <w:rFonts w:hint="default" w:ascii="宋体" w:hAnsi="宋体" w:eastAsia="宋体" w:cs="宋体"/>
          <w:b w:val="0"/>
          <w:bCs w:val="0"/>
          <w:highlight w:val="none"/>
          <w:lang w:val="en-US" w:eastAsia="zh-CN"/>
        </w:rPr>
        <w:t>平台除主体结构以外的装饰设施的总称。一般包括舱室的分隔与绝缘材料、甲板敷料、内外装饰饰面材料、梯子、栏杆、逃生与救生设施</w:t>
      </w:r>
      <w:r>
        <w:rPr>
          <w:rFonts w:hint="eastAsia" w:ascii="宋体" w:hAnsi="宋体" w:eastAsia="宋体" w:cs="宋体"/>
          <w:b w:val="0"/>
          <w:bCs w:val="0"/>
          <w:highlight w:val="none"/>
          <w:lang w:val="en-US" w:eastAsia="zh-CN"/>
        </w:rPr>
        <w:t>。</w:t>
      </w:r>
    </w:p>
    <w:p w14:paraId="2FF111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 xml:space="preserve"> 2.12 海上定位marine positioning</w:t>
      </w:r>
    </w:p>
    <w:p w14:paraId="51F438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确定海洋结构物海上位置的过程。</w:t>
      </w:r>
    </w:p>
    <w:p w14:paraId="4B551F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2.13导标 leading marks</w:t>
      </w:r>
    </w:p>
    <w:p w14:paraId="175D54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在同一垂直面上，由两座或两座以上标志构成一条方位线的固定的视觉航标。</w:t>
      </w:r>
    </w:p>
    <w:p w14:paraId="5200EA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2.14阴极保护cathodic protection</w:t>
      </w:r>
    </w:p>
    <w:p w14:paraId="42F1B5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使用牺牲阳极或强制电流法等外加手段迫使电解质中被保护金属表面成为阴极，从而达到在腐蚀介质中减缓结构腐蚀的设施。</w:t>
      </w:r>
    </w:p>
    <w:p w14:paraId="56F61BC8">
      <w:pPr>
        <w:rPr>
          <w:rFonts w:hint="eastAsia"/>
        </w:rPr>
      </w:pPr>
    </w:p>
    <w:p w14:paraId="18E578DE">
      <w:pPr>
        <w:rPr>
          <w:rFonts w:hint="eastAsia"/>
        </w:rPr>
      </w:pPr>
    </w:p>
    <w:p w14:paraId="5DCD1619">
      <w:pPr>
        <w:rPr>
          <w:rFonts w:hint="eastAsia"/>
        </w:rPr>
      </w:pPr>
    </w:p>
    <w:p w14:paraId="1FAFA3A4">
      <w:pPr>
        <w:rPr>
          <w:rFonts w:hint="eastAsia"/>
        </w:rPr>
      </w:pPr>
    </w:p>
    <w:p w14:paraId="0B24F36F">
      <w:pPr>
        <w:rPr>
          <w:rFonts w:hint="eastAsia"/>
        </w:rPr>
      </w:pPr>
    </w:p>
    <w:p w14:paraId="07E0B558">
      <w:pPr>
        <w:rPr>
          <w:rFonts w:hint="eastAsia"/>
        </w:rPr>
      </w:pPr>
    </w:p>
    <w:p w14:paraId="47F103DD">
      <w:pPr>
        <w:rPr>
          <w:rFonts w:hint="eastAsia"/>
        </w:rPr>
      </w:pPr>
    </w:p>
    <w:p w14:paraId="0F9C78AA">
      <w:pPr>
        <w:rPr>
          <w:rFonts w:hint="eastAsia"/>
        </w:rPr>
      </w:pPr>
    </w:p>
    <w:p w14:paraId="55A9C89C">
      <w:pPr>
        <w:rPr>
          <w:rFonts w:hint="eastAsia"/>
        </w:rPr>
      </w:pPr>
    </w:p>
    <w:p w14:paraId="7DD403CE">
      <w:pPr>
        <w:rPr>
          <w:rFonts w:hint="eastAsia"/>
        </w:rPr>
      </w:pPr>
    </w:p>
    <w:p w14:paraId="4F9442F2">
      <w:pPr>
        <w:rPr>
          <w:rFonts w:hint="eastAsia"/>
        </w:rPr>
      </w:pPr>
    </w:p>
    <w:p w14:paraId="329A7957">
      <w:pPr>
        <w:rPr>
          <w:rFonts w:hint="eastAsia"/>
        </w:rPr>
      </w:pPr>
    </w:p>
    <w:p w14:paraId="74B73CC6">
      <w:pPr>
        <w:rPr>
          <w:rFonts w:hint="eastAsia"/>
        </w:rPr>
      </w:pPr>
    </w:p>
    <w:p w14:paraId="2BD02163">
      <w:pPr>
        <w:rPr>
          <w:rFonts w:hint="eastAsia"/>
        </w:rPr>
      </w:pPr>
    </w:p>
    <w:p w14:paraId="3680BC83">
      <w:pPr>
        <w:rPr>
          <w:rFonts w:hint="eastAsia"/>
        </w:rPr>
      </w:pPr>
    </w:p>
    <w:p w14:paraId="041C78C4">
      <w:pPr>
        <w:rPr>
          <w:rFonts w:hint="eastAsia"/>
        </w:rPr>
      </w:pPr>
    </w:p>
    <w:p w14:paraId="538EB78F">
      <w:pPr>
        <w:rPr>
          <w:rFonts w:hint="eastAsia"/>
        </w:rPr>
      </w:pPr>
    </w:p>
    <w:p w14:paraId="6B1A4F80">
      <w:pPr>
        <w:rPr>
          <w:rFonts w:hint="eastAsia"/>
        </w:rPr>
      </w:pPr>
    </w:p>
    <w:p w14:paraId="5944A0A5">
      <w:pPr>
        <w:rPr>
          <w:rFonts w:hint="eastAsia"/>
        </w:rPr>
      </w:pPr>
    </w:p>
    <w:p w14:paraId="36EDB5E6">
      <w:pPr>
        <w:rPr>
          <w:rFonts w:hint="eastAsia"/>
        </w:rPr>
      </w:pPr>
    </w:p>
    <w:p w14:paraId="728E8AB9">
      <w:pPr>
        <w:rPr>
          <w:rFonts w:hint="eastAsia"/>
        </w:rPr>
      </w:pPr>
    </w:p>
    <w:p w14:paraId="3D91AB36">
      <w:pPr>
        <w:rPr>
          <w:rFonts w:hint="eastAsia"/>
        </w:rPr>
      </w:pPr>
    </w:p>
    <w:p w14:paraId="6E1CACD7">
      <w:pPr>
        <w:rPr>
          <w:rFonts w:hint="eastAsia"/>
        </w:rPr>
      </w:pPr>
    </w:p>
    <w:p w14:paraId="0D9D3B62">
      <w:pPr>
        <w:rPr>
          <w:rFonts w:hint="eastAsia"/>
        </w:rPr>
      </w:pPr>
    </w:p>
    <w:p w14:paraId="2AC6BE3B">
      <w:pPr>
        <w:rPr>
          <w:rFonts w:hint="eastAsia"/>
        </w:rPr>
      </w:pPr>
    </w:p>
    <w:p w14:paraId="0110BB85">
      <w:pPr>
        <w:rPr>
          <w:rFonts w:hint="eastAsia"/>
        </w:rPr>
      </w:pPr>
    </w:p>
    <w:p w14:paraId="7CBFA43C">
      <w:pPr>
        <w:rPr>
          <w:rFonts w:hint="eastAsia"/>
        </w:rPr>
      </w:pPr>
    </w:p>
    <w:p w14:paraId="513F6DFE">
      <w:pPr>
        <w:rPr>
          <w:rFonts w:hint="eastAsia"/>
        </w:rPr>
      </w:pPr>
    </w:p>
    <w:p w14:paraId="6E2C8CD6">
      <w:pPr>
        <w:rPr>
          <w:rFonts w:hint="eastAsia"/>
        </w:rPr>
      </w:pPr>
    </w:p>
    <w:p w14:paraId="1C0A304A">
      <w:pPr>
        <w:rPr>
          <w:rFonts w:hint="eastAsia"/>
        </w:rPr>
      </w:pPr>
    </w:p>
    <w:p w14:paraId="343BD075">
      <w:pPr>
        <w:rPr>
          <w:rFonts w:hint="eastAsia"/>
        </w:rPr>
      </w:pPr>
    </w:p>
    <w:p w14:paraId="0E60D40C">
      <w:pPr>
        <w:rPr>
          <w:rFonts w:hint="eastAsia"/>
        </w:rPr>
      </w:pPr>
    </w:p>
    <w:p w14:paraId="4078E90F">
      <w:pPr>
        <w:rPr>
          <w:rFonts w:hint="eastAsia"/>
        </w:rPr>
      </w:pPr>
    </w:p>
    <w:p w14:paraId="09FC7BA5">
      <w:pPr>
        <w:rPr>
          <w:rFonts w:hint="eastAsia"/>
        </w:rPr>
      </w:pPr>
    </w:p>
    <w:p w14:paraId="5E0E3C71">
      <w:pPr>
        <w:rPr>
          <w:rFonts w:hint="eastAsia"/>
        </w:rPr>
      </w:pPr>
    </w:p>
    <w:p w14:paraId="25AA1480">
      <w:pPr>
        <w:rPr>
          <w:rFonts w:hint="eastAsia"/>
        </w:rPr>
      </w:pPr>
    </w:p>
    <w:p w14:paraId="410A0F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8"/>
          <w:szCs w:val="28"/>
        </w:rPr>
      </w:pPr>
      <w:r>
        <w:rPr>
          <w:rFonts w:hint="eastAsia" w:ascii="宋体" w:hAnsi="宋体" w:eastAsia="宋体" w:cs="宋体"/>
          <w:color w:val="000000"/>
          <w:sz w:val="28"/>
          <w:szCs w:val="28"/>
        </w:rPr>
        <w:t>3 基本规定</w:t>
      </w:r>
    </w:p>
    <w:p w14:paraId="07FFA18E">
      <w:pPr>
        <w:rPr>
          <w:rFonts w:hint="eastAsia"/>
        </w:rPr>
      </w:pPr>
    </w:p>
    <w:p w14:paraId="62218B3C">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Times New Roman" w:hAnsi="Times New Roman" w:eastAsia="黑体" w:cs="Times New Roman"/>
          <w:highlight w:val="none"/>
        </w:rPr>
      </w:pPr>
      <w:r>
        <w:rPr>
          <w:rFonts w:hint="default" w:ascii="Times New Roman" w:hAnsi="Times New Roman" w:eastAsia="黑体" w:cs="Times New Roman"/>
          <w:highlight w:val="none"/>
        </w:rPr>
        <w:t>3.1 一般规定</w:t>
      </w:r>
    </w:p>
    <w:p w14:paraId="222BC1AD">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Times New Roman" w:hAnsi="Times New Roman" w:eastAsia="宋体" w:cs="Times New Roman"/>
          <w:highlight w:val="none"/>
        </w:rPr>
      </w:pPr>
      <w:r>
        <w:rPr>
          <w:rFonts w:hint="default" w:ascii="Times New Roman" w:hAnsi="Times New Roman" w:eastAsia="宋体" w:cs="Times New Roman"/>
          <w:highlight w:val="none"/>
          <w:lang w:val="en-US" w:eastAsia="zh-CN"/>
        </w:rPr>
        <w:t xml:space="preserve">3.1.1 </w:t>
      </w:r>
      <w:r>
        <w:rPr>
          <w:rFonts w:hint="default" w:ascii="Times New Roman" w:hAnsi="Times New Roman" w:eastAsia="宋体" w:cs="Times New Roman"/>
          <w:highlight w:val="none"/>
        </w:rPr>
        <w:t>深远海风电场土建工程施工应遵循“窗口期驱动、动态适配、协同作业、风险预控”的基本原则。</w:t>
      </w:r>
    </w:p>
    <w:p w14:paraId="52BF63C5">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3.1.2 </w:t>
      </w:r>
      <w:r>
        <w:rPr>
          <w:rFonts w:hint="default" w:ascii="Times New Roman" w:hAnsi="Times New Roman" w:eastAsia="宋体" w:cs="Times New Roman"/>
          <w:highlight w:val="none"/>
        </w:rPr>
        <w:t>深远海风电场土建工程施工</w:t>
      </w:r>
      <w:r>
        <w:rPr>
          <w:rFonts w:hint="default" w:ascii="Times New Roman" w:hAnsi="Times New Roman" w:cs="Times New Roman"/>
          <w:highlight w:val="none"/>
          <w:lang w:val="en-US" w:eastAsia="zh-CN"/>
        </w:rPr>
        <w:t>测量依据《海上风力发电场勘测标准》（GB 51395）及《海上风力发电工程施工规范》（GB/T 50571）等相关规定执行。</w:t>
      </w:r>
    </w:p>
    <w:p w14:paraId="3DC5452C">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3.1.3 深远海风电场土建工程施工组织设计依据《海上风力发电工程施工规范》（GB/T 50571）及《海上风电场工程施工组织设计技术规定》（NB/T 31033）等相关规定执行。</w:t>
      </w:r>
    </w:p>
    <w:p w14:paraId="067E2C62">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3.1.4 深远海风电场土建工程施工质量检验与评定依据《海上风力发电工程施工规范》（GB/T 50571）及《海上风电场土建工程施工质量检验与评定标准》（NB/T 11655）等规定执行。</w:t>
      </w:r>
    </w:p>
    <w:p w14:paraId="42FAD9B8">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Times New Roman" w:hAnsi="Times New Roman" w:eastAsia="黑体" w:cs="Times New Roman"/>
        </w:rPr>
      </w:pPr>
      <w:r>
        <w:rPr>
          <w:rFonts w:hint="default" w:ascii="Times New Roman" w:hAnsi="Times New Roman" w:eastAsia="黑体" w:cs="Times New Roman"/>
        </w:rPr>
        <w:t>3.2施工测量</w:t>
      </w:r>
    </w:p>
    <w:p w14:paraId="407B260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val="0"/>
          <w:bCs w:val="0"/>
          <w:highlight w:val="none"/>
          <w:lang w:val="en-US" w:eastAsia="zh-CN"/>
        </w:rPr>
        <w:t>3.2.1测量基准与精度控制</w:t>
      </w:r>
    </w:p>
    <w:p w14:paraId="527795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val="0"/>
          <w:bCs w:val="0"/>
          <w:highlight w:val="none"/>
          <w:lang w:val="en-US" w:eastAsia="zh-CN"/>
        </w:rPr>
        <w:t>1 施工测量应以勘测设计阶段建立的基准为基础，建立满足施工安装精度要求的专用控制网。控制网的坐标系统、高程基准和深度基准应与工程整体保持一致。</w:t>
      </w:r>
    </w:p>
    <w:p w14:paraId="07EEAF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val="0"/>
          <w:bCs w:val="0"/>
          <w:highlight w:val="none"/>
          <w:lang w:val="en-US" w:eastAsia="zh-CN"/>
        </w:rPr>
        <w:t>2 固定式基础、海上升压站/换流站的施工定位，应采用实时动态差分GNSS与惯性导航组合系统，其系统标称精度应优于施工定位公差要求的1/3。</w:t>
      </w:r>
    </w:p>
    <w:p w14:paraId="45747A6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val="0"/>
          <w:bCs w:val="0"/>
          <w:highlight w:val="none"/>
          <w:lang w:val="en-US" w:eastAsia="zh-CN"/>
        </w:rPr>
        <w:t>3 浮式基础及其锚固系统的定位，宜采用水声定位系统与GNSS相结合的立体定位技术。</w:t>
      </w:r>
    </w:p>
    <w:p w14:paraId="0F49AFB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val="0"/>
          <w:bCs w:val="0"/>
          <w:highlight w:val="none"/>
          <w:lang w:val="en-US" w:eastAsia="zh-CN"/>
        </w:rPr>
        <w:t>3.2.2定位与水下测量</w:t>
      </w:r>
    </w:p>
    <w:p w14:paraId="7B5B70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val="0"/>
          <w:bCs w:val="0"/>
          <w:highlight w:val="none"/>
          <w:lang w:val="en-US" w:eastAsia="zh-CN"/>
        </w:rPr>
        <w:t>1施工前及施工过程中，应采用多波束测深、侧扫声呐等综合扫测技术，动态更新施工区域水下地形地物及已建构筑物的三维数字模型。</w:t>
      </w:r>
    </w:p>
    <w:p w14:paraId="537E29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val="0"/>
          <w:bCs w:val="0"/>
          <w:highlight w:val="none"/>
          <w:lang w:val="en-US" w:eastAsia="zh-CN"/>
        </w:rPr>
        <w:t>2对浮式、半潜式等处于动态的结构物，应实时测定其六自由度运动响应、位置和姿态，作为沉放、对接等关键工序的决策依据。</w:t>
      </w:r>
    </w:p>
    <w:p w14:paraId="00EBF0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val="0"/>
          <w:bCs w:val="0"/>
          <w:highlight w:val="none"/>
          <w:lang w:val="en-US" w:eastAsia="zh-CN"/>
        </w:rPr>
        <w:t>3 ROV辅助测量：水下结构物的精确位置、姿态及对接状态，宜采用ROV搭载的声学定位系统及传感器进行复核测量，形成水下一体化测量数据链。</w:t>
      </w:r>
    </w:p>
    <w:p w14:paraId="6C96FE6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val="0"/>
          <w:bCs w:val="0"/>
          <w:highlight w:val="none"/>
          <w:lang w:val="en-US" w:eastAsia="zh-CN"/>
        </w:rPr>
        <w:t>3.2.3数据管理与应用</w:t>
      </w:r>
    </w:p>
    <w:p w14:paraId="26DD83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val="0"/>
          <w:bCs w:val="0"/>
          <w:highlight w:val="none"/>
          <w:lang w:val="en-US" w:eastAsia="zh-CN"/>
        </w:rPr>
        <w:t>1所有测量数据（含时间、船姿、环境参数）应建立可追溯数据库，并构建建筑信息模型（BIM）驱动施工过程可视化管控。</w:t>
      </w:r>
    </w:p>
    <w:p w14:paraId="3C34A5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val="0"/>
          <w:bCs w:val="0"/>
          <w:highlight w:val="none"/>
          <w:lang w:val="en-US" w:eastAsia="zh-CN"/>
        </w:rPr>
        <w:t>2所有测量数据（含时间、船姿、环境参数）应建立可追溯数据库，并构建建筑信息模型（BIM）驱动施工过程可视化管控。</w:t>
      </w:r>
    </w:p>
    <w:p w14:paraId="0B7A4D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528F7F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246E85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0B90C9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714068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422C9B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06684A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2E9F00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0E1E3F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384555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7A94F8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5A3D17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07F12D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63ADC1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212C51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55482A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69038E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73AB9C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03088B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04AFB7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31D8FC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402E67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3F7B4B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404DFE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1705A8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04A0F1BB">
      <w:pPr>
        <w:pStyle w:val="2"/>
        <w:rPr>
          <w:rFonts w:hint="eastAsia"/>
          <w:lang w:val="en-US" w:eastAsia="zh-CN"/>
        </w:rPr>
      </w:pPr>
    </w:p>
    <w:p w14:paraId="6BE853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rPr>
      </w:pPr>
    </w:p>
    <w:p w14:paraId="750ACD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8"/>
          <w:szCs w:val="28"/>
        </w:rPr>
      </w:pPr>
      <w:r>
        <w:rPr>
          <w:rFonts w:hint="eastAsia" w:ascii="宋体" w:hAnsi="宋体" w:eastAsia="宋体" w:cs="宋体"/>
          <w:color w:val="000000"/>
          <w:sz w:val="28"/>
          <w:szCs w:val="28"/>
        </w:rPr>
        <w:t>4 施工交通运输</w:t>
      </w:r>
    </w:p>
    <w:p w14:paraId="1A782AA9">
      <w:pPr>
        <w:pStyle w:val="22"/>
        <w:spacing w:before="156" w:beforeLines="50" w:after="156" w:afterLines="50" w:line="360" w:lineRule="exact"/>
        <w:ind w:firstLine="0" w:firstLineChars="0"/>
        <w:rPr>
          <w:rFonts w:hint="eastAsia" w:ascii="黑体" w:hAnsi="黑体" w:eastAsia="黑体"/>
        </w:rPr>
      </w:pPr>
      <w:r>
        <w:rPr>
          <w:rFonts w:hint="eastAsia" w:ascii="黑体" w:hAnsi="黑体" w:eastAsia="黑体"/>
        </w:rPr>
        <w:t>4.1一般规定</w:t>
      </w:r>
    </w:p>
    <w:p w14:paraId="641FD959">
      <w:pPr>
        <w:spacing w:line="360" w:lineRule="auto"/>
        <w:rPr>
          <w:rFonts w:hint="eastAsia" w:ascii="宋体" w:hAnsi="宋体" w:eastAsia="宋体" w:cs="宋体"/>
        </w:rPr>
      </w:pPr>
      <w:r>
        <w:rPr>
          <w:rFonts w:hint="eastAsia" w:ascii="宋体" w:hAnsi="宋体" w:eastAsia="宋体" w:cs="宋体"/>
        </w:rPr>
        <w:t>4.1.1施工交通运输应根据施工海域气象、水文、航道等资料,确定合适的航线和运输时段,应与交通主管部门、海事部门进行沟通协调，取得批准。</w:t>
      </w:r>
    </w:p>
    <w:p w14:paraId="73385DF0">
      <w:pPr>
        <w:spacing w:line="360" w:lineRule="auto"/>
        <w:rPr>
          <w:rFonts w:hint="eastAsia" w:ascii="宋体" w:hAnsi="宋体" w:eastAsia="宋体" w:cs="宋体"/>
        </w:rPr>
      </w:pPr>
      <w:r>
        <w:rPr>
          <w:rFonts w:hint="eastAsia" w:ascii="宋体" w:hAnsi="宋体" w:eastAsia="宋体" w:cs="宋体"/>
        </w:rPr>
        <w:t>4.1.2交通运输方案制订过程中,应对基础运输所涉及到的航道、港口的等级、主要的技术标准及相关的附属设施进行调研,充分利用已有的公共设施和资源,制订合理的施工运输方案。</w:t>
      </w:r>
    </w:p>
    <w:p w14:paraId="0AB5E995">
      <w:pPr>
        <w:spacing w:line="360" w:lineRule="auto"/>
        <w:rPr>
          <w:rFonts w:hint="eastAsia" w:ascii="宋体" w:hAnsi="宋体" w:eastAsia="宋体" w:cs="宋体"/>
        </w:rPr>
      </w:pPr>
      <w:r>
        <w:rPr>
          <w:rFonts w:hint="eastAsia" w:ascii="宋体" w:hAnsi="宋体" w:eastAsia="宋体" w:cs="宋体"/>
        </w:rPr>
        <w:t>4.1.3大件设备运输过程中,应根据设备防冲击振动、抗变形、特定部位的允许受力等方面的要求以及对公共交通、公共设施的影响,选择合适的运输方式和运输线路。</w:t>
      </w:r>
    </w:p>
    <w:p w14:paraId="14D04251">
      <w:pPr>
        <w:spacing w:line="360" w:lineRule="auto"/>
        <w:rPr>
          <w:rFonts w:hint="eastAsia" w:ascii="宋体" w:hAnsi="宋体" w:eastAsia="宋体" w:cs="宋体"/>
        </w:rPr>
      </w:pPr>
      <w:r>
        <w:rPr>
          <w:rFonts w:hint="eastAsia" w:ascii="宋体" w:hAnsi="宋体" w:eastAsia="宋体" w:cs="宋体"/>
        </w:rPr>
        <w:t>4.1.4设备运输过程前,应拟定应对突发恶劣天气状况及其他紧急情况的应急预案,海上运输前还应选定运输过程中及海上驻留时躲避恶劣天气状况的规避路线及避风港口。</w:t>
      </w:r>
    </w:p>
    <w:p w14:paraId="6E01721B">
      <w:pPr>
        <w:pStyle w:val="22"/>
        <w:spacing w:before="156" w:beforeLines="50" w:after="156" w:afterLines="50" w:line="360" w:lineRule="exact"/>
        <w:ind w:firstLine="0" w:firstLineChars="0"/>
        <w:rPr>
          <w:rFonts w:hint="eastAsia" w:ascii="黑体" w:hAnsi="黑体" w:eastAsia="黑体"/>
        </w:rPr>
      </w:pPr>
      <w:r>
        <w:rPr>
          <w:rFonts w:hint="eastAsia" w:ascii="黑体" w:hAnsi="黑体" w:eastAsia="黑体"/>
        </w:rPr>
        <w:t>4.2施工交通</w:t>
      </w:r>
    </w:p>
    <w:p w14:paraId="151CCC69">
      <w:pPr>
        <w:spacing w:line="360" w:lineRule="auto"/>
        <w:rPr>
          <w:rFonts w:hint="eastAsia" w:ascii="宋体" w:hAnsi="宋体" w:eastAsia="宋体" w:cs="宋体"/>
        </w:rPr>
      </w:pPr>
      <w:r>
        <w:rPr>
          <w:rFonts w:hint="eastAsia" w:ascii="宋体" w:hAnsi="宋体" w:eastAsia="宋体" w:cs="宋体"/>
        </w:rPr>
        <w:t>4.2.1 施工交通应选择满足交通主管部门和海事部门相关规定的码头。</w:t>
      </w:r>
    </w:p>
    <w:p w14:paraId="064D52F8">
      <w:pPr>
        <w:spacing w:line="360" w:lineRule="auto"/>
        <w:rPr>
          <w:rFonts w:hint="eastAsia" w:ascii="宋体" w:hAnsi="宋体" w:eastAsia="宋体" w:cs="宋体"/>
        </w:rPr>
      </w:pPr>
      <w:r>
        <w:rPr>
          <w:rFonts w:hint="eastAsia" w:ascii="宋体" w:hAnsi="宋体" w:eastAsia="宋体" w:cs="宋体"/>
        </w:rPr>
        <w:t>4.2.2 施工交通应选择抗风浪能力强、航速快的交通船，交通船必须证书齐全有效，配员需满足连续航行的需求。</w:t>
      </w:r>
    </w:p>
    <w:p w14:paraId="49B285B4">
      <w:pPr>
        <w:spacing w:line="360" w:lineRule="auto"/>
        <w:rPr>
          <w:rFonts w:hint="eastAsia" w:ascii="宋体" w:hAnsi="宋体" w:eastAsia="宋体" w:cs="宋体"/>
        </w:rPr>
      </w:pPr>
      <w:r>
        <w:rPr>
          <w:rFonts w:hint="eastAsia" w:ascii="宋体" w:hAnsi="宋体" w:eastAsia="宋体" w:cs="宋体"/>
        </w:rPr>
        <w:t>4.2.3交通船人员上下船宜采用具备波浪补偿功能的悬梯。</w:t>
      </w:r>
    </w:p>
    <w:p w14:paraId="53C75BCB">
      <w:pPr>
        <w:spacing w:line="360" w:lineRule="auto"/>
        <w:rPr>
          <w:rFonts w:hint="eastAsia" w:ascii="宋体" w:hAnsi="宋体" w:eastAsia="宋体" w:cs="宋体"/>
        </w:rPr>
      </w:pPr>
      <w:r>
        <w:rPr>
          <w:rFonts w:hint="eastAsia" w:ascii="宋体" w:hAnsi="宋体" w:eastAsia="宋体" w:cs="宋体"/>
        </w:rPr>
        <w:t>4.2.4 应建立直升机、高速快艇等应急交通渠道。</w:t>
      </w:r>
    </w:p>
    <w:p w14:paraId="29BEB836">
      <w:pPr>
        <w:spacing w:line="360" w:lineRule="auto"/>
        <w:rPr>
          <w:rFonts w:hint="eastAsia" w:ascii="宋体" w:hAnsi="宋体" w:eastAsia="宋体" w:cs="宋体"/>
        </w:rPr>
      </w:pPr>
      <w:r>
        <w:rPr>
          <w:rFonts w:hint="eastAsia" w:ascii="宋体" w:hAnsi="宋体" w:eastAsia="宋体" w:cs="宋体"/>
        </w:rPr>
        <w:t>4.2.5 施工交通过程中，做好人员信息动态管理，人员信息应实时反馈至项目调度室和海事部门。</w:t>
      </w:r>
    </w:p>
    <w:p w14:paraId="722031BD">
      <w:pPr>
        <w:pStyle w:val="22"/>
        <w:spacing w:before="156" w:beforeLines="50" w:after="156" w:afterLines="50" w:line="360" w:lineRule="exact"/>
        <w:ind w:firstLine="0" w:firstLineChars="0"/>
        <w:rPr>
          <w:rFonts w:hint="eastAsia" w:ascii="黑体" w:hAnsi="黑体" w:eastAsia="黑体"/>
        </w:rPr>
      </w:pPr>
      <w:r>
        <w:rPr>
          <w:rFonts w:hint="eastAsia" w:ascii="黑体" w:hAnsi="黑体" w:eastAsia="黑体"/>
        </w:rPr>
        <w:t>4.3 施工运输</w:t>
      </w:r>
    </w:p>
    <w:p w14:paraId="39C0DC87">
      <w:pPr>
        <w:spacing w:line="360" w:lineRule="auto"/>
        <w:rPr>
          <w:rFonts w:hint="eastAsia" w:ascii="宋体" w:hAnsi="宋体" w:eastAsia="宋体" w:cs="宋体"/>
        </w:rPr>
      </w:pPr>
      <w:r>
        <w:rPr>
          <w:rFonts w:hint="eastAsia" w:ascii="宋体" w:hAnsi="宋体" w:eastAsia="宋体" w:cs="宋体"/>
        </w:rPr>
        <w:t>4.3.1海上施工运输前,应向地方行政部门和国家海事部门申请，建立海上施工安全作业区。海上运输时,应遵守运输安全操作规程和各分隔航道的通航制度,制订特殊航线的安全运行措施。</w:t>
      </w:r>
    </w:p>
    <w:p w14:paraId="4FBDB5CB">
      <w:pPr>
        <w:spacing w:line="360" w:lineRule="auto"/>
        <w:rPr>
          <w:rFonts w:hint="eastAsia" w:ascii="宋体" w:hAnsi="宋体" w:eastAsia="宋体" w:cs="宋体"/>
        </w:rPr>
      </w:pPr>
      <w:r>
        <w:rPr>
          <w:rFonts w:hint="eastAsia" w:ascii="宋体" w:hAnsi="宋体" w:eastAsia="宋体" w:cs="宋体"/>
        </w:rPr>
        <w:t>4.3.2基础和设备运输装船时,应采取有效的加固措施防止设备在运输过程中发生移动、碰撞受损。</w:t>
      </w:r>
    </w:p>
    <w:p w14:paraId="4AFF89B0">
      <w:pPr>
        <w:spacing w:line="360" w:lineRule="auto"/>
        <w:rPr>
          <w:rFonts w:hint="eastAsia" w:ascii="宋体" w:hAnsi="宋体" w:eastAsia="宋体" w:cs="宋体"/>
        </w:rPr>
      </w:pPr>
      <w:r>
        <w:rPr>
          <w:rFonts w:hint="eastAsia" w:ascii="宋体" w:hAnsi="宋体" w:eastAsia="宋体" w:cs="宋体"/>
        </w:rPr>
        <w:t>4.3.3基础和设备海上运输前,应对气象、海况进行调查,及时掌握短期预报资料,选择合适的运输时间,规避大风大浪、暴雨情况下的运输;船舶航行作业的气象、海况控制条件应根据船舶配置情况及性能、设备技术要求等综合考虑后确定。</w:t>
      </w:r>
    </w:p>
    <w:p w14:paraId="5E04952E">
      <w:pPr>
        <w:spacing w:line="360" w:lineRule="auto"/>
        <w:rPr>
          <w:rFonts w:hint="eastAsia" w:ascii="宋体" w:hAnsi="宋体" w:eastAsia="宋体" w:cs="宋体"/>
        </w:rPr>
      </w:pPr>
      <w:r>
        <w:rPr>
          <w:rFonts w:hint="eastAsia" w:ascii="宋体" w:hAnsi="宋体" w:eastAsia="宋体" w:cs="宋体"/>
        </w:rPr>
        <w:t>4.3.4海上运输、拖运过程中应遵守国家相关法律法规及地方政府的相关规定。</w:t>
      </w:r>
    </w:p>
    <w:p w14:paraId="33B38443">
      <w:pPr>
        <w:spacing w:line="360" w:lineRule="auto"/>
        <w:rPr>
          <w:rFonts w:hint="eastAsia" w:ascii="宋体" w:hAnsi="宋体" w:eastAsia="宋体" w:cs="宋体"/>
        </w:rPr>
      </w:pPr>
      <w:r>
        <w:rPr>
          <w:rFonts w:hint="eastAsia" w:ascii="宋体" w:hAnsi="宋体" w:eastAsia="宋体" w:cs="宋体"/>
        </w:rPr>
        <w:t>4.3.5施工作业前,应对施工安全作业区进行扫海,并对外提供一定比例的工程施工专用海图,供施工船舶和过往船只使用,保障船舶航行安全。</w:t>
      </w:r>
    </w:p>
    <w:p w14:paraId="65D965D1">
      <w:pPr>
        <w:spacing w:line="360" w:lineRule="auto"/>
        <w:rPr>
          <w:rFonts w:hint="eastAsia" w:ascii="宋体" w:hAnsi="宋体" w:eastAsia="宋体" w:cs="宋体"/>
        </w:rPr>
      </w:pPr>
      <w:r>
        <w:rPr>
          <w:rFonts w:hint="eastAsia" w:ascii="宋体" w:hAnsi="宋体" w:eastAsia="宋体" w:cs="宋体"/>
        </w:rPr>
        <w:t>4.3.6运输设备应根据装船落驳方式、码头参数、基础构件的尺寸和技术参数选择。</w:t>
      </w:r>
    </w:p>
    <w:p w14:paraId="61B1EC74">
      <w:pPr>
        <w:spacing w:line="360" w:lineRule="auto"/>
        <w:rPr>
          <w:rFonts w:hint="eastAsia" w:ascii="宋体" w:hAnsi="宋体" w:eastAsia="宋体" w:cs="宋体"/>
        </w:rPr>
      </w:pPr>
      <w:r>
        <w:rPr>
          <w:rFonts w:hint="eastAsia" w:ascii="宋体" w:hAnsi="宋体" w:eastAsia="宋体" w:cs="宋体"/>
        </w:rPr>
        <w:t>4.3.7装船时,大小货物应合理配置,充分利用舱容。运输过程中货物应固定牢靠。</w:t>
      </w:r>
    </w:p>
    <w:p w14:paraId="38E40B57">
      <w:pPr>
        <w:spacing w:line="360" w:lineRule="auto"/>
        <w:rPr>
          <w:rFonts w:hint="eastAsia" w:ascii="宋体" w:hAnsi="宋体" w:eastAsia="宋体" w:cs="宋体"/>
        </w:rPr>
      </w:pPr>
      <w:r>
        <w:rPr>
          <w:rFonts w:hint="eastAsia" w:ascii="宋体" w:hAnsi="宋体" w:eastAsia="宋体" w:cs="宋体"/>
        </w:rPr>
        <w:t>4.3.8桩基础运输应符合下列规定：</w:t>
      </w:r>
    </w:p>
    <w:p w14:paraId="404C33AD">
      <w:pPr>
        <w:spacing w:line="360" w:lineRule="auto"/>
        <w:ind w:firstLine="420" w:firstLineChars="200"/>
        <w:rPr>
          <w:rFonts w:hint="eastAsia" w:ascii="宋体" w:hAnsi="宋体" w:eastAsia="宋体" w:cs="宋体"/>
        </w:rPr>
      </w:pPr>
      <w:r>
        <w:rPr>
          <w:rFonts w:hint="eastAsia" w:ascii="宋体" w:hAnsi="宋体" w:eastAsia="宋体" w:cs="宋体"/>
        </w:rPr>
        <w:t>1管桩装船前应核算运输船舶甲板的强度、吃水,装载过程中不同压载情况下的船舶稳定性,装船后船舶在风、浪、海流作用下的稳定性，以及核算运输工装强度和绑扎方案，确保运输过程中和恶劣天气情况下工装强度足够和绑扎方案可靠。</w:t>
      </w:r>
    </w:p>
    <w:p w14:paraId="6B449F62">
      <w:pPr>
        <w:spacing w:line="360" w:lineRule="auto"/>
        <w:ind w:firstLine="420" w:firstLineChars="200"/>
        <w:rPr>
          <w:rFonts w:hint="eastAsia" w:ascii="宋体" w:hAnsi="宋体" w:eastAsia="宋体" w:cs="宋体"/>
        </w:rPr>
      </w:pPr>
      <w:r>
        <w:rPr>
          <w:rFonts w:hint="eastAsia" w:ascii="宋体" w:hAnsi="宋体" w:eastAsia="宋体" w:cs="宋体"/>
        </w:rPr>
        <w:t>2通过龙门吊、起重船等吊运管桩装船时,应选择合适的吊点、吊具及起吊方式,平缓将管桩吊放到运输船舶的指定位置；</w:t>
      </w:r>
    </w:p>
    <w:p w14:paraId="088CA956">
      <w:pPr>
        <w:spacing w:line="360" w:lineRule="auto"/>
        <w:ind w:firstLine="420" w:firstLineChars="200"/>
        <w:rPr>
          <w:rFonts w:hint="eastAsia" w:ascii="宋体" w:hAnsi="宋体" w:eastAsia="宋体" w:cs="宋体"/>
        </w:rPr>
      </w:pPr>
      <w:r>
        <w:rPr>
          <w:rFonts w:hint="eastAsia" w:ascii="宋体" w:hAnsi="宋体" w:eastAsia="宋体" w:cs="宋体"/>
        </w:rPr>
        <w:t>3管桩滚装上船应制定专项方案，选择满足滚装上船的运输船以及合适的装船时间</w:t>
      </w:r>
    </w:p>
    <w:p w14:paraId="2CA2546B">
      <w:pPr>
        <w:spacing w:line="360" w:lineRule="auto"/>
        <w:ind w:firstLine="420" w:firstLineChars="200"/>
        <w:rPr>
          <w:rFonts w:hint="eastAsia" w:ascii="宋体" w:hAnsi="宋体" w:eastAsia="宋体" w:cs="宋体"/>
        </w:rPr>
      </w:pPr>
      <w:r>
        <w:rPr>
          <w:rFonts w:hint="eastAsia" w:ascii="宋体" w:hAnsi="宋体" w:eastAsia="宋体" w:cs="宋体"/>
        </w:rPr>
        <w:t>4 管桩之间应通过固定工装确保管桩运输过程中在风、浪、海流作用下不会发生滚动、碰撞而受损。</w:t>
      </w:r>
    </w:p>
    <w:p w14:paraId="110499F1">
      <w:pPr>
        <w:spacing w:line="360" w:lineRule="auto"/>
        <w:ind w:firstLine="420" w:firstLineChars="200"/>
        <w:rPr>
          <w:rFonts w:hint="eastAsia" w:ascii="宋体" w:hAnsi="宋体" w:eastAsia="宋体" w:cs="宋体"/>
        </w:rPr>
      </w:pPr>
      <w:r>
        <w:rPr>
          <w:rFonts w:hint="eastAsia" w:ascii="宋体" w:hAnsi="宋体" w:eastAsia="宋体" w:cs="宋体"/>
        </w:rPr>
        <w:t>5运输船舶应选用功率足够、堆放空间宽阔、锚机系统满足现场施工需要的自航船舶。</w:t>
      </w:r>
    </w:p>
    <w:p w14:paraId="4CA07B31">
      <w:pPr>
        <w:spacing w:line="360" w:lineRule="auto"/>
        <w:rPr>
          <w:rFonts w:hint="eastAsia" w:ascii="宋体" w:hAnsi="宋体" w:eastAsia="宋体" w:cs="宋体"/>
        </w:rPr>
      </w:pPr>
      <w:r>
        <w:rPr>
          <w:rFonts w:hint="eastAsia" w:ascii="宋体" w:hAnsi="宋体" w:eastAsia="宋体" w:cs="宋体"/>
        </w:rPr>
        <w:t>4.3.9导管架运输应符合下列规定：</w:t>
      </w:r>
    </w:p>
    <w:p w14:paraId="5AEAECFE">
      <w:pPr>
        <w:spacing w:line="360" w:lineRule="auto"/>
        <w:ind w:firstLine="420" w:firstLineChars="200"/>
        <w:rPr>
          <w:rFonts w:hint="eastAsia" w:ascii="宋体" w:hAnsi="宋体" w:eastAsia="宋体" w:cs="宋体"/>
        </w:rPr>
      </w:pPr>
      <w:r>
        <w:rPr>
          <w:rFonts w:hint="eastAsia" w:ascii="宋体" w:hAnsi="宋体" w:eastAsia="宋体" w:cs="宋体"/>
        </w:rPr>
        <w:t>1 导管架装船前应核算运输船舶甲板的强度、吃水,装载过程中不同压载情况下的船舶稳定性,装船后船舶在风、浪、海流作用下的稳定性，以及核算运输工装强度和绑扎方案，确保运输过程中和恶劣天气情况下工装强度足够和绑扎方案可靠。</w:t>
      </w:r>
    </w:p>
    <w:p w14:paraId="5EA3770D">
      <w:pPr>
        <w:spacing w:line="360" w:lineRule="auto"/>
        <w:ind w:firstLine="420" w:firstLineChars="200"/>
        <w:rPr>
          <w:rFonts w:hint="eastAsia" w:ascii="宋体" w:hAnsi="宋体" w:eastAsia="宋体" w:cs="宋体"/>
        </w:rPr>
      </w:pPr>
      <w:r>
        <w:rPr>
          <w:rFonts w:hint="eastAsia" w:ascii="宋体" w:hAnsi="宋体" w:eastAsia="宋体" w:cs="宋体"/>
        </w:rPr>
        <w:t>2导管架吊运装船应合理选择吊具、吊点,吊索宜固定于导管架的重心以上,以防在起吊过程中损坏导管架和(或)驳船；</w:t>
      </w:r>
    </w:p>
    <w:p w14:paraId="2F84E700">
      <w:pPr>
        <w:spacing w:line="360" w:lineRule="auto"/>
        <w:ind w:firstLine="420" w:firstLineChars="200"/>
        <w:rPr>
          <w:rFonts w:hint="eastAsia" w:ascii="宋体" w:hAnsi="宋体" w:eastAsia="宋体" w:cs="宋体"/>
        </w:rPr>
      </w:pPr>
      <w:r>
        <w:rPr>
          <w:rFonts w:hint="eastAsia" w:ascii="宋体" w:hAnsi="宋体" w:eastAsia="宋体" w:cs="宋体"/>
        </w:rPr>
        <w:t>3 导管架滚装上船应制定专项方案，选择满足滚装上船的运输船以及合适的装船时间。</w:t>
      </w:r>
    </w:p>
    <w:p w14:paraId="0AE95AA1">
      <w:pPr>
        <w:spacing w:line="360" w:lineRule="auto"/>
        <w:ind w:firstLine="420" w:firstLineChars="200"/>
        <w:rPr>
          <w:rFonts w:hint="eastAsia" w:ascii="宋体" w:hAnsi="宋体" w:eastAsia="宋体" w:cs="宋体"/>
        </w:rPr>
      </w:pPr>
      <w:r>
        <w:rPr>
          <w:rFonts w:hint="eastAsia" w:ascii="宋体" w:hAnsi="宋体" w:eastAsia="宋体" w:cs="宋体"/>
        </w:rPr>
        <w:t>4 运输船舶应选用功率足够、堆放空间宽阔，锚机系统满足现场施工需要的自航船舶。</w:t>
      </w:r>
    </w:p>
    <w:p w14:paraId="27F3A3E8">
      <w:pPr>
        <w:spacing w:line="360" w:lineRule="auto"/>
        <w:ind w:firstLine="420" w:firstLineChars="200"/>
        <w:rPr>
          <w:rFonts w:hint="eastAsia" w:ascii="宋体" w:hAnsi="宋体" w:eastAsia="宋体" w:cs="宋体"/>
        </w:rPr>
      </w:pPr>
      <w:r>
        <w:rPr>
          <w:rFonts w:hint="eastAsia" w:ascii="宋体" w:hAnsi="宋体" w:eastAsia="宋体" w:cs="宋体"/>
        </w:rPr>
        <w:t>5导管架运输作业时,应安装足够的系紧件保证导管架固定牢固,防止导管架运输过程中受损,系紧件应便于现场清除；</w:t>
      </w:r>
    </w:p>
    <w:p w14:paraId="7EE91135">
      <w:pPr>
        <w:spacing w:line="360" w:lineRule="auto"/>
        <w:ind w:firstLine="420" w:firstLineChars="200"/>
        <w:rPr>
          <w:rFonts w:hint="eastAsia" w:ascii="宋体" w:hAnsi="宋体" w:eastAsia="宋体" w:cs="宋体"/>
        </w:rPr>
      </w:pPr>
      <w:r>
        <w:rPr>
          <w:rFonts w:hint="eastAsia" w:ascii="宋体" w:hAnsi="宋体" w:eastAsia="宋体" w:cs="宋体"/>
        </w:rPr>
        <w:t>6 采用浮游拖运的导管架结构应保证其灌排水系统、水密性的安全、可靠,通过滑道下水时,还应对其滑道系统进行精心设计；</w:t>
      </w:r>
    </w:p>
    <w:p w14:paraId="197846AD">
      <w:pPr>
        <w:spacing w:line="360" w:lineRule="auto"/>
        <w:ind w:firstLine="420" w:firstLineChars="200"/>
        <w:rPr>
          <w:rFonts w:hint="eastAsia" w:ascii="宋体" w:hAnsi="宋体" w:eastAsia="宋体" w:cs="宋体"/>
        </w:rPr>
      </w:pPr>
      <w:r>
        <w:rPr>
          <w:rFonts w:hint="eastAsia" w:ascii="宋体" w:hAnsi="宋体" w:eastAsia="宋体" w:cs="宋体"/>
        </w:rPr>
        <w:t>7拖航作业时,应根据导管架结构特点选择合适的拖缆长度及拖轮,保证拖航过程的安全。</w:t>
      </w:r>
    </w:p>
    <w:p w14:paraId="06A7D796">
      <w:pPr>
        <w:spacing w:line="360" w:lineRule="auto"/>
        <w:rPr>
          <w:rFonts w:hint="eastAsia" w:ascii="宋体" w:hAnsi="宋体" w:eastAsia="宋体" w:cs="宋体"/>
        </w:rPr>
      </w:pPr>
      <w:r>
        <w:rPr>
          <w:rFonts w:hint="eastAsia" w:ascii="宋体" w:hAnsi="宋体" w:eastAsia="宋体" w:cs="宋体"/>
        </w:rPr>
        <w:t>4.3.10海上升压站、海上换流站宜采用整体运输方式进行运输。运输前，应预先在陆地完成全部组装工作,转运至码头指定位置,采用滚装或者利用起吊设备平稳吊运至运输船舶甲板上,运至指定海域;根据其吨位和相关尺寸核算船舶甲板是否满足强度要求及装船后船舶在风、浪、海流作用下的稳定性,采取必要的固定措施。</w:t>
      </w:r>
    </w:p>
    <w:p w14:paraId="5BD957A4">
      <w:pPr>
        <w:rPr>
          <w:rFonts w:ascii="宋体" w:hAnsi="宋体" w:eastAsia="宋体" w:cs="宋体"/>
        </w:rPr>
      </w:pPr>
      <w:r>
        <w:rPr>
          <w:rFonts w:hint="eastAsia" w:ascii="宋体" w:hAnsi="宋体" w:eastAsia="宋体" w:cs="宋体"/>
        </w:rPr>
        <w:t xml:space="preserve">4.3.11 </w:t>
      </w:r>
      <w:r>
        <w:rPr>
          <w:rFonts w:hint="eastAsia"/>
        </w:rPr>
        <w:t>采用浮拖安装的结构，其运输应符合</w:t>
      </w:r>
      <w:r>
        <w:rPr>
          <w:rFonts w:hint="eastAsia"/>
          <w:lang w:val="en-US" w:eastAsia="zh-CN"/>
        </w:rPr>
        <w:t>如下</w:t>
      </w:r>
      <w:r>
        <w:rPr>
          <w:rFonts w:hint="eastAsia"/>
        </w:rPr>
        <w:t>规定：</w:t>
      </w:r>
    </w:p>
    <w:p w14:paraId="19813E1A">
      <w:pPr>
        <w:spacing w:line="360" w:lineRule="auto"/>
        <w:ind w:firstLine="420" w:firstLineChars="200"/>
        <w:rPr>
          <w:rFonts w:hint="eastAsia" w:ascii="宋体" w:hAnsi="宋体" w:eastAsia="宋体" w:cs="宋体"/>
        </w:rPr>
      </w:pPr>
      <w:r>
        <w:rPr>
          <w:rFonts w:hint="eastAsia" w:ascii="宋体" w:hAnsi="宋体" w:eastAsia="宋体" w:cs="宋体"/>
        </w:rPr>
        <w:t>1装船应根据施工工艺选择适宜的环境条件和装船方式。对于无动力驳船宜选择纵向装船，对于DP船舶宜选择横向装船。</w:t>
      </w:r>
    </w:p>
    <w:p w14:paraId="0E381DBA">
      <w:pPr>
        <w:spacing w:line="360" w:lineRule="auto"/>
        <w:ind w:firstLine="420" w:firstLineChars="200"/>
        <w:rPr>
          <w:rFonts w:hint="eastAsia" w:ascii="宋体" w:hAnsi="宋体" w:eastAsia="宋体" w:cs="宋体"/>
        </w:rPr>
      </w:pPr>
      <w:r>
        <w:rPr>
          <w:rFonts w:hint="eastAsia" w:ascii="宋体" w:hAnsi="宋体" w:eastAsia="宋体" w:cs="宋体"/>
        </w:rPr>
        <w:t>2 应结合上部组块装船重量和码头水深、船舶型深、滑道高度，校核结构承载力和船舶调载能力。</w:t>
      </w:r>
    </w:p>
    <w:p w14:paraId="2809B6FD">
      <w:pPr>
        <w:spacing w:line="360" w:lineRule="auto"/>
        <w:ind w:firstLine="420" w:firstLineChars="200"/>
        <w:rPr>
          <w:rFonts w:hint="eastAsia" w:ascii="宋体" w:hAnsi="宋体" w:eastAsia="宋体" w:cs="宋体"/>
        </w:rPr>
      </w:pPr>
      <w:r>
        <w:rPr>
          <w:rFonts w:hint="eastAsia" w:ascii="宋体" w:hAnsi="宋体" w:eastAsia="宋体" w:cs="宋体"/>
        </w:rPr>
        <w:t>3 浮托船舶拖航宜选择适宜的吃水，同时应满足最小干舷和稳性要求。</w:t>
      </w:r>
    </w:p>
    <w:p w14:paraId="17BDCAD3">
      <w:pPr>
        <w:spacing w:line="360" w:lineRule="auto"/>
        <w:ind w:firstLine="420" w:firstLineChars="200"/>
        <w:rPr>
          <w:rFonts w:hint="eastAsia" w:ascii="宋体" w:hAnsi="宋体" w:eastAsia="宋体" w:cs="宋体"/>
        </w:rPr>
      </w:pPr>
      <w:r>
        <w:rPr>
          <w:rFonts w:hint="eastAsia" w:ascii="宋体" w:hAnsi="宋体" w:eastAsia="宋体" w:cs="宋体"/>
        </w:rPr>
        <w:t>4 浮托船舶拖航应具有适当的尾部纵倾，任何情况下不应存在首部纵倾。</w:t>
      </w:r>
    </w:p>
    <w:p w14:paraId="671ABBFE">
      <w:pPr>
        <w:spacing w:line="360" w:lineRule="auto"/>
        <w:ind w:firstLine="420" w:firstLineChars="200"/>
        <w:rPr>
          <w:rFonts w:hint="eastAsia" w:ascii="宋体" w:hAnsi="宋体" w:eastAsia="宋体" w:cs="宋体"/>
        </w:rPr>
      </w:pPr>
      <w:r>
        <w:rPr>
          <w:rFonts w:hint="eastAsia" w:ascii="宋体" w:hAnsi="宋体" w:eastAsia="宋体" w:cs="宋体"/>
        </w:rPr>
        <w:t>5 当航道水深限制或航道过窄时，宜安排港口拖轮协助引导浮托船舶穿过航道，直至开阔水域。</w:t>
      </w:r>
    </w:p>
    <w:p w14:paraId="73F1455D">
      <w:pPr>
        <w:spacing w:line="360" w:lineRule="auto"/>
        <w:ind w:firstLine="420" w:firstLineChars="200"/>
        <w:rPr>
          <w:rFonts w:hint="eastAsia" w:ascii="宋体" w:hAnsi="宋体" w:eastAsia="宋体" w:cs="宋体"/>
        </w:rPr>
      </w:pPr>
      <w:r>
        <w:rPr>
          <w:rFonts w:hint="eastAsia" w:ascii="宋体" w:hAnsi="宋体" w:eastAsia="宋体" w:cs="宋体"/>
        </w:rPr>
        <w:t>6 根据拖航阻力评估结果选择合适的拖轮，且系柱拖力应确保被拖驳船航向稳定(无航速)的能力。</w:t>
      </w:r>
    </w:p>
    <w:p w14:paraId="48F42863">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4.3.12漂浮式风机运输应符合</w:t>
      </w:r>
      <w:r>
        <w:rPr>
          <w:rFonts w:hint="eastAsia" w:ascii="宋体" w:hAnsi="宋体" w:eastAsia="宋体" w:cs="宋体"/>
          <w:highlight w:val="none"/>
          <w:lang w:val="en-US" w:eastAsia="zh-CN"/>
        </w:rPr>
        <w:t>如下</w:t>
      </w:r>
      <w:r>
        <w:rPr>
          <w:rFonts w:hint="eastAsia" w:ascii="宋体" w:hAnsi="宋体" w:eastAsia="宋体" w:cs="宋体"/>
          <w:highlight w:val="none"/>
        </w:rPr>
        <w:t>规定：</w:t>
      </w:r>
    </w:p>
    <w:p w14:paraId="59BE44B1">
      <w:pPr>
        <w:spacing w:line="360" w:lineRule="auto"/>
        <w:ind w:firstLine="420" w:firstLineChars="200"/>
        <w:rPr>
          <w:rFonts w:hint="eastAsia" w:ascii="宋体" w:hAnsi="宋体" w:eastAsia="宋体" w:cs="宋体"/>
        </w:rPr>
      </w:pPr>
      <w:r>
        <w:rPr>
          <w:rFonts w:hint="eastAsia" w:ascii="宋体" w:hAnsi="宋体" w:eastAsia="宋体" w:cs="宋体"/>
        </w:rPr>
        <w:t>1应根据航行线路条件与浮体的设计综合确定，制定专项方案。</w:t>
      </w:r>
    </w:p>
    <w:p w14:paraId="735E1543">
      <w:pPr>
        <w:spacing w:line="360" w:lineRule="auto"/>
        <w:ind w:firstLine="420" w:firstLineChars="200"/>
        <w:rPr>
          <w:rFonts w:hint="eastAsia" w:ascii="宋体" w:hAnsi="宋体" w:eastAsia="宋体" w:cs="宋体"/>
        </w:rPr>
      </w:pPr>
      <w:r>
        <w:rPr>
          <w:rFonts w:hint="eastAsia" w:ascii="宋体" w:hAnsi="宋体" w:eastAsia="宋体" w:cs="宋体"/>
        </w:rPr>
        <w:t>2运输前应对浮体结构完整性、密性进行检查，在拖航过程中应保证开口关闭。</w:t>
      </w:r>
    </w:p>
    <w:p w14:paraId="7B6298CF">
      <w:pPr>
        <w:spacing w:line="360" w:lineRule="auto"/>
        <w:ind w:firstLine="420" w:firstLineChars="200"/>
        <w:rPr>
          <w:rFonts w:hint="eastAsia" w:ascii="宋体" w:hAnsi="宋体" w:eastAsia="宋体" w:cs="宋体"/>
        </w:rPr>
      </w:pPr>
      <w:r>
        <w:rPr>
          <w:rFonts w:hint="eastAsia" w:ascii="宋体" w:hAnsi="宋体" w:eastAsia="宋体" w:cs="宋体"/>
        </w:rPr>
        <w:t>3 运输船运输：应对浮体进行固定，以避免其在运输过程中发生滑移或翻转。运输船舶宜采用尾倾姿态。浮体的绑扎应通过验算，并应考虑浮体结构及绑扎件对船体结构的作用，保证船体结构强度满足要求。应考虑海浪砰击对浮体结构的影响。</w:t>
      </w:r>
    </w:p>
    <w:p w14:paraId="3CF67452">
      <w:pPr>
        <w:spacing w:line="360" w:lineRule="auto"/>
        <w:ind w:firstLine="420" w:firstLineChars="200"/>
        <w:rPr>
          <w:rFonts w:hint="eastAsia"/>
        </w:rPr>
      </w:pPr>
      <w:r>
        <w:rPr>
          <w:rFonts w:hint="eastAsia" w:ascii="宋体" w:hAnsi="宋体" w:eastAsia="宋体" w:cs="宋体"/>
        </w:rPr>
        <w:t>4 拖航运输：拖船的系柱拖力应能适合漂浮式海上风电机组的安全拖航。浮体液舱宜保持装满状态或空舱状态。执行漂浮式海上风电机组一体化运输的主力拖轮应具有足够的拖带能力，拖轮的布置应避免漂浮式海上风电机组在拖航过程中产生偏荡。浮体与拖船上的拖力点应根据拖航气象环境、拖带方向、拖航航速、浮体的设计等综合确定。拖船上拖力点与导缆钳或导缆孔之间应有适当距离以便于拖曳设备操作。拖缆附件应设计成能承受来自任何可能方向的拖缆拉力，必需时应使用导缆孔。拖带配件的设计应同时考虑正常和应急两种状态。应保证在拖航过程中风电机组不发生损坏，宜采用数值仿真或物理模型试验的方法分析风电机组在拖航过程中的倾斜角度、摇晃角度、惯性加速度等参数。拖航过程中的倾斜角度应控制在合理范围内，机舱处的惯性加速度应满足风电机组的设计要求。</w:t>
      </w:r>
    </w:p>
    <w:p w14:paraId="614D79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5钢结构</w:t>
      </w:r>
      <w:r>
        <w:rPr>
          <w:rFonts w:hint="eastAsia" w:ascii="宋体" w:hAnsi="宋体" w:eastAsia="宋体" w:cs="宋体"/>
          <w:color w:val="000000"/>
          <w:sz w:val="28"/>
          <w:szCs w:val="28"/>
        </w:rPr>
        <w:t>工程</w:t>
      </w:r>
    </w:p>
    <w:p w14:paraId="006D0ED9">
      <w:pPr>
        <w:rPr>
          <w:rFonts w:hint="eastAsia"/>
          <w:lang w:val="en-US" w:eastAsia="zh-CN"/>
        </w:rPr>
      </w:pPr>
    </w:p>
    <w:p w14:paraId="7CD4D102">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黑体" w:hAnsi="黑体" w:eastAsia="黑体"/>
          <w:lang w:val="en-US" w:eastAsia="zh-CN"/>
        </w:rPr>
      </w:pPr>
      <w:r>
        <w:rPr>
          <w:rFonts w:hint="eastAsia" w:ascii="黑体" w:hAnsi="黑体" w:eastAsia="黑体"/>
        </w:rPr>
        <w:t>5.</w:t>
      </w:r>
      <w:r>
        <w:rPr>
          <w:rFonts w:hint="eastAsia" w:ascii="黑体" w:hAnsi="黑体" w:eastAsia="黑体"/>
          <w:lang w:val="en-US" w:eastAsia="zh-CN"/>
        </w:rPr>
        <w:t>1</w:t>
      </w:r>
      <w:r>
        <w:rPr>
          <w:rFonts w:hint="eastAsia" w:ascii="黑体" w:hAnsi="黑体" w:eastAsia="黑体"/>
        </w:rPr>
        <w:t xml:space="preserve"> </w:t>
      </w:r>
      <w:r>
        <w:rPr>
          <w:rFonts w:hint="eastAsia" w:ascii="黑体" w:hAnsi="黑体" w:eastAsia="黑体"/>
          <w:lang w:val="en-US" w:eastAsia="zh-CN"/>
        </w:rPr>
        <w:t>一般规定</w:t>
      </w:r>
    </w:p>
    <w:p w14:paraId="75C6050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b w:val="0"/>
          <w:bCs w:val="0"/>
          <w:lang w:val="en-US" w:eastAsia="zh-CN"/>
        </w:rPr>
      </w:pPr>
      <w:r>
        <w:rPr>
          <w:rFonts w:hint="eastAsia" w:ascii="宋体" w:hAnsi="宋体" w:eastAsia="宋体" w:cs="宋体"/>
          <w:b w:val="0"/>
          <w:bCs w:val="0"/>
          <w:highlight w:val="none"/>
          <w:lang w:val="en-US" w:eastAsia="zh-CN"/>
        </w:rPr>
        <w:t>5.1.</w:t>
      </w:r>
      <w:r>
        <w:rPr>
          <w:rFonts w:hint="eastAsia" w:ascii="宋体" w:hAnsi="宋体" w:eastAsia="宋体" w:cs="宋体"/>
          <w:b w:val="0"/>
          <w:bCs w:val="0"/>
          <w:highlight w:val="none"/>
        </w:rPr>
        <w:t xml:space="preserve">1 </w:t>
      </w:r>
      <w:r>
        <w:rPr>
          <w:rFonts w:hint="eastAsia" w:ascii="宋体" w:hAnsi="宋体" w:eastAsia="宋体" w:cs="宋体"/>
          <w:b w:val="0"/>
          <w:bCs w:val="0"/>
          <w:highlight w:val="none"/>
          <w:lang w:val="en-US" w:eastAsia="zh-CN"/>
        </w:rPr>
        <w:t>深远海</w:t>
      </w:r>
      <w:r>
        <w:rPr>
          <w:rFonts w:hint="eastAsia" w:ascii="宋体" w:hAnsi="宋体" w:eastAsia="宋体" w:cs="宋体"/>
          <w:b w:val="0"/>
          <w:bCs w:val="0"/>
          <w:highlight w:val="none"/>
        </w:rPr>
        <w:t>风电场工程基础钢结构制造厂的制造能力、堆场、码头出运能力</w:t>
      </w:r>
      <w:r>
        <w:rPr>
          <w:rFonts w:hint="eastAsia" w:ascii="宋体" w:hAnsi="宋体" w:eastAsia="宋体" w:cs="宋体"/>
          <w:b w:val="0"/>
          <w:bCs w:val="0"/>
          <w:highlight w:val="none"/>
          <w:lang w:val="en-US" w:eastAsia="zh-CN"/>
        </w:rPr>
        <w:t>按照NB/T11852-2025要求执行。</w:t>
      </w:r>
    </w:p>
    <w:p w14:paraId="3963AB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rPr>
      </w:pPr>
      <w:r>
        <w:rPr>
          <w:rFonts w:hint="eastAsia" w:ascii="宋体" w:hAnsi="宋体" w:eastAsia="宋体" w:cs="宋体"/>
          <w:b w:val="0"/>
          <w:bCs w:val="0"/>
          <w:highlight w:val="none"/>
          <w:lang w:val="en-US" w:eastAsia="zh-CN"/>
        </w:rPr>
        <w:t>5</w:t>
      </w:r>
      <w:r>
        <w:rPr>
          <w:rFonts w:hint="eastAsia" w:ascii="宋体" w:hAnsi="宋体" w:eastAsia="宋体" w:cs="宋体"/>
          <w:b w:val="0"/>
          <w:bCs w:val="0"/>
          <w:highlight w:val="none"/>
        </w:rPr>
        <w:t>.</w:t>
      </w:r>
      <w:r>
        <w:rPr>
          <w:rFonts w:hint="eastAsia" w:ascii="宋体" w:hAnsi="宋体" w:eastAsia="宋体" w:cs="宋体"/>
          <w:b w:val="0"/>
          <w:bCs w:val="0"/>
          <w:highlight w:val="none"/>
          <w:lang w:val="en-US" w:eastAsia="zh-CN"/>
        </w:rPr>
        <w:t>1</w:t>
      </w:r>
      <w:r>
        <w:rPr>
          <w:rFonts w:hint="eastAsia" w:ascii="宋体" w:hAnsi="宋体" w:eastAsia="宋体" w:cs="宋体"/>
          <w:b w:val="0"/>
          <w:bCs w:val="0"/>
          <w:highlight w:val="none"/>
        </w:rPr>
        <w:t xml:space="preserve">.2 </w:t>
      </w:r>
      <w:r>
        <w:rPr>
          <w:rFonts w:hint="eastAsia" w:ascii="宋体" w:hAnsi="宋体" w:eastAsia="宋体" w:cs="宋体"/>
          <w:b w:val="0"/>
          <w:bCs w:val="0"/>
          <w:highlight w:val="none"/>
          <w:lang w:val="en-US" w:eastAsia="zh-CN"/>
        </w:rPr>
        <w:t>深远海</w:t>
      </w:r>
      <w:r>
        <w:rPr>
          <w:rFonts w:hint="eastAsia" w:ascii="宋体" w:hAnsi="宋体" w:eastAsia="宋体" w:cs="宋体"/>
          <w:b w:val="0"/>
          <w:bCs w:val="0"/>
          <w:highlight w:val="none"/>
        </w:rPr>
        <w:t>风电场工程基础钢结构制造使用的检验仪器、仪表，应经计量检定、校准合格，且在有效期内。</w:t>
      </w:r>
    </w:p>
    <w:p w14:paraId="00F8B2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rPr>
      </w:pPr>
      <w:r>
        <w:rPr>
          <w:rFonts w:hint="eastAsia" w:ascii="宋体" w:hAnsi="宋体" w:eastAsia="宋体" w:cs="宋体"/>
          <w:b w:val="0"/>
          <w:bCs w:val="0"/>
          <w:highlight w:val="none"/>
          <w:lang w:val="en-US" w:eastAsia="zh-CN"/>
        </w:rPr>
        <w:t>5</w:t>
      </w:r>
      <w:r>
        <w:rPr>
          <w:rFonts w:hint="eastAsia" w:ascii="宋体" w:hAnsi="宋体" w:eastAsia="宋体" w:cs="宋体"/>
          <w:b w:val="0"/>
          <w:bCs w:val="0"/>
          <w:highlight w:val="none"/>
        </w:rPr>
        <w:t>.</w:t>
      </w:r>
      <w:r>
        <w:rPr>
          <w:rFonts w:hint="eastAsia" w:ascii="宋体" w:hAnsi="宋体" w:eastAsia="宋体" w:cs="宋体"/>
          <w:b w:val="0"/>
          <w:bCs w:val="0"/>
          <w:highlight w:val="none"/>
          <w:lang w:val="en-US" w:eastAsia="zh-CN"/>
        </w:rPr>
        <w:t>1</w:t>
      </w:r>
      <w:r>
        <w:rPr>
          <w:rFonts w:hint="eastAsia" w:ascii="宋体" w:hAnsi="宋体" w:eastAsia="宋体" w:cs="宋体"/>
          <w:b w:val="0"/>
          <w:bCs w:val="0"/>
          <w:highlight w:val="none"/>
        </w:rPr>
        <w:t xml:space="preserve">.3 </w:t>
      </w:r>
      <w:r>
        <w:rPr>
          <w:rFonts w:hint="eastAsia" w:ascii="宋体" w:hAnsi="宋体" w:eastAsia="宋体" w:cs="宋体"/>
          <w:b w:val="0"/>
          <w:bCs w:val="0"/>
          <w:highlight w:val="none"/>
          <w:lang w:val="en-US" w:eastAsia="zh-CN"/>
        </w:rPr>
        <w:t>深远海</w:t>
      </w:r>
      <w:r>
        <w:rPr>
          <w:rFonts w:hint="eastAsia" w:ascii="宋体" w:hAnsi="宋体" w:eastAsia="宋体" w:cs="宋体"/>
          <w:b w:val="0"/>
          <w:bCs w:val="0"/>
          <w:highlight w:val="none"/>
        </w:rPr>
        <w:t>风电场工程基础钢结构制造相关人员的安全、健康及作业环境应遵守国家现行安全健康相关标准的规定。</w:t>
      </w:r>
    </w:p>
    <w:p w14:paraId="194A289D">
      <w:pPr>
        <w:spacing w:line="360" w:lineRule="auto"/>
        <w:rPr>
          <w:rFonts w:hint="default" w:ascii="宋体" w:hAnsi="宋体" w:eastAsia="宋体" w:cs="宋体"/>
          <w:color w:val="auto"/>
          <w:highlight w:val="yellow"/>
        </w:rPr>
      </w:pPr>
      <w:r>
        <w:rPr>
          <w:rFonts w:hint="eastAsia" w:ascii="宋体" w:hAnsi="宋体" w:eastAsia="宋体" w:cs="宋体"/>
          <w:color w:val="auto"/>
          <w:highlight w:val="none"/>
        </w:rPr>
        <w:t>5.1.</w:t>
      </w:r>
      <w:r>
        <w:rPr>
          <w:rFonts w:hint="eastAsia" w:ascii="宋体" w:hAnsi="宋体" w:eastAsia="宋体" w:cs="宋体"/>
          <w:color w:val="auto"/>
          <w:highlight w:val="none"/>
          <w:lang w:eastAsia="zh-CN"/>
        </w:rPr>
        <w:t>4</w:t>
      </w:r>
      <w:r>
        <w:rPr>
          <w:rFonts w:ascii="宋体" w:hAnsi="宋体" w:eastAsia="宋体" w:cs="宋体"/>
          <w:color w:val="auto"/>
          <w:highlight w:val="none"/>
        </w:rPr>
        <w:t>钢材堆放应减少钢材的变形和锈蚀，并应放置垫木或垫块</w:t>
      </w:r>
      <w:r>
        <w:rPr>
          <w:rFonts w:hint="eastAsia" w:ascii="宋体" w:hAnsi="宋体" w:eastAsia="宋体" w:cs="宋体"/>
          <w:color w:val="auto"/>
          <w:highlight w:val="none"/>
        </w:rPr>
        <w:t>；无特殊加固处理的钢材堆放高度不应大于其宽度，若采取钢材互相勾连或其他加固措施，堆放高度不得超过宽度的两倍。</w:t>
      </w:r>
    </w:p>
    <w:p w14:paraId="6B64238C">
      <w:pPr>
        <w:spacing w:line="360" w:lineRule="auto"/>
        <w:rPr>
          <w:rFonts w:ascii="宋体" w:hAnsi="宋体" w:eastAsia="宋体" w:cs="宋体"/>
          <w:color w:val="auto"/>
          <w:highlight w:val="none"/>
        </w:rPr>
      </w:pPr>
      <w:r>
        <w:rPr>
          <w:rFonts w:hint="eastAsia" w:ascii="宋体" w:hAnsi="宋体" w:eastAsia="宋体" w:cs="宋体"/>
          <w:color w:val="auto"/>
          <w:highlight w:val="none"/>
        </w:rPr>
        <w:t>5.1.</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深远海风电场钢结构用焊材</w:t>
      </w:r>
      <w:bookmarkStart w:id="7" w:name="OLE_LINK32"/>
      <w:r>
        <w:rPr>
          <w:rFonts w:hint="eastAsia" w:ascii="宋体" w:hAnsi="宋体" w:eastAsia="宋体" w:cs="宋体"/>
          <w:color w:val="auto"/>
          <w:highlight w:val="none"/>
        </w:rPr>
        <w:t>在使用前应按产品说明书规定进行烘干；焊剂中的脏物、焊丝上的油锈等应清除干净</w:t>
      </w:r>
      <w:bookmarkEnd w:id="7"/>
      <w:r>
        <w:rPr>
          <w:rFonts w:hint="eastAsia" w:ascii="宋体" w:hAnsi="宋体" w:eastAsia="宋体" w:cs="宋体"/>
          <w:color w:val="auto"/>
          <w:highlight w:val="none"/>
        </w:rPr>
        <w:t>。</w:t>
      </w:r>
    </w:p>
    <w:p w14:paraId="5F28DB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t>5.1.</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深远海风电场钢结构防腐蚀措施应符合现行行业标准《</w:t>
      </w:r>
      <w:r>
        <w:rPr>
          <w:rFonts w:ascii="宋体" w:hAnsi="宋体" w:eastAsia="宋体" w:cs="宋体"/>
          <w:color w:val="auto"/>
          <w:highlight w:val="none"/>
        </w:rPr>
        <w:t>海上风电场钢结构防腐蚀技术标准</w:t>
      </w:r>
      <w:r>
        <w:rPr>
          <w:rFonts w:hint="eastAsia" w:ascii="宋体" w:hAnsi="宋体" w:eastAsia="宋体" w:cs="宋体"/>
          <w:color w:val="auto"/>
          <w:highlight w:val="none"/>
        </w:rPr>
        <w:t>》NB/T 31006的有关规定。</w:t>
      </w:r>
    </w:p>
    <w:p w14:paraId="5D937196">
      <w:pPr>
        <w:spacing w:line="360" w:lineRule="auto"/>
        <w:rPr>
          <w:rFonts w:hint="eastAsia"/>
        </w:rPr>
      </w:pPr>
      <w:r>
        <w:rPr>
          <w:rFonts w:hint="eastAsia" w:ascii="宋体" w:hAnsi="宋体" w:eastAsia="宋体" w:cs="宋体"/>
          <w:b w:val="0"/>
          <w:bCs w:val="0"/>
          <w:highlight w:val="none"/>
          <w:lang w:val="en-US" w:eastAsia="zh-CN"/>
        </w:rPr>
        <w:t>5.1.7钢构件制</w:t>
      </w:r>
      <w:r>
        <w:rPr>
          <w:rFonts w:hint="eastAsia" w:ascii="宋体" w:hAnsi="宋体" w:eastAsia="宋体" w:cs="宋体"/>
          <w:b w:val="0"/>
          <w:bCs w:val="0"/>
          <w:color w:val="auto"/>
          <w:highlight w:val="none"/>
          <w:lang w:val="en-US" w:eastAsia="zh-CN"/>
        </w:rPr>
        <w:t>作</w:t>
      </w:r>
      <w:r>
        <w:rPr>
          <w:rFonts w:hint="eastAsia" w:ascii="宋体" w:hAnsi="宋体" w:eastAsia="宋体" w:cs="宋体"/>
          <w:b w:val="0"/>
          <w:bCs w:val="0"/>
          <w:highlight w:val="none"/>
          <w:lang w:val="en-US" w:eastAsia="zh-CN"/>
        </w:rPr>
        <w:t>前，应根据</w:t>
      </w:r>
      <w:r>
        <w:rPr>
          <w:rFonts w:hint="eastAsia" w:ascii="宋体" w:hAnsi="宋体" w:eastAsia="宋体" w:cs="宋体"/>
          <w:b w:val="0"/>
          <w:bCs w:val="0"/>
          <w:color w:val="auto"/>
          <w:highlight w:val="none"/>
          <w:lang w:val="en-US" w:eastAsia="zh-CN"/>
        </w:rPr>
        <w:t>结构</w:t>
      </w:r>
      <w:r>
        <w:rPr>
          <w:rFonts w:hint="eastAsia" w:ascii="宋体" w:hAnsi="宋体" w:eastAsia="宋体" w:cs="宋体"/>
          <w:b w:val="0"/>
          <w:bCs w:val="0"/>
          <w:highlight w:val="none"/>
          <w:lang w:val="en-US" w:eastAsia="zh-CN"/>
        </w:rPr>
        <w:t>型式、运输及吊装能力、现场制造条件，合理划分构件分段与制造单元，编制分段制造与组装专项方案。</w:t>
      </w:r>
    </w:p>
    <w:p w14:paraId="014761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highlight w:val="none"/>
          <w:lang w:val="en-US" w:eastAsia="zh-CN"/>
        </w:rPr>
      </w:pPr>
      <w:r>
        <w:rPr>
          <w:rFonts w:hint="eastAsia" w:ascii="宋体" w:hAnsi="宋体" w:eastAsia="宋体" w:cs="宋体"/>
          <w:color w:val="auto"/>
          <w:highlight w:val="none"/>
        </w:rPr>
        <w:t>5.1.</w:t>
      </w:r>
      <w:r>
        <w:rPr>
          <w:rFonts w:hint="eastAsia" w:ascii="宋体" w:hAnsi="宋体" w:eastAsia="宋体" w:cs="宋体"/>
          <w:color w:val="auto"/>
          <w:highlight w:val="none"/>
          <w:lang w:val="en-US" w:eastAsia="zh-CN"/>
        </w:rPr>
        <w:t>8</w:t>
      </w:r>
      <w:r>
        <w:rPr>
          <w:rFonts w:hint="eastAsia" w:ascii="宋体" w:hAnsi="宋体" w:eastAsia="宋体" w:cs="宋体"/>
          <w:b w:val="0"/>
          <w:bCs w:val="0"/>
          <w:color w:val="auto"/>
          <w:highlight w:val="none"/>
        </w:rPr>
        <w:t>钢结构</w:t>
      </w:r>
      <w:r>
        <w:rPr>
          <w:rFonts w:hint="eastAsia" w:ascii="宋体" w:hAnsi="宋体" w:eastAsia="宋体" w:cs="宋体"/>
          <w:b w:val="0"/>
          <w:bCs w:val="0"/>
          <w:color w:val="auto"/>
          <w:highlight w:val="none"/>
          <w:lang w:val="en-US" w:eastAsia="zh-CN"/>
        </w:rPr>
        <w:t>制作全过程应推行</w:t>
      </w:r>
      <w:r>
        <w:rPr>
          <w:rFonts w:hint="eastAsia" w:ascii="宋体" w:hAnsi="宋体" w:eastAsia="宋体" w:cs="宋体"/>
          <w:color w:val="auto"/>
          <w:highlight w:val="none"/>
          <w:lang w:val="en-US" w:eastAsia="zh-CN"/>
        </w:rPr>
        <w:t>数字化</w:t>
      </w:r>
      <w:r>
        <w:rPr>
          <w:rFonts w:hint="eastAsia" w:ascii="宋体" w:hAnsi="宋体" w:eastAsia="宋体" w:cs="宋体"/>
          <w:b w:val="0"/>
          <w:bCs w:val="0"/>
          <w:color w:val="auto"/>
          <w:highlight w:val="none"/>
          <w:lang w:val="en-US" w:eastAsia="zh-CN"/>
        </w:rPr>
        <w:t>管理，建立钢结构制作质量追溯体系，对原材料、焊缝、防腐涂层进行全生命周期追溯。</w:t>
      </w:r>
    </w:p>
    <w:p w14:paraId="4D710E1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5</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lang w:val="en-US" w:eastAsia="zh-CN"/>
        </w:rPr>
        <w:t>8</w:t>
      </w:r>
      <w:r>
        <w:rPr>
          <w:rFonts w:hint="eastAsia" w:ascii="宋体" w:hAnsi="宋体" w:eastAsia="宋体" w:cs="宋体"/>
          <w:b w:val="0"/>
          <w:bCs w:val="0"/>
          <w:color w:val="auto"/>
          <w:highlight w:val="none"/>
        </w:rPr>
        <w:t xml:space="preserve"> 当基础钢结构工程质量不符合规定时，应按NB/T11852要求处理</w:t>
      </w:r>
      <w:r>
        <w:rPr>
          <w:rFonts w:hint="eastAsia" w:ascii="宋体" w:hAnsi="宋体" w:eastAsia="宋体" w:cs="宋体"/>
          <w:b w:val="0"/>
          <w:bCs w:val="0"/>
          <w:color w:val="auto"/>
          <w:highlight w:val="none"/>
          <w:lang w:val="en-US" w:eastAsia="zh-CN"/>
        </w:rPr>
        <w:t>。</w:t>
      </w:r>
    </w:p>
    <w:p w14:paraId="1CFECF0F">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5.2钢结构焊接</w:t>
      </w:r>
    </w:p>
    <w:p w14:paraId="7ACFB2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5.2.1深远海风电场钢结构工程应在钢结构构件制作及安装施工之前进行焊接工艺评定，焊接工艺评定应符合现行行业标准《承压设备焊接工艺评定》NB/T 47014的有关规定。</w:t>
      </w:r>
      <w:r>
        <w:rPr>
          <w:rFonts w:hint="eastAsia" w:ascii="宋体" w:hAnsi="宋体" w:eastAsia="宋体" w:cs="宋体"/>
          <w:b w:val="0"/>
          <w:bCs w:val="0"/>
          <w:i w:val="0"/>
          <w:iCs w:val="0"/>
          <w:caps w:val="0"/>
          <w:color w:val="auto"/>
          <w:spacing w:val="0"/>
          <w:sz w:val="21"/>
          <w:szCs w:val="24"/>
          <w:highlight w:val="none"/>
          <w:shd w:val="clear" w:fill="auto"/>
        </w:rPr>
        <w:t>焊接工艺评定合格后，</w:t>
      </w:r>
      <w:r>
        <w:rPr>
          <w:rFonts w:hint="eastAsia" w:ascii="宋体" w:hAnsi="宋体" w:eastAsia="宋体" w:cs="宋体"/>
          <w:b w:val="0"/>
          <w:bCs w:val="0"/>
          <w:highlight w:val="none"/>
          <w:lang w:val="en-US" w:eastAsia="zh-CN"/>
        </w:rPr>
        <w:t>应根据焊接工艺评定报告编制焊接工艺规程。</w:t>
      </w:r>
    </w:p>
    <w:p w14:paraId="4023CB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5.2.2焊接接头的坡口尺寸应与焊接工艺规程一致。组装后坡口尺寸允许偏差应符合现行国家标准《钢结构焊接规范》GB 50661的相关规定。</w:t>
      </w:r>
    </w:p>
    <w:p w14:paraId="337FE7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5.2.3当坡口间隙偏差超过规范规定但不大于较薄板厚度1.5倍或25mm两值中较小值时，可在坡口单侧或两侧堆焊。堆焊完成后坡口制备应符合现行国家标准《钢结构焊接规范》GB 50661的有关规定。</w:t>
      </w:r>
    </w:p>
    <w:p w14:paraId="2DA39B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5.2.4焊接坡口的加工或缺陷的清除可采用机加工、热切割、碳弧气刨、铲凿或打磨等方法。当割纹深度超出允许范围时，应采用机械打磨清除。</w:t>
      </w:r>
    </w:p>
    <w:p w14:paraId="54D092B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5.2.5环境温度低于-10℃时，焊接主体结构应采用适当的围蔽等措施，保证焊接施工环境不低于0℃。</w:t>
      </w:r>
    </w:p>
    <w:p w14:paraId="11C891A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5.2.6焊前预热温度及层间温度应根据工艺试验确定；预热的加热区域应在焊缝坡口两侧，宽度应为焊件施焊处板厚的1.5倍以上，且不小于100mm；采用多层焊时应连续施焊，每一道焊接完成后应及时清理焊渣及表面飞溅物，遇有中断施焊的情况，应采取适当的保温措施，必要时应进行后热处理，再次焊接时重新预热温度应高于初始预热温度。</w:t>
      </w:r>
    </w:p>
    <w:p w14:paraId="4F0272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5.2.7焊缝无损检测应满足以下规定：</w:t>
      </w:r>
    </w:p>
    <w:p w14:paraId="6C31F1F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w:t>
      </w:r>
      <w:r>
        <w:rPr>
          <w:rFonts w:hint="default" w:ascii="宋体" w:hAnsi="宋体" w:eastAsia="宋体" w:cs="宋体"/>
          <w:b w:val="0"/>
          <w:bCs w:val="0"/>
          <w:highlight w:val="none"/>
          <w:lang w:val="en-US" w:eastAsia="zh-CN"/>
        </w:rPr>
        <w:t>焊缝的表面质量应经外观检查合格，检测面上所有影响检测的油漆、锈蚀、飞溅和污物等均应予以清除，其表面粗糙度应符合检测要求。表面的不规则状态不应影响检测结果的有效性。</w:t>
      </w:r>
    </w:p>
    <w:p w14:paraId="307CE95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w:t>
      </w:r>
      <w:r>
        <w:rPr>
          <w:rFonts w:hint="default" w:ascii="宋体" w:hAnsi="宋体" w:eastAsia="宋体" w:cs="宋体"/>
          <w:b w:val="0"/>
          <w:bCs w:val="0"/>
          <w:highlight w:val="none"/>
          <w:lang w:val="en-US" w:eastAsia="zh-CN"/>
        </w:rPr>
        <w:t>对于有延迟裂纹或冷裂纹倾向材料的焊缝检测，至少应在焊接完成24h后进行无损检测。</w:t>
      </w:r>
    </w:p>
    <w:p w14:paraId="4F8AC3E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检测范围应覆盖整个焊缝及热影响区。</w:t>
      </w:r>
    </w:p>
    <w:p w14:paraId="0D1E28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 xml:space="preserve">4 </w:t>
      </w:r>
      <w:r>
        <w:rPr>
          <w:rFonts w:hint="default" w:ascii="宋体" w:hAnsi="宋体" w:eastAsia="宋体" w:cs="宋体"/>
          <w:b w:val="0"/>
          <w:bCs w:val="0"/>
          <w:highlight w:val="none"/>
          <w:lang w:val="en-US" w:eastAsia="zh-CN"/>
        </w:rPr>
        <w:t>20%抽检的焊缝，如有不允许的缺陷，应增加抽检比例至50%，如还有不允许的缺陷，则应进行100%检测。</w:t>
      </w:r>
    </w:p>
    <w:p w14:paraId="00D6F3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5.2.8焊缝返修应满足以下规定：</w:t>
      </w:r>
    </w:p>
    <w:p w14:paraId="23C65D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w:t>
      </w:r>
      <w:r>
        <w:rPr>
          <w:rFonts w:hint="default" w:ascii="宋体" w:hAnsi="宋体" w:eastAsia="宋体" w:cs="宋体"/>
          <w:b w:val="0"/>
          <w:bCs w:val="0"/>
          <w:highlight w:val="none"/>
          <w:lang w:val="en-US" w:eastAsia="zh-CN"/>
        </w:rPr>
        <w:t>经无损检测的焊缝，如有不允许的缺陷，应在缺陷清除后进行补焊、修磨等措施，并对该部分采用原检测方法重新检查直至合格。</w:t>
      </w:r>
    </w:p>
    <w:p w14:paraId="7ED8EA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w:t>
      </w:r>
      <w:r>
        <w:rPr>
          <w:rFonts w:hint="default" w:ascii="宋体" w:hAnsi="宋体" w:eastAsia="宋体" w:cs="宋体"/>
          <w:b w:val="0"/>
          <w:bCs w:val="0"/>
          <w:highlight w:val="none"/>
          <w:lang w:val="en-US" w:eastAsia="zh-CN"/>
        </w:rPr>
        <w:t>焊缝同一部位的返修次数不宜超过两次。如超过两次，返修前应经制造单位技术总负责人批准。返修次数、返修部位和返修情况应记入质量证明资料。</w:t>
      </w:r>
    </w:p>
    <w:p w14:paraId="36A71651">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5.3紧固件连接</w:t>
      </w:r>
    </w:p>
    <w:p w14:paraId="5A2119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5.3.1紧固件的检验项目、检测方法应符合现行国家标准《钢结构工程施工质量验收标准》GB 50205的有关规定。</w:t>
      </w:r>
    </w:p>
    <w:p w14:paraId="308C44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5.3.2规定性能等级的紧固件机械和物理性能应符合现行国家标准《紧固件机械性能螺栓、螺钉和螺柱》GB/T 3098.1的有关规定。</w:t>
      </w:r>
    </w:p>
    <w:p w14:paraId="495B0F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5.3.3钢结构紧固件连接工艺和质量应符合国家现行标准《钢结构工程施工质量验收标准》GB50205、《紧固件机械性能螺栓、螺钉和螺柱》GB/T 3098、《钢结构高强度螺栓连接技术规程》JGJ 82的有关规定。</w:t>
      </w:r>
    </w:p>
    <w:p w14:paraId="612563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5.3.4连接件螺栓孔应按有关规定进行加工，螺栓孔的精度、孔壁表面粗糙度、孔径及孔距的允许偏差等应符合现行国家标准《钢结构工程施工质量验收标准》GB 50205的有关规定。</w:t>
      </w:r>
    </w:p>
    <w:p w14:paraId="686460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5.3.5普通螺栓作为永久性连接螺栓时，紧固连接应符合下列规定：</w:t>
      </w:r>
    </w:p>
    <w:p w14:paraId="772045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w:t>
      </w:r>
      <w:r>
        <w:rPr>
          <w:rFonts w:hint="default" w:ascii="宋体" w:hAnsi="宋体" w:eastAsia="宋体" w:cs="宋体"/>
          <w:b w:val="0"/>
          <w:bCs w:val="0"/>
          <w:highlight w:val="none"/>
          <w:lang w:val="en-US" w:eastAsia="zh-CN"/>
        </w:rPr>
        <w:t>螺栓头和螺母应分别放置平垫圈，螺栓头侧放置的垫圈不应多于2个，螺母侧放置的垫圈不应多于1个</w:t>
      </w:r>
      <w:r>
        <w:rPr>
          <w:rFonts w:hint="eastAsia" w:ascii="宋体" w:hAnsi="宋体" w:eastAsia="宋体" w:cs="宋体"/>
          <w:b w:val="0"/>
          <w:bCs w:val="0"/>
          <w:highlight w:val="none"/>
          <w:lang w:val="en-US" w:eastAsia="zh-CN"/>
        </w:rPr>
        <w:t>。</w:t>
      </w:r>
    </w:p>
    <w:p w14:paraId="2DA961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w:t>
      </w:r>
      <w:r>
        <w:rPr>
          <w:rFonts w:hint="default" w:ascii="宋体" w:hAnsi="宋体" w:eastAsia="宋体" w:cs="宋体"/>
          <w:b w:val="0"/>
          <w:bCs w:val="0"/>
          <w:highlight w:val="none"/>
          <w:lang w:val="en-US" w:eastAsia="zh-CN"/>
        </w:rPr>
        <w:t>承受动力荷载或重要部位的螺栓连接，设计有防松动要求时，应采取有防松动装置的螺母或弹簧垫圈，弹簧垫圈应放置在螺母侧</w:t>
      </w:r>
      <w:r>
        <w:rPr>
          <w:rFonts w:hint="eastAsia" w:ascii="宋体" w:hAnsi="宋体" w:eastAsia="宋体" w:cs="宋体"/>
          <w:b w:val="0"/>
          <w:bCs w:val="0"/>
          <w:highlight w:val="none"/>
          <w:lang w:val="en-US" w:eastAsia="zh-CN"/>
        </w:rPr>
        <w:t>。</w:t>
      </w:r>
    </w:p>
    <w:p w14:paraId="743213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对工字钢、槽钢等有斜面的螺栓连接，宜采用斜垫圈</w:t>
      </w:r>
      <w:r>
        <w:rPr>
          <w:rFonts w:hint="eastAsia" w:ascii="宋体" w:hAnsi="宋体" w:eastAsia="宋体" w:cs="宋体"/>
          <w:b w:val="0"/>
          <w:bCs w:val="0"/>
          <w:highlight w:val="none"/>
          <w:lang w:val="en-US" w:eastAsia="zh-CN"/>
        </w:rPr>
        <w:t>。</w:t>
      </w:r>
    </w:p>
    <w:p w14:paraId="630464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4</w:t>
      </w:r>
      <w:r>
        <w:rPr>
          <w:rFonts w:hint="default" w:ascii="宋体" w:hAnsi="宋体" w:eastAsia="宋体" w:cs="宋体"/>
          <w:b w:val="0"/>
          <w:bCs w:val="0"/>
          <w:highlight w:val="none"/>
          <w:lang w:val="en-US" w:eastAsia="zh-CN"/>
        </w:rPr>
        <w:t>同一个连接接头螺栓数量不应少于2个</w:t>
      </w:r>
      <w:r>
        <w:rPr>
          <w:rFonts w:hint="eastAsia" w:ascii="宋体" w:hAnsi="宋体" w:eastAsia="宋体" w:cs="宋体"/>
          <w:b w:val="0"/>
          <w:bCs w:val="0"/>
          <w:highlight w:val="none"/>
          <w:lang w:val="en-US" w:eastAsia="zh-CN"/>
        </w:rPr>
        <w:t>。</w:t>
      </w:r>
    </w:p>
    <w:p w14:paraId="52F157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w:t>
      </w:r>
      <w:r>
        <w:rPr>
          <w:rFonts w:hint="default" w:ascii="宋体" w:hAnsi="宋体" w:eastAsia="宋体" w:cs="宋体"/>
          <w:b w:val="0"/>
          <w:bCs w:val="0"/>
          <w:highlight w:val="none"/>
          <w:lang w:val="en-US" w:eastAsia="zh-CN"/>
        </w:rPr>
        <w:t>螺栓紧固后外露丝扣不应少于2扣，紧固质量检验可采用锤敲检验。</w:t>
      </w:r>
    </w:p>
    <w:p w14:paraId="14974E1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5.3.6连接薄钢板采用的拉铆钉、自攻钉、射钉等，其规格尺寸应与被连接钢板相匹配，其间距、边距等应符合设计文件的要求。钢拉铆钉和自攻螺钉的钉头部分应靠在较薄的板件一侧。自攻螺钉、钢拉铆钉、射钉等与连接钢板应紧固密贴，外观应排列整齐。</w:t>
      </w:r>
    </w:p>
    <w:p w14:paraId="247E8D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5.3.7高强度螺栓应在构件安装精度调整后进行拧紧。高强度螺栓安装应符合下列规定：</w:t>
      </w:r>
    </w:p>
    <w:p w14:paraId="569BCFE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w:t>
      </w:r>
      <w:r>
        <w:rPr>
          <w:rFonts w:hint="default" w:ascii="宋体" w:hAnsi="宋体" w:eastAsia="宋体" w:cs="宋体"/>
          <w:b w:val="0"/>
          <w:bCs w:val="0"/>
          <w:highlight w:val="none"/>
          <w:lang w:val="en-US" w:eastAsia="zh-CN"/>
        </w:rPr>
        <w:t>扭剪型高强度螺栓安装时，螺母带圆台面的一侧应朝向垫圈有倒角的一侧</w:t>
      </w:r>
      <w:r>
        <w:rPr>
          <w:rFonts w:hint="eastAsia" w:ascii="宋体" w:hAnsi="宋体" w:eastAsia="宋体" w:cs="宋体"/>
          <w:b w:val="0"/>
          <w:bCs w:val="0"/>
          <w:highlight w:val="none"/>
          <w:lang w:val="en-US" w:eastAsia="zh-CN"/>
        </w:rPr>
        <w:t>。</w:t>
      </w:r>
    </w:p>
    <w:p w14:paraId="2DFFAE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w:t>
      </w:r>
      <w:r>
        <w:rPr>
          <w:rFonts w:hint="default" w:ascii="宋体" w:hAnsi="宋体" w:eastAsia="宋体" w:cs="宋体"/>
          <w:b w:val="0"/>
          <w:bCs w:val="0"/>
          <w:highlight w:val="none"/>
          <w:lang w:val="en-US" w:eastAsia="zh-CN"/>
        </w:rPr>
        <w:t>大六角头高强度螺栓安装时，螺栓头下垫圈有倒角的一侧应朝向螺栓头，螺母带圆台面的一侧应朝向垫圈有倒角的一侧</w:t>
      </w:r>
      <w:r>
        <w:rPr>
          <w:rFonts w:hint="eastAsia" w:ascii="宋体" w:hAnsi="宋体" w:eastAsia="宋体" w:cs="宋体"/>
          <w:b w:val="0"/>
          <w:bCs w:val="0"/>
          <w:highlight w:val="none"/>
          <w:lang w:val="en-US" w:eastAsia="zh-CN"/>
        </w:rPr>
        <w:t>。</w:t>
      </w:r>
    </w:p>
    <w:p w14:paraId="4F1EBF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高强度螺栓连接副的初拧、复拧、终拧，</w:t>
      </w:r>
      <w:r>
        <w:rPr>
          <w:rFonts w:hint="eastAsia" w:ascii="宋体" w:hAnsi="宋体" w:eastAsia="宋体" w:cs="宋体"/>
          <w:b w:val="0"/>
          <w:bCs w:val="0"/>
          <w:highlight w:val="none"/>
          <w:lang w:val="en-US" w:eastAsia="zh-CN"/>
        </w:rPr>
        <w:t>应</w:t>
      </w:r>
      <w:r>
        <w:rPr>
          <w:rFonts w:hint="default" w:ascii="宋体" w:hAnsi="宋体" w:eastAsia="宋体" w:cs="宋体"/>
          <w:b w:val="0"/>
          <w:bCs w:val="0"/>
          <w:highlight w:val="none"/>
          <w:lang w:val="en-US" w:eastAsia="zh-CN"/>
        </w:rPr>
        <w:t>在24h内完成</w:t>
      </w:r>
      <w:r>
        <w:rPr>
          <w:rFonts w:hint="eastAsia" w:ascii="宋体" w:hAnsi="宋体" w:eastAsia="宋体" w:cs="宋体"/>
          <w:b w:val="0"/>
          <w:bCs w:val="0"/>
          <w:highlight w:val="none"/>
          <w:lang w:val="en-US" w:eastAsia="zh-CN"/>
        </w:rPr>
        <w:t>。</w:t>
      </w:r>
    </w:p>
    <w:p w14:paraId="65AA9A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4高强螺栓连接副终拧后，螺栓丝扣外露应为2扣～3扣，其中允许有10%的螺栓丝扣外露1扣或4扣。</w:t>
      </w:r>
    </w:p>
    <w:p w14:paraId="1026C5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高强度螺栓现场安装时应能自由穿入螺栓孔，不应强行穿入。螺栓不能自由穿入时可采用铰刀或锤刀修整螺栓孔，不应采用气割扩孔。扩孔数量应征得设计单位同意，修整后或扩孔后的孔径不应超过螺栓直径的1.2倍。</w:t>
      </w:r>
    </w:p>
    <w:p w14:paraId="236CEB2A">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5.4钢结构制作</w:t>
      </w:r>
    </w:p>
    <w:p w14:paraId="7E8EF6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5.4.1钢管桩制作</w:t>
      </w:r>
    </w:p>
    <w:p w14:paraId="4D55E23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1钢管桩应在工厂整根制作，不宜现场海上拼接钢管桩。管节拼装、定位、焊接，应在滚轮架上进行，滚轮架应平整、稳定、受力均匀。</w:t>
      </w:r>
    </w:p>
    <w:p w14:paraId="6A8F56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2钢板放样下料时应预留切割、刨边和焊接收缩余量。</w:t>
      </w:r>
    </w:p>
    <w:p w14:paraId="673D23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3管节对口拼接时，相邻管节对口的板边高差应满足焊接质量的规定。</w:t>
      </w:r>
    </w:p>
    <w:p w14:paraId="54D567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4同一管段及相邻管段的纵向焊缝应错开90°以上，纵缝间距不应小于3000mm。</w:t>
      </w:r>
    </w:p>
    <w:p w14:paraId="2588C6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5剪力键与桩体环焊缝错开距离不应小于100mm；其他生根件焊缝距桩身环向焊缝不应小于500mm。桩身开孔边缘与环缝、纵缝间距不应小于500mm，与其他焊缝间距不应小于5倍壁厚。</w:t>
      </w:r>
    </w:p>
    <w:p w14:paraId="06C1B4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6钢构件间板厚差大于3mm时，应采用1:4削斜过渡连接；板厚差小于3mm时，应以焊道均匀渐变连接，焊道表面坡度不应小于1:4。</w:t>
      </w:r>
    </w:p>
    <w:p w14:paraId="380882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7焊前预热温度宜为120℃～200℃，定位焊缝预热温度较主缝预热温度宜提高20℃～30℃。道间温度应控制在预热温度至250℃之间。</w:t>
      </w:r>
    </w:p>
    <w:p w14:paraId="5BF3683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0070C0"/>
          <w:sz w:val="21"/>
          <w:szCs w:val="21"/>
        </w:rPr>
      </w:pPr>
      <w:r>
        <w:rPr>
          <w:rFonts w:hint="eastAsia"/>
          <w:lang w:val="en-US" w:eastAsia="zh-CN"/>
        </w:rPr>
        <w:t>8</w:t>
      </w:r>
      <w:r>
        <w:rPr>
          <w:rFonts w:hint="eastAsia"/>
        </w:rPr>
        <w:t>厚度大于38mm的钢板应进行后热消氢处理，后热温度宜为200℃～300℃，保温时间不应小于1h。</w:t>
      </w:r>
    </w:p>
    <w:p w14:paraId="0111B5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9焊缝焊后应打磨光滑平顺，对接焊缝余高不应超过焊缝宽度的10%，且不应大于3mm。要求磨平的焊缝，磨平后不得高于母材表面0.5mm，亦不得低于母材表面0.3mm，表面粗糙度不应大于50μm。</w:t>
      </w:r>
    </w:p>
    <w:p w14:paraId="4A6616D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10钢管桩应按不同规格分别堆存，堆存形式和层数应安全可靠，避免产生轴向变形和局部压曲变形。</w:t>
      </w:r>
    </w:p>
    <w:p w14:paraId="4987941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11起吊、运输和堆存过程中应采取措施保护防腐涂层，避免因碰撞、摩擦造成涂层破损。</w:t>
      </w:r>
    </w:p>
    <w:p w14:paraId="714A24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12运输至现场后，桩体总轴线弯曲矢高不应大于0.1%桩长，且不应大于30mm。</w:t>
      </w:r>
    </w:p>
    <w:p w14:paraId="446563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5.4.2导管架制作</w:t>
      </w:r>
    </w:p>
    <w:p w14:paraId="4CDC36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1导管架（含过渡段）应在工厂整体制作，不宜在海上现场拼装或焊接。</w:t>
      </w:r>
    </w:p>
    <w:p w14:paraId="497BBF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 K/Y型、X型节点的装配和组焊应符合现行行业标准《浅海固定平台建造与检验规范》的有关规定。</w:t>
      </w:r>
    </w:p>
    <w:p w14:paraId="0F6F931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3相邻管段的纵焊缝应错开90°以上，相邻拼接缝之间的距离不应小于1m和管直径的较大值。在任意4m钢管段内，拼接焊缝数量不应超过2处。</w:t>
      </w:r>
    </w:p>
    <w:p w14:paraId="7DA397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4导管架结构组焊完成后，采用整体激振法或局部加热法进行残余应力消除处理。</w:t>
      </w:r>
    </w:p>
    <w:p w14:paraId="0292BE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 K/Y/X型管节点焊接应采用交替对称焊工艺，控制焊接变形和残余应力。</w:t>
      </w:r>
    </w:p>
    <w:p w14:paraId="66D5B3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5.4.3吸力桩制作</w:t>
      </w:r>
    </w:p>
    <w:p w14:paraId="4AB68E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color w:val="auto"/>
          <w:highlight w:val="none"/>
          <w:lang w:val="en-US" w:eastAsia="zh-CN"/>
        </w:rPr>
        <w:t>1</w:t>
      </w:r>
      <w:r>
        <w:rPr>
          <w:rFonts w:hint="eastAsia" w:ascii="宋体" w:hAnsi="宋体" w:eastAsia="宋体" w:cs="宋体"/>
          <w:color w:val="auto"/>
          <w:highlight w:val="none"/>
        </w:rPr>
        <w:t xml:space="preserve"> 吸力桩筒体钢板在切割前存在局部凸起、边缘折弯等缺陷时，应进行必要的矫正。矫正后平整度应满足规范要求。</w:t>
      </w:r>
    </w:p>
    <w:p w14:paraId="7FFFE71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 吸力桩筒体制作应采用可靠的辅助工装，以防止吸力桩筒体产生过大变形。</w:t>
      </w:r>
    </w:p>
    <w:p w14:paraId="190195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 吸力桩成品筒壁内面若出现凸起，应打磨清除。吸力桩筒壁表面横向残余焊疤高度不宜超过 10mm，竖向残余焊疤高度不宜超过 20mm。</w:t>
      </w:r>
    </w:p>
    <w:p w14:paraId="24E5E3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 吸力桩和导管架合拢宜采用立式组拼，合拢位置偏差应满足设计要求。</w:t>
      </w:r>
    </w:p>
    <w:p w14:paraId="517463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highlight w:val="none"/>
          <w:lang w:val="en-US" w:eastAsia="zh-CN"/>
        </w:rPr>
      </w:pPr>
      <w:r>
        <w:rPr>
          <w:rFonts w:hint="eastAsia" w:ascii="宋体" w:hAnsi="宋体" w:eastAsia="宋体" w:cs="宋体"/>
          <w:color w:val="auto"/>
          <w:highlight w:val="none"/>
        </w:rPr>
        <w:t>5 吸力桩制作完成后应进行外观尺寸、焊缝外观质量检查和无损检测，检验合格后，方可进行附属构件组装。</w:t>
      </w:r>
    </w:p>
    <w:p w14:paraId="416B90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color w:val="auto"/>
          <w:highlight w:val="none"/>
          <w:lang w:val="en-US" w:eastAsia="zh-CN"/>
        </w:rPr>
        <w:t>6吸力筒制作完成后应进行水压试验，试验压力为1.5倍设计压力，保压时间不应少于24h。</w:t>
      </w:r>
    </w:p>
    <w:p w14:paraId="391FD4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5.4.3漂浮式风机基础钢结构制作</w:t>
      </w:r>
    </w:p>
    <w:p w14:paraId="073B3C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1承受交变载荷的关键部位（如系泊点、连接节点等），应选用具有良好低温韧性和疲劳性能的钢材。</w:t>
      </w:r>
    </w:p>
    <w:p w14:paraId="4C8858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2漂浮式基础钢结构采用分段制作、船坞总装的工艺方案。分段划分应考虑运输、吊装和焊接的便利性。</w:t>
      </w:r>
    </w:p>
    <w:p w14:paraId="2856D80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3曲形构件加工应采用专用模具，保证形状和尺寸精度。</w:t>
      </w:r>
    </w:p>
    <w:p w14:paraId="06D5BB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4系泊点、吊点等关键部件应采用整体锻造或厚板切割制作。</w:t>
      </w:r>
    </w:p>
    <w:p w14:paraId="10E1B6C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5水密舱室的壁板和甲板应采用连续焊接，保证水密性。</w:t>
      </w:r>
    </w:p>
    <w:p w14:paraId="6C16853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6焊接顺序应采用对称焊接和分段退焊工艺，控制焊接变形和残余应力。</w:t>
      </w:r>
    </w:p>
    <w:p w14:paraId="65CF65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5.4.4附属构件制作</w:t>
      </w:r>
    </w:p>
    <w:p w14:paraId="729A4E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1附属构件包括靠船构件、钢爬梯、栏杆、内外钢平台、海缆保护管、灌浆管等，其加工制造应满足设计要求和现行国家标准《钢结构焊接规范》GB 50661、《钢结构工程施工质量验收标准》GB 50205 的有关规定。</w:t>
      </w:r>
    </w:p>
    <w:p w14:paraId="28A659E2">
      <w:pPr>
        <w:keepNext w:val="0"/>
        <w:keepLines w:val="0"/>
        <w:widowControl w:val="0"/>
        <w:suppressLineNumbers w:val="0"/>
        <w:spacing w:line="360" w:lineRule="auto"/>
        <w:ind w:firstLine="420" w:firstLineChars="200"/>
        <w:jc w:val="left"/>
        <w:rPr>
          <w:rFonts w:hint="eastAsia" w:ascii="宋体" w:hAnsi="宋体" w:eastAsia="宋体" w:cs="宋体"/>
          <w:highlight w:val="none"/>
        </w:rPr>
      </w:pPr>
      <w:r>
        <w:rPr>
          <w:rFonts w:hint="eastAsia" w:ascii="宋体" w:hAnsi="宋体" w:eastAsia="宋体" w:cs="宋体"/>
          <w:kern w:val="2"/>
          <w:sz w:val="21"/>
          <w:szCs w:val="24"/>
          <w:highlight w:val="none"/>
          <w:lang w:val="en-US" w:eastAsia="zh-CN" w:bidi="ar"/>
        </w:rPr>
        <w:t>2</w:t>
      </w:r>
      <w:r>
        <w:rPr>
          <w:rFonts w:hint="eastAsia" w:ascii="宋体" w:hAnsi="宋体" w:eastAsia="宋体" w:cs="宋体"/>
          <w:color w:val="auto"/>
          <w:kern w:val="2"/>
          <w:sz w:val="21"/>
          <w:szCs w:val="24"/>
          <w:highlight w:val="none"/>
          <w:lang w:val="en-US" w:eastAsia="zh-CN" w:bidi="ar"/>
        </w:rPr>
        <w:t xml:space="preserve">附属结构安装过程中，应采取有效措施，防止产生过大的弯扭变形；安装就位后，应及时系牢支撑及其它连接构件，保证结构的稳定性。 </w:t>
      </w:r>
    </w:p>
    <w:p w14:paraId="144A77DB">
      <w:pPr>
        <w:keepNext w:val="0"/>
        <w:keepLines w:val="0"/>
        <w:widowControl w:val="0"/>
        <w:suppressLineNumbers w:val="0"/>
        <w:spacing w:line="360" w:lineRule="auto"/>
        <w:ind w:firstLine="420" w:firstLineChars="200"/>
        <w:jc w:val="left"/>
        <w:rPr>
          <w:rFonts w:hint="eastAsia" w:ascii="宋体" w:hAnsi="宋体" w:eastAsia="宋体" w:cs="宋体"/>
          <w:highlight w:val="none"/>
        </w:rPr>
      </w:pPr>
      <w:r>
        <w:rPr>
          <w:rFonts w:hint="eastAsia" w:ascii="宋体" w:hAnsi="宋体" w:eastAsia="宋体" w:cs="宋体"/>
          <w:b w:val="0"/>
          <w:bCs w:val="0"/>
          <w:kern w:val="2"/>
          <w:sz w:val="21"/>
          <w:szCs w:val="24"/>
          <w:highlight w:val="none"/>
          <w:lang w:val="en-US" w:eastAsia="zh-CN" w:bidi="ar"/>
        </w:rPr>
        <w:t>3</w:t>
      </w:r>
      <w:r>
        <w:rPr>
          <w:rFonts w:hint="eastAsia" w:ascii="宋体" w:hAnsi="宋体" w:eastAsia="宋体" w:cs="宋体"/>
          <w:color w:val="auto"/>
          <w:kern w:val="2"/>
          <w:sz w:val="21"/>
          <w:szCs w:val="24"/>
          <w:highlight w:val="none"/>
          <w:lang w:val="en-US" w:eastAsia="zh-CN" w:bidi="ar"/>
        </w:rPr>
        <w:t xml:space="preserve">安装过程应采用有效措施防止造成对于主体结构及其涂层的损伤。 </w:t>
      </w:r>
    </w:p>
    <w:p w14:paraId="4BC04337">
      <w:pPr>
        <w:keepNext w:val="0"/>
        <w:keepLines w:val="0"/>
        <w:widowControl w:val="0"/>
        <w:suppressLineNumbers w:val="0"/>
        <w:spacing w:line="360" w:lineRule="auto"/>
        <w:ind w:firstLine="420" w:firstLineChars="200"/>
        <w:jc w:val="left"/>
        <w:rPr>
          <w:rFonts w:hint="eastAsia" w:ascii="宋体" w:hAnsi="宋体" w:eastAsia="宋体" w:cs="宋体"/>
          <w:highlight w:val="none"/>
        </w:rPr>
      </w:pPr>
      <w:r>
        <w:rPr>
          <w:rFonts w:hint="eastAsia" w:ascii="宋体" w:hAnsi="宋体" w:eastAsia="宋体" w:cs="宋体"/>
          <w:b w:val="0"/>
          <w:bCs w:val="0"/>
          <w:kern w:val="2"/>
          <w:sz w:val="21"/>
          <w:szCs w:val="24"/>
          <w:highlight w:val="none"/>
          <w:lang w:val="en-US" w:eastAsia="zh-CN" w:bidi="ar"/>
        </w:rPr>
        <w:t>4</w:t>
      </w:r>
      <w:r>
        <w:rPr>
          <w:rFonts w:hint="eastAsia" w:ascii="宋体" w:hAnsi="宋体" w:eastAsia="宋体" w:cs="宋体"/>
          <w:color w:val="auto"/>
          <w:kern w:val="2"/>
          <w:sz w:val="21"/>
          <w:szCs w:val="24"/>
          <w:highlight w:val="none"/>
          <w:lang w:val="en-US" w:eastAsia="zh-CN" w:bidi="ar"/>
        </w:rPr>
        <w:t>附属构件制作完成后应按不同的规格采用可靠的型式进行堆存，应按批号、规格分类存放妥善保管，防止生锈、污染和损坏，不宜多层叠放。附属构件堆放现场应采 取保护措施避免碰撞。</w:t>
      </w:r>
    </w:p>
    <w:p w14:paraId="47715E65">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textAlignment w:val="auto"/>
        <w:rPr>
          <w:rFonts w:hint="default" w:ascii="宋体" w:hAnsi="宋体" w:eastAsia="宋体" w:cs="宋体"/>
          <w:b w:val="0"/>
          <w:bCs w:val="0"/>
          <w:highlight w:val="none"/>
          <w:lang w:val="en-US" w:eastAsia="zh-CN"/>
        </w:rPr>
      </w:pPr>
      <w:r>
        <w:rPr>
          <w:rFonts w:hint="eastAsia" w:ascii="黑体" w:hAnsi="黑体" w:eastAsia="黑体"/>
          <w:lang w:val="en-US" w:eastAsia="zh-CN"/>
        </w:rPr>
        <w:t>5.5 钢构件组装</w:t>
      </w:r>
    </w:p>
    <w:p w14:paraId="20A86C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5.5.1钢构件组装场地应坚实平整、承载力可靠，组装前、后应对场地地基沉降进行监测，严格控制沉降变形，保障组装精度与质量。</w:t>
      </w:r>
      <w:r>
        <w:rPr>
          <w:rFonts w:hint="default" w:ascii="宋体" w:hAnsi="宋体" w:eastAsia="宋体" w:cs="宋体"/>
          <w:b w:val="0"/>
          <w:bCs w:val="0"/>
          <w:highlight w:val="none"/>
          <w:lang w:val="en-US" w:eastAsia="zh-CN"/>
        </w:rPr>
        <w:commentReference w:id="0"/>
      </w:r>
    </w:p>
    <w:p w14:paraId="04CC39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5.5.2深远海大型钢构件组装后焊接前、焊接过程及焊接完成后，均应进行全过程测量校验，核对构件整体尺寸与线形，确保上部结构与下部结构的匹配度，测量数据应完整记录，形成专项竣工校验报告并验收合格。</w:t>
      </w:r>
      <w:r>
        <w:rPr>
          <w:rFonts w:hint="default" w:ascii="宋体" w:hAnsi="宋体" w:eastAsia="宋体" w:cs="宋体"/>
          <w:b w:val="0"/>
          <w:bCs w:val="0"/>
          <w:highlight w:val="none"/>
          <w:lang w:val="en-US" w:eastAsia="zh-CN"/>
        </w:rPr>
        <w:commentReference w:id="1"/>
      </w:r>
    </w:p>
    <w:p w14:paraId="0FBEEA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5.5.3钢构件组装过程中应做好构件保护，避免磕碰、划伤及锈蚀，已完成防腐处理的部位应采取防护措施，防止二次污染。</w:t>
      </w:r>
    </w:p>
    <w:p w14:paraId="25F408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5.5.4加强钢构件分段节点防腐涂装质量控制，严格按照施工环境与工艺要求进行涂装作业，必要时应增加分段节点位置的防腐涂装质量抽检频次。</w:t>
      </w:r>
      <w:r>
        <w:rPr>
          <w:rFonts w:hint="default" w:ascii="宋体" w:hAnsi="宋体" w:eastAsia="宋体" w:cs="宋体"/>
          <w:b w:val="0"/>
          <w:bCs w:val="0"/>
          <w:highlight w:val="none"/>
          <w:lang w:val="en-US" w:eastAsia="zh-CN"/>
        </w:rPr>
        <w:commentReference w:id="2"/>
      </w:r>
    </w:p>
    <w:p w14:paraId="665546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5.5.5钢构件组装完成后，应按设计及规范要求进行质量检验，检验合格并签署验收记录后，方可出厂运输至施工现场。</w:t>
      </w:r>
    </w:p>
    <w:p w14:paraId="701ECDCB">
      <w:pPr>
        <w:bidi w:val="0"/>
        <w:rPr>
          <w:rFonts w:hint="default"/>
          <w:lang w:val="en-US" w:eastAsia="zh-CN"/>
        </w:rPr>
      </w:pPr>
    </w:p>
    <w:p w14:paraId="288C68E8">
      <w:pPr>
        <w:pStyle w:val="2"/>
        <w:rPr>
          <w:rFonts w:hint="default"/>
          <w:lang w:val="en-US" w:eastAsia="zh-CN"/>
        </w:rPr>
      </w:pPr>
    </w:p>
    <w:p w14:paraId="6CB15056">
      <w:pPr>
        <w:rPr>
          <w:rFonts w:hint="default"/>
          <w:lang w:val="en-US" w:eastAsia="zh-CN"/>
        </w:rPr>
      </w:pPr>
    </w:p>
    <w:p w14:paraId="2AC385CA">
      <w:pPr>
        <w:pStyle w:val="2"/>
        <w:rPr>
          <w:rFonts w:hint="default"/>
          <w:lang w:val="en-US" w:eastAsia="zh-CN"/>
        </w:rPr>
      </w:pPr>
    </w:p>
    <w:p w14:paraId="51DB5D7A">
      <w:pPr>
        <w:rPr>
          <w:rFonts w:hint="default"/>
          <w:lang w:val="en-US" w:eastAsia="zh-CN"/>
        </w:rPr>
      </w:pPr>
    </w:p>
    <w:p w14:paraId="10C35AB3">
      <w:pPr>
        <w:pStyle w:val="2"/>
        <w:rPr>
          <w:rFonts w:hint="default"/>
          <w:lang w:val="en-US" w:eastAsia="zh-CN"/>
        </w:rPr>
      </w:pPr>
    </w:p>
    <w:p w14:paraId="1A6824B2">
      <w:pPr>
        <w:rPr>
          <w:rFonts w:hint="default"/>
          <w:lang w:val="en-US" w:eastAsia="zh-CN"/>
        </w:rPr>
      </w:pPr>
    </w:p>
    <w:p w14:paraId="04E96022">
      <w:pPr>
        <w:pStyle w:val="2"/>
        <w:rPr>
          <w:rFonts w:hint="default"/>
          <w:lang w:val="en-US" w:eastAsia="zh-CN"/>
        </w:rPr>
      </w:pPr>
    </w:p>
    <w:p w14:paraId="767A8790">
      <w:pPr>
        <w:rPr>
          <w:rFonts w:hint="default"/>
          <w:lang w:val="en-US" w:eastAsia="zh-CN"/>
        </w:rPr>
      </w:pPr>
    </w:p>
    <w:p w14:paraId="614BA35D">
      <w:pPr>
        <w:pStyle w:val="2"/>
        <w:rPr>
          <w:rFonts w:hint="default"/>
          <w:lang w:val="en-US" w:eastAsia="zh-CN"/>
        </w:rPr>
      </w:pPr>
    </w:p>
    <w:p w14:paraId="23EEF704">
      <w:pPr>
        <w:rPr>
          <w:rFonts w:hint="default"/>
          <w:lang w:val="en-US" w:eastAsia="zh-CN"/>
        </w:rPr>
      </w:pPr>
    </w:p>
    <w:p w14:paraId="609C4B8B">
      <w:pPr>
        <w:pStyle w:val="2"/>
        <w:rPr>
          <w:rFonts w:hint="default"/>
          <w:lang w:val="en-US" w:eastAsia="zh-CN"/>
        </w:rPr>
      </w:pPr>
    </w:p>
    <w:p w14:paraId="73C6F3EF">
      <w:pPr>
        <w:rPr>
          <w:rFonts w:hint="default"/>
          <w:lang w:val="en-US" w:eastAsia="zh-CN"/>
        </w:rPr>
      </w:pPr>
    </w:p>
    <w:p w14:paraId="7A9E6819">
      <w:pPr>
        <w:pStyle w:val="2"/>
        <w:rPr>
          <w:rFonts w:hint="default"/>
          <w:lang w:val="en-US" w:eastAsia="zh-CN"/>
        </w:rPr>
      </w:pPr>
    </w:p>
    <w:p w14:paraId="788382D7">
      <w:pPr>
        <w:rPr>
          <w:rFonts w:hint="default"/>
          <w:lang w:val="en-US" w:eastAsia="zh-CN"/>
        </w:rPr>
      </w:pPr>
    </w:p>
    <w:p w14:paraId="022CC807">
      <w:pPr>
        <w:pStyle w:val="2"/>
        <w:rPr>
          <w:rFonts w:hint="default"/>
          <w:lang w:val="en-US" w:eastAsia="zh-CN"/>
        </w:rPr>
      </w:pPr>
    </w:p>
    <w:p w14:paraId="28955D53">
      <w:pPr>
        <w:rPr>
          <w:rFonts w:hint="default"/>
          <w:lang w:val="en-US" w:eastAsia="zh-CN"/>
        </w:rPr>
      </w:pPr>
    </w:p>
    <w:p w14:paraId="71473D95">
      <w:pPr>
        <w:pStyle w:val="2"/>
        <w:rPr>
          <w:rFonts w:hint="default"/>
          <w:lang w:val="en-US" w:eastAsia="zh-CN"/>
        </w:rPr>
      </w:pPr>
    </w:p>
    <w:p w14:paraId="52DB4962">
      <w:pPr>
        <w:rPr>
          <w:rFonts w:hint="default"/>
          <w:lang w:val="en-US" w:eastAsia="zh-CN"/>
        </w:rPr>
      </w:pPr>
    </w:p>
    <w:p w14:paraId="3981D58E">
      <w:pPr>
        <w:pStyle w:val="2"/>
        <w:rPr>
          <w:rFonts w:hint="default"/>
          <w:lang w:val="en-US" w:eastAsia="zh-CN"/>
        </w:rPr>
      </w:pPr>
    </w:p>
    <w:p w14:paraId="2672FFEA">
      <w:pPr>
        <w:rPr>
          <w:rFonts w:hint="eastAsia"/>
          <w:b/>
          <w:bCs/>
        </w:rPr>
      </w:pPr>
    </w:p>
    <w:p w14:paraId="5D2F4DC3">
      <w:pPr>
        <w:rPr>
          <w:rFonts w:hint="eastAsia"/>
          <w:b/>
          <w:bCs/>
        </w:rPr>
      </w:pPr>
    </w:p>
    <w:p w14:paraId="5D0D7F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6舾装工程</w:t>
      </w:r>
    </w:p>
    <w:p w14:paraId="293EE019">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黑体" w:hAnsi="黑体" w:eastAsia="黑体"/>
          <w:lang w:val="en-US" w:eastAsia="zh-CN"/>
        </w:rPr>
      </w:pPr>
      <w:r>
        <w:rPr>
          <w:rFonts w:hint="eastAsia" w:ascii="黑体" w:hAnsi="黑体" w:eastAsia="黑体"/>
          <w:lang w:val="en-US" w:eastAsia="zh-CN"/>
        </w:rPr>
        <w:t>6</w:t>
      </w:r>
      <w:r>
        <w:rPr>
          <w:rFonts w:hint="default" w:ascii="黑体" w:hAnsi="黑体" w:eastAsia="黑体"/>
          <w:lang w:val="en-US" w:eastAsia="zh-CN"/>
        </w:rPr>
        <w:t>.1一般规定</w:t>
      </w:r>
    </w:p>
    <w:p w14:paraId="7EE3E8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rPr>
      </w:pPr>
      <w:r>
        <w:rPr>
          <w:rFonts w:hint="eastAsia" w:ascii="宋体" w:hAnsi="宋体" w:eastAsia="宋体" w:cs="宋体"/>
          <w:b w:val="0"/>
          <w:bCs w:val="0"/>
          <w:highlight w:val="none"/>
          <w:lang w:val="en-US" w:eastAsia="zh-CN"/>
        </w:rPr>
        <w:t>6.1.1</w:t>
      </w:r>
      <w:r>
        <w:rPr>
          <w:rFonts w:hint="eastAsia" w:ascii="宋体" w:hAnsi="宋体" w:eastAsia="宋体" w:cs="宋体"/>
          <w:sz w:val="21"/>
          <w:szCs w:val="24"/>
          <w:highlight w:val="none"/>
        </w:rPr>
        <w:t>舾装工程</w:t>
      </w:r>
      <w:r>
        <w:rPr>
          <w:rFonts w:hint="eastAsia" w:ascii="宋体" w:hAnsi="宋体" w:eastAsia="宋体" w:cs="宋体"/>
          <w:highlight w:val="none"/>
        </w:rPr>
        <w:t>适用于深远海固定式、漂浮式海上升压站、换流站平台舾装施工，平台舾装含附属钢结构、走道栏杆、密闭舱、防火结构、内装、逃生救生系统，施工适配深远海高盐雾、高湿度、强浪溅海洋腐蚀环境。</w:t>
      </w:r>
    </w:p>
    <w:p w14:paraId="08FF18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4"/>
          <w:highlight w:val="none"/>
        </w:rPr>
      </w:pPr>
      <w:r>
        <w:rPr>
          <w:rFonts w:hint="eastAsia" w:ascii="宋体" w:hAnsi="宋体" w:eastAsia="宋体" w:cs="宋体"/>
          <w:b w:val="0"/>
          <w:bCs w:val="0"/>
          <w:highlight w:val="none"/>
          <w:lang w:val="en-US" w:eastAsia="zh-CN"/>
        </w:rPr>
        <w:t>6.1.2</w:t>
      </w:r>
      <w:r>
        <w:rPr>
          <w:rFonts w:hint="eastAsia" w:ascii="宋体" w:hAnsi="宋体" w:eastAsia="宋体" w:cs="宋体"/>
          <w:sz w:val="21"/>
          <w:szCs w:val="24"/>
          <w:highlight w:val="none"/>
        </w:rPr>
        <w:t>舾装主材、耐火板材、密封辅料进场</w:t>
      </w:r>
      <w:r>
        <w:rPr>
          <w:rFonts w:hint="eastAsia" w:ascii="宋体" w:hAnsi="宋体" w:eastAsia="宋体" w:cs="宋体"/>
          <w:sz w:val="21"/>
          <w:szCs w:val="24"/>
          <w:highlight w:val="none"/>
          <w:lang w:eastAsia="zh-CN"/>
        </w:rPr>
        <w:t>应</w:t>
      </w:r>
      <w:r>
        <w:rPr>
          <w:rFonts w:hint="eastAsia" w:ascii="宋体" w:hAnsi="宋体" w:eastAsia="宋体" w:cs="宋体"/>
          <w:sz w:val="21"/>
          <w:szCs w:val="24"/>
          <w:highlight w:val="none"/>
        </w:rPr>
        <w:t>附带产品合格证、型式检验报告，所有材料性能满足海洋腐蚀使用指标，不合格材料严禁投料施工。</w:t>
      </w:r>
    </w:p>
    <w:p w14:paraId="47BD94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4"/>
          <w:highlight w:val="none"/>
        </w:rPr>
      </w:pPr>
      <w:r>
        <w:rPr>
          <w:rFonts w:hint="eastAsia" w:ascii="宋体" w:hAnsi="宋体" w:eastAsia="宋体" w:cs="宋体"/>
          <w:b w:val="0"/>
          <w:bCs w:val="0"/>
          <w:highlight w:val="none"/>
          <w:lang w:val="en-US" w:eastAsia="zh-CN"/>
        </w:rPr>
        <w:t>6.1.3</w:t>
      </w:r>
      <w:r>
        <w:rPr>
          <w:rFonts w:hint="eastAsia" w:ascii="宋体" w:hAnsi="宋体" w:eastAsia="宋体" w:cs="宋体"/>
          <w:sz w:val="21"/>
          <w:szCs w:val="24"/>
          <w:highlight w:val="none"/>
        </w:rPr>
        <w:t>主体钢结构验收合格后方可开展舾装作业；露天构件焊缝、连接件防腐施工等级不</w:t>
      </w:r>
      <w:r>
        <w:rPr>
          <w:rFonts w:hint="eastAsia" w:ascii="宋体" w:hAnsi="宋体" w:eastAsia="宋体" w:cs="宋体"/>
          <w:sz w:val="21"/>
          <w:szCs w:val="24"/>
          <w:highlight w:val="none"/>
          <w:lang w:eastAsia="zh-CN"/>
        </w:rPr>
        <w:t>应</w:t>
      </w:r>
      <w:r>
        <w:rPr>
          <w:rFonts w:hint="eastAsia" w:ascii="宋体" w:hAnsi="宋体" w:eastAsia="宋体" w:cs="宋体"/>
          <w:sz w:val="21"/>
          <w:szCs w:val="24"/>
          <w:highlight w:val="none"/>
        </w:rPr>
        <w:t>低于 Sa3级；密闭舱隐蔽工程封闭前</w:t>
      </w:r>
      <w:r>
        <w:rPr>
          <w:rFonts w:hint="eastAsia" w:ascii="宋体" w:hAnsi="宋体" w:eastAsia="宋体" w:cs="宋体"/>
          <w:sz w:val="21"/>
          <w:szCs w:val="24"/>
          <w:highlight w:val="none"/>
          <w:lang w:eastAsia="zh-CN"/>
        </w:rPr>
        <w:t>应</w:t>
      </w:r>
      <w:r>
        <w:rPr>
          <w:rFonts w:hint="eastAsia" w:ascii="宋体" w:hAnsi="宋体" w:eastAsia="宋体" w:cs="宋体"/>
          <w:sz w:val="21"/>
          <w:szCs w:val="24"/>
          <w:highlight w:val="none"/>
        </w:rPr>
        <w:t>完成验收，留存影像及数字化验收资料。</w:t>
      </w:r>
    </w:p>
    <w:p w14:paraId="13693483">
      <w:pPr>
        <w:spacing w:line="360" w:lineRule="auto"/>
        <w:rPr>
          <w:rFonts w:hint="eastAsia" w:ascii="宋体" w:hAnsi="宋体" w:eastAsia="宋体" w:cs="宋体"/>
          <w:highlight w:val="none"/>
        </w:rPr>
      </w:pPr>
      <w:r>
        <w:rPr>
          <w:rFonts w:hint="eastAsia" w:ascii="宋体" w:hAnsi="宋体" w:eastAsia="宋体" w:cs="宋体"/>
          <w:highlight w:val="none"/>
        </w:rPr>
        <w:t>6.1.4 舾装应与钢结构、防腐、机电统筹交叉施工，按防火分区分段流水作业：舱室按功能独立划分防火分区，电气、设备舱采用 A 级耐火分隔；外门选用风雨密自闭防火门，朝逃生通道开启并配门锁；外窗优先固定式钢化耐火窗，柴油机房仅设防雨百叶、无开启舷窗，门窗耐火等级匹配对应舱壁；舱室内装以防潮防霉免维护为原则，内饰板采用 A 级不燃板材，禁用可燃板材、易燃粘结剂。</w:t>
      </w:r>
    </w:p>
    <w:p w14:paraId="1F33D9F9">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6</w:t>
      </w:r>
      <w:r>
        <w:rPr>
          <w:rFonts w:hint="default" w:ascii="黑体" w:hAnsi="黑体" w:eastAsia="黑体"/>
          <w:lang w:val="en-US" w:eastAsia="zh-CN"/>
        </w:rPr>
        <w:t>.2 防火绝缘与隔热</w:t>
      </w:r>
      <w:r>
        <w:rPr>
          <w:rFonts w:hint="eastAsia" w:ascii="黑体" w:hAnsi="黑体" w:eastAsia="黑体"/>
          <w:lang w:val="en-US" w:eastAsia="zh-CN"/>
        </w:rPr>
        <w:t>施工</w:t>
      </w:r>
    </w:p>
    <w:p w14:paraId="644282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6.2.1 防火绝缘海上升压站相邻处所之间舱壁和甲板的最低耐火完整性应符合《海上固定平台安全规则》、《风电场工程110kV~220kV海上升压变电站设计规范》的规定。</w:t>
      </w:r>
    </w:p>
    <w:p w14:paraId="5E995C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1主变室、柴油发电机房、气瓶间、消防泵房：舱壁、甲板采用 A-60 级耐火分隔；</w:t>
      </w:r>
    </w:p>
    <w:p w14:paraId="1E650D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2配电室、GIS 室、蓄电池室：舱壁、甲板采用 A-15 级耐火分隔；</w:t>
      </w:r>
    </w:p>
    <w:p w14:paraId="045896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3走道、附属用房：舱壁、甲板采用 A-0 级耐火分隔。</w:t>
      </w:r>
    </w:p>
    <w:p w14:paraId="3BB401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b w:val="0"/>
          <w:bCs w:val="0"/>
          <w:highlight w:val="none"/>
          <w:lang w:val="en-US" w:eastAsia="zh-CN"/>
        </w:rPr>
        <w:t xml:space="preserve">6.2.2 </w:t>
      </w:r>
      <w:r>
        <w:rPr>
          <w:rFonts w:hint="default" w:ascii="宋体" w:hAnsi="宋体" w:eastAsia="宋体" w:cs="宋体"/>
          <w:highlight w:val="none"/>
        </w:rPr>
        <w:t>舱壁、甲板耐火分隔施工</w:t>
      </w:r>
      <w:r>
        <w:rPr>
          <w:rFonts w:hint="eastAsia" w:ascii="宋体" w:hAnsi="宋体" w:eastAsia="宋体" w:cs="宋体"/>
          <w:highlight w:val="none"/>
          <w:lang w:val="en-US" w:eastAsia="zh-CN"/>
        </w:rPr>
        <w:t>应满足以下规定</w:t>
      </w:r>
      <w:r>
        <w:rPr>
          <w:rFonts w:hint="eastAsia" w:ascii="宋体" w:hAnsi="宋体" w:eastAsia="宋体" w:cs="宋体"/>
          <w:highlight w:val="none"/>
          <w:lang w:eastAsia="zh-CN"/>
        </w:rPr>
        <w:t>：</w:t>
      </w:r>
    </w:p>
    <w:p w14:paraId="51DF94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default" w:ascii="宋体" w:hAnsi="宋体" w:eastAsia="宋体" w:cs="宋体"/>
          <w:highlight w:val="none"/>
        </w:rPr>
        <w:t>1 海上升压站所有舱室耐火分隔统一采用A级分隔；不同功能区域间舱壁、甲板施工前，应依据相邻处所对应的舱壁耐火完整性表、甲板耐火完整性表确定最低耐火施工控制标准</w:t>
      </w:r>
      <w:r>
        <w:rPr>
          <w:rFonts w:hint="eastAsia" w:ascii="宋体" w:hAnsi="宋体" w:eastAsia="宋体" w:cs="宋体"/>
          <w:highlight w:val="none"/>
          <w:lang w:eastAsia="zh-CN"/>
        </w:rPr>
        <w:t>；</w:t>
      </w:r>
    </w:p>
    <w:p w14:paraId="4EDF78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default" w:ascii="宋体" w:hAnsi="宋体" w:eastAsia="宋体" w:cs="宋体"/>
          <w:highlight w:val="none"/>
        </w:rPr>
        <w:t>2 A级分隔本体构造施工控制：主体钢板厚度不得小于5mm，采用铝板替代时等效厚度不小于6mm，配套加强筋同步装配成型，构造尺寸、安装间距满足耐火设计要求。</w:t>
      </w:r>
    </w:p>
    <w:p w14:paraId="5AD5E16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6</w:t>
      </w:r>
      <w:r>
        <w:rPr>
          <w:rFonts w:hint="default" w:ascii="宋体" w:hAnsi="宋体" w:eastAsia="宋体" w:cs="宋体"/>
          <w:b w:val="0"/>
          <w:bCs w:val="0"/>
          <w:highlight w:val="none"/>
          <w:lang w:val="en-US" w:eastAsia="zh-CN"/>
        </w:rPr>
        <w:t>.2.3 梁柱、管线穿越舱壁 / 甲板孔洞，</w:t>
      </w:r>
      <w:r>
        <w:rPr>
          <w:rFonts w:hint="eastAsia" w:ascii="宋体" w:hAnsi="宋体" w:eastAsia="宋体" w:cs="宋体"/>
          <w:b w:val="0"/>
          <w:bCs w:val="0"/>
          <w:highlight w:val="none"/>
          <w:lang w:val="en-US" w:eastAsia="zh-CN"/>
        </w:rPr>
        <w:t>应</w:t>
      </w:r>
      <w:r>
        <w:rPr>
          <w:rFonts w:hint="default" w:ascii="宋体" w:hAnsi="宋体" w:eastAsia="宋体" w:cs="宋体"/>
          <w:b w:val="0"/>
          <w:bCs w:val="0"/>
          <w:highlight w:val="none"/>
          <w:lang w:val="en-US" w:eastAsia="zh-CN"/>
        </w:rPr>
        <w:t>采用与舱体同耐火等级密封材料封堵；外墙空调舱岩棉保温厚度</w:t>
      </w:r>
      <w:r>
        <w:rPr>
          <w:rFonts w:hint="eastAsia" w:ascii="宋体" w:hAnsi="宋体" w:eastAsia="宋体" w:cs="宋体"/>
          <w:b w:val="0"/>
          <w:bCs w:val="0"/>
          <w:highlight w:val="none"/>
          <w:lang w:val="en-US" w:eastAsia="zh-CN"/>
        </w:rPr>
        <w:t>应</w:t>
      </w:r>
      <w:r>
        <w:rPr>
          <w:rFonts w:hint="default" w:ascii="宋体" w:hAnsi="宋体" w:eastAsia="宋体" w:cs="宋体"/>
          <w:b w:val="0"/>
          <w:bCs w:val="0"/>
          <w:highlight w:val="none"/>
          <w:lang w:val="en-US" w:eastAsia="zh-CN"/>
        </w:rPr>
        <w:t>不小于 40mm，封堵、保温完工后</w:t>
      </w:r>
      <w:r>
        <w:rPr>
          <w:rFonts w:hint="eastAsia" w:ascii="宋体" w:hAnsi="宋体" w:eastAsia="宋体" w:cs="宋体"/>
          <w:b w:val="0"/>
          <w:bCs w:val="0"/>
          <w:highlight w:val="none"/>
          <w:lang w:val="en-US" w:eastAsia="zh-CN"/>
        </w:rPr>
        <w:t>应</w:t>
      </w:r>
      <w:r>
        <w:rPr>
          <w:rFonts w:hint="default" w:ascii="宋体" w:hAnsi="宋体" w:eastAsia="宋体" w:cs="宋体"/>
          <w:b w:val="0"/>
          <w:bCs w:val="0"/>
          <w:highlight w:val="none"/>
          <w:lang w:val="en-US" w:eastAsia="zh-CN"/>
        </w:rPr>
        <w:t>逐舱开展水密及耐火完整性试验。</w:t>
      </w:r>
    </w:p>
    <w:p w14:paraId="4870240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6</w:t>
      </w:r>
      <w:r>
        <w:rPr>
          <w:rFonts w:hint="default" w:ascii="宋体" w:hAnsi="宋体" w:eastAsia="宋体" w:cs="宋体"/>
          <w:b w:val="0"/>
          <w:bCs w:val="0"/>
          <w:highlight w:val="none"/>
          <w:lang w:val="en-US" w:eastAsia="zh-CN"/>
        </w:rPr>
        <w:t>.2.</w:t>
      </w:r>
      <w:r>
        <w:rPr>
          <w:rFonts w:hint="eastAsia" w:ascii="宋体" w:hAnsi="宋体" w:eastAsia="宋体" w:cs="宋体"/>
          <w:b w:val="0"/>
          <w:bCs w:val="0"/>
          <w:highlight w:val="none"/>
          <w:lang w:val="en-US" w:eastAsia="zh-CN"/>
        </w:rPr>
        <w:t>4</w:t>
      </w:r>
      <w:r>
        <w:rPr>
          <w:rFonts w:hint="default" w:ascii="宋体" w:hAnsi="宋体" w:eastAsia="宋体" w:cs="宋体"/>
          <w:b w:val="0"/>
          <w:bCs w:val="0"/>
          <w:highlight w:val="none"/>
          <w:lang w:val="en-US" w:eastAsia="zh-CN"/>
        </w:rPr>
        <w:t xml:space="preserve"> 防火绝缘施工全部完成后，分舱验收耐火完整性、水密性能，</w:t>
      </w:r>
      <w:r>
        <w:rPr>
          <w:rFonts w:hint="eastAsia" w:ascii="宋体" w:hAnsi="宋体" w:eastAsia="宋体" w:cs="宋体"/>
          <w:b w:val="0"/>
          <w:bCs w:val="0"/>
          <w:highlight w:val="none"/>
          <w:lang w:val="en-US" w:eastAsia="zh-CN"/>
        </w:rPr>
        <w:t>应</w:t>
      </w:r>
      <w:r>
        <w:rPr>
          <w:rFonts w:hint="default" w:ascii="宋体" w:hAnsi="宋体" w:eastAsia="宋体" w:cs="宋体"/>
          <w:b w:val="0"/>
          <w:bCs w:val="0"/>
          <w:highlight w:val="none"/>
          <w:lang w:val="en-US" w:eastAsia="zh-CN"/>
        </w:rPr>
        <w:t>验收合格</w:t>
      </w:r>
      <w:r>
        <w:rPr>
          <w:rFonts w:hint="eastAsia" w:ascii="宋体" w:hAnsi="宋体" w:eastAsia="宋体" w:cs="宋体"/>
          <w:b w:val="0"/>
          <w:bCs w:val="0"/>
          <w:highlight w:val="none"/>
          <w:lang w:val="en-US" w:eastAsia="zh-CN"/>
        </w:rPr>
        <w:t>后方</w:t>
      </w:r>
      <w:r>
        <w:rPr>
          <w:rFonts w:hint="default" w:ascii="宋体" w:hAnsi="宋体" w:eastAsia="宋体" w:cs="宋体"/>
          <w:b w:val="0"/>
          <w:bCs w:val="0"/>
          <w:highlight w:val="none"/>
          <w:lang w:val="en-US" w:eastAsia="zh-CN"/>
        </w:rPr>
        <w:t>可开展内饰施工。</w:t>
      </w:r>
    </w:p>
    <w:p w14:paraId="22E0390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p>
    <w:p w14:paraId="0872682A">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黑体" w:hAnsi="黑体" w:eastAsia="黑体"/>
          <w:lang w:val="en-US" w:eastAsia="zh-CN"/>
        </w:rPr>
      </w:pPr>
      <w:r>
        <w:rPr>
          <w:rFonts w:hint="eastAsia" w:ascii="黑体" w:hAnsi="黑体" w:eastAsia="黑体"/>
          <w:lang w:val="en-US" w:eastAsia="zh-CN"/>
        </w:rPr>
        <w:t>6</w:t>
      </w:r>
      <w:r>
        <w:rPr>
          <w:rFonts w:hint="default" w:ascii="黑体" w:hAnsi="黑体" w:eastAsia="黑体"/>
          <w:lang w:val="en-US" w:eastAsia="zh-CN"/>
        </w:rPr>
        <w:t>.3 防火门窗</w:t>
      </w:r>
      <w:r>
        <w:rPr>
          <w:rFonts w:hint="eastAsia" w:ascii="黑体" w:hAnsi="黑体" w:eastAsia="黑体"/>
          <w:lang w:val="en-US" w:eastAsia="zh-CN"/>
        </w:rPr>
        <w:t>安装施工</w:t>
      </w:r>
    </w:p>
    <w:p w14:paraId="06FBD522">
      <w:pPr>
        <w:spacing w:line="360" w:lineRule="auto"/>
        <w:ind w:firstLine="0" w:firstLineChars="0"/>
        <w:rPr>
          <w:rFonts w:hint="eastAsia" w:ascii="宋体" w:hAnsi="宋体" w:eastAsia="宋体" w:cs="宋体"/>
          <w:highlight w:val="none"/>
          <w:lang w:eastAsia="zh-CN"/>
        </w:rPr>
      </w:pPr>
      <w:r>
        <w:rPr>
          <w:rFonts w:hint="eastAsia" w:ascii="宋体" w:hAnsi="宋体" w:eastAsia="宋体" w:cs="宋体"/>
          <w:highlight w:val="none"/>
        </w:rPr>
        <w:t>6.3.1 防火门窗材质应</w:t>
      </w:r>
      <w:r>
        <w:rPr>
          <w:rFonts w:hint="eastAsia" w:ascii="宋体" w:hAnsi="宋体" w:eastAsia="宋体" w:cs="宋体"/>
          <w:highlight w:val="none"/>
          <w:lang w:eastAsia="zh-CN"/>
        </w:rPr>
        <w:t>满足以下规定</w:t>
      </w:r>
      <w:r>
        <w:rPr>
          <w:rFonts w:hint="eastAsia" w:ascii="宋体" w:hAnsi="宋体" w:eastAsia="宋体" w:cs="宋体"/>
          <w:highlight w:val="none"/>
        </w:rPr>
        <w:t>：门框采用镀锌钢基材，内部填充防火陶瓷棉，内外饰面PVC防火板材；露天门窗配备IP65级耐海水橡胶密封条，防火窗采用钢化夹胶耐火玻璃，露天侧加装防撞防护格栅。</w:t>
      </w:r>
    </w:p>
    <w:p w14:paraId="656559D8">
      <w:pPr>
        <w:spacing w:line="360" w:lineRule="auto"/>
        <w:rPr>
          <w:rFonts w:hint="eastAsia" w:ascii="宋体" w:hAnsi="宋体" w:eastAsia="宋体" w:cs="宋体"/>
          <w:strike w:val="0"/>
          <w:highlight w:val="none"/>
        </w:rPr>
      </w:pPr>
      <w:r>
        <w:rPr>
          <w:rFonts w:hint="eastAsia" w:ascii="宋体" w:hAnsi="宋体" w:eastAsia="宋体" w:cs="宋体"/>
          <w:b w:val="0"/>
          <w:bCs w:val="0"/>
          <w:strike w:val="0"/>
          <w:highlight w:val="none"/>
          <w:lang w:val="en-US" w:eastAsia="zh-CN"/>
        </w:rPr>
        <w:t>6.3.2</w:t>
      </w:r>
      <w:r>
        <w:rPr>
          <w:rFonts w:hint="eastAsia" w:ascii="宋体" w:hAnsi="宋体" w:eastAsia="宋体" w:cs="宋体"/>
          <w:strike w:val="0"/>
          <w:highlight w:val="none"/>
        </w:rPr>
        <w:t xml:space="preserve"> 防火门应设置自闭装置、应急门锁、限位固定器，海上台风工况下可锁紧固定。</w:t>
      </w:r>
    </w:p>
    <w:p w14:paraId="592CAEB5">
      <w:pPr>
        <w:spacing w:line="360" w:lineRule="auto"/>
        <w:rPr>
          <w:rFonts w:hint="eastAsia" w:ascii="宋体" w:hAnsi="宋体" w:eastAsia="宋体" w:cs="宋体"/>
          <w:strike w:val="0"/>
          <w:highlight w:val="none"/>
          <w:lang w:eastAsia="zh-CN"/>
        </w:rPr>
      </w:pPr>
      <w:r>
        <w:rPr>
          <w:rFonts w:hint="eastAsia" w:ascii="宋体" w:hAnsi="宋体" w:eastAsia="宋体" w:cs="宋体"/>
          <w:b w:val="0"/>
          <w:bCs w:val="0"/>
          <w:strike w:val="0"/>
          <w:highlight w:val="none"/>
          <w:lang w:val="en-US" w:eastAsia="zh-CN"/>
        </w:rPr>
        <w:t xml:space="preserve">6.3.3 </w:t>
      </w:r>
      <w:r>
        <w:rPr>
          <w:rFonts w:hint="eastAsia" w:ascii="宋体" w:hAnsi="宋体" w:eastAsia="宋体" w:cs="宋体"/>
          <w:strike w:val="0"/>
          <w:highlight w:val="none"/>
        </w:rPr>
        <w:t>防火门窗安装应垂直牢固，缝隙采用同等级耐火密封胶密实封堵</w:t>
      </w:r>
      <w:r>
        <w:rPr>
          <w:rFonts w:hint="eastAsia" w:ascii="宋体" w:hAnsi="宋体" w:eastAsia="宋体" w:cs="宋体"/>
          <w:strike w:val="0"/>
          <w:highlight w:val="none"/>
          <w:lang w:eastAsia="zh-CN"/>
        </w:rPr>
        <w:t>。</w:t>
      </w:r>
    </w:p>
    <w:p w14:paraId="37971806">
      <w:pPr>
        <w:spacing w:line="360" w:lineRule="auto"/>
        <w:rPr>
          <w:rFonts w:hint="eastAsia" w:ascii="宋体" w:hAnsi="宋体" w:eastAsia="宋体" w:cs="宋体"/>
          <w:strike w:val="0"/>
          <w:highlight w:val="none"/>
          <w:lang w:val="en-US" w:eastAsia="zh-CN"/>
        </w:rPr>
      </w:pPr>
      <w:r>
        <w:rPr>
          <w:rFonts w:hint="eastAsia" w:ascii="宋体" w:hAnsi="宋体" w:eastAsia="宋体" w:cs="宋体"/>
          <w:b w:val="0"/>
          <w:bCs w:val="0"/>
          <w:strike w:val="0"/>
          <w:highlight w:val="none"/>
          <w:lang w:val="en-US" w:eastAsia="zh-CN"/>
        </w:rPr>
        <w:t xml:space="preserve">6.3.4 </w:t>
      </w:r>
      <w:r>
        <w:rPr>
          <w:rFonts w:hint="eastAsia" w:ascii="宋体" w:hAnsi="宋体" w:eastAsia="宋体" w:cs="宋体"/>
          <w:strike w:val="0"/>
          <w:highlight w:val="none"/>
        </w:rPr>
        <w:t>无人值守平台防火门窗严禁设置易拆卸简易连接件，所有固定螺栓采用防松防盗结构，减少海上运维检修频次。</w:t>
      </w:r>
    </w:p>
    <w:p w14:paraId="78B32284">
      <w:pPr>
        <w:spacing w:line="360" w:lineRule="auto"/>
        <w:rPr>
          <w:rFonts w:hint="default" w:ascii="黑体" w:hAnsi="黑体" w:eastAsia="黑体"/>
          <w:lang w:val="en-US" w:eastAsia="zh-CN"/>
        </w:rPr>
      </w:pPr>
      <w:r>
        <w:rPr>
          <w:rFonts w:hint="eastAsia" w:ascii="黑体" w:hAnsi="黑体" w:eastAsia="黑体"/>
          <w:lang w:val="en-US" w:eastAsia="zh-CN"/>
        </w:rPr>
        <w:t>6</w:t>
      </w:r>
      <w:r>
        <w:rPr>
          <w:rFonts w:hint="default" w:ascii="黑体" w:hAnsi="黑体" w:eastAsia="黑体"/>
          <w:lang w:val="en-US" w:eastAsia="zh-CN"/>
        </w:rPr>
        <w:t>.4 舱室内装饰装修</w:t>
      </w:r>
      <w:r>
        <w:rPr>
          <w:rFonts w:hint="eastAsia" w:ascii="黑体" w:hAnsi="黑体" w:eastAsia="黑体"/>
          <w:lang w:val="en-US" w:eastAsia="zh-CN"/>
        </w:rPr>
        <w:t>施工</w:t>
      </w:r>
    </w:p>
    <w:p w14:paraId="68717A1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6</w:t>
      </w:r>
      <w:r>
        <w:rPr>
          <w:rFonts w:hint="default" w:ascii="宋体" w:hAnsi="宋体" w:eastAsia="宋体" w:cs="宋体"/>
          <w:b w:val="0"/>
          <w:bCs w:val="0"/>
          <w:highlight w:val="none"/>
          <w:lang w:val="en-US" w:eastAsia="zh-CN"/>
        </w:rPr>
        <w:t>.4.</w:t>
      </w:r>
      <w:r>
        <w:rPr>
          <w:rFonts w:hint="eastAsia" w:ascii="宋体" w:hAnsi="宋体" w:eastAsia="宋体" w:cs="宋体"/>
          <w:b w:val="0"/>
          <w:bCs w:val="0"/>
          <w:highlight w:val="none"/>
          <w:lang w:val="en-US" w:eastAsia="zh-CN"/>
        </w:rPr>
        <w:t>1</w:t>
      </w:r>
      <w:r>
        <w:rPr>
          <w:rFonts w:hint="default" w:ascii="宋体" w:hAnsi="宋体" w:eastAsia="宋体" w:cs="宋体"/>
          <w:b w:val="0"/>
          <w:bCs w:val="0"/>
          <w:highlight w:val="none"/>
          <w:lang w:val="en-US" w:eastAsia="zh-CN"/>
        </w:rPr>
        <w:t xml:space="preserve"> </w:t>
      </w:r>
      <w:r>
        <w:rPr>
          <w:rFonts w:hint="default" w:ascii="宋体" w:hAnsi="宋体" w:eastAsia="宋体" w:cs="宋体"/>
          <w:highlight w:val="none"/>
        </w:rPr>
        <w:t>隔墙与吊顶施工</w:t>
      </w:r>
      <w:r>
        <w:rPr>
          <w:rFonts w:hint="eastAsia" w:ascii="宋体" w:hAnsi="宋体" w:eastAsia="宋体" w:cs="宋体"/>
          <w:b w:val="0"/>
          <w:bCs w:val="0"/>
          <w:highlight w:val="none"/>
          <w:lang w:val="en-US" w:eastAsia="zh-CN"/>
        </w:rPr>
        <w:t>应满足</w:t>
      </w:r>
      <w:r>
        <w:rPr>
          <w:rFonts w:hint="eastAsia" w:ascii="宋体" w:hAnsi="宋体" w:eastAsia="宋体" w:cs="宋体"/>
          <w:highlight w:val="none"/>
        </w:rPr>
        <w:t>以下规定</w:t>
      </w:r>
      <w:r>
        <w:rPr>
          <w:rFonts w:hint="eastAsia" w:ascii="宋体" w:hAnsi="宋体" w:eastAsia="宋体" w:cs="宋体"/>
          <w:b w:val="0"/>
          <w:bCs w:val="0"/>
          <w:highlight w:val="none"/>
          <w:lang w:val="en-US" w:eastAsia="zh-CN"/>
        </w:rPr>
        <w:t>：</w:t>
      </w:r>
    </w:p>
    <w:p w14:paraId="63E105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rPr>
      </w:pPr>
      <w:r>
        <w:rPr>
          <w:rFonts w:hint="eastAsia" w:ascii="宋体" w:hAnsi="宋体" w:eastAsia="宋体" w:cs="宋体"/>
          <w:highlight w:val="none"/>
          <w:lang w:val="en-US" w:eastAsia="zh-CN"/>
        </w:rPr>
        <w:t>1</w:t>
      </w:r>
      <w:r>
        <w:rPr>
          <w:rFonts w:hint="default" w:ascii="宋体" w:hAnsi="宋体" w:eastAsia="宋体" w:cs="宋体"/>
          <w:highlight w:val="none"/>
        </w:rPr>
        <w:t>外围护墙、高危设备间采用 A 级钢围壁 + 复合岩棉内饰板干法装配；常规内隔墙采用 A 级不燃板材，不设钢围壁；</w:t>
      </w:r>
    </w:p>
    <w:p w14:paraId="116194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rPr>
      </w:pPr>
      <w:r>
        <w:rPr>
          <w:rFonts w:hint="eastAsia" w:ascii="宋体" w:hAnsi="宋体" w:eastAsia="宋体" w:cs="宋体"/>
          <w:highlight w:val="none"/>
          <w:lang w:val="en-US" w:eastAsia="zh-CN"/>
        </w:rPr>
        <w:t>2</w:t>
      </w:r>
      <w:r>
        <w:rPr>
          <w:rFonts w:hint="default" w:ascii="宋体" w:hAnsi="宋体" w:eastAsia="宋体" w:cs="宋体"/>
          <w:highlight w:val="none"/>
        </w:rPr>
        <w:t>会议室、休息室、卫生间、二次设备间采用复合岩棉吊顶；室内走道采用铝方通吊顶，无吊顶区域岩棉外侧增设 SUS304 不锈钢防护网。</w:t>
      </w:r>
    </w:p>
    <w:p w14:paraId="5F7A103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6</w:t>
      </w:r>
      <w:r>
        <w:rPr>
          <w:rFonts w:hint="default" w:ascii="宋体" w:hAnsi="宋体" w:eastAsia="宋体" w:cs="宋体"/>
          <w:b w:val="0"/>
          <w:bCs w:val="0"/>
          <w:highlight w:val="none"/>
          <w:lang w:val="en-US" w:eastAsia="zh-CN"/>
        </w:rPr>
        <w:t>.4.</w:t>
      </w:r>
      <w:r>
        <w:rPr>
          <w:rFonts w:hint="eastAsia" w:ascii="宋体" w:hAnsi="宋体" w:eastAsia="宋体" w:cs="宋体"/>
          <w:b w:val="0"/>
          <w:bCs w:val="0"/>
          <w:highlight w:val="none"/>
          <w:lang w:val="en-US" w:eastAsia="zh-CN"/>
        </w:rPr>
        <w:t>2</w:t>
      </w:r>
      <w:r>
        <w:rPr>
          <w:rFonts w:hint="default" w:ascii="宋体" w:hAnsi="宋体" w:eastAsia="宋体" w:cs="宋体"/>
          <w:b w:val="0"/>
          <w:bCs w:val="0"/>
          <w:highlight w:val="none"/>
          <w:lang w:val="en-US" w:eastAsia="zh-CN"/>
        </w:rPr>
        <w:t xml:space="preserve"> </w:t>
      </w:r>
      <w:r>
        <w:rPr>
          <w:rFonts w:hint="default" w:ascii="宋体" w:hAnsi="宋体" w:eastAsia="宋体" w:cs="宋体"/>
          <w:highlight w:val="none"/>
        </w:rPr>
        <w:t>全舱装修完毕，</w:t>
      </w:r>
      <w:r>
        <w:rPr>
          <w:rFonts w:hint="eastAsia" w:ascii="宋体" w:hAnsi="宋体" w:eastAsia="宋体" w:cs="宋体"/>
          <w:highlight w:val="none"/>
          <w:lang w:eastAsia="zh-CN"/>
        </w:rPr>
        <w:t>应</w:t>
      </w:r>
      <w:r>
        <w:rPr>
          <w:rFonts w:hint="default" w:ascii="宋体" w:hAnsi="宋体" w:eastAsia="宋体" w:cs="宋体"/>
          <w:highlight w:val="none"/>
        </w:rPr>
        <w:t>通风除湿</w:t>
      </w:r>
      <w:r>
        <w:rPr>
          <w:rFonts w:hint="eastAsia" w:ascii="宋体" w:hAnsi="宋体" w:eastAsia="宋体" w:cs="宋体"/>
          <w:highlight w:val="none"/>
          <w:lang w:eastAsia="zh-CN"/>
        </w:rPr>
        <w:t>，</w:t>
      </w:r>
      <w:r>
        <w:rPr>
          <w:rFonts w:hint="default" w:ascii="宋体" w:hAnsi="宋体" w:eastAsia="宋体" w:cs="宋体"/>
          <w:highlight w:val="none"/>
        </w:rPr>
        <w:t>检测舱内温湿度、有害气体</w:t>
      </w:r>
      <w:r>
        <w:rPr>
          <w:rFonts w:hint="eastAsia" w:ascii="宋体" w:hAnsi="宋体" w:eastAsia="宋体" w:cs="宋体"/>
          <w:highlight w:val="none"/>
          <w:lang w:eastAsia="zh-CN"/>
        </w:rPr>
        <w:t>，</w:t>
      </w:r>
      <w:r>
        <w:rPr>
          <w:rFonts w:hint="default" w:ascii="宋体" w:hAnsi="宋体" w:eastAsia="宋体" w:cs="宋体"/>
          <w:highlight w:val="none"/>
        </w:rPr>
        <w:t>指标达标</w:t>
      </w:r>
      <w:r>
        <w:rPr>
          <w:rFonts w:hint="eastAsia" w:ascii="宋体" w:hAnsi="宋体" w:eastAsia="宋体" w:cs="宋体"/>
          <w:highlight w:val="none"/>
          <w:lang w:eastAsia="zh-CN"/>
        </w:rPr>
        <w:t>、</w:t>
      </w:r>
      <w:r>
        <w:rPr>
          <w:rFonts w:hint="default" w:ascii="宋体" w:hAnsi="宋体" w:eastAsia="宋体" w:cs="宋体"/>
          <w:highlight w:val="none"/>
        </w:rPr>
        <w:t>隐蔽资料齐全后</w:t>
      </w:r>
      <w:r>
        <w:rPr>
          <w:rFonts w:hint="eastAsia" w:ascii="宋体" w:hAnsi="宋体" w:eastAsia="宋体" w:cs="宋体"/>
          <w:highlight w:val="none"/>
          <w:lang w:eastAsia="zh-CN"/>
        </w:rPr>
        <w:t>方可</w:t>
      </w:r>
      <w:r>
        <w:rPr>
          <w:rFonts w:hint="default" w:ascii="宋体" w:hAnsi="宋体" w:eastAsia="宋体" w:cs="宋体"/>
          <w:highlight w:val="none"/>
        </w:rPr>
        <w:t>封闭舱室</w:t>
      </w:r>
      <w:r>
        <w:rPr>
          <w:rFonts w:hint="eastAsia" w:ascii="宋体" w:hAnsi="宋体" w:eastAsia="宋体" w:cs="宋体"/>
          <w:highlight w:val="none"/>
          <w:lang w:eastAsia="zh-CN"/>
        </w:rPr>
        <w:t>交付</w:t>
      </w:r>
      <w:r>
        <w:rPr>
          <w:rFonts w:hint="default" w:ascii="宋体" w:hAnsi="宋体" w:eastAsia="宋体" w:cs="宋体"/>
          <w:highlight w:val="none"/>
        </w:rPr>
        <w:t>。</w:t>
      </w:r>
    </w:p>
    <w:p w14:paraId="42CB883B">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6</w:t>
      </w:r>
      <w:r>
        <w:rPr>
          <w:rFonts w:hint="default" w:ascii="黑体" w:hAnsi="黑体" w:eastAsia="黑体"/>
          <w:lang w:val="en-US" w:eastAsia="zh-CN"/>
        </w:rPr>
        <w:t>.5 逃</w:t>
      </w:r>
      <w:r>
        <w:rPr>
          <w:rFonts w:hint="eastAsia" w:ascii="黑体" w:hAnsi="黑体" w:eastAsia="黑体"/>
          <w:lang w:val="en-US" w:eastAsia="zh-CN"/>
        </w:rPr>
        <w:t>生</w:t>
      </w:r>
      <w:r>
        <w:rPr>
          <w:rFonts w:hint="default" w:ascii="黑体" w:hAnsi="黑体" w:eastAsia="黑体"/>
          <w:lang w:val="en-US" w:eastAsia="zh-CN"/>
        </w:rPr>
        <w:t>救生设施</w:t>
      </w:r>
      <w:r>
        <w:rPr>
          <w:rFonts w:hint="eastAsia" w:ascii="黑体" w:hAnsi="黑体" w:eastAsia="黑体"/>
          <w:lang w:val="en-US" w:eastAsia="zh-CN"/>
        </w:rPr>
        <w:t>施工</w:t>
      </w:r>
    </w:p>
    <w:p w14:paraId="061002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 xml:space="preserve">6.5.1 </w:t>
      </w:r>
      <w:r>
        <w:rPr>
          <w:rFonts w:hint="eastAsia" w:ascii="宋体" w:hAnsi="宋体" w:eastAsia="宋体" w:cs="宋体"/>
          <w:highlight w:val="none"/>
        </w:rPr>
        <w:t>救生装置</w:t>
      </w:r>
      <w:r>
        <w:rPr>
          <w:rFonts w:hint="eastAsia" w:ascii="宋体" w:hAnsi="宋体" w:eastAsia="宋体" w:cs="宋体"/>
          <w:highlight w:val="none"/>
          <w:lang w:eastAsia="zh-CN"/>
        </w:rPr>
        <w:t>应</w:t>
      </w:r>
      <w:r>
        <w:rPr>
          <w:rFonts w:hint="eastAsia" w:ascii="宋体" w:hAnsi="宋体" w:eastAsia="宋体" w:cs="宋体"/>
          <w:highlight w:val="none"/>
        </w:rPr>
        <w:t>统一布置在失火危险区外侧、平台主导风向上方，设备点位</w:t>
      </w:r>
      <w:r>
        <w:rPr>
          <w:rFonts w:hint="eastAsia" w:ascii="宋体" w:hAnsi="宋体" w:eastAsia="宋体" w:cs="宋体"/>
          <w:highlight w:val="none"/>
          <w:lang w:eastAsia="zh-CN"/>
        </w:rPr>
        <w:t>应</w:t>
      </w:r>
      <w:r>
        <w:rPr>
          <w:rFonts w:hint="eastAsia" w:ascii="宋体" w:hAnsi="宋体" w:eastAsia="宋体" w:cs="宋体"/>
          <w:highlight w:val="none"/>
        </w:rPr>
        <w:t>标注于平台总布置图。</w:t>
      </w:r>
    </w:p>
    <w:p w14:paraId="6D3984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 xml:space="preserve">6.5.2 </w:t>
      </w:r>
      <w:r>
        <w:rPr>
          <w:rFonts w:hint="eastAsia" w:ascii="宋体" w:hAnsi="宋体" w:eastAsia="宋体" w:cs="宋体"/>
          <w:highlight w:val="none"/>
        </w:rPr>
        <w:t>救生筏配置安装</w:t>
      </w:r>
      <w:r>
        <w:rPr>
          <w:rFonts w:hint="eastAsia" w:ascii="宋体" w:hAnsi="宋体" w:eastAsia="宋体" w:cs="宋体"/>
          <w:b w:val="0"/>
          <w:bCs w:val="0"/>
          <w:highlight w:val="none"/>
          <w:lang w:val="en-US" w:eastAsia="zh-CN"/>
        </w:rPr>
        <w:t>应满足</w:t>
      </w:r>
      <w:r>
        <w:rPr>
          <w:rFonts w:hint="eastAsia" w:ascii="宋体" w:hAnsi="宋体" w:eastAsia="宋体" w:cs="宋体"/>
          <w:highlight w:val="none"/>
        </w:rPr>
        <w:t>以下规定</w:t>
      </w:r>
      <w:r>
        <w:rPr>
          <w:rFonts w:hint="eastAsia" w:ascii="宋体" w:hAnsi="宋体" w:eastAsia="宋体" w:cs="宋体"/>
          <w:b w:val="0"/>
          <w:bCs w:val="0"/>
          <w:highlight w:val="none"/>
          <w:lang w:val="en-US" w:eastAsia="zh-CN"/>
        </w:rPr>
        <w:t>：</w:t>
      </w:r>
    </w:p>
    <w:p w14:paraId="11D979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lang w:val="en-US" w:eastAsia="zh-CN"/>
        </w:rPr>
        <w:t>1</w:t>
      </w:r>
      <w:r>
        <w:rPr>
          <w:rFonts w:hint="eastAsia" w:ascii="宋体" w:hAnsi="宋体" w:eastAsia="宋体" w:cs="宋体"/>
          <w:highlight w:val="none"/>
        </w:rPr>
        <w:t>平台配置</w:t>
      </w:r>
      <w:r>
        <w:rPr>
          <w:rFonts w:hint="eastAsia" w:ascii="宋体" w:hAnsi="宋体" w:eastAsia="宋体" w:cs="宋体"/>
          <w:highlight w:val="none"/>
          <w:lang w:eastAsia="zh-CN"/>
        </w:rPr>
        <w:t>应</w:t>
      </w:r>
      <w:r>
        <w:rPr>
          <w:rFonts w:hint="eastAsia" w:ascii="宋体" w:hAnsi="宋体" w:eastAsia="宋体" w:cs="宋体"/>
          <w:highlight w:val="none"/>
        </w:rPr>
        <w:t>满足12人定员的气胀式救生筏，固定于甲板外缘刚性筏架；</w:t>
      </w:r>
    </w:p>
    <w:p w14:paraId="3120BBE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highlight w:val="none"/>
          <w:lang w:val="en-US" w:eastAsia="zh-CN"/>
        </w:rPr>
        <w:t>2</w:t>
      </w:r>
      <w:r>
        <w:rPr>
          <w:rFonts w:hint="eastAsia" w:ascii="宋体" w:hAnsi="宋体" w:eastAsia="宋体" w:cs="宋体"/>
          <w:highlight w:val="none"/>
        </w:rPr>
        <w:t>充气拉索长度</w:t>
      </w:r>
      <w:r>
        <w:rPr>
          <w:rFonts w:hint="eastAsia" w:ascii="宋体" w:hAnsi="宋体" w:eastAsia="宋体" w:cs="宋体"/>
          <w:highlight w:val="none"/>
          <w:lang w:eastAsia="zh-CN"/>
        </w:rPr>
        <w:t>应</w:t>
      </w:r>
      <w:r>
        <w:rPr>
          <w:rFonts w:hint="eastAsia" w:ascii="宋体" w:hAnsi="宋体" w:eastAsia="宋体" w:cs="宋体"/>
          <w:highlight w:val="none"/>
        </w:rPr>
        <w:t>取筏体最高存放点至最低天文潮高度</w:t>
      </w:r>
      <w:r>
        <w:rPr>
          <w:rFonts w:hint="eastAsia" w:ascii="宋体" w:hAnsi="宋体" w:eastAsia="宋体" w:cs="宋体"/>
          <w:highlight w:val="none"/>
          <w:lang w:eastAsia="zh-CN"/>
        </w:rPr>
        <w:t>的</w:t>
      </w:r>
      <w:r>
        <w:rPr>
          <w:rFonts w:hint="eastAsia" w:ascii="宋体" w:hAnsi="宋体" w:eastAsia="宋体" w:cs="宋体"/>
          <w:highlight w:val="none"/>
        </w:rPr>
        <w:t>1.5</w:t>
      </w:r>
      <w:r>
        <w:rPr>
          <w:rFonts w:hint="eastAsia" w:ascii="宋体" w:hAnsi="宋体" w:eastAsia="宋体" w:cs="宋体"/>
          <w:highlight w:val="none"/>
          <w:lang w:eastAsia="zh-CN"/>
        </w:rPr>
        <w:t>倍</w:t>
      </w:r>
      <w:r>
        <w:rPr>
          <w:rFonts w:hint="eastAsia" w:ascii="宋体" w:hAnsi="宋体" w:eastAsia="宋体" w:cs="宋体"/>
          <w:highlight w:val="none"/>
        </w:rPr>
        <w:t>，且不小于30m；筏体就近配套登乘绳梯。</w:t>
      </w:r>
    </w:p>
    <w:p w14:paraId="09FD7D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 xml:space="preserve">6.5.3 </w:t>
      </w:r>
      <w:r>
        <w:rPr>
          <w:rFonts w:hint="eastAsia" w:ascii="宋体" w:hAnsi="宋体" w:eastAsia="宋体" w:cs="宋体"/>
          <w:highlight w:val="none"/>
        </w:rPr>
        <w:t>救生</w:t>
      </w:r>
      <w:r>
        <w:rPr>
          <w:rFonts w:hint="eastAsia" w:ascii="宋体" w:hAnsi="宋体" w:eastAsia="宋体" w:cs="宋体"/>
          <w:highlight w:val="none"/>
          <w:lang w:eastAsia="zh-CN"/>
        </w:rPr>
        <w:t>圈</w:t>
      </w:r>
      <w:r>
        <w:rPr>
          <w:rFonts w:hint="eastAsia" w:ascii="宋体" w:hAnsi="宋体" w:eastAsia="宋体" w:cs="宋体"/>
          <w:highlight w:val="none"/>
        </w:rPr>
        <w:t>配置安装</w:t>
      </w:r>
      <w:r>
        <w:rPr>
          <w:rFonts w:hint="eastAsia" w:ascii="宋体" w:hAnsi="宋体" w:eastAsia="宋体" w:cs="宋体"/>
          <w:b w:val="0"/>
          <w:bCs w:val="0"/>
          <w:highlight w:val="none"/>
          <w:lang w:val="en-US" w:eastAsia="zh-CN"/>
        </w:rPr>
        <w:t>应满足</w:t>
      </w:r>
      <w:r>
        <w:rPr>
          <w:rFonts w:hint="eastAsia" w:ascii="宋体" w:hAnsi="宋体" w:eastAsia="宋体" w:cs="宋体"/>
          <w:highlight w:val="none"/>
        </w:rPr>
        <w:t>以下规定</w:t>
      </w:r>
      <w:r>
        <w:rPr>
          <w:rFonts w:hint="eastAsia" w:ascii="宋体" w:hAnsi="宋体" w:eastAsia="宋体" w:cs="宋体"/>
          <w:b w:val="0"/>
          <w:bCs w:val="0"/>
          <w:highlight w:val="none"/>
          <w:lang w:val="en-US" w:eastAsia="zh-CN"/>
        </w:rPr>
        <w:t>：</w:t>
      </w:r>
    </w:p>
    <w:p w14:paraId="0E530E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lang w:val="en-US" w:eastAsia="zh-CN"/>
        </w:rPr>
        <w:t>1</w:t>
      </w:r>
      <w:r>
        <w:rPr>
          <w:rFonts w:hint="eastAsia" w:ascii="宋体" w:hAnsi="宋体" w:eastAsia="宋体" w:cs="宋体"/>
          <w:highlight w:val="none"/>
        </w:rPr>
        <w:t>平台配备</w:t>
      </w:r>
      <w:r>
        <w:rPr>
          <w:rFonts w:hint="eastAsia" w:ascii="宋体" w:hAnsi="宋体" w:eastAsia="宋体" w:cs="宋体"/>
          <w:highlight w:val="none"/>
          <w:lang w:eastAsia="zh-CN"/>
        </w:rPr>
        <w:t>不少于</w:t>
      </w:r>
      <w:r>
        <w:rPr>
          <w:rFonts w:hint="eastAsia" w:ascii="宋体" w:hAnsi="宋体" w:eastAsia="宋体" w:cs="宋体"/>
          <w:highlight w:val="none"/>
        </w:rPr>
        <w:t>8只救生圈，其中半数带自亮浮灯、2只配备烟雾信号；</w:t>
      </w:r>
    </w:p>
    <w:p w14:paraId="5702AEE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lang w:val="en-US" w:eastAsia="zh-CN"/>
        </w:rPr>
        <w:t>2 2</w:t>
      </w:r>
      <w:r>
        <w:rPr>
          <w:rFonts w:hint="eastAsia" w:ascii="宋体" w:hAnsi="宋体" w:eastAsia="宋体" w:cs="宋体"/>
          <w:highlight w:val="none"/>
        </w:rPr>
        <w:t>只配套长度</w:t>
      </w:r>
      <w:r>
        <w:rPr>
          <w:rFonts w:hint="eastAsia" w:ascii="宋体" w:hAnsi="宋体" w:eastAsia="宋体" w:cs="宋体"/>
          <w:highlight w:val="none"/>
          <w:lang w:eastAsia="zh-CN"/>
        </w:rPr>
        <w:t>不小于</w:t>
      </w:r>
      <w:r>
        <w:rPr>
          <w:rFonts w:hint="eastAsia" w:ascii="宋体" w:hAnsi="宋体" w:eastAsia="宋体" w:cs="宋体"/>
          <w:highlight w:val="none"/>
        </w:rPr>
        <w:t>30m</w:t>
      </w:r>
      <w:r>
        <w:rPr>
          <w:rFonts w:hint="eastAsia" w:ascii="宋体" w:hAnsi="宋体" w:eastAsia="宋体" w:cs="宋体"/>
          <w:highlight w:val="none"/>
          <w:lang w:eastAsia="zh-CN"/>
        </w:rPr>
        <w:t>的</w:t>
      </w:r>
      <w:r>
        <w:rPr>
          <w:rFonts w:hint="eastAsia" w:ascii="宋体" w:hAnsi="宋体" w:eastAsia="宋体" w:cs="宋体"/>
          <w:highlight w:val="none"/>
        </w:rPr>
        <w:t>救生索；</w:t>
      </w:r>
    </w:p>
    <w:p w14:paraId="5F2BFE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highlight w:val="none"/>
          <w:lang w:val="en-US" w:eastAsia="zh-CN"/>
        </w:rPr>
        <w:t>3</w:t>
      </w:r>
      <w:r>
        <w:rPr>
          <w:rFonts w:hint="eastAsia" w:ascii="宋体" w:hAnsi="宋体" w:eastAsia="宋体" w:cs="宋体"/>
          <w:highlight w:val="none"/>
        </w:rPr>
        <w:t>救生圈支架外露、可快速取用，不得永久焊死固定。</w:t>
      </w:r>
    </w:p>
    <w:p w14:paraId="2FA27E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 xml:space="preserve">6.5.4 </w:t>
      </w:r>
      <w:r>
        <w:rPr>
          <w:rFonts w:hint="eastAsia" w:ascii="宋体" w:hAnsi="宋体" w:eastAsia="宋体" w:cs="宋体"/>
          <w:highlight w:val="none"/>
        </w:rPr>
        <w:t>救生</w:t>
      </w:r>
      <w:r>
        <w:rPr>
          <w:rFonts w:hint="eastAsia" w:ascii="宋体" w:hAnsi="宋体" w:eastAsia="宋体" w:cs="宋体"/>
          <w:highlight w:val="none"/>
          <w:lang w:eastAsia="zh-CN"/>
        </w:rPr>
        <w:t>衣</w:t>
      </w:r>
      <w:r>
        <w:rPr>
          <w:rFonts w:hint="eastAsia" w:ascii="宋体" w:hAnsi="宋体" w:eastAsia="宋体" w:cs="宋体"/>
          <w:highlight w:val="none"/>
        </w:rPr>
        <w:t>配置</w:t>
      </w:r>
      <w:r>
        <w:rPr>
          <w:rFonts w:hint="eastAsia" w:ascii="宋体" w:hAnsi="宋体" w:eastAsia="宋体" w:cs="宋体"/>
          <w:b w:val="0"/>
          <w:bCs w:val="0"/>
          <w:highlight w:val="none"/>
          <w:lang w:val="en-US" w:eastAsia="zh-CN"/>
        </w:rPr>
        <w:t>应满足</w:t>
      </w:r>
      <w:r>
        <w:rPr>
          <w:rFonts w:hint="eastAsia" w:ascii="宋体" w:hAnsi="宋体" w:eastAsia="宋体" w:cs="宋体"/>
          <w:strike w:val="0"/>
          <w:highlight w:val="none"/>
        </w:rPr>
        <w:t>以下规定</w:t>
      </w:r>
      <w:r>
        <w:rPr>
          <w:rFonts w:hint="eastAsia" w:ascii="宋体" w:hAnsi="宋体" w:eastAsia="宋体" w:cs="宋体"/>
          <w:b w:val="0"/>
          <w:bCs w:val="0"/>
          <w:highlight w:val="none"/>
          <w:lang w:val="en-US" w:eastAsia="zh-CN"/>
        </w:rPr>
        <w:t>：</w:t>
      </w:r>
    </w:p>
    <w:p w14:paraId="3255D3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lang w:val="en-US" w:eastAsia="zh-CN"/>
        </w:rPr>
        <w:t>1</w:t>
      </w:r>
      <w:r>
        <w:rPr>
          <w:rFonts w:hint="eastAsia" w:ascii="宋体" w:hAnsi="宋体" w:eastAsia="宋体" w:cs="宋体"/>
          <w:highlight w:val="none"/>
        </w:rPr>
        <w:t>救生衣配置系数</w:t>
      </w:r>
      <w:r>
        <w:rPr>
          <w:rFonts w:hint="eastAsia" w:ascii="宋体" w:hAnsi="宋体" w:eastAsia="宋体" w:cs="宋体"/>
          <w:highlight w:val="none"/>
          <w:lang w:eastAsia="zh-CN"/>
        </w:rPr>
        <w:t>按</w:t>
      </w:r>
      <w:r>
        <w:rPr>
          <w:rFonts w:hint="eastAsia" w:ascii="宋体" w:hAnsi="宋体" w:eastAsia="宋体" w:cs="宋体"/>
          <w:highlight w:val="none"/>
        </w:rPr>
        <w:t>210% 定员，避难室、逃生集合站各存放100%定额，作业区存放 10% 定额；</w:t>
      </w:r>
    </w:p>
    <w:p w14:paraId="1BFA7E2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highlight w:val="none"/>
          <w:lang w:val="en-US" w:eastAsia="zh-CN"/>
        </w:rPr>
        <w:t>2</w:t>
      </w:r>
      <w:r>
        <w:rPr>
          <w:rFonts w:hint="eastAsia" w:ascii="宋体" w:hAnsi="宋体" w:eastAsia="宋体" w:cs="宋体"/>
          <w:highlight w:val="none"/>
        </w:rPr>
        <w:t>寒冷海域额外配置全员干式保温救生服。</w:t>
      </w:r>
    </w:p>
    <w:p w14:paraId="4DA309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 xml:space="preserve">6.5.5 </w:t>
      </w:r>
      <w:r>
        <w:rPr>
          <w:rFonts w:hint="eastAsia" w:ascii="宋体" w:hAnsi="宋体" w:eastAsia="宋体" w:cs="宋体"/>
          <w:highlight w:val="none"/>
        </w:rPr>
        <w:t>应急信号及辅材配置</w:t>
      </w:r>
      <w:r>
        <w:rPr>
          <w:rFonts w:hint="eastAsia" w:ascii="宋体" w:hAnsi="宋体" w:eastAsia="宋体" w:cs="宋体"/>
          <w:b w:val="0"/>
          <w:bCs w:val="0"/>
          <w:highlight w:val="none"/>
          <w:lang w:val="en-US" w:eastAsia="zh-CN"/>
        </w:rPr>
        <w:t>应满足</w:t>
      </w:r>
      <w:r>
        <w:rPr>
          <w:rFonts w:hint="eastAsia" w:ascii="宋体" w:hAnsi="宋体" w:eastAsia="宋体" w:cs="宋体"/>
          <w:highlight w:val="none"/>
        </w:rPr>
        <w:t>以下规定</w:t>
      </w:r>
      <w:r>
        <w:rPr>
          <w:rFonts w:hint="eastAsia" w:ascii="宋体" w:hAnsi="宋体" w:eastAsia="宋体" w:cs="宋体"/>
          <w:b w:val="0"/>
          <w:bCs w:val="0"/>
          <w:highlight w:val="none"/>
          <w:lang w:val="en-US" w:eastAsia="zh-CN"/>
        </w:rPr>
        <w:t>：</w:t>
      </w:r>
    </w:p>
    <w:p w14:paraId="36A14D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highlight w:val="none"/>
        </w:rPr>
        <w:t>平台配置12 枚火箭降落伞信号、2 枚漂浮烟雾信号、1 套抛绳设备、成套急救器材，存放于中控室就近干燥位置，远离高温热源。</w:t>
      </w:r>
    </w:p>
    <w:p w14:paraId="6BE955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 xml:space="preserve">6.5.6 </w:t>
      </w:r>
      <w:r>
        <w:rPr>
          <w:rFonts w:hint="eastAsia" w:ascii="宋体" w:hAnsi="宋体" w:eastAsia="宋体" w:cs="宋体"/>
          <w:highlight w:val="none"/>
        </w:rPr>
        <w:t>救生设施安装完成后，</w:t>
      </w:r>
      <w:r>
        <w:rPr>
          <w:rFonts w:hint="eastAsia" w:ascii="宋体" w:hAnsi="宋体" w:eastAsia="宋体" w:cs="宋体"/>
          <w:highlight w:val="none"/>
          <w:lang w:eastAsia="zh-CN"/>
        </w:rPr>
        <w:t>应</w:t>
      </w:r>
      <w:r>
        <w:rPr>
          <w:rFonts w:hint="eastAsia" w:ascii="宋体" w:hAnsi="宋体" w:eastAsia="宋体" w:cs="宋体"/>
          <w:highlight w:val="none"/>
        </w:rPr>
        <w:t>开展抛放、充气模拟试验，试验记录归档。</w:t>
      </w:r>
    </w:p>
    <w:p w14:paraId="6B8F78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p>
    <w:p w14:paraId="6711679C">
      <w:pPr>
        <w:numPr>
          <w:ilvl w:val="0"/>
          <w:numId w:val="0"/>
        </w:numPr>
        <w:rPr>
          <w:rFonts w:hint="eastAsia"/>
          <w:lang w:val="en-US" w:eastAsia="zh-CN"/>
        </w:rPr>
      </w:pPr>
    </w:p>
    <w:p w14:paraId="729B5A78">
      <w:pPr>
        <w:numPr>
          <w:ilvl w:val="0"/>
          <w:numId w:val="0"/>
        </w:numPr>
        <w:rPr>
          <w:rFonts w:hint="eastAsia"/>
          <w:lang w:val="en-US" w:eastAsia="zh-CN"/>
        </w:rPr>
      </w:pPr>
    </w:p>
    <w:p w14:paraId="66A28195">
      <w:pPr>
        <w:numPr>
          <w:ilvl w:val="0"/>
          <w:numId w:val="0"/>
        </w:numPr>
        <w:rPr>
          <w:rFonts w:hint="eastAsia"/>
          <w:lang w:val="en-US" w:eastAsia="zh-CN"/>
        </w:rPr>
      </w:pPr>
    </w:p>
    <w:p w14:paraId="054B95E6">
      <w:pPr>
        <w:numPr>
          <w:ilvl w:val="0"/>
          <w:numId w:val="0"/>
        </w:numPr>
        <w:rPr>
          <w:rFonts w:hint="eastAsia"/>
          <w:lang w:val="en-US" w:eastAsia="zh-CN"/>
        </w:rPr>
      </w:pPr>
    </w:p>
    <w:p w14:paraId="3BAE4D96">
      <w:pPr>
        <w:numPr>
          <w:ilvl w:val="0"/>
          <w:numId w:val="0"/>
        </w:numPr>
        <w:rPr>
          <w:rFonts w:hint="eastAsia"/>
          <w:lang w:val="en-US" w:eastAsia="zh-CN"/>
        </w:rPr>
      </w:pPr>
    </w:p>
    <w:p w14:paraId="58F713A8">
      <w:pPr>
        <w:numPr>
          <w:ilvl w:val="0"/>
          <w:numId w:val="0"/>
        </w:numPr>
        <w:rPr>
          <w:rFonts w:hint="eastAsia"/>
          <w:lang w:val="en-US" w:eastAsia="zh-CN"/>
        </w:rPr>
      </w:pPr>
    </w:p>
    <w:p w14:paraId="0952BE35">
      <w:pPr>
        <w:numPr>
          <w:ilvl w:val="0"/>
          <w:numId w:val="0"/>
        </w:numPr>
        <w:rPr>
          <w:rFonts w:hint="eastAsia"/>
          <w:lang w:val="en-US" w:eastAsia="zh-CN"/>
        </w:rPr>
      </w:pPr>
    </w:p>
    <w:p w14:paraId="1497AAD7">
      <w:pPr>
        <w:numPr>
          <w:ilvl w:val="0"/>
          <w:numId w:val="0"/>
        </w:numPr>
        <w:rPr>
          <w:rFonts w:hint="eastAsia"/>
          <w:lang w:val="en-US" w:eastAsia="zh-CN"/>
        </w:rPr>
      </w:pPr>
    </w:p>
    <w:p w14:paraId="07A3E104">
      <w:pPr>
        <w:numPr>
          <w:ilvl w:val="0"/>
          <w:numId w:val="0"/>
        </w:numPr>
        <w:rPr>
          <w:rFonts w:hint="eastAsia"/>
          <w:lang w:val="en-US" w:eastAsia="zh-CN"/>
        </w:rPr>
      </w:pPr>
    </w:p>
    <w:p w14:paraId="3E5351B4">
      <w:pPr>
        <w:numPr>
          <w:ilvl w:val="0"/>
          <w:numId w:val="0"/>
        </w:numPr>
        <w:rPr>
          <w:rFonts w:hint="eastAsia"/>
          <w:lang w:val="en-US" w:eastAsia="zh-CN"/>
        </w:rPr>
      </w:pPr>
    </w:p>
    <w:p w14:paraId="44870532">
      <w:pPr>
        <w:numPr>
          <w:ilvl w:val="0"/>
          <w:numId w:val="0"/>
        </w:numPr>
        <w:rPr>
          <w:rFonts w:hint="eastAsia"/>
          <w:lang w:val="en-US" w:eastAsia="zh-CN"/>
        </w:rPr>
      </w:pPr>
    </w:p>
    <w:p w14:paraId="71EE553E">
      <w:pPr>
        <w:numPr>
          <w:ilvl w:val="0"/>
          <w:numId w:val="0"/>
        </w:numPr>
        <w:rPr>
          <w:rFonts w:hint="eastAsia"/>
          <w:lang w:val="en-US" w:eastAsia="zh-CN"/>
        </w:rPr>
      </w:pPr>
    </w:p>
    <w:p w14:paraId="5EBD0AC9">
      <w:pPr>
        <w:numPr>
          <w:ilvl w:val="0"/>
          <w:numId w:val="0"/>
        </w:numPr>
        <w:rPr>
          <w:rFonts w:hint="eastAsia"/>
          <w:lang w:val="en-US" w:eastAsia="zh-CN"/>
        </w:rPr>
      </w:pPr>
    </w:p>
    <w:p w14:paraId="3B033C58">
      <w:pPr>
        <w:numPr>
          <w:ilvl w:val="0"/>
          <w:numId w:val="0"/>
        </w:numPr>
        <w:rPr>
          <w:rFonts w:hint="eastAsia"/>
          <w:lang w:val="en-US" w:eastAsia="zh-CN"/>
        </w:rPr>
      </w:pPr>
    </w:p>
    <w:p w14:paraId="49894830">
      <w:pPr>
        <w:numPr>
          <w:ilvl w:val="0"/>
          <w:numId w:val="0"/>
        </w:numPr>
        <w:rPr>
          <w:rFonts w:hint="eastAsia"/>
          <w:lang w:val="en-US" w:eastAsia="zh-CN"/>
        </w:rPr>
      </w:pPr>
    </w:p>
    <w:p w14:paraId="23074911">
      <w:pPr>
        <w:numPr>
          <w:ilvl w:val="0"/>
          <w:numId w:val="0"/>
        </w:numPr>
        <w:rPr>
          <w:rFonts w:hint="eastAsia"/>
          <w:lang w:val="en-US" w:eastAsia="zh-CN"/>
        </w:rPr>
      </w:pPr>
    </w:p>
    <w:p w14:paraId="287089C3">
      <w:pPr>
        <w:numPr>
          <w:ilvl w:val="0"/>
          <w:numId w:val="0"/>
        </w:numPr>
        <w:rPr>
          <w:rFonts w:hint="eastAsia"/>
          <w:lang w:val="en-US" w:eastAsia="zh-CN"/>
        </w:rPr>
      </w:pPr>
    </w:p>
    <w:p w14:paraId="1DD138C9">
      <w:pPr>
        <w:numPr>
          <w:ilvl w:val="0"/>
          <w:numId w:val="0"/>
        </w:numPr>
        <w:rPr>
          <w:rFonts w:hint="eastAsia"/>
          <w:lang w:val="en-US" w:eastAsia="zh-CN"/>
        </w:rPr>
      </w:pPr>
    </w:p>
    <w:p w14:paraId="45B5DF85">
      <w:pPr>
        <w:numPr>
          <w:ilvl w:val="0"/>
          <w:numId w:val="0"/>
        </w:numPr>
        <w:rPr>
          <w:rFonts w:hint="eastAsia"/>
          <w:lang w:val="en-US" w:eastAsia="zh-CN"/>
        </w:rPr>
      </w:pPr>
    </w:p>
    <w:p w14:paraId="531E53A1">
      <w:pPr>
        <w:numPr>
          <w:ilvl w:val="0"/>
          <w:numId w:val="0"/>
        </w:numPr>
        <w:rPr>
          <w:rFonts w:hint="eastAsia"/>
          <w:lang w:val="en-US" w:eastAsia="zh-CN"/>
        </w:rPr>
      </w:pPr>
    </w:p>
    <w:p w14:paraId="2131376D">
      <w:pPr>
        <w:numPr>
          <w:ilvl w:val="0"/>
          <w:numId w:val="0"/>
        </w:numPr>
        <w:rPr>
          <w:rFonts w:hint="eastAsia"/>
          <w:lang w:val="en-US" w:eastAsia="zh-CN"/>
        </w:rPr>
      </w:pPr>
    </w:p>
    <w:p w14:paraId="2F732B5C">
      <w:pPr>
        <w:numPr>
          <w:ilvl w:val="0"/>
          <w:numId w:val="0"/>
        </w:numPr>
        <w:rPr>
          <w:rFonts w:hint="eastAsia"/>
          <w:lang w:val="en-US" w:eastAsia="zh-CN"/>
        </w:rPr>
      </w:pPr>
    </w:p>
    <w:p w14:paraId="44C2BA89">
      <w:pPr>
        <w:numPr>
          <w:ilvl w:val="0"/>
          <w:numId w:val="0"/>
        </w:numPr>
        <w:rPr>
          <w:rFonts w:hint="eastAsia"/>
          <w:lang w:val="en-US" w:eastAsia="zh-CN"/>
        </w:rPr>
      </w:pPr>
    </w:p>
    <w:p w14:paraId="4A26F7E7">
      <w:pPr>
        <w:numPr>
          <w:ilvl w:val="0"/>
          <w:numId w:val="0"/>
        </w:numPr>
        <w:rPr>
          <w:rFonts w:hint="eastAsia"/>
          <w:lang w:val="en-US" w:eastAsia="zh-CN"/>
        </w:rPr>
      </w:pPr>
    </w:p>
    <w:p w14:paraId="7876A7A4">
      <w:pPr>
        <w:numPr>
          <w:ilvl w:val="0"/>
          <w:numId w:val="0"/>
        </w:numPr>
        <w:rPr>
          <w:rFonts w:hint="eastAsia"/>
          <w:lang w:val="en-US" w:eastAsia="zh-CN"/>
        </w:rPr>
      </w:pPr>
    </w:p>
    <w:p w14:paraId="174DD825">
      <w:pPr>
        <w:numPr>
          <w:ilvl w:val="0"/>
          <w:numId w:val="0"/>
        </w:numPr>
        <w:rPr>
          <w:rFonts w:hint="eastAsia"/>
          <w:lang w:val="en-US" w:eastAsia="zh-CN"/>
        </w:rPr>
      </w:pPr>
    </w:p>
    <w:p w14:paraId="12762895">
      <w:pPr>
        <w:numPr>
          <w:ilvl w:val="0"/>
          <w:numId w:val="0"/>
        </w:numPr>
        <w:rPr>
          <w:rFonts w:hint="eastAsia"/>
          <w:lang w:val="en-US" w:eastAsia="zh-CN"/>
        </w:rPr>
      </w:pPr>
    </w:p>
    <w:p w14:paraId="5053FF20">
      <w:pPr>
        <w:numPr>
          <w:ilvl w:val="0"/>
          <w:numId w:val="0"/>
        </w:numPr>
        <w:rPr>
          <w:rFonts w:hint="eastAsia"/>
          <w:lang w:val="en-US" w:eastAsia="zh-CN"/>
        </w:rPr>
      </w:pPr>
    </w:p>
    <w:p w14:paraId="0D999201">
      <w:pPr>
        <w:numPr>
          <w:ilvl w:val="0"/>
          <w:numId w:val="0"/>
        </w:numPr>
        <w:rPr>
          <w:rFonts w:hint="eastAsia"/>
          <w:lang w:val="en-US" w:eastAsia="zh-CN"/>
        </w:rPr>
      </w:pPr>
    </w:p>
    <w:p w14:paraId="67D2B207">
      <w:pPr>
        <w:numPr>
          <w:ilvl w:val="0"/>
          <w:numId w:val="0"/>
        </w:numPr>
        <w:rPr>
          <w:rFonts w:hint="eastAsia"/>
          <w:lang w:val="en-US" w:eastAsia="zh-CN"/>
        </w:rPr>
      </w:pPr>
    </w:p>
    <w:p w14:paraId="31C13061">
      <w:pPr>
        <w:numPr>
          <w:ilvl w:val="0"/>
          <w:numId w:val="0"/>
        </w:numPr>
        <w:rPr>
          <w:rFonts w:hint="eastAsia"/>
          <w:lang w:val="en-US" w:eastAsia="zh-CN"/>
        </w:rPr>
      </w:pPr>
    </w:p>
    <w:p w14:paraId="1E4AFB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7</w:t>
      </w:r>
      <w:r>
        <w:rPr>
          <w:rFonts w:hint="eastAsia" w:ascii="宋体" w:hAnsi="宋体" w:eastAsia="宋体" w:cs="宋体"/>
          <w:color w:val="000000"/>
          <w:sz w:val="28"/>
          <w:szCs w:val="28"/>
        </w:rPr>
        <w:t xml:space="preserve"> </w:t>
      </w:r>
      <w:r>
        <w:rPr>
          <w:rFonts w:hint="eastAsia" w:ascii="宋体" w:hAnsi="宋体" w:eastAsia="宋体" w:cs="宋体"/>
          <w:color w:val="000000"/>
          <w:sz w:val="28"/>
          <w:szCs w:val="28"/>
          <w:lang w:val="en-US" w:eastAsia="zh-CN"/>
        </w:rPr>
        <w:t>桩基</w:t>
      </w:r>
      <w:r>
        <w:rPr>
          <w:rFonts w:hint="eastAsia" w:ascii="宋体" w:hAnsi="宋体" w:eastAsia="宋体" w:cs="宋体"/>
          <w:color w:val="000000"/>
          <w:sz w:val="28"/>
          <w:szCs w:val="28"/>
        </w:rPr>
        <w:t>工程</w:t>
      </w:r>
    </w:p>
    <w:p w14:paraId="36A80E18">
      <w:pPr>
        <w:spacing w:line="360" w:lineRule="auto"/>
        <w:rPr>
          <w:rFonts w:hint="eastAsia"/>
        </w:rPr>
      </w:pPr>
    </w:p>
    <w:p w14:paraId="68D632E5">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auto"/>
        <w:ind w:leftChars="0"/>
        <w:textAlignment w:val="auto"/>
        <w:rPr>
          <w:rFonts w:hint="eastAsia" w:ascii="黑体" w:hAnsi="黑体" w:eastAsia="黑体"/>
          <w:lang w:val="en-US" w:eastAsia="zh-CN"/>
        </w:rPr>
      </w:pPr>
      <w:r>
        <w:rPr>
          <w:rFonts w:hint="eastAsia" w:ascii="黑体" w:hAnsi="黑体" w:eastAsia="黑体"/>
          <w:lang w:val="en-US" w:eastAsia="zh-CN"/>
        </w:rPr>
        <w:t>7.1 一般规定</w:t>
      </w:r>
    </w:p>
    <w:p w14:paraId="2C6DFC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7.1.1深远海桩基工程施工前应根据工程实际情况及施工区海域的气象、水文、地质条件等编制详细的施工方案。</w:t>
      </w:r>
    </w:p>
    <w:p w14:paraId="27DBDC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7.1.2用于桩基施工的原材料、构件及部件均应检验合格。</w:t>
      </w:r>
    </w:p>
    <w:p w14:paraId="43D311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7.1.3施工作业前应对深远海海域气象、海况等进行调查，及时掌握预报资料，并根据设备技术要求及施工船舶配置情况限定工作环境条件，核定桩基施工窗口期，避开不利施工时间。</w:t>
      </w:r>
    </w:p>
    <w:p w14:paraId="49CCD2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7.1.4应选用专业浮式打桩船、超大吨位全回转大型起重船或自升式平台船，船舶定位宜采用动态DP动力精确定位，嵌岩钻机应根据地质条件、嵌岩深度、直径、水深等条件选择。</w:t>
      </w:r>
    </w:p>
    <w:p w14:paraId="3BAD430E">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auto"/>
        <w:ind w:leftChars="0"/>
        <w:textAlignment w:val="auto"/>
        <w:rPr>
          <w:rFonts w:hint="eastAsia" w:ascii="黑体" w:hAnsi="黑体" w:eastAsia="黑体"/>
          <w:lang w:val="en-US" w:eastAsia="zh-CN"/>
        </w:rPr>
      </w:pPr>
      <w:r>
        <w:rPr>
          <w:rFonts w:hint="eastAsia" w:ascii="黑体" w:hAnsi="黑体" w:eastAsia="黑体"/>
          <w:lang w:val="en-US" w:eastAsia="zh-CN"/>
        </w:rPr>
        <w:t>7.2 单桩基础工程</w:t>
      </w:r>
    </w:p>
    <w:p w14:paraId="70DC576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7.2.1</w:t>
      </w:r>
      <w:r>
        <w:rPr>
          <w:rFonts w:hint="default" w:ascii="宋体" w:hAnsi="宋体" w:eastAsia="宋体" w:cs="宋体"/>
          <w:b w:val="0"/>
          <w:bCs w:val="0"/>
          <w:highlight w:val="none"/>
          <w:lang w:val="en-US" w:eastAsia="zh-CN"/>
        </w:rPr>
        <w:t>沉桩前应检查沉桩区有无障碍物，对施工区域障碍物进行清理</w:t>
      </w:r>
      <w:r>
        <w:rPr>
          <w:rFonts w:hint="eastAsia" w:ascii="宋体" w:hAnsi="宋体" w:eastAsia="宋体" w:cs="宋体"/>
          <w:b w:val="0"/>
          <w:bCs w:val="0"/>
          <w:highlight w:val="none"/>
          <w:lang w:val="en-US" w:eastAsia="zh-CN"/>
        </w:rPr>
        <w:t>。同时实施海底海床平整、浅层淤泥清理、硬夹层预处理，防止桩身偏位倾斜。</w:t>
      </w:r>
    </w:p>
    <w:p w14:paraId="4955595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7.2.2</w:t>
      </w:r>
      <w:r>
        <w:rPr>
          <w:rFonts w:hint="default" w:ascii="宋体" w:hAnsi="宋体" w:eastAsia="宋体" w:cs="宋体"/>
          <w:b w:val="0"/>
          <w:bCs w:val="0"/>
          <w:highlight w:val="none"/>
          <w:lang w:val="en-US" w:eastAsia="zh-CN"/>
        </w:rPr>
        <w:t>锤击沉桩时，锤型的选择应根据地质、桩身结构强度、桩的承载力和锤的性能，并结合施工经验或试沉桩情况确定;</w:t>
      </w:r>
      <w:r>
        <w:rPr>
          <w:rFonts w:hint="eastAsia" w:ascii="宋体" w:hAnsi="宋体" w:eastAsia="宋体" w:cs="宋体"/>
          <w:b w:val="0"/>
          <w:bCs w:val="0"/>
          <w:highlight w:val="none"/>
          <w:lang w:val="en-US" w:eastAsia="zh-CN"/>
        </w:rPr>
        <w:t>深远海</w:t>
      </w:r>
      <w:r>
        <w:rPr>
          <w:rFonts w:hint="default" w:ascii="宋体" w:hAnsi="宋体" w:eastAsia="宋体" w:cs="宋体"/>
          <w:b w:val="0"/>
          <w:bCs w:val="0"/>
          <w:highlight w:val="none"/>
          <w:lang w:val="en-US" w:eastAsia="zh-CN"/>
        </w:rPr>
        <w:t>单桩基础管径</w:t>
      </w:r>
      <w:r>
        <w:rPr>
          <w:rFonts w:hint="eastAsia" w:ascii="宋体" w:hAnsi="宋体" w:eastAsia="宋体" w:cs="宋体"/>
          <w:b w:val="0"/>
          <w:bCs w:val="0"/>
          <w:highlight w:val="none"/>
          <w:lang w:val="en-US" w:eastAsia="zh-CN"/>
        </w:rPr>
        <w:t>、</w:t>
      </w:r>
      <w:r>
        <w:rPr>
          <w:rFonts w:hint="default" w:ascii="宋体" w:hAnsi="宋体" w:eastAsia="宋体" w:cs="宋体"/>
          <w:b w:val="0"/>
          <w:bCs w:val="0"/>
          <w:highlight w:val="none"/>
          <w:lang w:val="en-US" w:eastAsia="zh-CN"/>
        </w:rPr>
        <w:t>重量</w:t>
      </w:r>
      <w:r>
        <w:rPr>
          <w:rFonts w:hint="eastAsia" w:ascii="宋体" w:hAnsi="宋体" w:eastAsia="宋体" w:cs="宋体"/>
          <w:b w:val="0"/>
          <w:bCs w:val="0"/>
          <w:highlight w:val="none"/>
          <w:lang w:val="en-US" w:eastAsia="zh-CN"/>
        </w:rPr>
        <w:t>以及长度</w:t>
      </w:r>
      <w:r>
        <w:rPr>
          <w:rFonts w:hint="default" w:ascii="宋体" w:hAnsi="宋体" w:eastAsia="宋体" w:cs="宋体"/>
          <w:b w:val="0"/>
          <w:bCs w:val="0"/>
          <w:highlight w:val="none"/>
          <w:lang w:val="en-US" w:eastAsia="zh-CN"/>
        </w:rPr>
        <w:t>较大，优先选择液压打桩锤</w:t>
      </w:r>
      <w:r>
        <w:rPr>
          <w:rFonts w:hint="eastAsia" w:ascii="宋体" w:hAnsi="宋体" w:eastAsia="宋体" w:cs="宋体"/>
          <w:b w:val="0"/>
          <w:bCs w:val="0"/>
          <w:highlight w:val="none"/>
          <w:lang w:val="en-US" w:eastAsia="zh-CN"/>
        </w:rPr>
        <w:t>。</w:t>
      </w:r>
    </w:p>
    <w:p w14:paraId="243F085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7.2.3</w:t>
      </w:r>
      <w:r>
        <w:rPr>
          <w:rFonts w:hint="default" w:ascii="宋体" w:hAnsi="宋体" w:eastAsia="宋体" w:cs="宋体"/>
          <w:b w:val="0"/>
          <w:bCs w:val="0"/>
          <w:highlight w:val="none"/>
          <w:lang w:val="en-US" w:eastAsia="zh-CN"/>
        </w:rPr>
        <w:t>替打应具有足够的刚度，满足反复锤击的要求，在桩顶和替打之间应设置具有适当弹性的桩垫保护桩顶</w:t>
      </w:r>
      <w:r>
        <w:rPr>
          <w:rFonts w:hint="eastAsia" w:ascii="宋体" w:hAnsi="宋体" w:eastAsia="宋体" w:cs="宋体"/>
          <w:b w:val="0"/>
          <w:bCs w:val="0"/>
          <w:highlight w:val="none"/>
          <w:lang w:val="en-US" w:eastAsia="zh-CN"/>
        </w:rPr>
        <w:t>。</w:t>
      </w:r>
    </w:p>
    <w:p w14:paraId="57C9D99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7.2.4深远海区域</w:t>
      </w:r>
      <w:r>
        <w:rPr>
          <w:rFonts w:hint="default" w:ascii="宋体" w:hAnsi="宋体" w:eastAsia="宋体" w:cs="宋体"/>
          <w:b w:val="0"/>
          <w:bCs w:val="0"/>
          <w:highlight w:val="none"/>
          <w:lang w:val="en-US" w:eastAsia="zh-CN"/>
        </w:rPr>
        <w:t>地质情况复杂且缺乏沉桩经验，</w:t>
      </w:r>
      <w:r>
        <w:rPr>
          <w:rFonts w:hint="eastAsia" w:ascii="宋体" w:hAnsi="宋体" w:eastAsia="宋体" w:cs="宋体"/>
          <w:b w:val="0"/>
          <w:bCs w:val="0"/>
          <w:highlight w:val="none"/>
          <w:lang w:val="en-US" w:eastAsia="zh-CN"/>
        </w:rPr>
        <w:t>应</w:t>
      </w:r>
      <w:r>
        <w:rPr>
          <w:rFonts w:hint="default" w:ascii="宋体" w:hAnsi="宋体" w:eastAsia="宋体" w:cs="宋体"/>
          <w:b w:val="0"/>
          <w:bCs w:val="0"/>
          <w:highlight w:val="none"/>
          <w:lang w:val="en-US" w:eastAsia="zh-CN"/>
        </w:rPr>
        <w:t>进行试沉桩</w:t>
      </w:r>
      <w:r>
        <w:rPr>
          <w:rFonts w:hint="eastAsia" w:ascii="宋体" w:hAnsi="宋体" w:eastAsia="宋体" w:cs="宋体"/>
          <w:b w:val="0"/>
          <w:bCs w:val="0"/>
          <w:highlight w:val="none"/>
          <w:lang w:val="en-US" w:eastAsia="zh-CN"/>
        </w:rPr>
        <w:t>。</w:t>
      </w:r>
    </w:p>
    <w:p w14:paraId="0D9836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7.2.5</w:t>
      </w:r>
      <w:r>
        <w:rPr>
          <w:rFonts w:hint="default" w:ascii="宋体" w:hAnsi="宋体" w:eastAsia="宋体" w:cs="宋体"/>
          <w:b w:val="0"/>
          <w:bCs w:val="0"/>
          <w:highlight w:val="none"/>
          <w:lang w:val="en-US" w:eastAsia="zh-CN"/>
        </w:rPr>
        <w:t>沉桩过程中应对桩基位置进行精确定位，并及时测定沉桩偏位值及桩顶标高，按要求做好沉桩记录</w:t>
      </w:r>
      <w:r>
        <w:rPr>
          <w:rFonts w:hint="eastAsia" w:ascii="宋体" w:hAnsi="宋体" w:eastAsia="宋体" w:cs="宋体"/>
          <w:b w:val="0"/>
          <w:bCs w:val="0"/>
          <w:highlight w:val="none"/>
          <w:lang w:val="en-US" w:eastAsia="zh-CN"/>
        </w:rPr>
        <w:t>。</w:t>
      </w:r>
    </w:p>
    <w:p w14:paraId="383C487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7.2.6送桩器长度应根据最大送桩深度、潮位变化和打桩架龙口长度确定。送桩器中心线</w:t>
      </w:r>
      <w:r>
        <w:rPr>
          <w:rFonts w:hint="default" w:ascii="宋体" w:hAnsi="宋体" w:eastAsia="宋体" w:cs="宋体"/>
          <w:b w:val="0"/>
          <w:bCs w:val="0"/>
          <w:highlight w:val="none"/>
          <w:lang w:val="en-US" w:eastAsia="zh-CN"/>
        </w:rPr>
        <w:t>与桩身</w:t>
      </w:r>
      <w:r>
        <w:rPr>
          <w:rFonts w:hint="eastAsia" w:ascii="宋体" w:hAnsi="宋体" w:eastAsia="宋体" w:cs="宋体"/>
          <w:b w:val="0"/>
          <w:bCs w:val="0"/>
          <w:highlight w:val="none"/>
          <w:lang w:val="en-US" w:eastAsia="zh-CN"/>
        </w:rPr>
        <w:t>中心线</w:t>
      </w:r>
      <w:r>
        <w:rPr>
          <w:rFonts w:hint="default" w:ascii="宋体" w:hAnsi="宋体" w:eastAsia="宋体" w:cs="宋体"/>
          <w:b w:val="0"/>
          <w:bCs w:val="0"/>
          <w:highlight w:val="none"/>
          <w:lang w:val="en-US" w:eastAsia="zh-CN"/>
        </w:rPr>
        <w:t>应保持</w:t>
      </w:r>
      <w:r>
        <w:rPr>
          <w:rFonts w:hint="eastAsia" w:ascii="宋体" w:hAnsi="宋体" w:eastAsia="宋体" w:cs="宋体"/>
          <w:b w:val="0"/>
          <w:bCs w:val="0"/>
          <w:highlight w:val="none"/>
          <w:lang w:val="en-US" w:eastAsia="zh-CN"/>
        </w:rPr>
        <w:t>一致，</w:t>
      </w:r>
      <w:r>
        <w:rPr>
          <w:rFonts w:hint="default" w:ascii="宋体" w:hAnsi="宋体" w:eastAsia="宋体" w:cs="宋体"/>
          <w:b w:val="0"/>
          <w:bCs w:val="0"/>
          <w:highlight w:val="none"/>
          <w:lang w:val="en-US" w:eastAsia="zh-CN"/>
        </w:rPr>
        <w:t>送桩过程中应实时监测桩身垂直度和桩顶标高，</w:t>
      </w:r>
      <w:r>
        <w:rPr>
          <w:rFonts w:hint="eastAsia" w:ascii="宋体" w:hAnsi="宋体" w:eastAsia="宋体" w:cs="宋体"/>
          <w:b w:val="0"/>
          <w:bCs w:val="0"/>
          <w:highlight w:val="none"/>
          <w:lang w:val="en-US" w:eastAsia="zh-CN"/>
        </w:rPr>
        <w:t>并</w:t>
      </w:r>
      <w:r>
        <w:rPr>
          <w:rFonts w:hint="default" w:ascii="宋体" w:hAnsi="宋体" w:eastAsia="宋体" w:cs="宋体"/>
          <w:b w:val="0"/>
          <w:bCs w:val="0"/>
          <w:highlight w:val="none"/>
          <w:lang w:val="en-US" w:eastAsia="zh-CN"/>
        </w:rPr>
        <w:t>应采取措施防止送桩器偏斜</w:t>
      </w:r>
      <w:r>
        <w:rPr>
          <w:rFonts w:hint="eastAsia" w:ascii="宋体" w:hAnsi="宋体" w:eastAsia="宋体" w:cs="宋体"/>
          <w:b w:val="0"/>
          <w:bCs w:val="0"/>
          <w:highlight w:val="none"/>
          <w:lang w:val="en-US" w:eastAsia="zh-CN"/>
        </w:rPr>
        <w:t>。</w:t>
      </w:r>
    </w:p>
    <w:p w14:paraId="33F57E6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7.2.7</w:t>
      </w:r>
      <w:r>
        <w:rPr>
          <w:rFonts w:hint="default" w:ascii="宋体" w:hAnsi="宋体" w:eastAsia="宋体" w:cs="宋体"/>
          <w:b w:val="0"/>
          <w:bCs w:val="0"/>
          <w:highlight w:val="none"/>
          <w:lang w:val="en-US" w:eastAsia="zh-CN"/>
        </w:rPr>
        <w:t>沉桩作业开始前，应对管桩进行严格调平，桩顶端面水平度应控制在设计规定范围内</w:t>
      </w:r>
      <w:r>
        <w:rPr>
          <w:rFonts w:hint="eastAsia" w:ascii="宋体" w:hAnsi="宋体" w:eastAsia="宋体" w:cs="宋体"/>
          <w:b w:val="0"/>
          <w:bCs w:val="0"/>
          <w:highlight w:val="none"/>
          <w:lang w:val="en-US" w:eastAsia="zh-CN"/>
        </w:rPr>
        <w:t>。</w:t>
      </w:r>
    </w:p>
    <w:p w14:paraId="424237B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7.2.8</w:t>
      </w:r>
      <w:r>
        <w:rPr>
          <w:rFonts w:hint="default" w:ascii="宋体" w:hAnsi="宋体" w:eastAsia="宋体" w:cs="宋体"/>
          <w:b w:val="0"/>
          <w:bCs w:val="0"/>
          <w:highlight w:val="none"/>
          <w:lang w:val="en-US" w:eastAsia="zh-CN"/>
        </w:rPr>
        <w:t>下桩过程中，应保持桩身竖直</w:t>
      </w:r>
      <w:r>
        <w:rPr>
          <w:rFonts w:hint="eastAsia" w:ascii="宋体" w:hAnsi="宋体" w:eastAsia="宋体" w:cs="宋体"/>
          <w:b w:val="0"/>
          <w:bCs w:val="0"/>
          <w:highlight w:val="none"/>
          <w:lang w:val="en-US" w:eastAsia="zh-CN"/>
        </w:rPr>
        <w:t>，</w:t>
      </w:r>
      <w:r>
        <w:rPr>
          <w:rFonts w:hint="default" w:ascii="宋体" w:hAnsi="宋体" w:eastAsia="宋体" w:cs="宋体"/>
          <w:b w:val="0"/>
          <w:bCs w:val="0"/>
          <w:highlight w:val="none"/>
          <w:lang w:val="en-US" w:eastAsia="zh-CN"/>
        </w:rPr>
        <w:t>并在沉桩过程中严格控制沉桩质量，桩顶平整度应符合设计要求</w:t>
      </w:r>
      <w:r>
        <w:rPr>
          <w:rFonts w:hint="eastAsia" w:ascii="宋体" w:hAnsi="宋体" w:eastAsia="宋体" w:cs="宋体"/>
          <w:b w:val="0"/>
          <w:bCs w:val="0"/>
          <w:highlight w:val="none"/>
          <w:lang w:val="en-US" w:eastAsia="zh-CN"/>
        </w:rPr>
        <w:t>。</w:t>
      </w:r>
    </w:p>
    <w:p w14:paraId="655497C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7.2.9</w:t>
      </w:r>
      <w:r>
        <w:rPr>
          <w:rFonts w:hint="default" w:ascii="宋体" w:hAnsi="宋体" w:eastAsia="宋体" w:cs="宋体"/>
          <w:b w:val="0"/>
          <w:bCs w:val="0"/>
          <w:highlight w:val="none"/>
          <w:lang w:val="en-US" w:eastAsia="zh-CN"/>
        </w:rPr>
        <w:t>锤击沉桩时，桩锤、替打、送桩</w:t>
      </w:r>
      <w:r>
        <w:rPr>
          <w:rFonts w:hint="eastAsia" w:ascii="宋体" w:hAnsi="宋体" w:eastAsia="宋体" w:cs="宋体"/>
          <w:b w:val="0"/>
          <w:bCs w:val="0"/>
          <w:highlight w:val="none"/>
          <w:lang w:val="en-US" w:eastAsia="zh-CN"/>
        </w:rPr>
        <w:t>器</w:t>
      </w:r>
      <w:r>
        <w:rPr>
          <w:rFonts w:hint="default" w:ascii="宋体" w:hAnsi="宋体" w:eastAsia="宋体" w:cs="宋体"/>
          <w:b w:val="0"/>
          <w:bCs w:val="0"/>
          <w:highlight w:val="none"/>
          <w:lang w:val="en-US" w:eastAsia="zh-CN"/>
        </w:rPr>
        <w:t>和桩宜保持在同一轴线上，替打应保持平整，避免产生偏心锤击</w:t>
      </w:r>
      <w:r>
        <w:rPr>
          <w:rFonts w:hint="eastAsia" w:ascii="宋体" w:hAnsi="宋体" w:eastAsia="宋体" w:cs="宋体"/>
          <w:b w:val="0"/>
          <w:bCs w:val="0"/>
          <w:highlight w:val="none"/>
          <w:lang w:val="en-US" w:eastAsia="zh-CN"/>
        </w:rPr>
        <w:t>。</w:t>
      </w:r>
    </w:p>
    <w:p w14:paraId="59B6FF1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7.2.10</w:t>
      </w:r>
      <w:r>
        <w:rPr>
          <w:rFonts w:hint="default" w:ascii="宋体" w:hAnsi="宋体" w:eastAsia="宋体" w:cs="宋体"/>
          <w:b w:val="0"/>
          <w:bCs w:val="0"/>
          <w:highlight w:val="none"/>
          <w:lang w:val="en-US" w:eastAsia="zh-CN"/>
        </w:rPr>
        <w:t>沉桩过程应连续;在砂土中沉桩时，应防止发生管涌;当沉桩遇贯入度反常、桩身突然下降或倾斜等异常情况时，应立即停止锤击，及时查明原因，采取有效措施</w:t>
      </w:r>
      <w:r>
        <w:rPr>
          <w:rFonts w:hint="eastAsia" w:ascii="宋体" w:hAnsi="宋体" w:eastAsia="宋体" w:cs="宋体"/>
          <w:b w:val="0"/>
          <w:bCs w:val="0"/>
          <w:highlight w:val="none"/>
          <w:lang w:val="en-US" w:eastAsia="zh-CN"/>
        </w:rPr>
        <w:t>。</w:t>
      </w:r>
    </w:p>
    <w:p w14:paraId="617FC12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7.2.11</w:t>
      </w:r>
      <w:r>
        <w:rPr>
          <w:rFonts w:hint="default" w:ascii="宋体" w:hAnsi="宋体" w:eastAsia="宋体" w:cs="宋体"/>
          <w:b w:val="0"/>
          <w:bCs w:val="0"/>
          <w:highlight w:val="none"/>
          <w:lang w:val="en-US" w:eastAsia="zh-CN"/>
        </w:rPr>
        <w:t>锤击沉桩，应考虑锤击振动和挤土等对基床土体的影响，适当控制打桩速率</w:t>
      </w:r>
      <w:r>
        <w:rPr>
          <w:rFonts w:hint="eastAsia" w:ascii="宋体" w:hAnsi="宋体" w:eastAsia="宋体" w:cs="宋体"/>
          <w:b w:val="0"/>
          <w:bCs w:val="0"/>
          <w:highlight w:val="none"/>
          <w:lang w:val="en-US" w:eastAsia="zh-CN"/>
        </w:rPr>
        <w:t>，严禁猛锤急打，严控桩身锤击应力与层状撕裂风险。</w:t>
      </w:r>
    </w:p>
    <w:p w14:paraId="580C58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7.2.12</w:t>
      </w:r>
      <w:r>
        <w:rPr>
          <w:rFonts w:hint="default" w:ascii="宋体" w:hAnsi="宋体" w:eastAsia="宋体" w:cs="宋体"/>
          <w:b w:val="0"/>
          <w:bCs w:val="0"/>
          <w:highlight w:val="none"/>
          <w:lang w:val="en-US" w:eastAsia="zh-CN"/>
        </w:rPr>
        <w:t>锤击沉桩控制应根据地质情况、设计承载力、锤型、桩型和桩长综合考虑。</w:t>
      </w:r>
      <w:r>
        <w:rPr>
          <w:rFonts w:hint="eastAsia" w:ascii="宋体" w:hAnsi="宋体" w:eastAsia="宋体" w:cs="宋体"/>
          <w:b w:val="0"/>
          <w:bCs w:val="0"/>
          <w:highlight w:val="none"/>
          <w:lang w:val="en-US" w:eastAsia="zh-CN"/>
        </w:rPr>
        <w:t>停锤标准应符合设计文件要求。</w:t>
      </w:r>
    </w:p>
    <w:p w14:paraId="53307FD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7.2.13</w:t>
      </w:r>
      <w:r>
        <w:rPr>
          <w:rFonts w:hint="default" w:ascii="宋体" w:hAnsi="宋体" w:eastAsia="宋体" w:cs="宋体"/>
          <w:b w:val="0"/>
          <w:bCs w:val="0"/>
          <w:highlight w:val="none"/>
          <w:lang w:val="en-US" w:eastAsia="zh-CN"/>
        </w:rPr>
        <w:t>当桩顶沉至接近设计标高时，应减小锤击能量，采用小冲程锤击，避免超沉。</w:t>
      </w:r>
    </w:p>
    <w:p w14:paraId="26967D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7.2.14</w:t>
      </w:r>
      <w:r>
        <w:rPr>
          <w:rFonts w:hint="default" w:ascii="宋体" w:hAnsi="宋体" w:eastAsia="宋体" w:cs="宋体"/>
          <w:b w:val="0"/>
          <w:bCs w:val="0"/>
          <w:highlight w:val="none"/>
          <w:lang w:val="en-US" w:eastAsia="zh-CN"/>
        </w:rPr>
        <w:t>当采用选定的桩锤锤击沉桩较为困难时，可根据现场实际情况，研究采用钻孔排土沉桩、水冲锤击沉桩或换用较大的桩锤等方式进行沉桩作业，防止损坏桩和桩锤</w:t>
      </w:r>
      <w:r>
        <w:rPr>
          <w:rFonts w:hint="eastAsia" w:ascii="宋体" w:hAnsi="宋体" w:eastAsia="宋体" w:cs="宋体"/>
          <w:b w:val="0"/>
          <w:bCs w:val="0"/>
          <w:highlight w:val="none"/>
          <w:lang w:val="en-US" w:eastAsia="zh-CN"/>
        </w:rPr>
        <w:t>。</w:t>
      </w:r>
    </w:p>
    <w:p w14:paraId="5B3220FF">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auto"/>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7.3导管架基础桩基工程</w:t>
      </w:r>
    </w:p>
    <w:p w14:paraId="7B0250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7.3.1导管架基础钢管桩的规格应满足设计要求，施工前应进行外观检查，不应有影响结构安全和功能的缺陷。</w:t>
      </w:r>
    </w:p>
    <w:p w14:paraId="42D9791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7.3.2沉桩施工前应核实海床面标高，如与设计采用的泥面标高差异较大时，应及时向设计单位反馈。</w:t>
      </w:r>
    </w:p>
    <w:p w14:paraId="69F80EC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7.3.3沉桩施工前需进行施工安全分析包括钢管桩起吊、插桩、沉桩过程。</w:t>
      </w:r>
    </w:p>
    <w:p w14:paraId="5FF5FD7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7.3.4沉桩施工前应针对各机位进行沉桩分析，并编制溜桩以及沉桩困难等情况的应急预案。</w:t>
      </w:r>
    </w:p>
    <w:p w14:paraId="43A38B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7.3.5采用送桩器进行打桩前，需复核钢管桩和送桩器的整体强度，确保打桩过程的安全性和可控性及传递到桩身的有效能量。</w:t>
      </w:r>
    </w:p>
    <w:p w14:paraId="603685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7.3.6沉桩前应检查导向架的安装精度。</w:t>
      </w:r>
    </w:p>
    <w:p w14:paraId="23C1A4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7.3.7沉桩作业应避开大风、大浪等恶劣海况，应选择海况较好，水流平缓的时候进行。</w:t>
      </w:r>
    </w:p>
    <w:p w14:paraId="0642D3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7.3.8沉桩过程中应实时监测导向架的位移和倾斜，发现异常立即停止作业并进行调整。</w:t>
      </w:r>
    </w:p>
    <w:p w14:paraId="5F7819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7.3.9沉桩过程中应实时监测桩身垂直度、贯入度及锤击数，发现偏差超限时立即停止作业并调整。</w:t>
      </w:r>
    </w:p>
    <w:p w14:paraId="1A718AD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ascii="宋体" w:hAnsi="宋体" w:eastAsia="宋体" w:cs="宋体"/>
          <w:b w:val="0"/>
          <w:bCs w:val="0"/>
          <w:highlight w:val="none"/>
          <w:lang w:val="en-US" w:eastAsia="zh-CN"/>
        </w:rPr>
        <w:t>7.3.10沉桩贯入度应满足设计控制贯入度要求，控制贯入度的确定应考虑不同锤型和锤击能量。</w:t>
      </w:r>
    </w:p>
    <w:p w14:paraId="6C57EB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7.3.11沉桩完成后应及时进行桩位复测，确保平面位置偏差符合现行相关质量检验标准的要求。</w:t>
      </w:r>
    </w:p>
    <w:p w14:paraId="178EB4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7.3.12沉桩完成后，应在导向架拆除前对所有桩的位置、垂直度和标高进行复测。</w:t>
      </w:r>
    </w:p>
    <w:p w14:paraId="190296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highlight w:val="none"/>
          <w:lang w:val="en-US" w:eastAsia="zh-CN"/>
        </w:rPr>
      </w:pPr>
      <w:r>
        <w:rPr>
          <w:rFonts w:hint="eastAsia" w:ascii="宋体" w:hAnsi="宋体" w:eastAsia="宋体" w:cs="宋体"/>
          <w:b w:val="0"/>
          <w:bCs w:val="0"/>
          <w:highlight w:val="none"/>
          <w:lang w:val="en-US" w:eastAsia="zh-CN"/>
        </w:rPr>
        <w:t>7.3.13沉桩完成，经验收合格后，须采取可靠措施，对桩头进行封堵保护，防止钢管桩内壁在灌浆施工前产生锈蚀或海生物附着。</w:t>
      </w:r>
    </w:p>
    <w:p w14:paraId="6E0AD0C6">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auto"/>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7.4 嵌岩桩基础桩基工程</w:t>
      </w:r>
    </w:p>
    <w:p w14:paraId="75A0E49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7.4.1钢护筒沉桩</w:t>
      </w:r>
    </w:p>
    <w:p w14:paraId="3E8D0E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1嵌岩桩钻孔施工用的钢护筒,应验算成孔过程中的稳定性，采取必要的稳桩措施。</w:t>
      </w:r>
    </w:p>
    <w:p w14:paraId="675A0A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w:t>
      </w:r>
      <w:r>
        <w:rPr>
          <w:rFonts w:hint="default" w:ascii="宋体" w:hAnsi="宋体" w:eastAsia="宋体" w:cs="宋体"/>
          <w:b w:val="0"/>
          <w:bCs w:val="0"/>
          <w:highlight w:val="none"/>
          <w:lang w:val="en-US" w:eastAsia="zh-CN"/>
        </w:rPr>
        <w:t>钢护</w:t>
      </w:r>
      <w:r>
        <w:rPr>
          <w:rFonts w:hint="eastAsia" w:ascii="宋体" w:hAnsi="宋体" w:eastAsia="宋体" w:cs="宋体"/>
          <w:b w:val="0"/>
          <w:bCs w:val="0"/>
          <w:highlight w:val="none"/>
          <w:lang w:val="en-US" w:eastAsia="zh-CN"/>
        </w:rPr>
        <w:t>筒</w:t>
      </w:r>
      <w:r>
        <w:rPr>
          <w:rFonts w:hint="default" w:ascii="宋体" w:hAnsi="宋体" w:eastAsia="宋体" w:cs="宋体"/>
          <w:b w:val="0"/>
          <w:bCs w:val="0"/>
          <w:highlight w:val="none"/>
          <w:lang w:val="en-US" w:eastAsia="zh-CN"/>
        </w:rPr>
        <w:t>的下沉和稳桩工艺,应根据设计要求、工程地质、水文气象和施工条件等经技术经济论证后确定</w:t>
      </w:r>
      <w:r>
        <w:rPr>
          <w:rFonts w:hint="eastAsia" w:ascii="宋体" w:hAnsi="宋体" w:eastAsia="宋体" w:cs="宋体"/>
          <w:b w:val="0"/>
          <w:bCs w:val="0"/>
          <w:highlight w:val="none"/>
          <w:lang w:val="en-US" w:eastAsia="zh-CN"/>
        </w:rPr>
        <w:t xml:space="preserve">。  </w:t>
      </w:r>
    </w:p>
    <w:p w14:paraId="18F293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3钢护筒端口的结构应作利于切入岩土层的加强处理.</w:t>
      </w:r>
    </w:p>
    <w:p w14:paraId="46861C2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ascii="宋体" w:hAnsi="宋体" w:eastAsia="宋体" w:cs="宋体"/>
          <w:b w:val="0"/>
          <w:bCs w:val="0"/>
          <w:highlight w:val="none"/>
          <w:lang w:val="en-US" w:eastAsia="zh-CN"/>
        </w:rPr>
        <w:t>7.4.2嵌岩成孔</w:t>
      </w:r>
    </w:p>
    <w:p w14:paraId="2EF4C20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w:t>
      </w:r>
      <w:r>
        <w:rPr>
          <w:rFonts w:hint="default" w:ascii="宋体" w:hAnsi="宋体" w:eastAsia="宋体" w:cs="宋体"/>
          <w:b w:val="0"/>
          <w:bCs w:val="0"/>
          <w:highlight w:val="none"/>
          <w:lang w:val="en-US" w:eastAsia="zh-CN"/>
        </w:rPr>
        <w:t>基岩钻孔时,应在桩内设置导向扶正器,保证钻杆中心线与桩孔的轴线一致。</w:t>
      </w:r>
    </w:p>
    <w:p w14:paraId="60BDC83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w:t>
      </w:r>
      <w:r>
        <w:rPr>
          <w:rFonts w:hint="default" w:ascii="宋体" w:hAnsi="宋体" w:eastAsia="宋体" w:cs="宋体"/>
          <w:b w:val="0"/>
          <w:bCs w:val="0"/>
          <w:highlight w:val="none"/>
          <w:lang w:val="en-US" w:eastAsia="zh-CN"/>
        </w:rPr>
        <w:t>硬质岩层中钻孔,回旋钻机宜选用耐磨硬质合金契齿、牙轮或球齿型钻头;冲击钻机宜选用耐磨合金钢冲锤和耐磨焊条堆焊锤牙钻头。</w:t>
      </w:r>
    </w:p>
    <w:p w14:paraId="0F66E8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3如</w:t>
      </w:r>
      <w:r>
        <w:rPr>
          <w:rFonts w:hint="default" w:ascii="宋体" w:hAnsi="宋体" w:eastAsia="宋体" w:cs="宋体"/>
          <w:b w:val="0"/>
          <w:bCs w:val="0"/>
          <w:highlight w:val="none"/>
          <w:lang w:val="en-US" w:eastAsia="zh-CN"/>
        </w:rPr>
        <w:t>护筒底标高界于岩石层顶面，钻机在钻进过程需考虑采用泥浆护壁形式防止塌孔。钻孔排渣、提钻头除土或因故停钻时，应保持孔内水位要求、泥浆相对密度及粘度。</w:t>
      </w:r>
    </w:p>
    <w:p w14:paraId="7D4EA0D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4</w:t>
      </w:r>
      <w:r>
        <w:rPr>
          <w:rFonts w:hint="default" w:ascii="宋体" w:hAnsi="宋体" w:eastAsia="宋体" w:cs="宋体"/>
          <w:b w:val="0"/>
          <w:bCs w:val="0"/>
          <w:highlight w:val="none"/>
          <w:lang w:val="en-US" w:eastAsia="zh-CN"/>
        </w:rPr>
        <w:t>回旋钻机钻头从软土地层进入岩基时,应降低钻速、稳定钻杆、均匀破岩，保护孔壁稳定。</w:t>
      </w:r>
    </w:p>
    <w:p w14:paraId="3E2CD08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w:t>
      </w:r>
      <w:r>
        <w:rPr>
          <w:rFonts w:hint="default" w:ascii="宋体" w:hAnsi="宋体" w:eastAsia="宋体" w:cs="宋体"/>
          <w:b w:val="0"/>
          <w:bCs w:val="0"/>
          <w:highlight w:val="none"/>
          <w:lang w:val="en-US" w:eastAsia="zh-CN"/>
        </w:rPr>
        <w:t>回旋钻机在钻进过程中,直桩成孔宜增加钻头配重,减压钻进。</w:t>
      </w:r>
    </w:p>
    <w:p w14:paraId="5B69CE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6</w:t>
      </w:r>
      <w:r>
        <w:rPr>
          <w:rFonts w:hint="default" w:ascii="宋体" w:hAnsi="宋体" w:eastAsia="宋体" w:cs="宋体"/>
          <w:b w:val="0"/>
          <w:bCs w:val="0"/>
          <w:highlight w:val="none"/>
          <w:lang w:val="en-US" w:eastAsia="zh-CN"/>
        </w:rPr>
        <w:t>大直径硬质岩孔可采用2次~3次扩孔方法进行钻进成孔</w:t>
      </w:r>
      <w:r>
        <w:rPr>
          <w:rFonts w:hint="eastAsia" w:ascii="宋体" w:hAnsi="宋体" w:eastAsia="宋体" w:cs="宋体"/>
          <w:b w:val="0"/>
          <w:bCs w:val="0"/>
          <w:highlight w:val="none"/>
          <w:lang w:val="en-US" w:eastAsia="zh-CN"/>
        </w:rPr>
        <w:t>。</w:t>
      </w:r>
    </w:p>
    <w:p w14:paraId="78F019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w:t>
      </w:r>
      <w:r>
        <w:rPr>
          <w:rFonts w:hint="default" w:ascii="宋体" w:hAnsi="宋体" w:eastAsia="宋体" w:cs="宋体"/>
          <w:b w:val="0"/>
          <w:bCs w:val="0"/>
          <w:highlight w:val="none"/>
          <w:lang w:val="en-US" w:eastAsia="zh-CN"/>
        </w:rPr>
        <w:t>成孔过程中,应探测钢护筒底部完好程度、密封性和岩面平整度,设置钻杆、钻头居中定位装置</w:t>
      </w:r>
      <w:r>
        <w:rPr>
          <w:rFonts w:hint="eastAsia" w:ascii="宋体" w:hAnsi="宋体" w:eastAsia="宋体" w:cs="宋体"/>
          <w:b w:val="0"/>
          <w:bCs w:val="0"/>
          <w:highlight w:val="none"/>
          <w:lang w:val="en-US" w:eastAsia="zh-CN"/>
        </w:rPr>
        <w:t>。</w:t>
      </w:r>
    </w:p>
    <w:p w14:paraId="677EAD4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w:t>
      </w:r>
      <w:r>
        <w:rPr>
          <w:rFonts w:hint="default" w:ascii="宋体" w:hAnsi="宋体" w:eastAsia="宋体" w:cs="宋体"/>
          <w:b w:val="0"/>
          <w:bCs w:val="0"/>
          <w:highlight w:val="none"/>
          <w:lang w:val="en-US" w:eastAsia="zh-CN"/>
        </w:rPr>
        <w:t>钢护</w:t>
      </w:r>
      <w:r>
        <w:rPr>
          <w:rFonts w:hint="eastAsia" w:ascii="宋体" w:hAnsi="宋体" w:eastAsia="宋体" w:cs="宋体"/>
          <w:b w:val="0"/>
          <w:bCs w:val="0"/>
          <w:highlight w:val="none"/>
          <w:lang w:val="en-US" w:eastAsia="zh-CN"/>
        </w:rPr>
        <w:t>筒</w:t>
      </w:r>
      <w:r>
        <w:rPr>
          <w:rFonts w:hint="default" w:ascii="宋体" w:hAnsi="宋体" w:eastAsia="宋体" w:cs="宋体"/>
          <w:b w:val="0"/>
          <w:bCs w:val="0"/>
          <w:highlight w:val="none"/>
          <w:lang w:val="en-US" w:eastAsia="zh-CN"/>
        </w:rPr>
        <w:t>以下成孔过程中,当桩底端口与基岩面之间有泥砂、碎石等渗涌</w:t>
      </w:r>
      <w:r>
        <w:rPr>
          <w:rFonts w:hint="eastAsia" w:ascii="宋体" w:hAnsi="宋体" w:eastAsia="宋体" w:cs="宋体"/>
          <w:b w:val="0"/>
          <w:bCs w:val="0"/>
          <w:highlight w:val="none"/>
          <w:lang w:val="en-US" w:eastAsia="zh-CN"/>
        </w:rPr>
        <w:t>入</w:t>
      </w:r>
      <w:r>
        <w:rPr>
          <w:rFonts w:hint="default" w:ascii="宋体" w:hAnsi="宋体" w:eastAsia="宋体" w:cs="宋体"/>
          <w:b w:val="0"/>
          <w:bCs w:val="0"/>
          <w:highlight w:val="none"/>
          <w:lang w:val="en-US" w:eastAsia="zh-CN"/>
        </w:rPr>
        <w:t>时，应在采取密封技术措施后，再进行成孔作业。</w:t>
      </w:r>
    </w:p>
    <w:p w14:paraId="59737B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9</w:t>
      </w:r>
      <w:r>
        <w:rPr>
          <w:rFonts w:hint="default" w:ascii="宋体" w:hAnsi="宋体" w:eastAsia="宋体" w:cs="宋体"/>
          <w:b w:val="0"/>
          <w:bCs w:val="0"/>
          <w:highlight w:val="none"/>
          <w:lang w:val="en-US" w:eastAsia="zh-CN"/>
        </w:rPr>
        <w:t>钻孔</w:t>
      </w:r>
      <w:r>
        <w:rPr>
          <w:rFonts w:hint="eastAsia" w:ascii="宋体" w:hAnsi="宋体" w:eastAsia="宋体" w:cs="宋体"/>
          <w:b w:val="0"/>
          <w:bCs w:val="0"/>
          <w:highlight w:val="none"/>
          <w:lang w:val="en-US" w:eastAsia="zh-CN"/>
        </w:rPr>
        <w:t>入</w:t>
      </w:r>
      <w:r>
        <w:rPr>
          <w:rFonts w:hint="default" w:ascii="宋体" w:hAnsi="宋体" w:eastAsia="宋体" w:cs="宋体"/>
          <w:b w:val="0"/>
          <w:bCs w:val="0"/>
          <w:highlight w:val="none"/>
          <w:lang w:val="en-US" w:eastAsia="zh-CN"/>
        </w:rPr>
        <w:t>岩起始面判定标准应根据地质钻孔资料、钻进速度和渣样分析等确定。地质情况复杂地区的大直径嵌岩桩，在成孔前宜通过逐桩位地质钻探或加密钻孔预先确定终孔高程。</w:t>
      </w:r>
    </w:p>
    <w:p w14:paraId="1D8CA3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w:t>
      </w:r>
      <w:r>
        <w:rPr>
          <w:rFonts w:hint="default" w:ascii="宋体" w:hAnsi="宋体" w:eastAsia="宋体" w:cs="宋体"/>
          <w:b w:val="0"/>
          <w:bCs w:val="0"/>
          <w:highlight w:val="none"/>
          <w:lang w:val="en-US" w:eastAsia="zh-CN"/>
        </w:rPr>
        <w:t>成孔达到设计深度后,应检测孔深、孔径和倾斜度,满足要求后方可进行清孔。</w:t>
      </w:r>
    </w:p>
    <w:p w14:paraId="22E211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w:t>
      </w:r>
      <w:r>
        <w:rPr>
          <w:rFonts w:hint="default" w:ascii="宋体" w:hAnsi="宋体" w:eastAsia="宋体" w:cs="宋体"/>
          <w:b w:val="0"/>
          <w:bCs w:val="0"/>
          <w:highlight w:val="none"/>
          <w:lang w:val="en-US" w:eastAsia="zh-CN"/>
        </w:rPr>
        <w:t>清孔方法应根据设计对清孔的要求、成孔方法、机具设备和地质情况</w:t>
      </w:r>
      <w:r>
        <w:rPr>
          <w:rFonts w:hint="eastAsia" w:ascii="宋体" w:hAnsi="宋体" w:eastAsia="宋体" w:cs="宋体"/>
          <w:b w:val="0"/>
          <w:bCs w:val="0"/>
          <w:highlight w:val="none"/>
          <w:lang w:val="en-US" w:eastAsia="zh-CN"/>
        </w:rPr>
        <w:t>进行</w:t>
      </w:r>
      <w:r>
        <w:rPr>
          <w:rFonts w:hint="default" w:ascii="宋体" w:hAnsi="宋体" w:eastAsia="宋体" w:cs="宋体"/>
          <w:b w:val="0"/>
          <w:bCs w:val="0"/>
          <w:highlight w:val="none"/>
          <w:lang w:val="en-US" w:eastAsia="zh-CN"/>
        </w:rPr>
        <w:t>选用。</w:t>
      </w:r>
    </w:p>
    <w:p w14:paraId="1DA5CD6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7.4.3植桩</w:t>
      </w:r>
    </w:p>
    <w:p w14:paraId="150B03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1钢管桩</w:t>
      </w:r>
      <w:r>
        <w:rPr>
          <w:rFonts w:hint="default" w:ascii="宋体" w:hAnsi="宋体" w:eastAsia="宋体" w:cs="宋体"/>
          <w:b w:val="0"/>
          <w:bCs w:val="0"/>
          <w:highlight w:val="none"/>
          <w:lang w:val="en-US" w:eastAsia="zh-CN"/>
        </w:rPr>
        <w:t>安放应采取居中定位措施，</w:t>
      </w:r>
      <w:r>
        <w:rPr>
          <w:rFonts w:hint="eastAsia" w:ascii="宋体" w:hAnsi="宋体" w:eastAsia="宋体" w:cs="宋体"/>
          <w:b w:val="0"/>
          <w:bCs w:val="0"/>
          <w:highlight w:val="none"/>
          <w:lang w:val="en-US" w:eastAsia="zh-CN"/>
        </w:rPr>
        <w:t>桩身设置导向板，保持与护筒的间隙。</w:t>
      </w:r>
      <w:r>
        <w:rPr>
          <w:rFonts w:hint="default" w:ascii="宋体" w:hAnsi="宋体" w:eastAsia="宋体" w:cs="宋体"/>
          <w:b w:val="0"/>
          <w:bCs w:val="0"/>
          <w:highlight w:val="none"/>
          <w:lang w:val="en-US" w:eastAsia="zh-CN"/>
        </w:rPr>
        <w:t>桩与孔壁间隙应满足设计要求。</w:t>
      </w:r>
    </w:p>
    <w:p w14:paraId="716FF2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w:t>
      </w:r>
      <w:r>
        <w:rPr>
          <w:rFonts w:hint="default" w:ascii="宋体" w:hAnsi="宋体" w:eastAsia="宋体" w:cs="宋体"/>
          <w:b w:val="0"/>
          <w:bCs w:val="0"/>
          <w:highlight w:val="none"/>
          <w:lang w:val="en-US" w:eastAsia="zh-CN"/>
        </w:rPr>
        <w:t>桩植入完成后，需要将桩顶采取焊接方式与护筒焊接防止工程桩偏位。</w:t>
      </w:r>
    </w:p>
    <w:p w14:paraId="2980B0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3灌浆前，</w:t>
      </w:r>
      <w:r>
        <w:rPr>
          <w:rFonts w:hint="default" w:ascii="宋体" w:hAnsi="宋体" w:eastAsia="宋体" w:cs="宋体"/>
          <w:b w:val="0"/>
          <w:bCs w:val="0"/>
          <w:highlight w:val="none"/>
          <w:lang w:val="en-US" w:eastAsia="zh-CN"/>
        </w:rPr>
        <w:t>用高压水冲洗环形空间，去除其表面原有的或者沉桩过程附着的污泥和其他附着物，以保证与原混凝土牢固结合。</w:t>
      </w:r>
    </w:p>
    <w:p w14:paraId="007112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4</w:t>
      </w:r>
      <w:r>
        <w:rPr>
          <w:rFonts w:hint="default" w:ascii="宋体" w:hAnsi="宋体" w:eastAsia="宋体" w:cs="宋体"/>
          <w:b w:val="0"/>
          <w:bCs w:val="0"/>
          <w:highlight w:val="none"/>
          <w:lang w:val="en-US" w:eastAsia="zh-CN"/>
        </w:rPr>
        <w:t>在确保灌浆设备能正常工作、灌浆管线无损坏的前提下，或已经采取相应措施对问题进行处理之后，开始正式灌浆</w:t>
      </w:r>
      <w:r>
        <w:rPr>
          <w:rFonts w:hint="eastAsia" w:ascii="宋体" w:hAnsi="宋体" w:eastAsia="宋体" w:cs="宋体"/>
          <w:b w:val="0"/>
          <w:bCs w:val="0"/>
          <w:highlight w:val="none"/>
          <w:lang w:val="en-US" w:eastAsia="zh-CN"/>
        </w:rPr>
        <w:t>。</w:t>
      </w:r>
    </w:p>
    <w:p w14:paraId="14F991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5在正式灌浆前，先通过灌浆管线注入水封材料，该材料比水重，但比高强度灌浆材料轻，可以起到将灌浆料与海水隔离和增加管道润滑度的作用。</w:t>
      </w:r>
    </w:p>
    <w:p w14:paraId="70DD2D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6</w:t>
      </w:r>
      <w:r>
        <w:rPr>
          <w:rFonts w:hint="default" w:ascii="宋体" w:hAnsi="宋体" w:eastAsia="宋体" w:cs="宋体"/>
          <w:b w:val="0"/>
          <w:bCs w:val="0"/>
          <w:highlight w:val="none"/>
          <w:lang w:val="en-US" w:eastAsia="zh-CN"/>
        </w:rPr>
        <w:t>在灌浆期间要连续不断地监测灌浆材料的密度，发现不符合规定比重的灌浆材料，应马上暂停灌浆作业，对灌浆料进行重新配比，检测其密度达到要求时，方能进行继续灌浆</w:t>
      </w:r>
      <w:r>
        <w:rPr>
          <w:rFonts w:hint="eastAsia" w:ascii="宋体" w:hAnsi="宋体" w:eastAsia="宋体" w:cs="宋体"/>
          <w:b w:val="0"/>
          <w:bCs w:val="0"/>
          <w:highlight w:val="none"/>
          <w:lang w:val="en-US" w:eastAsia="zh-CN"/>
        </w:rPr>
        <w:t>。</w:t>
      </w:r>
    </w:p>
    <w:p w14:paraId="544851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w:t>
      </w:r>
      <w:r>
        <w:rPr>
          <w:rFonts w:hint="default" w:ascii="宋体" w:hAnsi="宋体" w:eastAsia="宋体" w:cs="宋体"/>
          <w:b w:val="0"/>
          <w:bCs w:val="0"/>
          <w:highlight w:val="none"/>
          <w:lang w:val="en-US" w:eastAsia="zh-CN"/>
        </w:rPr>
        <w:t>灌浆作业必须连续进行，应保持灌浆的压力和速度，当必须间歇时，其间歇时间应短，并在可操作时间之内进行再次灌浆，如果超过可操作时间，则必须对灌浆管线和机器进行清洗，在固结过程中不得发生人为扰动现象</w:t>
      </w:r>
      <w:r>
        <w:rPr>
          <w:rFonts w:hint="eastAsia" w:ascii="宋体" w:hAnsi="宋体" w:eastAsia="宋体" w:cs="宋体"/>
          <w:b w:val="0"/>
          <w:bCs w:val="0"/>
          <w:highlight w:val="none"/>
          <w:lang w:val="en-US" w:eastAsia="zh-CN"/>
        </w:rPr>
        <w:t>。</w:t>
      </w:r>
    </w:p>
    <w:p w14:paraId="43C22C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w:t>
      </w:r>
      <w:r>
        <w:rPr>
          <w:rFonts w:hint="default" w:ascii="宋体" w:hAnsi="宋体" w:eastAsia="宋体" w:cs="宋体"/>
          <w:b w:val="0"/>
          <w:bCs w:val="0"/>
          <w:highlight w:val="none"/>
          <w:lang w:val="en-US" w:eastAsia="zh-CN"/>
        </w:rPr>
        <w:t>灌浆过程中，应按照要求进行现场取样，并对灌浆材料的各项指标进行检测实验，通常一根桩进行一组检测。</w:t>
      </w:r>
    </w:p>
    <w:p w14:paraId="22CD07D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9</w:t>
      </w:r>
      <w:r>
        <w:rPr>
          <w:rFonts w:hint="default" w:ascii="宋体" w:hAnsi="宋体" w:eastAsia="宋体" w:cs="宋体"/>
          <w:b w:val="0"/>
          <w:bCs w:val="0"/>
          <w:highlight w:val="none"/>
          <w:lang w:val="en-US" w:eastAsia="zh-CN"/>
        </w:rPr>
        <w:t>在灌浆过程中应对灌浆量和灌浆时间进行统计。如果灌浆量和灌浆时间达到设计指标，观测到溢浆口溢浆现象，则认为正常灌浆结束。如果灌浆量和灌浆时间已达到设计指标，但仍未观测到溢浆现象，则应继续进行灌浆，直至观测到溢浆现象。</w:t>
      </w:r>
    </w:p>
    <w:p w14:paraId="09A9E9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w:t>
      </w:r>
      <w:r>
        <w:rPr>
          <w:rFonts w:hint="default" w:ascii="宋体" w:hAnsi="宋体" w:eastAsia="宋体" w:cs="宋体"/>
          <w:b w:val="0"/>
          <w:bCs w:val="0"/>
          <w:highlight w:val="none"/>
          <w:lang w:val="en-US" w:eastAsia="zh-CN"/>
        </w:rPr>
        <w:t>在观测到溢浆现象后，灌浆泵继续泵送浆料，以排除环形空间中浆体的空气，灌浆结束后先关闭灌浆泵，然后关闭灌浆管线出口处的截止阀。</w:t>
      </w:r>
    </w:p>
    <w:p w14:paraId="67EB45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w:t>
      </w:r>
      <w:r>
        <w:rPr>
          <w:rFonts w:hint="default" w:ascii="宋体" w:hAnsi="宋体" w:eastAsia="宋体" w:cs="宋体"/>
          <w:b w:val="0"/>
          <w:bCs w:val="0"/>
          <w:highlight w:val="none"/>
          <w:lang w:val="en-US" w:eastAsia="zh-CN"/>
        </w:rPr>
        <w:t>灌浆结束后，应尽快拆除快速接头，并对可循坏利用的软管进行清洗，然后对下一个灌浆位置进行灌浆操作，全部结束后需对所有的管线和设备进行清洗。</w:t>
      </w:r>
    </w:p>
    <w:p w14:paraId="7464E42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p>
    <w:p w14:paraId="0BA826C9"/>
    <w:p w14:paraId="530AD3D2">
      <w:pPr>
        <w:pStyle w:val="2"/>
        <w:rPr>
          <w:rFonts w:hint="default"/>
          <w:lang w:val="en-US" w:eastAsia="zh-CN"/>
        </w:rPr>
      </w:pPr>
    </w:p>
    <w:p w14:paraId="70053947">
      <w:pPr>
        <w:pStyle w:val="2"/>
        <w:rPr>
          <w:rFonts w:hint="default"/>
          <w:lang w:val="en-US" w:eastAsia="zh-CN"/>
        </w:rPr>
      </w:pPr>
    </w:p>
    <w:p w14:paraId="5415B04C">
      <w:pPr>
        <w:spacing w:line="360" w:lineRule="auto"/>
      </w:pPr>
    </w:p>
    <w:p w14:paraId="415C8CF4">
      <w:pPr>
        <w:rPr>
          <w:rFonts w:hint="eastAsia"/>
          <w:highlight w:val="none"/>
        </w:rPr>
      </w:pPr>
    </w:p>
    <w:p w14:paraId="1FBF0E79">
      <w:pPr>
        <w:rPr>
          <w:rFonts w:hint="eastAsia"/>
          <w:highlight w:val="none"/>
        </w:rPr>
      </w:pPr>
    </w:p>
    <w:p w14:paraId="2CD97960">
      <w:pPr>
        <w:rPr>
          <w:rFonts w:hint="eastAsia"/>
          <w:highlight w:val="none"/>
        </w:rPr>
      </w:pPr>
    </w:p>
    <w:p w14:paraId="7E0A1840">
      <w:pPr>
        <w:rPr>
          <w:rFonts w:hint="eastAsia"/>
          <w:highlight w:val="none"/>
        </w:rPr>
      </w:pPr>
    </w:p>
    <w:p w14:paraId="574CD6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4BE879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8</w:t>
      </w:r>
      <w:r>
        <w:rPr>
          <w:rFonts w:hint="eastAsia" w:ascii="宋体" w:hAnsi="宋体" w:eastAsia="宋体" w:cs="宋体"/>
          <w:color w:val="000000"/>
          <w:sz w:val="28"/>
          <w:szCs w:val="28"/>
        </w:rPr>
        <w:t>基础与上部组块安装</w:t>
      </w:r>
    </w:p>
    <w:p w14:paraId="2F0CD165">
      <w:pPr>
        <w:rPr>
          <w:rFonts w:hint="default" w:eastAsiaTheme="minorEastAsia"/>
          <w:highlight w:val="yellow"/>
          <w:lang w:val="en-US" w:eastAsia="zh-CN"/>
        </w:rPr>
      </w:pPr>
      <w:r>
        <w:rPr>
          <w:rFonts w:hint="eastAsia" w:ascii="黑体" w:hAnsi="黑体" w:eastAsia="黑体" w:cs="黑体"/>
          <w:kern w:val="1"/>
          <w:sz w:val="21"/>
          <w:szCs w:val="24"/>
          <w:lang w:val="en-US" w:eastAsia="zh-CN" w:bidi="ar-SA"/>
        </w:rPr>
        <w:t>8.1一般规定</w:t>
      </w:r>
    </w:p>
    <w:p w14:paraId="5445CC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8.1.1 基础工程施工前应根据工程实际情况及施工区海域的气象、水文条件等编制详细的施工方案。</w:t>
      </w:r>
    </w:p>
    <w:p w14:paraId="50D6C1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8.1.2 用于基础施工的原材料、构件及部件均应检验合格。</w:t>
      </w:r>
    </w:p>
    <w:p w14:paraId="74E056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8.1.3 施工过程中施工区域应设立警示标志，并向相关行政主管部门申请发布航行通告;同时还应符合有关施工安全、环境、质量等方面的规定。</w:t>
      </w:r>
    </w:p>
    <w:p w14:paraId="54A0EA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8.1.4 船只抛锚应考虑对通航、施工作业的影响，各锚缆布置应设置明显的标志或采取其他的安全措施。</w:t>
      </w:r>
    </w:p>
    <w:p w14:paraId="3C3885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8.1.5施工过程中每一道工序，均应有施工记录及材料检验证明。</w:t>
      </w:r>
    </w:p>
    <w:p w14:paraId="02521AEB">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eastAsia="zh-CN"/>
        </w:rPr>
      </w:pPr>
      <w:r>
        <w:rPr>
          <w:rFonts w:hint="eastAsia" w:ascii="黑体" w:hAnsi="黑体" w:eastAsia="黑体"/>
          <w:lang w:val="en-US" w:eastAsia="zh-CN"/>
        </w:rPr>
        <w:t>8.2 导管架安装</w:t>
      </w:r>
    </w:p>
    <w:p w14:paraId="3CEF17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8.2.1 施工准备与检查</w:t>
      </w:r>
    </w:p>
    <w:p w14:paraId="618B39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导管架安装前，应进行全面的外观与尺寸检查。若因运输或吊装造成结构变形，必须矫正并复验合格后方可安装。同时，需对钢管桩内壁及剪力键周围进行彻底清理，确保灌浆段无软土、淤泥、海生物附着及浮锈，保证后续灌浆连接质量。</w:t>
      </w:r>
      <w:r>
        <w:rPr>
          <w:rFonts w:hint="default" w:ascii="宋体" w:hAnsi="宋体" w:eastAsia="宋体" w:cs="宋体"/>
          <w:highlight w:val="none"/>
          <w:lang w:val="en-US" w:eastAsia="zh-CN"/>
        </w:rPr>
        <w:commentReference w:id="3"/>
      </w:r>
    </w:p>
    <w:p w14:paraId="0B637C3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2安装前应根据导管架主体结构重心合理布置吊点，吊点材料及结构强度须经计算复核。吊装前检查吊具与吊点连接的牢固性。</w:t>
      </w:r>
    </w:p>
    <w:p w14:paraId="711881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3深远海区域清理作业宜采用水下机器人（ROV）配合集成式清淤设备进行，并由ROV进行清理前后的影像记录与验收。</w:t>
      </w:r>
    </w:p>
    <w:p w14:paraId="24021E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8.2.2 船舶驻位与锚泊</w:t>
      </w:r>
    </w:p>
    <w:p w14:paraId="505B60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1安装作业前，必须落实气象海况的“窗口期”评估。作业期间，应持续监测风速、波高、流速等参数，并做好实时记录与存档。严禁在超出安全阈值的恶劣天气下强行作业。</w:t>
      </w:r>
      <w:r>
        <w:rPr>
          <w:rFonts w:hint="eastAsia" w:ascii="宋体" w:hAnsi="宋体" w:eastAsia="宋体" w:cs="宋体"/>
          <w:highlight w:val="none"/>
          <w:lang w:val="en-US" w:eastAsia="zh-CN"/>
        </w:rPr>
        <w:commentReference w:id="4"/>
      </w:r>
    </w:p>
    <w:p w14:paraId="69AC9F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导管架吊装时，起重船与运输船必须保持稳定的驻泊状态。采用锚泊定位时，锚抓力须足以抵御施工海域可能出现的最强风、浪、流载荷；锚缆布设应统筹规划，采取防缠绕措施。若受海况限制无法满足理想锚泊，船舶方位布置须确保发生走锚时，船体背离导管架方向移动。</w:t>
      </w:r>
    </w:p>
    <w:p w14:paraId="00589BD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 xml:space="preserve">3对于水深超过50m或底质不适宜抛锚的深远海区域，宜使用具备动力定位（DP）系统的工程船舶并结合定位系统辅助精准就位。 </w:t>
      </w:r>
    </w:p>
    <w:p w14:paraId="56DF02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8.2.3 吊装及下放</w:t>
      </w:r>
    </w:p>
    <w:p w14:paraId="563913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 安装前须校核所有测量仪器与定位设备的精度。吊装过程中应严格控制起吊角度与下放速度，实时观测导管架的姿态变化，防止因受力不均导致结构变形。</w:t>
      </w:r>
    </w:p>
    <w:p w14:paraId="762385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 导管架下放接近水面及海底接进钢管桩阶段，应放缓操作速度，指派专人瞭望及利用水下机器人（ROV）辅助监控，严防导管架与底桩硬性碰撞，确保结构本体及防腐涂层的完整性。</w:t>
      </w:r>
      <w:r>
        <w:rPr>
          <w:rFonts w:hint="eastAsia" w:ascii="宋体" w:hAnsi="宋体" w:eastAsia="宋体" w:cs="宋体"/>
          <w:highlight w:val="none"/>
          <w:lang w:val="en-US" w:eastAsia="zh-CN"/>
        </w:rPr>
        <w:commentReference w:id="5"/>
      </w:r>
    </w:p>
    <w:p w14:paraId="71D18C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 安装过程中若发现涂层破损，应及时按照设计要求进行修补。</w:t>
      </w:r>
      <w:r>
        <w:rPr>
          <w:rFonts w:hint="eastAsia" w:ascii="宋体" w:hAnsi="宋体" w:eastAsia="宋体" w:cs="宋体"/>
          <w:highlight w:val="none"/>
          <w:lang w:val="en-US" w:eastAsia="zh-CN"/>
        </w:rPr>
        <w:commentReference w:id="6"/>
      </w:r>
    </w:p>
    <w:p w14:paraId="695E9D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r>
        <w:rPr>
          <w:rFonts w:hint="eastAsia" w:ascii="宋体" w:hAnsi="宋体" w:eastAsia="宋体" w:cs="宋体"/>
          <w:highlight w:val="none"/>
          <w:lang w:val="en-US" w:eastAsia="zh-CN"/>
        </w:rPr>
        <w:t>4 导管架安装完成后，应组织对中心坐标、顶部高程、水平度等关键指标进行检测，检测结果应符合现行相关质量检验标准的要求。</w:t>
      </w:r>
      <w:r>
        <w:commentReference w:id="7"/>
      </w:r>
    </w:p>
    <w:p w14:paraId="5E460D5E">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eastAsia="zh-CN"/>
        </w:rPr>
      </w:pPr>
      <w:r>
        <w:rPr>
          <w:rFonts w:hint="eastAsia" w:ascii="黑体" w:hAnsi="黑体" w:eastAsia="黑体"/>
          <w:lang w:val="en-US" w:eastAsia="zh-CN"/>
        </w:rPr>
        <w:t>8.3吸力桶基础沉贯安装</w:t>
      </w:r>
    </w:p>
    <w:p w14:paraId="1F5767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8.3.1吸力筒式导管架基础运输施工组织设计应符合国家现行标准《海上风力发电工程施工规范》GB/T50571、《海上风力发电工程施工与验收规范》GB/T51121和《海上风电场工程施工组织设计技术规定》NB/T31033的有关规定。</w:t>
      </w:r>
    </w:p>
    <w:p w14:paraId="7D61771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8.3.2吸力筒式导管架基础沉放施工组织设计应符合国家现行标准《海上风力发电工程施工规范》GB/T50571、《海上风力发电工程施工与验收规范》GB/T51121和《海上风电场工程施工组织设计技术规定》NB/T31033的有关规定，应按要求编制专项施工方案。补充专项方案</w:t>
      </w:r>
    </w:p>
    <w:p w14:paraId="0CCE6E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8.3.3安装方案应包括船舶定位、解除固定、浮吊起吊、测量定位、基础沉放、吸力泵安装及拆除回收等步骤。</w:t>
      </w:r>
    </w:p>
    <w:p w14:paraId="19D03F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8.3.4吸力筒式导管架基础沉放前，应对沉放区域进行地形测量、障碍物探测和清除。</w:t>
      </w:r>
    </w:p>
    <w:p w14:paraId="25773B9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8.3.5 浮吊船主吊钩、吊索具应在基础解除固定前与基础完成挂钩操作。深远海吸力筒式导管架安装应根据吊重选择合适的吊装船舶，一般情况下浮吊船吊重不应小于4000t。</w:t>
      </w:r>
    </w:p>
    <w:p w14:paraId="0FC419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8.3.6基础海上解除固定工序应快速、精简及高效，并应保护主体结构不受破坏。</w:t>
      </w:r>
    </w:p>
    <w:p w14:paraId="079D16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ascii="宋体" w:hAnsi="宋体" w:eastAsia="宋体" w:cs="宋体"/>
          <w:b w:val="0"/>
          <w:bCs w:val="0"/>
          <w:highlight w:val="none"/>
          <w:lang w:val="en-US" w:eastAsia="zh-CN"/>
        </w:rPr>
        <w:t>8.3.7 基础下沉作业可分为三个阶段，基础入水、自重沉贯、负压沉贯。下沉作业应符合下</w:t>
      </w:r>
      <w:r>
        <w:rPr>
          <w:rFonts w:hint="eastAsia"/>
          <w:lang w:eastAsia="zh-CN"/>
        </w:rPr>
        <w:t>列规定:</w:t>
      </w:r>
    </w:p>
    <w:p w14:paraId="3BDC29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1当吸力筒筒顶盖将要浸入水面前，吊钩下放速度应缓慢，避免多筒顶盖不同时入水引起的较大倾斜。</w:t>
      </w:r>
    </w:p>
    <w:p w14:paraId="42C8C01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2当吸力筒自重下沉入泥1~2m时，应通过泵组主动调节基础入泥姿态，保证基础水平度。</w:t>
      </w:r>
    </w:p>
    <w:p w14:paraId="058C14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3基础下沉过程中应做好水平度实时监测，可采用水平计数据反馈、水准仪测量手段。具体要求可参照NB/T 11655《海上风电场土建工程施工质量检验》的相关要求。</w:t>
      </w:r>
    </w:p>
    <w:p w14:paraId="742667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4基础下沉过程中应实时关注筒体内外压力差，防止土塞失效、渗流、筒壁屈曲对下沉造成不利影响。</w:t>
      </w:r>
    </w:p>
    <w:p w14:paraId="634449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8.3.8 基础下沉到位判断标准应以筒体外侧入土深度为控制标准，基础顶标高作为辅助控制指标，同时参考流量读数、筒体压力值等监测参数。</w:t>
      </w:r>
    </w:p>
    <w:p w14:paraId="17CD61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8.3.9吸力筒式导管架基础下沉允许偏差应符合下列规定:</w:t>
      </w:r>
    </w:p>
    <w:p w14:paraId="08867D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1基础安装绝对位置允许偏差应不大于500mm。</w:t>
      </w:r>
    </w:p>
    <w:p w14:paraId="60AE21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2基础下沉完成后基础顶法兰水平度偏差应不大于3‰。</w:t>
      </w:r>
    </w:p>
    <w:p w14:paraId="331679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8.3.10 当吸力筒基础停止贯入时，吸力筒内的海床和吸力筒顶板之间可能存在的空腔宜进行填充注浆。</w:t>
      </w:r>
    </w:p>
    <w:p w14:paraId="5CEC44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8.3.11基础下沉安装完成后，如需进行注浆和防冲刷保护等措施，应在风电机组安装前完成。</w:t>
      </w:r>
    </w:p>
    <w:p w14:paraId="40D386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8.3.12吸力泵的性能参数应满足设计要求，主要设备或关键部套件均应有备用或备份。</w:t>
      </w:r>
    </w:p>
    <w:p w14:paraId="2A493C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8.3.13 吸力桶顶板与桶壁应严格密封，如设计无要求可采用煤油渗透检验或真空检验。桶体制造完成后、施工前应分别检验桶体密封性，密封性应满足沉贯要求。</w:t>
      </w:r>
    </w:p>
    <w:p w14:paraId="54BE11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8.3.14 吸力桶基础内外压差应满足设计要求。吸力桶基础安装允许偏差、检验数量和检验方法应符合NB/T 11655《海上风电场土建工程施工质量检验》的相关要求。</w:t>
      </w:r>
    </w:p>
    <w:p w14:paraId="093246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8.3.15吸力桶施工前，应对安装海域进行扫海和浅剖，调查范围及内容应满足设计要求。</w:t>
      </w:r>
    </w:p>
    <w:p w14:paraId="0EA35E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8.3.16 吸力桶沉贯施工前应进行沉贯分析。吸力桶下沉施工中，应对桶内外压差、桶壁应力、贯入速度、整体入泥深度、桶体水平度以及结构倾斜度等进行实时监测与记录，沉贯过程采用自动记录和现场记录结合。检验数量和检验方法应符合NB/T 11655《海上风电场土建工程施工质量检验》的相关要求。</w:t>
      </w:r>
    </w:p>
    <w:p w14:paraId="4473E95F">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8.4 海上升压站上部组块安装</w:t>
      </w:r>
    </w:p>
    <w:p w14:paraId="525CE3F3">
      <w:pPr>
        <w:rPr>
          <w:rFonts w:hint="eastAsia"/>
          <w:lang w:eastAsia="zh-CN"/>
        </w:rPr>
      </w:pPr>
      <w:r>
        <w:rPr>
          <w:rFonts w:hint="eastAsia"/>
          <w:lang w:val="en-US" w:eastAsia="zh-CN"/>
        </w:rPr>
        <w:t>8</w:t>
      </w:r>
      <w:r>
        <w:rPr>
          <w:rFonts w:hint="eastAsia"/>
          <w:lang w:eastAsia="zh-CN"/>
        </w:rPr>
        <w:t>.</w:t>
      </w:r>
      <w:r>
        <w:rPr>
          <w:rFonts w:hint="eastAsia"/>
          <w:lang w:val="en-US" w:eastAsia="zh-CN"/>
        </w:rPr>
        <w:t>4</w:t>
      </w:r>
      <w:r>
        <w:rPr>
          <w:rFonts w:hint="eastAsia"/>
          <w:lang w:eastAsia="zh-CN"/>
        </w:rPr>
        <w:t>.1结构构件安装应符合下列规定:</w:t>
      </w:r>
    </w:p>
    <w:p w14:paraId="016B40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1用于海上升压站结构安装的构件、部件及站内设备经检查合格后方可进行安装作业。</w:t>
      </w:r>
    </w:p>
    <w:p w14:paraId="1213D23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2升压站金属结构的制作、结构杆件的连接及防腐蚀施工应按现行国家标准《钢结构设计规范》GB50017、《钢结构工程施工质量验收规范》GB50205、《冷弯薄壁型钢结构技术规范》GB50018规定执行。</w:t>
      </w:r>
    </w:p>
    <w:p w14:paraId="75B29F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 海上升压站各部件的防腐蚀、防潮、防盐雾等应根据设备技术要求进行。</w:t>
      </w:r>
    </w:p>
    <w:p w14:paraId="4BFA60F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 海上升压站结构宜在陆地完成全部或部分装配作业，然后进行海上吊装作业。</w:t>
      </w:r>
    </w:p>
    <w:p w14:paraId="4A5AD6F5">
      <w:pPr>
        <w:rPr>
          <w:rFonts w:hint="eastAsia"/>
          <w:lang w:eastAsia="zh-CN"/>
        </w:rPr>
      </w:pPr>
      <w:r>
        <w:rPr>
          <w:rFonts w:hint="eastAsia"/>
          <w:lang w:val="en-US" w:eastAsia="zh-CN"/>
        </w:rPr>
        <w:t>8</w:t>
      </w:r>
      <w:r>
        <w:rPr>
          <w:rFonts w:hint="eastAsia"/>
          <w:lang w:eastAsia="zh-CN"/>
        </w:rPr>
        <w:t>.</w:t>
      </w:r>
      <w:r>
        <w:rPr>
          <w:rFonts w:hint="eastAsia"/>
          <w:lang w:val="en-US" w:eastAsia="zh-CN"/>
        </w:rPr>
        <w:t>4</w:t>
      </w:r>
      <w:r>
        <w:rPr>
          <w:rFonts w:hint="eastAsia"/>
          <w:lang w:eastAsia="zh-CN"/>
        </w:rPr>
        <w:t>.2 海上升压站可采用整体吊装，并应符合下列规定:</w:t>
      </w:r>
    </w:p>
    <w:p w14:paraId="51CD04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 海上升压站组装完成各部件经检验合格后，方可进行转运吊装作业。</w:t>
      </w:r>
    </w:p>
    <w:p w14:paraId="59040BF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 海上升压站吊装作业前，应根据其尺寸、重量和吊装进度要求等选用吊装船舶设备。</w:t>
      </w:r>
    </w:p>
    <w:p w14:paraId="0F1A632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3吊装作业前，对其起吊设备、吊具、吊点、吊装方式应进行设计。</w:t>
      </w:r>
    </w:p>
    <w:p w14:paraId="2BDF77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4吊装过程中，对升压站内各构件应加强保护。</w:t>
      </w:r>
    </w:p>
    <w:p w14:paraId="692A81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5吊装时，应采取严格措施保证升压站与基础准确对接，安装精度达到设计规定要求。</w:t>
      </w:r>
    </w:p>
    <w:p w14:paraId="694A9E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6 海上升压站内的变压器、气体绝缘金属封闭开关设备、开关柜等设备可在陆上完成组装，随升压站平台一起吊装，也可待升压站平台在海上吊装就位后，分批吊进平台安装;先组装。</w:t>
      </w:r>
    </w:p>
    <w:p w14:paraId="402F17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7控制、保护、通信设备及防雷、接地、照明、监测、内部电缆和站用电等辅助装置宜在平台吊装就位后进行安装。</w:t>
      </w:r>
    </w:p>
    <w:p w14:paraId="185EEE88">
      <w:pPr>
        <w:rPr>
          <w:rFonts w:hint="eastAsia"/>
          <w:highlight w:val="none"/>
          <w:lang w:eastAsia="zh-CN"/>
        </w:rPr>
      </w:pPr>
      <w:r>
        <w:rPr>
          <w:rFonts w:hint="eastAsia"/>
          <w:highlight w:val="none"/>
          <w:lang w:eastAsia="zh-CN"/>
        </w:rPr>
        <w:t>8.</w:t>
      </w:r>
      <w:r>
        <w:rPr>
          <w:rFonts w:hint="eastAsia"/>
          <w:highlight w:val="none"/>
          <w:lang w:val="en-US" w:eastAsia="zh-CN"/>
        </w:rPr>
        <w:t>4</w:t>
      </w:r>
      <w:r>
        <w:rPr>
          <w:rFonts w:hint="eastAsia"/>
          <w:highlight w:val="none"/>
          <w:lang w:eastAsia="zh-CN"/>
        </w:rPr>
        <w:t>.</w:t>
      </w:r>
      <w:r>
        <w:rPr>
          <w:rFonts w:hint="eastAsia"/>
          <w:highlight w:val="none"/>
          <w:lang w:val="en-US" w:eastAsia="zh-CN"/>
        </w:rPr>
        <w:t>3</w:t>
      </w:r>
      <w:r>
        <w:rPr>
          <w:rFonts w:hint="eastAsia"/>
          <w:highlight w:val="none"/>
          <w:lang w:eastAsia="zh-CN"/>
        </w:rPr>
        <w:t>海上升压站上部组块安装前，应确保上部组块结构完好无损。上部组块尺寸、外观和质量应满足设计要求，由于运输或其他原因造成的变形应矫正并达到质量要求。</w:t>
      </w:r>
    </w:p>
    <w:p w14:paraId="4A4A74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8.4.4 海上升压站上部组块安装施工前，应对下部基础顶面和上部组块插尖底面的水平度及垂直度进行复测，两者平面及垂向的相对位置应满足设计要求。</w:t>
      </w:r>
    </w:p>
    <w:p w14:paraId="6525E4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8.4.5 海上升压站上部组块安装前，应确保上部组块吊耳、吊索具及相关设施完好无损。上部组块吊耳、吊索具及相关设施的外观和质量应同时满足设计及专项施工方案的要求，由于运输或其他原因造成的损伤、变形应进行修复和矫正并达到质量要求。</w:t>
      </w:r>
    </w:p>
    <w:p w14:paraId="539759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8.4.6海上升压站上部组块安装时，应对上部组块吊耳应力、变形及下部基础沉降等进行实时监测和记录，并应按照要求设计预警值。</w:t>
      </w:r>
    </w:p>
    <w:p w14:paraId="2DD66B79">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8.5 海上换流站上部组块安装</w:t>
      </w:r>
    </w:p>
    <w:p w14:paraId="5A97D0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default" w:ascii="宋体" w:hAnsi="宋体" w:eastAsia="宋体" w:cs="宋体"/>
          <w:highlight w:val="none"/>
          <w:lang w:val="en-US" w:eastAsia="zh-CN"/>
        </w:rPr>
        <w:t>8.5.1浮托安装总体要求</w:t>
      </w:r>
    </w:p>
    <w:p w14:paraId="4C82F6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1</w:t>
      </w:r>
      <w:r>
        <w:rPr>
          <w:rFonts w:hint="default" w:ascii="宋体" w:hAnsi="宋体" w:eastAsia="宋体" w:cs="宋体"/>
          <w:highlight w:val="none"/>
          <w:lang w:val="en-US" w:eastAsia="zh-CN"/>
        </w:rPr>
        <w:t>浮托船舶应根据作业海域环境条件、上部组块重量、装船码头进行选择。</w:t>
      </w:r>
    </w:p>
    <w:p w14:paraId="7A34D4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2</w:t>
      </w:r>
      <w:r>
        <w:rPr>
          <w:rFonts w:hint="default" w:ascii="宋体" w:hAnsi="宋体" w:eastAsia="宋体" w:cs="宋体"/>
          <w:highlight w:val="none"/>
          <w:lang w:val="en-US" w:eastAsia="zh-CN"/>
        </w:rPr>
        <w:t>下部支撑结构槽口应与浮托船舶宽度相匹配。</w:t>
      </w:r>
    </w:p>
    <w:p w14:paraId="631C1F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3</w:t>
      </w:r>
      <w:r>
        <w:rPr>
          <w:rFonts w:hint="default" w:ascii="宋体" w:hAnsi="宋体" w:eastAsia="宋体" w:cs="宋体"/>
          <w:highlight w:val="none"/>
          <w:lang w:val="en-US" w:eastAsia="zh-CN"/>
        </w:rPr>
        <w:t>无动力浮托船舶海上浮托安装作业应有48h天气窗口,DP船舶海上浮托安装作业应有24h天气窗口。</w:t>
      </w:r>
    </w:p>
    <w:p w14:paraId="11624AB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default" w:ascii="宋体" w:hAnsi="宋体" w:eastAsia="宋体" w:cs="宋体"/>
          <w:highlight w:val="none"/>
          <w:lang w:val="en-US" w:eastAsia="zh-CN"/>
        </w:rPr>
        <w:t>8.5.</w:t>
      </w:r>
      <w:r>
        <w:rPr>
          <w:rFonts w:hint="eastAsia" w:ascii="宋体" w:hAnsi="宋体" w:eastAsia="宋体" w:cs="宋体"/>
          <w:highlight w:val="none"/>
          <w:lang w:val="en-US" w:eastAsia="zh-CN"/>
        </w:rPr>
        <w:t>2</w:t>
      </w:r>
      <w:r>
        <w:rPr>
          <w:rFonts w:hint="default" w:ascii="宋体" w:hAnsi="宋体" w:eastAsia="宋体" w:cs="宋体"/>
          <w:highlight w:val="none"/>
          <w:lang w:val="en-US" w:eastAsia="zh-CN"/>
        </w:rPr>
        <w:t>海上浮托安装</w:t>
      </w:r>
    </w:p>
    <w:p w14:paraId="40A209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1</w:t>
      </w:r>
      <w:r>
        <w:rPr>
          <w:rFonts w:hint="default" w:ascii="宋体" w:hAnsi="宋体" w:eastAsia="宋体" w:cs="宋体"/>
          <w:highlight w:val="none"/>
          <w:lang w:val="en-US" w:eastAsia="zh-CN"/>
        </w:rPr>
        <w:t xml:space="preserve"> 海上浮托作业环境条件温和的海域(如渤海海域):迎浪Hs不大于1.0m、斜浪Hs不大于0.75m、横浪Hs不大于0.5m；风速不大于10m/s；流速不大于1m/s。</w:t>
      </w:r>
    </w:p>
    <w:p w14:paraId="567799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2</w:t>
      </w:r>
      <w:r>
        <w:rPr>
          <w:rFonts w:hint="default" w:ascii="宋体" w:hAnsi="宋体" w:eastAsia="宋体" w:cs="宋体"/>
          <w:highlight w:val="none"/>
          <w:lang w:val="en-US" w:eastAsia="zh-CN"/>
        </w:rPr>
        <w:t xml:space="preserve"> 海上浮托作业环境条件恶劣的海域(如南海海域):迎浪Hs不大于1.5m、斜浪Hs不大于1.0m、横浪Hs不大于0.5m；风速不大于10m/s；流速不大于1m/s。</w:t>
      </w:r>
    </w:p>
    <w:p w14:paraId="7B30736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3</w:t>
      </w:r>
      <w:r>
        <w:rPr>
          <w:rFonts w:hint="default" w:ascii="宋体" w:hAnsi="宋体" w:eastAsia="宋体" w:cs="宋体"/>
          <w:highlight w:val="none"/>
          <w:lang w:val="en-US" w:eastAsia="zh-CN"/>
        </w:rPr>
        <w:t xml:space="preserve"> 海上浮托作业时风浪流应同向。</w:t>
      </w:r>
    </w:p>
    <w:p w14:paraId="556749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4</w:t>
      </w:r>
      <w:r>
        <w:rPr>
          <w:rFonts w:hint="default" w:ascii="宋体" w:hAnsi="宋体" w:eastAsia="宋体" w:cs="宋体"/>
          <w:highlight w:val="none"/>
          <w:lang w:val="en-US" w:eastAsia="zh-CN"/>
        </w:rPr>
        <w:t>应对下部支撑结构进行检查、测量、悬挂交叉缆。</w:t>
      </w:r>
    </w:p>
    <w:p w14:paraId="464351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5</w:t>
      </w:r>
      <w:r>
        <w:rPr>
          <w:rFonts w:hint="default" w:ascii="宋体" w:hAnsi="宋体" w:eastAsia="宋体" w:cs="宋体"/>
          <w:highlight w:val="none"/>
          <w:lang w:val="en-US" w:eastAsia="zh-CN"/>
        </w:rPr>
        <w:t>应对浮托船舶的调载系统、系泊系统和监测系统进行调试，满足进船作业条件。</w:t>
      </w:r>
    </w:p>
    <w:p w14:paraId="4B7E2D6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6</w:t>
      </w:r>
      <w:r>
        <w:rPr>
          <w:rFonts w:hint="default" w:ascii="宋体" w:hAnsi="宋体" w:eastAsia="宋体" w:cs="宋体"/>
          <w:highlight w:val="none"/>
          <w:lang w:val="en-US" w:eastAsia="zh-CN"/>
        </w:rPr>
        <w:t>进船过程中应控制好进船速度，进船速度宜小于3m/min。</w:t>
      </w:r>
    </w:p>
    <w:p w14:paraId="372172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7</w:t>
      </w:r>
      <w:r>
        <w:rPr>
          <w:rFonts w:hint="default" w:ascii="宋体" w:hAnsi="宋体" w:eastAsia="宋体" w:cs="宋体"/>
          <w:highlight w:val="none"/>
          <w:lang w:val="en-US" w:eastAsia="zh-CN"/>
        </w:rPr>
        <w:t>船舶到达预定位置，进行对接作业，过程中浮托船舶应均匀增加吃水：</w:t>
      </w:r>
    </w:p>
    <w:p w14:paraId="4A10590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8</w:t>
      </w:r>
      <w:r>
        <w:rPr>
          <w:rFonts w:hint="default" w:ascii="宋体" w:hAnsi="宋体" w:eastAsia="宋体" w:cs="宋体"/>
          <w:highlight w:val="none"/>
          <w:lang w:val="en-US" w:eastAsia="zh-CN"/>
        </w:rPr>
        <w:t xml:space="preserve"> 插尖的水平运动在LMU捕捉器的捕捉半径范围内。</w:t>
      </w:r>
    </w:p>
    <w:p w14:paraId="373E7D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9</w:t>
      </w:r>
      <w:r>
        <w:rPr>
          <w:rFonts w:hint="default" w:ascii="宋体" w:hAnsi="宋体" w:eastAsia="宋体" w:cs="宋体"/>
          <w:highlight w:val="none"/>
          <w:lang w:val="en-US" w:eastAsia="zh-CN"/>
        </w:rPr>
        <w:t xml:space="preserve"> 压载驳船至插尖在LMU内。</w:t>
      </w:r>
    </w:p>
    <w:p w14:paraId="3DA75F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10</w:t>
      </w:r>
      <w:r>
        <w:rPr>
          <w:rFonts w:hint="default" w:ascii="宋体" w:hAnsi="宋体" w:eastAsia="宋体" w:cs="宋体"/>
          <w:highlight w:val="none"/>
          <w:lang w:val="en-US" w:eastAsia="zh-CN"/>
        </w:rPr>
        <w:t xml:space="preserve"> 切除上部组块固定支撑。</w:t>
      </w:r>
    </w:p>
    <w:p w14:paraId="7387E30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11</w:t>
      </w:r>
      <w:r>
        <w:rPr>
          <w:rFonts w:hint="default" w:ascii="宋体" w:hAnsi="宋体" w:eastAsia="宋体" w:cs="宋体"/>
          <w:highlight w:val="none"/>
          <w:lang w:val="en-US" w:eastAsia="zh-CN"/>
        </w:rPr>
        <w:t>压载浮托船舶至100%上部组块载荷转移至下部支撑结构。</w:t>
      </w:r>
    </w:p>
    <w:p w14:paraId="7EB195E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12</w:t>
      </w:r>
      <w:r>
        <w:rPr>
          <w:rFonts w:hint="default" w:ascii="宋体" w:hAnsi="宋体" w:eastAsia="宋体" w:cs="宋体"/>
          <w:highlight w:val="none"/>
          <w:lang w:val="en-US" w:eastAsia="zh-CN"/>
        </w:rPr>
        <w:t xml:space="preserve"> 压载浮托船舶至上部组块与DSU上部垂向净间距0.5m,调整驳船横倾与纵倾为0°。</w:t>
      </w:r>
    </w:p>
    <w:p w14:paraId="76865C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13</w:t>
      </w:r>
      <w:r>
        <w:rPr>
          <w:rFonts w:hint="default" w:ascii="宋体" w:hAnsi="宋体" w:eastAsia="宋体" w:cs="宋体"/>
          <w:highlight w:val="none"/>
          <w:lang w:val="en-US" w:eastAsia="zh-CN"/>
        </w:rPr>
        <w:t>应打开所有LMU沙阀并释放沙子。</w:t>
      </w:r>
    </w:p>
    <w:p w14:paraId="68B5FF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14</w:t>
      </w:r>
      <w:r>
        <w:rPr>
          <w:rFonts w:hint="default" w:ascii="宋体" w:hAnsi="宋体" w:eastAsia="宋体" w:cs="宋体"/>
          <w:highlight w:val="none"/>
          <w:lang w:val="en-US" w:eastAsia="zh-CN"/>
        </w:rPr>
        <w:t>海上施工作业完成后，进行退船作业，过程中应监视DSU上部与上部组块下部之间的净间隙大于允许值。</w:t>
      </w:r>
    </w:p>
    <w:p w14:paraId="1E0B701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15</w:t>
      </w:r>
      <w:r>
        <w:rPr>
          <w:rFonts w:hint="default" w:ascii="宋体" w:hAnsi="宋体" w:eastAsia="宋体" w:cs="宋体"/>
          <w:highlight w:val="none"/>
          <w:lang w:val="en-US" w:eastAsia="zh-CN"/>
        </w:rPr>
        <w:t>浮托船舶退出下部支撑结构槽口，浮托船舶移至与下部支撑结构净距离250m以上。</w:t>
      </w:r>
    </w:p>
    <w:p w14:paraId="7438FE1D">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8.6 漂浮式基础及安装</w:t>
      </w:r>
    </w:p>
    <w:p w14:paraId="4E2180B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8.6.1浮体建造</w:t>
      </w:r>
    </w:p>
    <w:p w14:paraId="33C0E2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1浮体所用的材料应符合设计文件，应具备质量合格证明文件，并经进场检验合格后方可使用。</w:t>
      </w:r>
    </w:p>
    <w:p w14:paraId="697347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2浮体建造应制定压载水系统、电气系统、起重设备、系泊设备、救生设备、通风系统和消防系统的调试与试验方案。</w:t>
      </w:r>
    </w:p>
    <w:p w14:paraId="316CDD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3浮体的建造应制定密性试验方案，并应结合建造方案在浮体建造过程中或浮体建造完成后进行。</w:t>
      </w:r>
    </w:p>
    <w:p w14:paraId="6297570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8.6.2系泊系统施工应编制详细的专项方案，应包含施工船舶稳性、锚固基础施工、系泊缆铺设、系泊缆回接、系泊系统调试等方面内容。</w:t>
      </w:r>
    </w:p>
    <w:p w14:paraId="604DBD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8.6.3 单柱式（Spar）基础施工要求：</w:t>
      </w:r>
    </w:p>
    <w:p w14:paraId="53F601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单柱式基础应采用滑道下水或浮船坞下水的方式，下水前应进行稳性计算，确保下水过程的安全。运输前应调整压载水，使基础的吃水和稳性满足运输要求。长距离运输过程中应实时监测基础的姿态、应力和压载水情况，发现异常及时处理。</w:t>
      </w:r>
    </w:p>
    <w:p w14:paraId="392953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2到达安装现场后，应逐步排出压载水，使基础直立并达到设计吃水。</w:t>
      </w:r>
    </w:p>
    <w:p w14:paraId="0ED9190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3连接系泊系统时，应先连接临时系泊缆，再连接永久系泊缆，连接过程中应控制基础的位移和转动。</w:t>
      </w:r>
    </w:p>
    <w:p w14:paraId="38474A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4系泊系统连接完成后，应调整各缆绳的张力，使其均匀分布，张力偏差不应大于设计值的±5%。</w:t>
      </w:r>
    </w:p>
    <w:p w14:paraId="614A2C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8.6.4 半潜式基础应满足以下规定：</w:t>
      </w:r>
    </w:p>
    <w:p w14:paraId="21C0EF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1半潜式基础应采用浮船坞下水的方式，下水前应进行完整的稳性计算和强度校核。</w:t>
      </w:r>
    </w:p>
    <w:p w14:paraId="34E355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2运输过程中应保持基础的半潜状态，吃水深度应根据海况和运输距离确定。</w:t>
      </w:r>
    </w:p>
    <w:p w14:paraId="6440C4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3到达安装现场后，应调整压载水，使基础达到安装吃水和设计姿态。</w:t>
      </w:r>
    </w:p>
    <w:p w14:paraId="423193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4</w:t>
      </w:r>
      <w:r>
        <w:rPr>
          <w:rFonts w:hint="default" w:ascii="宋体" w:hAnsi="宋体" w:eastAsia="宋体" w:cs="宋体"/>
          <w:highlight w:val="none"/>
          <w:lang w:val="en-US" w:eastAsia="zh-CN"/>
        </w:rPr>
        <w:t>前期进行吸力锚安装点30m 范围内的扫海工作,海床高差在设计要求20cm 范围内, 如果有地形差异需对海床面进行整平处理。</w:t>
      </w:r>
    </w:p>
    <w:p w14:paraId="003119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5采用吊装设备开展吸力锚的安装—沉贯施工。沉贯过程中监测内外压差,需达到以下要求:吸力锚中心位置偏差&lt;500mm;水平度偏差&lt;0.5°;眼板方位偏差&lt;0.5°。</w:t>
      </w:r>
    </w:p>
    <w:p w14:paraId="671033D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6系泊系统的连接应采用对称连接的方式，避免基础产生过大的倾斜。</w:t>
      </w:r>
    </w:p>
    <w:p w14:paraId="3A048E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7安装完成后，应进行基础的静载试验，检验基础的承载能力和变形情况。</w:t>
      </w:r>
    </w:p>
    <w:p w14:paraId="35EE84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8.4.5 张力腿式（TLP）基础满足以下规定：</w:t>
      </w:r>
    </w:p>
    <w:p w14:paraId="02A5F6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 TLP基础锚固桩基安装,并无类似导管架的限位结构, 需要通过结合水下机器人 (ROV)和海底定位信标实现精准定位。</w:t>
      </w:r>
    </w:p>
    <w:p w14:paraId="626B11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 桩基安装结束后,为了后期方便安装张力腿,首先在基桩的顶部安装张力腿导向装置,导向装置上需配置电极阳极。</w:t>
      </w:r>
    </w:p>
    <w:p w14:paraId="28745C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3筋键与连接器安装通常使用厚壁钢管制造筋键结构,筋键长度主要由海水深度决定。</w:t>
      </w:r>
    </w:p>
    <w:p w14:paraId="42A615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 如果张力腿结构同样使用钢管管材制作,则需要在其两端 (分别与锚固基础和浮式平台的连接处)安装连接器。</w:t>
      </w:r>
    </w:p>
    <w:p w14:paraId="10C4C3B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 连接完成后，应逐步张拉张力腿，使其达到设计张力，张拉过程中应同步监测平台的姿态和张力腿的张力。</w:t>
      </w:r>
    </w:p>
    <w:p w14:paraId="5BFC3E79">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8.7 连接灌浆</w:t>
      </w:r>
    </w:p>
    <w:p w14:paraId="4C92C4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8.7.1海上风电场工程基础结构灌浆连接钢结构及限位块、剪力键、管路、封堵器等附件加工制作，应符合现行国家标准《钢结构工程施工规范》GB50755和《钢结构工程施工质量验收标准》GB50205的有关规定。</w:t>
      </w:r>
    </w:p>
    <w:p w14:paraId="5B1630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8.7.2海上风电场工程基础结构灌浆连接钢结构现场安装应符合设计要求，并应符合现行国家标准《海上风力发电工程施工规范》GB/T 50571的有关规定。</w:t>
      </w:r>
    </w:p>
    <w:p w14:paraId="0CC826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b w:val="0"/>
          <w:bCs w:val="0"/>
          <w:highlight w:val="none"/>
          <w:lang w:val="en-US" w:eastAsia="zh-CN"/>
        </w:rPr>
        <w:t>8.7.3 灌浆施工应编制专项施工方案。</w:t>
      </w:r>
    </w:p>
    <w:p w14:paraId="11E986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8.7.4首次应用于海上风电场工程的灌浆材料产品宜通过典型试验(原型试验)验证材料的工程适用性。</w:t>
      </w:r>
    </w:p>
    <w:p w14:paraId="62C421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8.7.5 基础结构灌浆施工时间段的选择应避开风浪会导致基础结构晃动的时段。</w:t>
      </w:r>
    </w:p>
    <w:p w14:paraId="15B7D7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8.7.6 海上风电场工程基础结构灌浆连接施工安全管理应符合现行行业标准《海上风电场工程施工安全技术规范》NB/T10393的有关规定。</w:t>
      </w:r>
    </w:p>
    <w:p w14:paraId="089382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8.7.7 灌浆施工后，上部设备或构件安装时，灌浆体强度应达到设计要求。</w:t>
      </w:r>
    </w:p>
    <w:p w14:paraId="53C04F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8.7.8 灌浆材料检验批和取样应满足现行国家标准《水泥基灌浆材料应用技术规范》GB/T50448的有关规定。</w:t>
      </w:r>
    </w:p>
    <w:p w14:paraId="5A5B14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8.7.9 灌浆泵的理论泵送压力、灌浆泵的泵送能力、灌浆管路的耐压能力应满足施工要求，灌浆泵应配置备用设备。</w:t>
      </w:r>
    </w:p>
    <w:p w14:paraId="1643BF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8.7.10 基础结构具备灌浆施工条件后应尽快施灌，并在72h内完成灌浆施工。</w:t>
      </w:r>
    </w:p>
    <w:p w14:paraId="2E30DA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8.7.11 基础结构灌浆施工主要工序应包括灌浆空间清洗、润管、灌浆材料搅拌、泵送压浆、溢浆、静置和补浆等。</w:t>
      </w:r>
    </w:p>
    <w:p w14:paraId="1FB039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8.7.12 基础结构灌浆应从灌浆空间底部自下而上注入，每个灌浆空间的灌浆施工应一次完成。</w:t>
      </w:r>
    </w:p>
    <w:p w14:paraId="5A925D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8.7.13基础结构灌浆施工全过程及灌浆施工完成后的48h内应避免撞击。</w:t>
      </w:r>
    </w:p>
    <w:p w14:paraId="2B3FC9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b w:val="0"/>
          <w:bCs w:val="0"/>
          <w:highlight w:val="none"/>
          <w:lang w:val="en-US" w:eastAsia="zh-CN"/>
        </w:rPr>
        <w:t>8.7.14</w:t>
      </w:r>
      <w:r>
        <w:rPr>
          <w:rFonts w:hint="eastAsia" w:ascii="宋体" w:hAnsi="宋体" w:eastAsia="宋体" w:cs="宋体"/>
          <w:highlight w:val="none"/>
          <w:lang w:val="en-US" w:eastAsia="zh-CN"/>
        </w:rPr>
        <w:t>在正式泵送浆体前，灌浆管路应进行润管，润管料的用水量及搅拌应按照产品使用说明书进行操作，润管料浆体应采用专用润管料浆体。</w:t>
      </w:r>
    </w:p>
    <w:p w14:paraId="665ECC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8.7.15 溢浆的判定条件和静置应符合下列规定:</w:t>
      </w:r>
    </w:p>
    <w:p w14:paraId="57EBE3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 灌浆材料用量大于溢浆前的理论材料用量，且观测到灌浆空间顶部有溢浆发生时，应停止灌浆施工，转入静置。</w:t>
      </w:r>
    </w:p>
    <w:p w14:paraId="7F9E1E7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 静置时间宜为15min~30min，静置期间应维持灌浆压力稳定。</w:t>
      </w:r>
    </w:p>
    <w:p w14:paraId="67E310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b w:val="0"/>
          <w:bCs w:val="0"/>
          <w:highlight w:val="none"/>
          <w:lang w:val="en-US" w:eastAsia="zh-CN"/>
        </w:rPr>
        <w:t>8.7.16</w:t>
      </w:r>
      <w:r>
        <w:rPr>
          <w:rFonts w:hint="eastAsia" w:ascii="宋体" w:hAnsi="宋体" w:eastAsia="宋体" w:cs="宋体"/>
          <w:highlight w:val="none"/>
          <w:lang w:val="en-US" w:eastAsia="zh-CN"/>
        </w:rPr>
        <w:t>静置结束后，溢浆顶面下降应进行补浆。</w:t>
      </w:r>
    </w:p>
    <w:p w14:paraId="0761DF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8.7.17 灌浆施工时应采用人工或水下机器人等进行实时监测与检查，发现漏浆应暂停灌浆施工，及时采取封堵材料封堵和超量灌浆等应急措施。</w:t>
      </w:r>
    </w:p>
    <w:p w14:paraId="4312AE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8.7.18灌浆施工结束后应对所有灌浆软管和设备及时进行清洗。</w:t>
      </w:r>
    </w:p>
    <w:p w14:paraId="29F322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8.7.19灌浆施工过程应采取必要措施对粉尘进行控制，操作人员配好防护用具。灌浆施工过程应对废弃包装袋、漏浆和水下溢浆等污染源进行控制。</w:t>
      </w:r>
    </w:p>
    <w:p w14:paraId="469E2A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8.7.20 封堵器应在基础钢结构出厂前安装完成并通过质量验收。</w:t>
      </w:r>
    </w:p>
    <w:p w14:paraId="7FEB46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8.7.21灌浆材料进场前应提供相应技术文件。</w:t>
      </w:r>
    </w:p>
    <w:p w14:paraId="1017F8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8.7.22灌浆材料进场质量检验指标应符合现行行业标准《风电场工程材料试验检测技术规范》NBT10628的有关规定，并满足设计要求。</w:t>
      </w:r>
    </w:p>
    <w:p w14:paraId="53F8B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8.7.23灌浆现场试验检验指标应满足设计要求。</w:t>
      </w:r>
    </w:p>
    <w:p w14:paraId="0D890A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8.7.24 灌浆施工应按施工指导文件执行，单台基础的灌浆施工应连续灌注完成，灌浆结束标准应满足设计要求。</w:t>
      </w:r>
    </w:p>
    <w:p w14:paraId="6E0974B4">
      <w:pPr>
        <w:rPr>
          <w:rFonts w:hint="eastAsia"/>
        </w:rPr>
      </w:pPr>
    </w:p>
    <w:p w14:paraId="0FC97D2E">
      <w:pPr>
        <w:pStyle w:val="2"/>
        <w:rPr>
          <w:rFonts w:hint="eastAsia"/>
        </w:rPr>
      </w:pPr>
    </w:p>
    <w:p w14:paraId="33B0CBE1">
      <w:pPr>
        <w:rPr>
          <w:rFonts w:hint="eastAsia"/>
        </w:rPr>
      </w:pPr>
    </w:p>
    <w:p w14:paraId="4264AB36">
      <w:pPr>
        <w:pStyle w:val="2"/>
        <w:rPr>
          <w:rFonts w:hint="eastAsia"/>
        </w:rPr>
      </w:pPr>
    </w:p>
    <w:p w14:paraId="1C3FA990">
      <w:pPr>
        <w:rPr>
          <w:rFonts w:hint="eastAsia"/>
        </w:rPr>
      </w:pPr>
    </w:p>
    <w:p w14:paraId="2CFD94CC">
      <w:pPr>
        <w:pStyle w:val="2"/>
        <w:rPr>
          <w:rFonts w:hint="eastAsia"/>
        </w:rPr>
      </w:pPr>
    </w:p>
    <w:p w14:paraId="6520C042">
      <w:pPr>
        <w:rPr>
          <w:rFonts w:hint="eastAsia"/>
        </w:rPr>
      </w:pPr>
    </w:p>
    <w:p w14:paraId="4B2D4D48">
      <w:pPr>
        <w:pStyle w:val="2"/>
        <w:rPr>
          <w:rFonts w:hint="eastAsia"/>
        </w:rPr>
      </w:pPr>
    </w:p>
    <w:p w14:paraId="1C7F806F">
      <w:pPr>
        <w:rPr>
          <w:rFonts w:hint="eastAsia"/>
        </w:rPr>
      </w:pPr>
    </w:p>
    <w:p w14:paraId="2CBD1DD4">
      <w:pPr>
        <w:pStyle w:val="2"/>
        <w:rPr>
          <w:rFonts w:hint="eastAsia"/>
        </w:rPr>
      </w:pPr>
    </w:p>
    <w:p w14:paraId="48E09099">
      <w:pPr>
        <w:rPr>
          <w:rFonts w:hint="eastAsia"/>
        </w:rPr>
      </w:pPr>
    </w:p>
    <w:p w14:paraId="2E50F0CB">
      <w:pPr>
        <w:pStyle w:val="2"/>
        <w:rPr>
          <w:rFonts w:hint="eastAsia"/>
        </w:rPr>
      </w:pPr>
    </w:p>
    <w:p w14:paraId="22FD5C6F">
      <w:pPr>
        <w:rPr>
          <w:rFonts w:hint="eastAsia"/>
        </w:rPr>
      </w:pPr>
    </w:p>
    <w:p w14:paraId="707A3FA7">
      <w:pPr>
        <w:pStyle w:val="2"/>
        <w:rPr>
          <w:rFonts w:hint="eastAsia"/>
        </w:rPr>
      </w:pPr>
    </w:p>
    <w:p w14:paraId="4AEEF296">
      <w:pPr>
        <w:rPr>
          <w:rFonts w:hint="eastAsia"/>
        </w:rPr>
      </w:pPr>
    </w:p>
    <w:p w14:paraId="19ED7BFE">
      <w:pPr>
        <w:pStyle w:val="2"/>
        <w:rPr>
          <w:rFonts w:hint="eastAsia"/>
        </w:rPr>
      </w:pPr>
    </w:p>
    <w:p w14:paraId="05FE9491">
      <w:pPr>
        <w:rPr>
          <w:rFonts w:hint="eastAsia"/>
        </w:rPr>
      </w:pPr>
    </w:p>
    <w:p w14:paraId="083E0190">
      <w:pPr>
        <w:pStyle w:val="2"/>
        <w:rPr>
          <w:rFonts w:hint="eastAsia"/>
        </w:rPr>
      </w:pPr>
    </w:p>
    <w:p w14:paraId="022EF5A8">
      <w:pPr>
        <w:rPr>
          <w:rFonts w:hint="eastAsia"/>
        </w:rPr>
      </w:pPr>
    </w:p>
    <w:p w14:paraId="01511B14">
      <w:pPr>
        <w:rPr>
          <w:rFonts w:hint="eastAsia"/>
        </w:rPr>
      </w:pPr>
    </w:p>
    <w:p w14:paraId="67B7CC81">
      <w:pPr>
        <w:rPr>
          <w:rFonts w:hint="eastAsia"/>
        </w:rPr>
      </w:pPr>
    </w:p>
    <w:p w14:paraId="42FB7809">
      <w:pPr>
        <w:rPr>
          <w:rFonts w:hint="eastAsia"/>
        </w:rPr>
      </w:pPr>
    </w:p>
    <w:p w14:paraId="250EC092">
      <w:pPr>
        <w:rPr>
          <w:rFonts w:hint="eastAsia"/>
        </w:rPr>
      </w:pPr>
    </w:p>
    <w:p w14:paraId="5E238314">
      <w:pPr>
        <w:rPr>
          <w:rFonts w:hint="eastAsia"/>
        </w:rPr>
      </w:pPr>
    </w:p>
    <w:p w14:paraId="55A1455F">
      <w:pPr>
        <w:rPr>
          <w:rFonts w:hint="eastAsia"/>
        </w:rPr>
      </w:pPr>
    </w:p>
    <w:p w14:paraId="30C2CE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9</w:t>
      </w:r>
      <w:r>
        <w:rPr>
          <w:rFonts w:hint="eastAsia" w:ascii="宋体" w:hAnsi="宋体" w:eastAsia="宋体" w:cs="宋体"/>
          <w:color w:val="000000"/>
          <w:sz w:val="28"/>
          <w:szCs w:val="28"/>
        </w:rPr>
        <w:t xml:space="preserve"> 防腐工程</w:t>
      </w:r>
    </w:p>
    <w:p w14:paraId="5C4130FC">
      <w:pPr>
        <w:rPr>
          <w:rFonts w:hint="eastAsia"/>
        </w:rPr>
      </w:pPr>
    </w:p>
    <w:p w14:paraId="1ADD57E5">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9.1一般规定</w:t>
      </w:r>
    </w:p>
    <w:p w14:paraId="18CF94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9.1.1深远海风电场钢结构防腐涂料的检验项目、检测方法应符合现行行业标准《风电场工程材料试验检测技术规范》NB/T 10628的有关规定，性能应符合现行行业标准《海上风电场钢结构防腐蚀技术标准》NB/T 31006的有关规定。</w:t>
      </w:r>
    </w:p>
    <w:p w14:paraId="70B4E6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9.1.2牺牲阳极的重量、尺寸、表面质量与性能评价应分别符合现行国家标准《铝-锌-铟系合金牺牲阳极》GB/T 4948、《锌合金牺牲阳极》GB/T 4950、《镁合金牺牲阳极》GB/T 17731的有关规定。</w:t>
      </w:r>
    </w:p>
    <w:p w14:paraId="58C6B6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9.1.3辅助阳极电缆和阴极电缆宜采用铜芯电缆，控制用参比电极的电缆应采用屏蔽电缆。</w:t>
      </w:r>
    </w:p>
    <w:p w14:paraId="05541E5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9.1.4热浸镀锌镀层的检验项目、检测数量、检测方法应符合现行行业标准《风电场工程材料试验检测技术规范》NB/T 10628的有关规定。</w:t>
      </w:r>
    </w:p>
    <w:p w14:paraId="59A283D6">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9.2钢结构涂装</w:t>
      </w:r>
    </w:p>
    <w:p w14:paraId="538B72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9.2.1深远海风电场钢结构涂装前应对钢结构表面进行外观检查，钢结构的表面清洁度和粗糙度应满足设计要求。</w:t>
      </w:r>
    </w:p>
    <w:p w14:paraId="34CBA7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9.2.2钢结构涂装宜在涂装车间封闭环境下进行。导管架总体拼装和钢管桩整体拼装后的涂层保护可在室外进行，其涂装环境应满足下列规定：</w:t>
      </w:r>
    </w:p>
    <w:p w14:paraId="3CE19D8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w:t>
      </w:r>
      <w:r>
        <w:rPr>
          <w:rFonts w:hint="default" w:ascii="宋体" w:hAnsi="宋体" w:eastAsia="宋体" w:cs="宋体"/>
          <w:b w:val="0"/>
          <w:bCs w:val="0"/>
          <w:highlight w:val="none"/>
          <w:lang w:val="en-US" w:eastAsia="zh-CN"/>
        </w:rPr>
        <w:t>相对湿度大于85%或被涂基体表面温度低于露点3℃时不得进行涂装作业。如涂料技术要求另有规定，则按规定要求施工。</w:t>
      </w:r>
    </w:p>
    <w:p w14:paraId="236278E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w:t>
      </w:r>
      <w:r>
        <w:rPr>
          <w:rFonts w:hint="default" w:ascii="宋体" w:hAnsi="宋体" w:eastAsia="宋体" w:cs="宋体"/>
          <w:b w:val="0"/>
          <w:bCs w:val="0"/>
          <w:highlight w:val="none"/>
          <w:lang w:val="en-US" w:eastAsia="zh-CN"/>
        </w:rPr>
        <w:t>施工环境的温度和湿度应用温、湿度仪测量，每工班测量次数不得少于3次。</w:t>
      </w:r>
    </w:p>
    <w:p w14:paraId="3684AB9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涂装作业应保证周围环境的清洁，避免未干的涂层被灰尘等污染。</w:t>
      </w:r>
    </w:p>
    <w:p w14:paraId="7075DB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9.2.3涂装方法和涂刷工艺应根据所选用的涂料的物理性能、施工条件和被涂钢结构的形状进行选择，并应符合涂料规格书或产品说明书的规定。</w:t>
      </w:r>
    </w:p>
    <w:p w14:paraId="21E861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9.2.4作业环境相对湿度不大于85%时，表面处理与第一层涂料涂装间隔时间不应超过4h；作业环境相对湿度不大于60%时，不应超过10h。</w:t>
      </w:r>
    </w:p>
    <w:p w14:paraId="7029D4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9.2.5现场拼装焊接的钢结构，其焊缝两侧应先涂刷不影响焊接性能的车间底漆，现场焊接完毕后应对焊热影响区域进行二次表面处理和涂装底漆。</w:t>
      </w:r>
    </w:p>
    <w:p w14:paraId="1C3C6A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9.2.6涂层系统各层之间的涂装间隔时间应符合产品说明书或规格书的要求，如超过其最长间隔时间，应用粗砂布打毛后再涂刷下一道涂层。</w:t>
      </w:r>
    </w:p>
    <w:p w14:paraId="766EB8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9.2.7涂装后应对涂膜进行维护，在固化前应避免雨淋、曝晒及践踏，在吊装搬运过程中应采取减少对涂层损伤的措施。</w:t>
      </w:r>
    </w:p>
    <w:p w14:paraId="684129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9.2.8现场涂层表面应平整、均匀一致，无漏涂、起泡、裂纹、针孔和返锈等现象，允许轻微橘皮和局部轻微流挂。</w:t>
      </w:r>
    </w:p>
    <w:p w14:paraId="6084F9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9.2.9施工中应随时检查湿膜厚度。干膜厚度应同时满足下列规定：</w:t>
      </w:r>
    </w:p>
    <w:p w14:paraId="743D0B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w:t>
      </w:r>
      <w:r>
        <w:rPr>
          <w:rFonts w:hint="default" w:ascii="宋体" w:hAnsi="宋体" w:eastAsia="宋体" w:cs="宋体"/>
          <w:b w:val="0"/>
          <w:bCs w:val="0"/>
          <w:highlight w:val="none"/>
          <w:lang w:val="en-US" w:eastAsia="zh-CN"/>
        </w:rPr>
        <w:t>所有测点干膜厚度的平均值应不低于设计干膜厚度。</w:t>
      </w:r>
    </w:p>
    <w:p w14:paraId="71695B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w:t>
      </w:r>
      <w:r>
        <w:rPr>
          <w:rFonts w:hint="default" w:ascii="宋体" w:hAnsi="宋体" w:eastAsia="宋体" w:cs="宋体"/>
          <w:b w:val="0"/>
          <w:bCs w:val="0"/>
          <w:highlight w:val="none"/>
          <w:lang w:val="en-US" w:eastAsia="zh-CN"/>
        </w:rPr>
        <w:t>所有测点的干膜厚度应不低于</w:t>
      </w:r>
      <w:r>
        <w:rPr>
          <w:rFonts w:hint="eastAsia" w:ascii="宋体" w:hAnsi="宋体" w:eastAsia="宋体" w:cs="宋体"/>
          <w:b w:val="0"/>
          <w:bCs w:val="0"/>
          <w:highlight w:val="none"/>
          <w:lang w:val="en-US" w:eastAsia="zh-CN"/>
        </w:rPr>
        <w:t>设计</w:t>
      </w:r>
      <w:r>
        <w:rPr>
          <w:rFonts w:hint="default" w:ascii="宋体" w:hAnsi="宋体" w:eastAsia="宋体" w:cs="宋体"/>
          <w:b w:val="0"/>
          <w:bCs w:val="0"/>
          <w:highlight w:val="none"/>
          <w:lang w:val="en-US" w:eastAsia="zh-CN"/>
        </w:rPr>
        <w:t>干膜厚度的</w:t>
      </w:r>
      <w:r>
        <w:rPr>
          <w:rFonts w:hint="eastAsia" w:ascii="宋体" w:hAnsi="宋体" w:eastAsia="宋体" w:cs="宋体"/>
          <w:b w:val="0"/>
          <w:bCs w:val="0"/>
          <w:highlight w:val="none"/>
          <w:lang w:val="en-US" w:eastAsia="zh-CN"/>
        </w:rPr>
        <w:t>9</w:t>
      </w:r>
      <w:r>
        <w:rPr>
          <w:rFonts w:hint="default" w:ascii="宋体" w:hAnsi="宋体" w:eastAsia="宋体" w:cs="宋体"/>
          <w:b w:val="0"/>
          <w:bCs w:val="0"/>
          <w:highlight w:val="none"/>
          <w:lang w:val="en-US" w:eastAsia="zh-CN"/>
        </w:rPr>
        <w:t>0%。</w:t>
      </w:r>
    </w:p>
    <w:p w14:paraId="727F366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3 9</w:t>
      </w:r>
      <w:r>
        <w:rPr>
          <w:rFonts w:hint="default" w:ascii="宋体" w:hAnsi="宋体" w:eastAsia="宋体" w:cs="宋体"/>
          <w:b w:val="0"/>
          <w:bCs w:val="0"/>
          <w:highlight w:val="none"/>
          <w:lang w:val="en-US" w:eastAsia="zh-CN"/>
        </w:rPr>
        <w:t>0%以上测点的干膜厚度应达到</w:t>
      </w:r>
      <w:r>
        <w:rPr>
          <w:rFonts w:hint="eastAsia" w:ascii="宋体" w:hAnsi="宋体" w:eastAsia="宋体" w:cs="宋体"/>
          <w:b w:val="0"/>
          <w:bCs w:val="0"/>
          <w:highlight w:val="none"/>
          <w:lang w:val="en-US" w:eastAsia="zh-CN"/>
        </w:rPr>
        <w:t>设计</w:t>
      </w:r>
      <w:r>
        <w:rPr>
          <w:rFonts w:hint="default" w:ascii="宋体" w:hAnsi="宋体" w:eastAsia="宋体" w:cs="宋体"/>
          <w:b w:val="0"/>
          <w:bCs w:val="0"/>
          <w:highlight w:val="none"/>
          <w:lang w:val="en-US" w:eastAsia="zh-CN"/>
        </w:rPr>
        <w:t>干膜厚度的要求。</w:t>
      </w:r>
    </w:p>
    <w:p w14:paraId="74D682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9.2.10基础运输、安装后，涂层破损处应按原涂层配套系统逐层进行修补。</w:t>
      </w:r>
    </w:p>
    <w:p w14:paraId="1FED5F1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9.2.11深远海风电场钢结构涂层干膜厚度、附着力、耐盐水性、耐湿热性、耐盐雾性、抗老化性应满足设计要求。</w:t>
      </w:r>
    </w:p>
    <w:p w14:paraId="25939D4D">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9.3混凝土防腐</w:t>
      </w:r>
    </w:p>
    <w:p w14:paraId="399A09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9.3.1深远海风电场混凝土防腐施工前应对基层进行质量检查，表面平整度及坡度应符合设计要求，基层应密实，不得有裂纹、脱皮、麻面、起砂、空鼓等现象。</w:t>
      </w:r>
    </w:p>
    <w:p w14:paraId="7B6A45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9.3.2深远海风电场混凝土的表面涂层或者硅烷浸渍施工前应按设计要求选取代表性部位进行小区试验。</w:t>
      </w:r>
    </w:p>
    <w:p w14:paraId="33B94D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9.3.3深远海风电场混凝土的表面涂层涂装应符合下列规定：</w:t>
      </w:r>
    </w:p>
    <w:p w14:paraId="2C99665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1实施表面涂层涂装的混凝土龄期不宜小于28d，因工程需要缩短涂装龄期时应经试验论证。</w:t>
      </w:r>
    </w:p>
    <w:p w14:paraId="1FA630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2涂装施工前应对混凝土进行表面处理，待涂装的混凝土表面的缺陷应进行修补，不得附着海洋生物、碎屑、灰尘和油污等。</w:t>
      </w:r>
    </w:p>
    <w:p w14:paraId="1E6342D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3涂装前可采用混凝土含水率测定仪表面含水率，表面含水率不应大于6%。</w:t>
      </w:r>
    </w:p>
    <w:p w14:paraId="25CB936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4混凝土表面涂层应逐道涂装，每道涂装厚度、涂装间隔应满足涂料产品说明书的要求。</w:t>
      </w:r>
    </w:p>
    <w:p w14:paraId="0914E3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9.3.4深远海风电场混凝土的硅烷浸渍施工控制应符合下列规定：</w:t>
      </w:r>
    </w:p>
    <w:p w14:paraId="424953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1实施硅烷浸渍的混凝土龄期不宜小于28d，因工程需要缩短涂装龄期时应经试验论证；</w:t>
      </w:r>
    </w:p>
    <w:p w14:paraId="5F6F6B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2待浸渍的混凝土表面的缺陷应进行修补，不得附着海洋生物、碎屑、灰尘、油污和影响硅烷浸渍的混凝土养护剂等；</w:t>
      </w:r>
    </w:p>
    <w:p w14:paraId="05A3E9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3浸渍时混凝土表面应为洁净面干状态，表面处理质量检查和含水率检测应全部满足规定要求后方可进行浸渍施工；</w:t>
      </w:r>
    </w:p>
    <w:p w14:paraId="4817D6D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4硅烷材料在施工中不得以溶剂或其他液体稀释使用；</w:t>
      </w:r>
    </w:p>
    <w:p w14:paraId="631451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5硅烷浸渍施工应自下而上进行，每道硅烷材料用量和浸渍时间间隔应满足小区试验结果及设计要求；</w:t>
      </w:r>
    </w:p>
    <w:p w14:paraId="10F4845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6液体硅烷材料用量不宜小于400mL/㎡，膏体硅烷材料用量不宜小于300g/㎡；</w:t>
      </w:r>
    </w:p>
    <w:p w14:paraId="6E3D75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7硅烷浸渍应避免与临近的橡胶支座、沥青材料和接口密封件等接触。</w:t>
      </w:r>
    </w:p>
    <w:p w14:paraId="25F27E03">
      <w:pPr>
        <w:keepNext w:val="0"/>
        <w:keepLines w:val="0"/>
        <w:widowControl/>
        <w:suppressLineNumbers w:val="0"/>
        <w:jc w:val="left"/>
        <w:rPr>
          <w:rFonts w:hint="default" w:ascii="宋体" w:hAnsi="宋体" w:eastAsia="宋体" w:cs="宋体"/>
          <w:highlight w:val="none"/>
          <w:lang w:val="en-US" w:eastAsia="zh-CN"/>
        </w:rPr>
      </w:pPr>
      <w:r>
        <w:rPr>
          <w:rFonts w:hint="eastAsia" w:ascii="宋体" w:hAnsi="宋体" w:eastAsia="宋体" w:cs="宋体"/>
          <w:highlight w:val="none"/>
          <w:lang w:val="en-US" w:eastAsia="zh-CN"/>
        </w:rPr>
        <w:t>9.3.5深远海风电场混凝土表面涂层</w:t>
      </w:r>
      <w:r>
        <w:rPr>
          <w:rFonts w:ascii="CIDFont" w:hAnsi="CIDFont" w:eastAsia="CIDFont" w:cs="CIDFont"/>
          <w:color w:val="000000"/>
          <w:kern w:val="0"/>
          <w:sz w:val="24"/>
          <w:szCs w:val="24"/>
          <w:highlight w:val="none"/>
          <w:lang w:val="en-US" w:eastAsia="zh-CN" w:bidi="ar"/>
        </w:rPr>
        <w:t>干膜厚度、表面粘结力及抗氯离子渗透性</w:t>
      </w:r>
      <w:r>
        <w:rPr>
          <w:rFonts w:hint="eastAsia" w:ascii="宋体" w:hAnsi="宋体" w:eastAsia="宋体" w:cs="宋体"/>
          <w:highlight w:val="none"/>
          <w:lang w:val="en-US" w:eastAsia="zh-CN"/>
        </w:rPr>
        <w:t>应满足设计要求。</w:t>
      </w:r>
    </w:p>
    <w:p w14:paraId="62461152">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黑体" w:hAnsi="黑体" w:eastAsia="黑体"/>
          <w:highlight w:val="none"/>
          <w:lang w:val="en-US" w:eastAsia="zh-CN"/>
        </w:rPr>
      </w:pPr>
      <w:r>
        <w:rPr>
          <w:rFonts w:hint="eastAsia" w:ascii="黑体" w:hAnsi="黑体" w:eastAsia="黑体"/>
          <w:highlight w:val="none"/>
          <w:lang w:val="en-US" w:eastAsia="zh-CN"/>
        </w:rPr>
        <w:t>9.4阴极保护</w:t>
      </w:r>
    </w:p>
    <w:p w14:paraId="7770C3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9.4.1深远海风电场钢结构阴极保护可采用外加电流保护和牺牲阳极保护。</w:t>
      </w:r>
    </w:p>
    <w:p w14:paraId="02A1A0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9.4.2采用外加电流保护，应符合下列规定：</w:t>
      </w:r>
    </w:p>
    <w:p w14:paraId="757FFB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w:t>
      </w:r>
      <w:r>
        <w:rPr>
          <w:rFonts w:hint="default" w:ascii="宋体" w:hAnsi="宋体" w:eastAsia="宋体" w:cs="宋体"/>
          <w:b w:val="0"/>
          <w:bCs w:val="0"/>
          <w:highlight w:val="none"/>
          <w:lang w:val="en-US" w:eastAsia="zh-CN"/>
        </w:rPr>
        <w:t>参比电极与保护套管组装完毕后应进行绝缘密封，其安装位置及安装方式应满足设计要求。</w:t>
      </w:r>
    </w:p>
    <w:p w14:paraId="158ABD3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w:t>
      </w:r>
      <w:r>
        <w:rPr>
          <w:rFonts w:hint="default" w:ascii="宋体" w:hAnsi="宋体" w:eastAsia="宋体" w:cs="宋体"/>
          <w:b w:val="0"/>
          <w:bCs w:val="0"/>
          <w:highlight w:val="none"/>
          <w:lang w:val="en-US" w:eastAsia="zh-CN"/>
        </w:rPr>
        <w:t>参比电极及其电缆安装、敷设完毕后，应对测量线路的连续性、测量读数的偏差进行校核。</w:t>
      </w:r>
    </w:p>
    <w:p w14:paraId="75B631C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参比电极屏蔽层的接地可采用与测量仪器金属外壳连接的方式，也可另设专用接地极，其接地点应进行防水密封。</w:t>
      </w:r>
    </w:p>
    <w:p w14:paraId="7F74A0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4</w:t>
      </w:r>
      <w:r>
        <w:rPr>
          <w:rFonts w:hint="default" w:ascii="宋体" w:hAnsi="宋体" w:eastAsia="宋体" w:cs="宋体"/>
          <w:b w:val="0"/>
          <w:bCs w:val="0"/>
          <w:highlight w:val="none"/>
          <w:lang w:val="en-US" w:eastAsia="zh-CN"/>
        </w:rPr>
        <w:t>辅助阳极外观、尺寸，阳极自带连接电缆的规格、长度，阳极接头及其绝缘密封的完整性应满足设计要求。绝缘缺陷或损伤应进行及时修复。</w:t>
      </w:r>
    </w:p>
    <w:p w14:paraId="0901B17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w:t>
      </w:r>
      <w:r>
        <w:rPr>
          <w:rFonts w:hint="default" w:ascii="宋体" w:hAnsi="宋体" w:eastAsia="宋体" w:cs="宋体"/>
          <w:b w:val="0"/>
          <w:bCs w:val="0"/>
          <w:highlight w:val="none"/>
          <w:lang w:val="en-US" w:eastAsia="zh-CN"/>
        </w:rPr>
        <w:t>辅助阳极及其屏蔽层的安装应满足设计要求，并应根据阳极的规格、品种和安装方式采取相应的防护措施。辅助阳极的连接电缆水中部分应留有足够的长度余量。</w:t>
      </w:r>
    </w:p>
    <w:p w14:paraId="492D0A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6</w:t>
      </w:r>
      <w:r>
        <w:rPr>
          <w:rFonts w:hint="default" w:ascii="宋体" w:hAnsi="宋体" w:eastAsia="宋体" w:cs="宋体"/>
          <w:b w:val="0"/>
          <w:bCs w:val="0"/>
          <w:highlight w:val="none"/>
          <w:lang w:val="en-US" w:eastAsia="zh-CN"/>
        </w:rPr>
        <w:t>测量电缆可采用直接与被保护钢结构连接或与钢筋连接的方式，其连接方法应确保连接点坚固、耐久，接地点不得与阴极保护的阴极接地点共用或紧靠，并应做好绝缘密封。</w:t>
      </w:r>
    </w:p>
    <w:p w14:paraId="20AD5BE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7</w:t>
      </w:r>
      <w:r>
        <w:rPr>
          <w:rFonts w:hint="default" w:ascii="宋体" w:hAnsi="宋体" w:eastAsia="宋体" w:cs="宋体"/>
          <w:b w:val="0"/>
          <w:bCs w:val="0"/>
          <w:highlight w:val="none"/>
          <w:lang w:val="en-US" w:eastAsia="zh-CN"/>
        </w:rPr>
        <w:t>电位监控仪器的安装位置及安装方法应符合设计和产品说明书的要求。</w:t>
      </w:r>
    </w:p>
    <w:p w14:paraId="70A11B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9.3.3在外加电流保护施工完毕，提交竣工验收之前，应至少进行连续一个月的通电调试。发现保护电位达不到设计要求时，应及时采取补救措施。</w:t>
      </w:r>
    </w:p>
    <w:p w14:paraId="3F9744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9.3.4采用牺牲阳极保护，应符合下列规定：</w:t>
      </w:r>
    </w:p>
    <w:p w14:paraId="4885C7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w:t>
      </w:r>
      <w:r>
        <w:rPr>
          <w:rFonts w:hint="default" w:ascii="宋体" w:hAnsi="宋体" w:eastAsia="宋体" w:cs="宋体"/>
          <w:b w:val="0"/>
          <w:bCs w:val="0"/>
          <w:highlight w:val="none"/>
          <w:lang w:val="en-US" w:eastAsia="zh-CN"/>
        </w:rPr>
        <w:t>牺牲阳极储存和搬运过程中应避免受到污染。安装前应对牺牲阳极的尺寸、质量、表面状态和化学成分进行现场检查，尺寸、质量和表面质量应符合现行国家标准《铝-锌-铟系合金牺牲阳极》GB/T 4948、《锌合金牺牲阳极》GB/T 4950的相关规定。</w:t>
      </w:r>
    </w:p>
    <w:p w14:paraId="277B01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w:t>
      </w:r>
      <w:r>
        <w:rPr>
          <w:rFonts w:hint="default" w:ascii="宋体" w:hAnsi="宋体" w:eastAsia="宋体" w:cs="宋体"/>
          <w:b w:val="0"/>
          <w:bCs w:val="0"/>
          <w:highlight w:val="none"/>
          <w:lang w:val="en-US" w:eastAsia="zh-CN"/>
        </w:rPr>
        <w:t>牺牲阳极的短路连接采用水下电焊连接时，其焊接长度、焊缝高度、所用的水下焊条及焊接工艺应满足设计要求，并应由取得合格证书的水下电焊工进行焊接。</w:t>
      </w:r>
    </w:p>
    <w:p w14:paraId="27FD57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9.3.5牺牲阳极施工完毕后，应对被保护钢结构进行一次全面保护电位检测。</w:t>
      </w:r>
    </w:p>
    <w:p w14:paraId="4D774C9C">
      <w:pPr>
        <w:numPr>
          <w:ilvl w:val="0"/>
          <w:numId w:val="0"/>
        </w:numPr>
        <w:bidi w:val="0"/>
        <w:rPr>
          <w:rFonts w:hint="default"/>
          <w:lang w:val="en-US" w:eastAsia="zh-CN"/>
        </w:rPr>
      </w:pPr>
      <w:r>
        <w:rPr>
          <w:rFonts w:hint="eastAsia"/>
          <w:lang w:val="en-US" w:eastAsia="zh-CN"/>
        </w:rPr>
        <w:t>构进行一次全面保护电位检测。</w:t>
      </w:r>
    </w:p>
    <w:p w14:paraId="36786F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6356FB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1944A8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4BC404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558ED5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5A7138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571214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69956E52">
      <w:pPr>
        <w:rPr>
          <w:rFonts w:hint="eastAsia"/>
        </w:rPr>
      </w:pPr>
    </w:p>
    <w:p w14:paraId="1C854B31">
      <w:pPr>
        <w:rPr>
          <w:rFonts w:hint="eastAsia"/>
        </w:rPr>
      </w:pPr>
    </w:p>
    <w:p w14:paraId="145E1D94">
      <w:pPr>
        <w:rPr>
          <w:rFonts w:hint="eastAsia"/>
        </w:rPr>
      </w:pPr>
    </w:p>
    <w:p w14:paraId="1E04F8A6">
      <w:pPr>
        <w:rPr>
          <w:rFonts w:hint="eastAsia"/>
        </w:rPr>
      </w:pPr>
    </w:p>
    <w:p w14:paraId="3E80CA4C">
      <w:pPr>
        <w:rPr>
          <w:rFonts w:hint="eastAsia"/>
        </w:rPr>
      </w:pPr>
    </w:p>
    <w:p w14:paraId="6FD6F3A9">
      <w:pPr>
        <w:rPr>
          <w:rFonts w:hint="eastAsia"/>
        </w:rPr>
      </w:pPr>
    </w:p>
    <w:p w14:paraId="1774B472">
      <w:pPr>
        <w:rPr>
          <w:rFonts w:hint="eastAsia"/>
        </w:rPr>
      </w:pPr>
    </w:p>
    <w:p w14:paraId="65503332">
      <w:pPr>
        <w:rPr>
          <w:rFonts w:hint="eastAsia"/>
        </w:rPr>
      </w:pPr>
    </w:p>
    <w:p w14:paraId="24334B33">
      <w:pPr>
        <w:rPr>
          <w:rFonts w:hint="eastAsia"/>
        </w:rPr>
      </w:pPr>
    </w:p>
    <w:p w14:paraId="2DCC8773">
      <w:pPr>
        <w:rPr>
          <w:rFonts w:hint="eastAsia"/>
        </w:rPr>
      </w:pPr>
    </w:p>
    <w:p w14:paraId="03A26CA1">
      <w:pPr>
        <w:rPr>
          <w:rFonts w:hint="eastAsia"/>
        </w:rPr>
      </w:pPr>
    </w:p>
    <w:p w14:paraId="2059B660">
      <w:pPr>
        <w:rPr>
          <w:rFonts w:hint="eastAsia"/>
        </w:rPr>
      </w:pPr>
    </w:p>
    <w:p w14:paraId="298543E5">
      <w:pPr>
        <w:rPr>
          <w:rFonts w:hint="eastAsia"/>
        </w:rPr>
      </w:pPr>
    </w:p>
    <w:p w14:paraId="1C5E3B51">
      <w:pPr>
        <w:rPr>
          <w:rFonts w:hint="eastAsia"/>
        </w:rPr>
      </w:pPr>
    </w:p>
    <w:p w14:paraId="1B446AFF">
      <w:pPr>
        <w:rPr>
          <w:rFonts w:hint="eastAsia"/>
        </w:rPr>
      </w:pPr>
    </w:p>
    <w:p w14:paraId="32018678">
      <w:pPr>
        <w:rPr>
          <w:rFonts w:hint="eastAsia"/>
        </w:rPr>
      </w:pPr>
    </w:p>
    <w:p w14:paraId="0959B197">
      <w:pPr>
        <w:rPr>
          <w:rFonts w:hint="eastAsia"/>
        </w:rPr>
      </w:pPr>
    </w:p>
    <w:p w14:paraId="738D2D3A">
      <w:pPr>
        <w:rPr>
          <w:rFonts w:hint="eastAsia"/>
        </w:rPr>
      </w:pPr>
    </w:p>
    <w:p w14:paraId="38856CAB">
      <w:pPr>
        <w:rPr>
          <w:rFonts w:hint="eastAsia"/>
        </w:rPr>
      </w:pPr>
    </w:p>
    <w:p w14:paraId="5220DF7F">
      <w:pPr>
        <w:pStyle w:val="2"/>
        <w:rPr>
          <w:rFonts w:hint="eastAsia"/>
        </w:rPr>
      </w:pPr>
    </w:p>
    <w:p w14:paraId="6AA6A0DB">
      <w:pPr>
        <w:rPr>
          <w:rFonts w:hint="eastAsia"/>
        </w:rPr>
      </w:pPr>
    </w:p>
    <w:p w14:paraId="0FA7BF17">
      <w:pPr>
        <w:rPr>
          <w:rFonts w:hint="eastAsia"/>
        </w:rPr>
      </w:pPr>
    </w:p>
    <w:p w14:paraId="2B69EDA5">
      <w:pPr>
        <w:rPr>
          <w:rFonts w:hint="eastAsia"/>
        </w:rPr>
      </w:pPr>
    </w:p>
    <w:p w14:paraId="49BF9230">
      <w:pPr>
        <w:rPr>
          <w:rFonts w:hint="eastAsia"/>
        </w:rPr>
      </w:pPr>
    </w:p>
    <w:p w14:paraId="1A1F3AD9">
      <w:pPr>
        <w:rPr>
          <w:rFonts w:hint="eastAsia"/>
        </w:rPr>
      </w:pPr>
    </w:p>
    <w:p w14:paraId="5C5C543E">
      <w:pPr>
        <w:rPr>
          <w:rFonts w:hint="eastAsia"/>
        </w:rPr>
      </w:pPr>
    </w:p>
    <w:p w14:paraId="3748CDCE">
      <w:pPr>
        <w:rPr>
          <w:rFonts w:hint="eastAsia"/>
        </w:rPr>
      </w:pPr>
    </w:p>
    <w:p w14:paraId="0A2F9BE6">
      <w:pPr>
        <w:rPr>
          <w:rFonts w:hint="eastAsia"/>
        </w:rPr>
      </w:pPr>
    </w:p>
    <w:p w14:paraId="49478D0D">
      <w:pPr>
        <w:rPr>
          <w:rFonts w:hint="eastAsia"/>
        </w:rPr>
      </w:pPr>
    </w:p>
    <w:p w14:paraId="4A1C8BFC">
      <w:pPr>
        <w:rPr>
          <w:rFonts w:hint="eastAsia"/>
        </w:rPr>
      </w:pPr>
    </w:p>
    <w:p w14:paraId="2CBDD7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10</w:t>
      </w:r>
      <w:r>
        <w:rPr>
          <w:rFonts w:hint="eastAsia" w:ascii="宋体" w:hAnsi="宋体" w:eastAsia="宋体" w:cs="宋体"/>
          <w:color w:val="000000"/>
          <w:sz w:val="28"/>
          <w:szCs w:val="28"/>
        </w:rPr>
        <w:t>防冲刷保护</w:t>
      </w:r>
    </w:p>
    <w:p w14:paraId="10C39D7E">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10.1 一般规定</w:t>
      </w:r>
    </w:p>
    <w:p w14:paraId="52E22C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10.1.1 防冲刷方案可采用抛石、砂被和砂袋、固化土、混凝土联锁排及其他措施。防冲刷适用条件可按表10.1.1选择，使用其他创新性的技术方法和措施前应进行论证。不同防冲刷方案可联合使用。</w:t>
      </w:r>
    </w:p>
    <w:p w14:paraId="124C45D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表10.1.1防冲刷方案适用条件</w:t>
      </w:r>
    </w:p>
    <w:tbl>
      <w:tblPr>
        <w:tblStyle w:val="15"/>
        <w:tblpPr w:leftFromText="180" w:rightFromText="180" w:vertAnchor="text" w:horzAnchor="page" w:tblpX="1883" w:tblpY="1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6765"/>
      </w:tblGrid>
      <w:tr w14:paraId="65475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noWrap w:val="0"/>
            <w:vAlign w:val="center"/>
          </w:tcPr>
          <w:p w14:paraId="11C76CB8">
            <w:pPr>
              <w:pStyle w:val="8"/>
              <w:bidi w:val="0"/>
              <w:rPr>
                <w:rFonts w:hint="default"/>
                <w:vertAlign w:val="baseline"/>
              </w:rPr>
            </w:pPr>
            <w:r>
              <w:rPr>
                <w:rFonts w:hint="default"/>
              </w:rPr>
              <w:t>防冲刷方案</w:t>
            </w:r>
          </w:p>
        </w:tc>
        <w:tc>
          <w:tcPr>
            <w:tcW w:w="6765" w:type="dxa"/>
            <w:noWrap w:val="0"/>
            <w:vAlign w:val="center"/>
          </w:tcPr>
          <w:p w14:paraId="666EF5E2">
            <w:pPr>
              <w:pStyle w:val="8"/>
              <w:bidi w:val="0"/>
              <w:rPr>
                <w:rFonts w:hint="default"/>
                <w:vertAlign w:val="baseline"/>
              </w:rPr>
            </w:pPr>
            <w:r>
              <w:rPr>
                <w:rFonts w:hint="default"/>
              </w:rPr>
              <w:t>适用条件</w:t>
            </w:r>
          </w:p>
        </w:tc>
      </w:tr>
      <w:tr w14:paraId="05D01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noWrap w:val="0"/>
            <w:vAlign w:val="center"/>
          </w:tcPr>
          <w:p w14:paraId="343EE4D4">
            <w:pPr>
              <w:pStyle w:val="8"/>
              <w:bidi w:val="0"/>
              <w:rPr>
                <w:rFonts w:hint="eastAsia" w:eastAsia="宋体"/>
                <w:vertAlign w:val="baseline"/>
                <w:lang w:val="en-US" w:eastAsia="zh-CN"/>
              </w:rPr>
            </w:pPr>
            <w:r>
              <w:rPr>
                <w:rFonts w:hint="eastAsia"/>
                <w:lang w:val="en-US" w:eastAsia="zh-CN"/>
              </w:rPr>
              <w:t>抛石</w:t>
            </w:r>
          </w:p>
        </w:tc>
        <w:tc>
          <w:tcPr>
            <w:tcW w:w="6765" w:type="dxa"/>
            <w:noWrap w:val="0"/>
            <w:vAlign w:val="center"/>
          </w:tcPr>
          <w:p w14:paraId="4E7CC50E">
            <w:pPr>
              <w:pStyle w:val="8"/>
              <w:bidi w:val="0"/>
              <w:rPr>
                <w:rFonts w:hint="default"/>
                <w:vertAlign w:val="baseline"/>
              </w:rPr>
            </w:pPr>
            <w:r>
              <w:rPr>
                <w:rFonts w:hint="default"/>
              </w:rPr>
              <w:t>底质为砂质、混砂质的防冲刷区域。</w:t>
            </w:r>
          </w:p>
        </w:tc>
      </w:tr>
      <w:tr w14:paraId="434C9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noWrap w:val="0"/>
            <w:vAlign w:val="center"/>
          </w:tcPr>
          <w:p w14:paraId="12DAEFDC">
            <w:pPr>
              <w:pStyle w:val="8"/>
              <w:bidi w:val="0"/>
              <w:rPr>
                <w:rFonts w:hint="eastAsia" w:eastAsia="宋体"/>
                <w:vertAlign w:val="baseline"/>
                <w:lang w:eastAsia="zh-CN"/>
              </w:rPr>
            </w:pPr>
            <w:r>
              <w:rPr>
                <w:rFonts w:hint="default"/>
              </w:rPr>
              <w:t>砂被和</w:t>
            </w:r>
            <w:r>
              <w:rPr>
                <w:rFonts w:hint="eastAsia"/>
                <w:lang w:val="en-US" w:eastAsia="zh-CN"/>
              </w:rPr>
              <w:t>砂</w:t>
            </w:r>
            <w:r>
              <w:rPr>
                <w:rFonts w:hint="eastAsia"/>
                <w:lang w:eastAsia="zh-CN"/>
              </w:rPr>
              <w:t>袋</w:t>
            </w:r>
          </w:p>
        </w:tc>
        <w:tc>
          <w:tcPr>
            <w:tcW w:w="6765" w:type="dxa"/>
            <w:noWrap w:val="0"/>
            <w:vAlign w:val="center"/>
          </w:tcPr>
          <w:p w14:paraId="2FC11CA3">
            <w:pPr>
              <w:pStyle w:val="8"/>
              <w:bidi w:val="0"/>
              <w:rPr>
                <w:rFonts w:hint="default"/>
                <w:vertAlign w:val="baseline"/>
              </w:rPr>
            </w:pPr>
            <w:r>
              <w:rPr>
                <w:rFonts w:hint="default"/>
              </w:rPr>
              <w:t>水深较深、缺乏石料、地形较平坦和海床变形小的防冲刷区域。</w:t>
            </w:r>
          </w:p>
        </w:tc>
      </w:tr>
      <w:tr w14:paraId="6083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noWrap w:val="0"/>
            <w:vAlign w:val="center"/>
          </w:tcPr>
          <w:p w14:paraId="5C26EB02">
            <w:pPr>
              <w:pStyle w:val="8"/>
              <w:bidi w:val="0"/>
              <w:rPr>
                <w:rFonts w:hint="default"/>
                <w:vertAlign w:val="baseline"/>
              </w:rPr>
            </w:pPr>
            <w:r>
              <w:rPr>
                <w:rFonts w:hint="default"/>
              </w:rPr>
              <w:t>固化土</w:t>
            </w:r>
          </w:p>
        </w:tc>
        <w:tc>
          <w:tcPr>
            <w:tcW w:w="6765" w:type="dxa"/>
            <w:noWrap w:val="0"/>
            <w:vAlign w:val="center"/>
          </w:tcPr>
          <w:p w14:paraId="0F63331A">
            <w:pPr>
              <w:pStyle w:val="8"/>
              <w:bidi w:val="0"/>
              <w:rPr>
                <w:rFonts w:hint="default"/>
                <w:vertAlign w:val="baseline"/>
              </w:rPr>
            </w:pPr>
            <w:r>
              <w:rPr>
                <w:rFonts w:hint="default"/>
              </w:rPr>
              <w:t>底质为淤泥、淤泥质土、黏土、粉土或砂性土的防冲刷区域。</w:t>
            </w:r>
          </w:p>
        </w:tc>
      </w:tr>
      <w:tr w14:paraId="063E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57" w:type="dxa"/>
            <w:noWrap w:val="0"/>
            <w:vAlign w:val="center"/>
          </w:tcPr>
          <w:p w14:paraId="415BFCAC">
            <w:pPr>
              <w:pStyle w:val="8"/>
              <w:bidi w:val="0"/>
              <w:rPr>
                <w:rFonts w:hint="default"/>
                <w:vertAlign w:val="baseline"/>
              </w:rPr>
            </w:pPr>
            <w:r>
              <w:rPr>
                <w:rFonts w:hint="default"/>
              </w:rPr>
              <w:t>混凝土联锁排</w:t>
            </w:r>
          </w:p>
        </w:tc>
        <w:tc>
          <w:tcPr>
            <w:tcW w:w="6765" w:type="dxa"/>
            <w:noWrap w:val="0"/>
            <w:vAlign w:val="center"/>
          </w:tcPr>
          <w:p w14:paraId="2C52983F">
            <w:pPr>
              <w:pStyle w:val="8"/>
              <w:bidi w:val="0"/>
              <w:rPr>
                <w:rFonts w:hint="default"/>
                <w:vertAlign w:val="baseline"/>
              </w:rPr>
            </w:pPr>
            <w:r>
              <w:rPr>
                <w:rFonts w:hint="default"/>
              </w:rPr>
              <w:t>地形较复杂、流速较大的防冲刷区域。</w:t>
            </w:r>
          </w:p>
        </w:tc>
      </w:tr>
    </w:tbl>
    <w:p w14:paraId="222FC3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10.1.2防冲刷方案宜通过在有代表性的区域采用现场试验或试验性施工等方式检验。</w:t>
      </w:r>
    </w:p>
    <w:p w14:paraId="6410AA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10.1.3对不设防冲刷的风电机组基础应考虑冲刷对结构的影响预留冲刷深度;对设置防冲刷的风电机组基础应根据防冲刷方案的可靠性预留冲刷深度。</w:t>
      </w:r>
    </w:p>
    <w:p w14:paraId="2C4F9D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10.1.4防冲刷的材料和结构应满足以下规定：</w:t>
      </w:r>
    </w:p>
    <w:p w14:paraId="0705B1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1坚固耐久，抗冲刷、抗磨损性能强。</w:t>
      </w:r>
    </w:p>
    <w:p w14:paraId="12E190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2适应海床变形能力强。</w:t>
      </w:r>
    </w:p>
    <w:p w14:paraId="377D381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3便于施工、修复、加固。</w:t>
      </w:r>
    </w:p>
    <w:p w14:paraId="5D7699C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4就近取材、经济合理。</w:t>
      </w:r>
    </w:p>
    <w:p w14:paraId="6828F46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5 符合相关国家、地方环境保护要求。</w:t>
      </w:r>
    </w:p>
    <w:p w14:paraId="3BC1E7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10.1.5防冲刷方案应评估对风电机组基础周围海底电缆敷设、运行和维护的影响。基础周边海底电缆的防冲刷设计应符合现行业标准《海上风电场交流海底电缆选型敷设技术导则》NB/T31117的有关规定。</w:t>
      </w:r>
    </w:p>
    <w:p w14:paraId="3DBA9E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10.1.6防冲刷措施宜在基础主体结构安装完成后及时施工。</w:t>
      </w:r>
    </w:p>
    <w:p w14:paraId="615C65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10.1.7浅基础安装完成后应及时采取措施防止基础底部和附近土体冲刷引起侵蚀和掏空。</w:t>
      </w:r>
    </w:p>
    <w:p w14:paraId="5C90BF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10.1.8防冲刷施工前，宜完成下列工作：</w:t>
      </w:r>
    </w:p>
    <w:p w14:paraId="0892460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1开展基础周边海床测量。</w:t>
      </w:r>
    </w:p>
    <w:p w14:paraId="7F369E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2分析工程特点、水文条件、气象条件对防冲刷施工工艺的影响。</w:t>
      </w:r>
    </w:p>
    <w:p w14:paraId="05B254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3收集短期水文、气象预报资料，进行施工窗口期分析。</w:t>
      </w:r>
    </w:p>
    <w:p w14:paraId="3D349B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10.1.9防冲刷施工不得破坏风电机组基础主体结构、防腐蚀系统、附属构件和基础周边海底电缆。</w:t>
      </w:r>
    </w:p>
    <w:p w14:paraId="1992A5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10.1.10防冲刷的施工偏差应符合现行行业标准《海上风电场土建工程施工质量检验与评定标准》NB/T11655-2024的有关规定。</w:t>
      </w:r>
    </w:p>
    <w:p w14:paraId="1CC138A2">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10.2抛石</w:t>
      </w:r>
    </w:p>
    <w:p w14:paraId="6CA784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10.2.1</w:t>
      </w:r>
      <w:r>
        <w:rPr>
          <w:rFonts w:hint="default" w:ascii="宋体" w:hAnsi="宋体" w:eastAsia="宋体" w:cs="宋体"/>
          <w:b w:val="0"/>
          <w:bCs w:val="0"/>
          <w:highlight w:val="none"/>
          <w:lang w:val="en-US" w:eastAsia="zh-CN"/>
        </w:rPr>
        <w:t>每批到达现场的石料均应符合设计及规范要求，并应按规定进行检验验收。石料应未风化、不成片状、无严重裂纹，饱和水抗压强度：对夯实基床不低于50MPa，对不夯实基床不低于30MPa</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"http://www.dllsk.gov.cn/down.asp?FileName=pdf/2025-2/2025212115711723.pdf" \l "9#3"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。石料规格和质量应满足设计要求。</w:t>
      </w:r>
    </w:p>
    <w:p w14:paraId="36E7DD0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10.2.</w:t>
      </w:r>
      <w:r>
        <w:rPr>
          <w:rFonts w:hint="default" w:ascii="宋体" w:hAnsi="宋体" w:eastAsia="宋体" w:cs="宋体"/>
          <w:b w:val="0"/>
          <w:bCs w:val="0"/>
          <w:highlight w:val="none"/>
          <w:lang w:val="en-US" w:eastAsia="zh-CN"/>
        </w:rPr>
        <w:t>2抛石保护宜分为填充层和护面层，其粒径宜根据物理模型试验确定；无试验时，可根据附近工程经验取值。填充层石料中值粒径宜为150mm～200mm，单个块石最大粒径不宜超过250mm；护面层石料中值粒径宜为250mm～350mm，单个块石最大粒径不宜超过400mm</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"https://www.csee.org.cn/pic/u/cms/www/202501/15160104tfm4.docx" \l "3#2"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w:t>
      </w:r>
    </w:p>
    <w:p w14:paraId="52A2880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10.2.3</w:t>
      </w:r>
      <w:r>
        <w:rPr>
          <w:rFonts w:hint="default" w:ascii="宋体" w:hAnsi="宋体" w:eastAsia="宋体" w:cs="宋体"/>
          <w:b w:val="0"/>
          <w:bCs w:val="0"/>
          <w:highlight w:val="none"/>
          <w:lang w:val="en-US" w:eastAsia="zh-CN"/>
        </w:rPr>
        <w:t>抛石施工前，应对抛石区域进行多波束测深系统扫测</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"https://www.cinnet.cn/zh-hans/system/files/files/chen_guan_sui_dao_xian_pu_fa_ji_chu_she_ji_yu_shi_gong_ji_zhu_gui_fan_.pdf" \l "4#3"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。对基槽断面尺寸、标高及回淤沉积物进行检查，回淤沉积物厚度大于300mm时应及时清淤</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"http://www.dllsk.gov.cn/down.asp?FileName=pdf/2025-2/2025212115711723.pdf" \l "9#3"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。抛石前应通过试抛掌握块石漂流与水深、流速的关系，确定抛石船驻位</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"http://www.dllsk.gov.cn/down.asp?FileName=pdf/2025-2/2025212115711723.pdf" \l "9#3"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w:t>
      </w:r>
    </w:p>
    <w:p w14:paraId="4BAD641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10.2.4</w:t>
      </w:r>
      <w:r>
        <w:rPr>
          <w:rFonts w:hint="default" w:ascii="宋体" w:hAnsi="宋体" w:eastAsia="宋体" w:cs="宋体"/>
          <w:b w:val="0"/>
          <w:bCs w:val="0"/>
          <w:highlight w:val="none"/>
          <w:lang w:val="en-US" w:eastAsia="zh-CN"/>
        </w:rPr>
        <w:t>抛石施工应根据设计要求、施工能力、潮位波浪影响，确定分层及分段施工顺序</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"https://www.cinnet.cn/zh-hans/system/files/files/chen_guan_sui_dao_xian_pu_fa_ji_chu_she_ji_yu_shi_gong_ji_zhu_gui_fan_.pdf" \l "4#3"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。施工船舶应综合考虑水深、水流和波浪等因素进行驻位</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"https://www.cinnet.cn/zh-hans/system/files/files/chen_guan_sui_dao_xian_pu_fa_ji_chu_she_ji_yu_shi_gong_ji_zhu_gui_fan_.pdf" \l "4#3"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。抛石过程中应勤对标，确保抛石位置和尺度符合设计要求</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"http://www.dllsk.gov.cn/down.asp?FileName=pdf/2025-2/2025212115711723.pdf" \l "9#3"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w:t>
      </w:r>
    </w:p>
    <w:p w14:paraId="19D151F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10.2.5</w:t>
      </w:r>
      <w:r>
        <w:rPr>
          <w:rFonts w:hint="default" w:ascii="宋体" w:hAnsi="宋体" w:eastAsia="宋体" w:cs="宋体"/>
          <w:b w:val="0"/>
          <w:bCs w:val="0"/>
          <w:highlight w:val="none"/>
          <w:lang w:val="en-US" w:eastAsia="zh-CN"/>
        </w:rPr>
        <w:t>抛石方法可采用水上机具</w:t>
      </w:r>
      <w:r>
        <w:rPr>
          <w:rFonts w:hint="eastAsia" w:ascii="宋体" w:hAnsi="宋体" w:eastAsia="宋体" w:cs="宋体"/>
          <w:b w:val="0"/>
          <w:bCs w:val="0"/>
          <w:highlight w:val="none"/>
          <w:lang w:val="en-US" w:eastAsia="zh-CN"/>
        </w:rPr>
        <w:t>，</w:t>
      </w:r>
      <w:r>
        <w:rPr>
          <w:rFonts w:hint="default" w:ascii="宋体" w:hAnsi="宋体" w:eastAsia="宋体" w:cs="宋体"/>
          <w:b w:val="0"/>
          <w:bCs w:val="0"/>
          <w:highlight w:val="none"/>
          <w:lang w:val="en-US" w:eastAsia="zh-CN"/>
        </w:rPr>
        <w:t>人力抛填或抛石船抛填，宜优先采用起重抛石船</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"http://www.dllsk.gov.cn/down.asp?FileName=pdf/2025-2/2025212115711723.pdf" \l "9#3"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。块石抛填宜采用溜管抛填，并设置高度计实时检测块石顶面标高</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"https://www.cinnet.cn/zh-hans/system/files/files/chen_guan_sui_dao_xian_pu_fa_ji_chu_she_ji_yu_shi_gong_ji_zhu_gui_fan_.pdf" \l "4#3"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。抛石施工应设立导标，确保抛石精度</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"http://www.dllsk.gov.cn/down.asp?FileName=pdf/2025-2/2025212115711723.pdf" \l "9#3"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w:t>
      </w:r>
    </w:p>
    <w:p w14:paraId="07A9FE8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10.2.6</w:t>
      </w:r>
      <w:r>
        <w:rPr>
          <w:rFonts w:hint="default" w:ascii="宋体" w:hAnsi="宋体" w:eastAsia="宋体" w:cs="宋体"/>
          <w:b w:val="0"/>
          <w:bCs w:val="0"/>
          <w:highlight w:val="none"/>
          <w:lang w:val="en-US" w:eastAsia="zh-CN"/>
        </w:rPr>
        <w:t>抛石施工过程中，抛石顶面不得超过施工规定的高程，但不宜低于设计高程0.5m，抛石原则为宁低勿高</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"http://www.dllsk.gov.cn/down.asp?FileName=pdf/2025-2/2025212115711723.pdf" \l "9#3"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。粗抛高差宜控制在±300mm以内，细抛高差宜控制在0～300mm以内</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"http://www.dllsk.gov.cn/down.asp?FileName=pdf/2025-2/2025212115711723.pdf" \l "9#3"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。需预留夯沉量时，一般取抛石厚度的10%～12%</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"http://www.dllsk.gov.cn/down.asp?FileName=pdf/2025-2/2025212115711723.pdf" \l "9#3"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。当地基为软土时，在底部宜铺设0.3～0.5m厚的砾石或碎石作为反滤层</w:t>
      </w:r>
      <w:r>
        <w:rPr>
          <w:rFonts w:hint="default" w:ascii="宋体" w:hAnsi="宋体" w:eastAsia="宋体" w:cs="宋体"/>
          <w:b w:val="0"/>
          <w:bCs w:val="0"/>
          <w:highlight w:val="none"/>
          <w:lang w:val="en-US" w:eastAsia="zh-CN"/>
        </w:rPr>
        <w:fldChar w:fldCharType="begin"/>
      </w:r>
      <w:r>
        <w:rPr>
          <w:rFonts w:hint="default" w:ascii="宋体" w:hAnsi="宋体" w:eastAsia="宋体" w:cs="宋体"/>
          <w:b w:val="0"/>
          <w:bCs w:val="0"/>
          <w:highlight w:val="none"/>
          <w:lang w:val="en-US" w:eastAsia="zh-CN"/>
        </w:rPr>
        <w:instrText xml:space="preserve"> HYPERLINK "http://www.dllsk.gov.cn/down.asp?FileName=pdf/2025-2/2025212115711723.pdf" \l "9#3" \t "https://chat.deepseek.com/a/chat/s/_blank" </w:instrText>
      </w:r>
      <w:r>
        <w:rPr>
          <w:rFonts w:hint="default" w:ascii="宋体" w:hAnsi="宋体" w:eastAsia="宋体" w:cs="宋体"/>
          <w:b w:val="0"/>
          <w:bCs w:val="0"/>
          <w:highlight w:val="none"/>
          <w:lang w:val="en-US" w:eastAsia="zh-CN"/>
        </w:rPr>
        <w:fldChar w:fldCharType="separate"/>
      </w:r>
      <w:r>
        <w:rPr>
          <w:rFonts w:hint="default" w:ascii="宋体" w:hAnsi="宋体" w:eastAsia="宋体" w:cs="宋体"/>
          <w:b w:val="0"/>
          <w:bCs w:val="0"/>
          <w:highlight w:val="none"/>
          <w:lang w:val="en-US" w:eastAsia="zh-CN"/>
        </w:rPr>
        <w:fldChar w:fldCharType="end"/>
      </w:r>
      <w:r>
        <w:rPr>
          <w:rFonts w:hint="default" w:ascii="宋体" w:hAnsi="宋体" w:eastAsia="宋体" w:cs="宋体"/>
          <w:b w:val="0"/>
          <w:bCs w:val="0"/>
          <w:highlight w:val="none"/>
          <w:lang w:val="en-US" w:eastAsia="zh-CN"/>
        </w:rPr>
        <w:t>。</w:t>
      </w:r>
    </w:p>
    <w:p w14:paraId="4E49C15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10.2.7</w:t>
      </w:r>
      <w:r>
        <w:rPr>
          <w:rFonts w:hint="default" w:ascii="宋体" w:hAnsi="宋体" w:eastAsia="宋体" w:cs="宋体"/>
          <w:b w:val="0"/>
          <w:bCs w:val="0"/>
          <w:highlight w:val="none"/>
          <w:lang w:val="en-US" w:eastAsia="zh-CN"/>
        </w:rPr>
        <w:t>抛石施工完成后，抛石体顶面高程、平面位置、厚度及坡度等均应符合设计要求。施工过程中应及时进行水下地形测量，对未达到设计要求的区域，应进行补抛。</w:t>
      </w:r>
    </w:p>
    <w:p w14:paraId="0E4E802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10.2.8抛石</w:t>
      </w:r>
      <w:r>
        <w:rPr>
          <w:rFonts w:hint="default" w:ascii="宋体" w:hAnsi="宋体" w:eastAsia="宋体" w:cs="宋体"/>
          <w:b w:val="0"/>
          <w:bCs w:val="0"/>
          <w:highlight w:val="none"/>
          <w:lang w:val="en-US" w:eastAsia="zh-CN"/>
        </w:rPr>
        <w:t>施工完成后，应及时进行海床扫测，对未达到设计要求的区域，应进行补抛。抛石施工质量检验应满足相关标准要求</w:t>
      </w:r>
      <w:r>
        <w:rPr>
          <w:rFonts w:hint="eastAsia" w:ascii="宋体" w:hAnsi="宋体" w:eastAsia="宋体" w:cs="宋体"/>
          <w:b w:val="0"/>
          <w:bCs w:val="0"/>
          <w:highlight w:val="none"/>
          <w:lang w:val="en-US" w:eastAsia="zh-CN"/>
        </w:rPr>
        <w:t>。</w:t>
      </w:r>
    </w:p>
    <w:p w14:paraId="62D9F79C">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10.3砂被和砂袋</w:t>
      </w:r>
    </w:p>
    <w:p w14:paraId="399FD9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default" w:ascii="宋体" w:hAnsi="宋体" w:eastAsia="宋体" w:cs="宋体"/>
          <w:b w:val="0"/>
          <w:bCs w:val="0"/>
          <w:highlight w:val="none"/>
          <w:lang w:val="en-US" w:eastAsia="zh-CN"/>
        </w:rPr>
        <w:t>10.</w:t>
      </w: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1每批到达现场的土工布及砂料均应符合设计及规范要求，并应按规定进行检验验收。土工布应采用耐磨、抗老化、抗紫外线的聚丙烯或聚酯纤维编织布，其单位面积质量不宜低于380g/m²。砂料宜选用中粗砂，含泥量不应大于5%，粒径应满足设计要求。</w:t>
      </w:r>
    </w:p>
    <w:p w14:paraId="38A76C7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default" w:ascii="宋体" w:hAnsi="宋体" w:eastAsia="宋体" w:cs="宋体"/>
          <w:b w:val="0"/>
          <w:bCs w:val="0"/>
          <w:highlight w:val="none"/>
          <w:lang w:val="en-US" w:eastAsia="zh-CN"/>
        </w:rPr>
        <w:t>10.</w:t>
      </w: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2砂被和砂袋的加工制作应在陆域专用场地完成。加工缝制前应进行技术交底，明确袋体加工缝制要求。缝制过程中应按设计图纸及规范进行袋体加工质量检查，砂被及砂袋的尺寸规格应根据设计图纸、水深条件及施工部位综合确定。加工好的袋体应注明编号及尺寸，集中入库堆放并覆盖保护。</w:t>
      </w:r>
    </w:p>
    <w:p w14:paraId="0BF52C7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default" w:ascii="宋体" w:hAnsi="宋体" w:eastAsia="宋体" w:cs="宋体"/>
          <w:b w:val="0"/>
          <w:bCs w:val="0"/>
          <w:highlight w:val="none"/>
          <w:lang w:val="en-US" w:eastAsia="zh-CN"/>
        </w:rPr>
        <w:t>10.</w:t>
      </w: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.3砂被的厚度应根据抗掀动稳定验算、使用要求及施工条件等综合确定，不宜小于400mm。砂被软体排可根据施工条件设计为多块相互搭接的形式，搭接长度宜不小于2.00m。</w:t>
      </w:r>
    </w:p>
    <w:p w14:paraId="5D169F1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default" w:ascii="宋体" w:hAnsi="宋体" w:eastAsia="宋体" w:cs="宋体"/>
          <w:b w:val="0"/>
          <w:bCs w:val="0"/>
          <w:highlight w:val="none"/>
          <w:lang w:val="en-US" w:eastAsia="zh-CN"/>
        </w:rPr>
        <w:t>10.</w:t>
      </w: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.4砂被及砂袋施工前，应对施工区域进行多波束测深系统扫测，查明海床标高、地形及冲刷情况。应根据设计要求进行测量定位并做标记。施工船舶应根据水深、水流、波浪等因素进行定位驻位。</w:t>
      </w:r>
    </w:p>
    <w:p w14:paraId="1731731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default" w:ascii="宋体" w:hAnsi="宋体" w:eastAsia="宋体" w:cs="宋体"/>
          <w:b w:val="0"/>
          <w:bCs w:val="0"/>
          <w:highlight w:val="none"/>
          <w:lang w:val="en-US" w:eastAsia="zh-CN"/>
        </w:rPr>
        <w:t>10.</w:t>
      </w: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.5砂被的充填宜采用铺排船配合泥浆泵进行冲砂作业。充砂量宜控制在砂被设计容量的75%～85%。每个砂被充填完毕后，应采用测量仪器检查砂被形状，若发现明显的凹槽难以处理，则应用砂袋填补。</w:t>
      </w:r>
    </w:p>
    <w:p w14:paraId="63961A4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default" w:ascii="宋体" w:hAnsi="宋体" w:eastAsia="宋体" w:cs="宋体"/>
          <w:b w:val="0"/>
          <w:bCs w:val="0"/>
          <w:highlight w:val="none"/>
          <w:lang w:val="en-US" w:eastAsia="zh-CN"/>
        </w:rPr>
        <w:t>10.</w:t>
      </w: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6砂被铺设宜采用铺排船进行整体沉放铺排。铺设前应将提前缝制好的土工布卷绕至方驳的滚筒上，利用定位系统将方驳定位至设计位置，放卷土工布并沉放铺排。砂被铺设完成后，应派潜水员下水将砂被裙带上的束紧绳打结扎牢。</w:t>
      </w:r>
    </w:p>
    <w:p w14:paraId="3AA1694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default" w:ascii="宋体" w:hAnsi="宋体" w:eastAsia="宋体" w:cs="宋体"/>
          <w:b w:val="0"/>
          <w:bCs w:val="0"/>
          <w:highlight w:val="none"/>
          <w:lang w:val="en-US" w:eastAsia="zh-CN"/>
        </w:rPr>
        <w:t>10.</w:t>
      </w: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.7砂袋抛填宜采用分层分段方式，由内向外进行抛填。砂袋的充砂饱满度宜控制在7</w:t>
      </w:r>
      <w:r>
        <w:rPr>
          <w:rFonts w:hint="eastAsia" w:ascii="宋体" w:hAnsi="宋体" w:eastAsia="宋体" w:cs="宋体"/>
          <w:b w:val="0"/>
          <w:bCs w:val="0"/>
          <w:highlight w:val="none"/>
          <w:lang w:val="en-US" w:eastAsia="zh-CN"/>
        </w:rPr>
        <w:t>5</w:t>
      </w:r>
      <w:r>
        <w:rPr>
          <w:rFonts w:hint="default" w:ascii="宋体" w:hAnsi="宋体" w:eastAsia="宋体" w:cs="宋体"/>
          <w:b w:val="0"/>
          <w:bCs w:val="0"/>
          <w:highlight w:val="none"/>
          <w:lang w:val="en-US" w:eastAsia="zh-CN"/>
        </w:rPr>
        <w:t>%～8</w:t>
      </w:r>
      <w:r>
        <w:rPr>
          <w:rFonts w:hint="eastAsia" w:ascii="宋体" w:hAnsi="宋体" w:eastAsia="宋体" w:cs="宋体"/>
          <w:b w:val="0"/>
          <w:bCs w:val="0"/>
          <w:highlight w:val="none"/>
          <w:lang w:val="en-US" w:eastAsia="zh-CN"/>
        </w:rPr>
        <w:t>5</w:t>
      </w:r>
      <w:r>
        <w:rPr>
          <w:rFonts w:hint="default" w:ascii="宋体" w:hAnsi="宋体" w:eastAsia="宋体" w:cs="宋体"/>
          <w:b w:val="0"/>
          <w:bCs w:val="0"/>
          <w:highlight w:val="none"/>
          <w:lang w:val="en-US" w:eastAsia="zh-CN"/>
        </w:rPr>
        <w:t>%，充填完成后应及时绑扎充填口。砂袋投放应密切监测海缆、桩基等已有设施的位置，避免对其造成损害。在桩基周边铺设砂袋填空作业时，应防止流水掏空桩基。</w:t>
      </w:r>
    </w:p>
    <w:p w14:paraId="7055B8D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default" w:ascii="宋体" w:hAnsi="宋体" w:eastAsia="宋体" w:cs="宋体"/>
          <w:b w:val="0"/>
          <w:bCs w:val="0"/>
          <w:highlight w:val="none"/>
          <w:lang w:val="en-US" w:eastAsia="zh-CN"/>
        </w:rPr>
        <w:t>10.</w:t>
      </w: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.8砂被和砂袋的铺设应保证搭接长度和覆盖范围满足设计要求。砂被底部宜采用加筋连接，加强砂被块体之间的连接整体性和刚度，降低砂被卷起的可能性。</w:t>
      </w:r>
    </w:p>
    <w:p w14:paraId="20D947C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default" w:ascii="宋体" w:hAnsi="宋体" w:eastAsia="宋体" w:cs="宋体"/>
          <w:b w:val="0"/>
          <w:bCs w:val="0"/>
          <w:highlight w:val="none"/>
          <w:lang w:val="en-US" w:eastAsia="zh-CN"/>
        </w:rPr>
        <w:t>10.</w:t>
      </w: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.9砂被及砂袋施工过程中，应及时进行水下地形测量和潜水检查。对未达到设计要求的区域，应进行补填或补抛。</w:t>
      </w:r>
    </w:p>
    <w:p w14:paraId="5D84C94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default" w:ascii="宋体" w:hAnsi="宋体" w:eastAsia="宋体" w:cs="宋体"/>
          <w:b w:val="0"/>
          <w:bCs w:val="0"/>
          <w:highlight w:val="none"/>
          <w:lang w:val="en-US" w:eastAsia="zh-CN"/>
        </w:rPr>
        <w:t>10.</w:t>
      </w:r>
      <w:r>
        <w:rPr>
          <w:rFonts w:hint="eastAsia" w:ascii="宋体" w:hAnsi="宋体" w:eastAsia="宋体" w:cs="宋体"/>
          <w:b w:val="0"/>
          <w:bCs w:val="0"/>
          <w:highlight w:val="none"/>
          <w:lang w:val="en-US" w:eastAsia="zh-CN"/>
        </w:rPr>
        <w:t>3</w:t>
      </w:r>
      <w:r>
        <w:rPr>
          <w:rFonts w:hint="default" w:ascii="宋体" w:hAnsi="宋体" w:eastAsia="宋体" w:cs="宋体"/>
          <w:b w:val="0"/>
          <w:bCs w:val="0"/>
          <w:highlight w:val="none"/>
          <w:lang w:val="en-US" w:eastAsia="zh-CN"/>
        </w:rPr>
        <w:t>.10施工完成后，应及时进行海床扫测，对未达到设计要求的区域，应进行补填或补抛。砂被及砂袋施工质量检验应满足相关标准要求。</w:t>
      </w:r>
    </w:p>
    <w:p w14:paraId="4BA14E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0CE2E7DE">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10.4固化土</w:t>
      </w:r>
    </w:p>
    <w:p w14:paraId="2D5A8A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10.4.1每批到达现场的固化剂材料均应符合设计及规范要求，并应按规定进行检验验收。</w:t>
      </w:r>
    </w:p>
    <w:p w14:paraId="25E08E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10.4.2用于固化处理的淤泥需考虑成分和级配，可使用的淤泥类别包括:黏土质，粉土质及粉砂质淤泥等，不得使用砂土直接固化，淤泥有机质含量应小于5%。</w:t>
      </w:r>
    </w:p>
    <w:p w14:paraId="2FD9D8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10.4.3固化土的配合比需根据不同的原材料，专门做配合比试验确定，以保证不同区域采集到的泥土原料可配制成符合设计要求的固化土成品。</w:t>
      </w:r>
    </w:p>
    <w:p w14:paraId="778C5F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10.4.4 对于已沉单桩位置的固化施工，固化船应根据桩位两侧顺流方向各抛锚一次，每次施工单侧的固化土。</w:t>
      </w:r>
    </w:p>
    <w:p w14:paraId="5FB394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10.4.5固化处理用的淤泥宜选折固化区附近的淤泥或亦可采用经检验合格的外来淤泥。</w:t>
      </w:r>
    </w:p>
    <w:p w14:paraId="18C695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10.4.6制浆过程宜采用强制式搅拌机进行拌合，确保固化剂的均匀性。</w:t>
      </w:r>
    </w:p>
    <w:p w14:paraId="4D7665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10.4.7制作完成后，宜将参好并搅拌均匀固化剂的固化土装入注浆泵的仓筒内。标准固化土宜在调制完成后四小时以内使用完毕，不得使用超过规定时间的固化土。不应在极端气温条件下进行固化土施工。</w:t>
      </w:r>
    </w:p>
    <w:p w14:paraId="42146F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10.4.8注浆过程宜采用抓斗或泥浆泵将固化剂送至指定区域。</w:t>
      </w:r>
    </w:p>
    <w:p w14:paraId="5343B4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10.4.9单机位施工完成后，应及时进行海床扫测，对未达到设计要求的区域，应进行补填或补抛。</w:t>
      </w:r>
    </w:p>
    <w:p w14:paraId="4699AEA4">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10.5混凝土联锁排</w:t>
      </w:r>
    </w:p>
    <w:p w14:paraId="7089B4B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default"/>
          <w:lang w:val="en-US" w:eastAsia="zh-CN"/>
        </w:rPr>
        <w:t>10.</w:t>
      </w:r>
      <w:r>
        <w:rPr>
          <w:rFonts w:hint="eastAsia"/>
          <w:lang w:val="en-US" w:eastAsia="zh-CN"/>
        </w:rPr>
        <w:t>5</w:t>
      </w:r>
      <w:r>
        <w:rPr>
          <w:rFonts w:hint="default"/>
          <w:lang w:val="en-US" w:eastAsia="zh-CN"/>
        </w:rPr>
        <w:t>.1 每批到达现场的混凝土联锁块及排垫材料均应符合设计及规范要求，并应按规定进行检验验收，其外观质量、尺寸偏差、抗压强度、抗冻融性能等指标应符合设计要求。</w:t>
      </w:r>
    </w:p>
    <w:p w14:paraId="38415E3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default"/>
          <w:lang w:val="en-US" w:eastAsia="zh-CN"/>
        </w:rPr>
        <w:t>10.</w:t>
      </w:r>
      <w:r>
        <w:rPr>
          <w:rFonts w:hint="eastAsia"/>
          <w:lang w:val="en-US" w:eastAsia="zh-CN"/>
        </w:rPr>
        <w:t>5</w:t>
      </w:r>
      <w:r>
        <w:rPr>
          <w:rFonts w:hint="default"/>
          <w:lang w:val="en-US" w:eastAsia="zh-CN"/>
        </w:rPr>
        <w:t>.2 混凝土联锁块之间的联结方式、联结材料、联结力及防腐处理工艺应满足设计要求。联锁块与加筋条进行绑系的同时，应将相邻混凝土联锁块之间进行绑系，增强其整体性</w:t>
      </w:r>
      <w:r>
        <w:rPr>
          <w:rFonts w:hint="default"/>
          <w:lang w:val="en-US" w:eastAsia="zh-CN"/>
        </w:rPr>
        <w:fldChar w:fldCharType="begin"/>
      </w:r>
      <w:r>
        <w:rPr>
          <w:rFonts w:hint="default"/>
          <w:lang w:val="en-US" w:eastAsia="zh-CN"/>
        </w:rPr>
        <w:instrText xml:space="preserve"> HYPERLINK "https://patentimages.storage.googleapis.com/f5/e4/85/a7145f9737b0aa/CN102758419A.pdf" \l "2#2" \t "https://chat.deepseek.com/a/chat/s/_blank" </w:instrText>
      </w:r>
      <w:r>
        <w:rPr>
          <w:rFonts w:hint="default"/>
          <w:lang w:val="en-US" w:eastAsia="zh-CN"/>
        </w:rPr>
        <w:fldChar w:fldCharType="separate"/>
      </w:r>
      <w:r>
        <w:rPr>
          <w:rFonts w:hint="default"/>
          <w:lang w:val="en-US" w:eastAsia="zh-CN"/>
        </w:rPr>
        <w:fldChar w:fldCharType="end"/>
      </w:r>
      <w:r>
        <w:rPr>
          <w:rFonts w:hint="default"/>
          <w:lang w:val="en-US" w:eastAsia="zh-CN"/>
        </w:rPr>
        <w:t>。排垫两侧和混凝土联锁块安装处应安装活动加筋条，混凝土联锁块安装在排垫和活动加筋条上部，通过系结绳绑系成一整体</w:t>
      </w:r>
      <w:r>
        <w:rPr>
          <w:rFonts w:hint="default"/>
          <w:lang w:val="en-US" w:eastAsia="zh-CN"/>
        </w:rPr>
        <w:fldChar w:fldCharType="begin"/>
      </w:r>
      <w:r>
        <w:rPr>
          <w:rFonts w:hint="default"/>
          <w:lang w:val="en-US" w:eastAsia="zh-CN"/>
        </w:rPr>
        <w:instrText xml:space="preserve"> HYPERLINK "https://patentimages.storage.googleapis.com/f5/e4/85/a7145f9737b0aa/CN102758419A.pdf" \l "2#2" \t "https://chat.deepseek.com/a/chat/s/_blank" </w:instrText>
      </w:r>
      <w:r>
        <w:rPr>
          <w:rFonts w:hint="default"/>
          <w:lang w:val="en-US" w:eastAsia="zh-CN"/>
        </w:rPr>
        <w:fldChar w:fldCharType="separate"/>
      </w:r>
      <w:r>
        <w:rPr>
          <w:rFonts w:hint="default"/>
          <w:lang w:val="en-US" w:eastAsia="zh-CN"/>
        </w:rPr>
        <w:fldChar w:fldCharType="end"/>
      </w:r>
      <w:r>
        <w:rPr>
          <w:rFonts w:hint="default"/>
          <w:lang w:val="en-US" w:eastAsia="zh-CN"/>
        </w:rPr>
        <w:t>。</w:t>
      </w:r>
    </w:p>
    <w:p w14:paraId="3B5A307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default"/>
          <w:lang w:val="en-US" w:eastAsia="zh-CN"/>
        </w:rPr>
        <w:t>10.</w:t>
      </w:r>
      <w:r>
        <w:rPr>
          <w:rFonts w:hint="eastAsia"/>
          <w:lang w:val="en-US" w:eastAsia="zh-CN"/>
        </w:rPr>
        <w:t>5</w:t>
      </w:r>
      <w:r>
        <w:rPr>
          <w:rFonts w:hint="default"/>
          <w:lang w:val="en-US" w:eastAsia="zh-CN"/>
        </w:rPr>
        <w:t>.3 混凝土联锁排施工前，应对铺设区域进行多波束测深系统扫测，查明海床地形、高程及冲刷状况。完成工前水下地形测量和水下清障，地形坡比满足设计稳定性要求</w:t>
      </w:r>
      <w:r>
        <w:rPr>
          <w:rFonts w:hint="default"/>
          <w:lang w:val="en-US" w:eastAsia="zh-CN"/>
        </w:rPr>
        <w:fldChar w:fldCharType="begin"/>
      </w:r>
      <w:r>
        <w:rPr>
          <w:rFonts w:hint="default"/>
          <w:lang w:val="en-US" w:eastAsia="zh-CN"/>
        </w:rPr>
        <w:instrText xml:space="preserve"> HYPERLINK "https://www.mot.gov.cn/yijianzhengji/lishizhengji/201711/P020171101362690558038.pdf" \l "4#2" \t "https://chat.deepseek.com/a/chat/s/_blank" </w:instrText>
      </w:r>
      <w:r>
        <w:rPr>
          <w:rFonts w:hint="default"/>
          <w:lang w:val="en-US" w:eastAsia="zh-CN"/>
        </w:rPr>
        <w:fldChar w:fldCharType="separate"/>
      </w:r>
      <w:r>
        <w:rPr>
          <w:rFonts w:hint="default"/>
          <w:lang w:val="en-US" w:eastAsia="zh-CN"/>
        </w:rPr>
        <w:fldChar w:fldCharType="end"/>
      </w:r>
      <w:r>
        <w:rPr>
          <w:rFonts w:hint="default"/>
          <w:lang w:val="en-US" w:eastAsia="zh-CN"/>
        </w:rPr>
        <w:t>。施工前应通过试铺掌握联锁排沉放与水深、流速的关系，确定铺排船驻位方案。铺排船上锚缆、滚筒等成套系统应进行受力验算，满足现场水文和铺排受力要求</w:t>
      </w:r>
      <w:r>
        <w:rPr>
          <w:rFonts w:hint="default"/>
          <w:lang w:val="en-US" w:eastAsia="zh-CN"/>
        </w:rPr>
        <w:fldChar w:fldCharType="begin"/>
      </w:r>
      <w:r>
        <w:rPr>
          <w:rFonts w:hint="default"/>
          <w:lang w:val="en-US" w:eastAsia="zh-CN"/>
        </w:rPr>
        <w:instrText xml:space="preserve"> HYPERLINK "https://www.mot.gov.cn/yijianzhengji/lishizhengji/201711/P020171101362690558038.pdf" \l "4#2" \t "https://chat.deepseek.com/a/chat/s/_blank" </w:instrText>
      </w:r>
      <w:r>
        <w:rPr>
          <w:rFonts w:hint="default"/>
          <w:lang w:val="en-US" w:eastAsia="zh-CN"/>
        </w:rPr>
        <w:fldChar w:fldCharType="separate"/>
      </w:r>
      <w:r>
        <w:rPr>
          <w:rFonts w:hint="default"/>
          <w:lang w:val="en-US" w:eastAsia="zh-CN"/>
        </w:rPr>
        <w:fldChar w:fldCharType="end"/>
      </w:r>
      <w:r>
        <w:rPr>
          <w:rFonts w:hint="default"/>
          <w:lang w:val="en-US" w:eastAsia="zh-CN"/>
        </w:rPr>
        <w:t>。</w:t>
      </w:r>
    </w:p>
    <w:p w14:paraId="0EF0D98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default"/>
          <w:lang w:val="en-US" w:eastAsia="zh-CN"/>
        </w:rPr>
        <w:t>10.</w:t>
      </w:r>
      <w:r>
        <w:rPr>
          <w:rFonts w:hint="eastAsia"/>
          <w:lang w:val="en-US" w:eastAsia="zh-CN"/>
        </w:rPr>
        <w:t>5</w:t>
      </w:r>
      <w:r>
        <w:rPr>
          <w:rFonts w:hint="default"/>
          <w:lang w:val="en-US" w:eastAsia="zh-CN"/>
        </w:rPr>
        <w:t>.4 混凝土联锁排铺设应根据设计要求、施工能力、潮位波浪影响，确定分段施工顺序。铺排施工顺序宜由下游向上游铺设，以确保顺水搭接</w:t>
      </w:r>
      <w:r>
        <w:rPr>
          <w:rFonts w:hint="default"/>
          <w:lang w:val="en-US" w:eastAsia="zh-CN"/>
        </w:rPr>
        <w:fldChar w:fldCharType="begin"/>
      </w:r>
      <w:r>
        <w:rPr>
          <w:rFonts w:hint="default"/>
          <w:lang w:val="en-US" w:eastAsia="zh-CN"/>
        </w:rPr>
        <w:instrText xml:space="preserve"> HYPERLINK "https://patentimages.storage.googleapis.com/f5/e4/85/a7145f9737b0aa/CN102758419A.pdf" \l "2#2" \t "https://chat.deepseek.com/a/chat/s/_blank" </w:instrText>
      </w:r>
      <w:r>
        <w:rPr>
          <w:rFonts w:hint="default"/>
          <w:lang w:val="en-US" w:eastAsia="zh-CN"/>
        </w:rPr>
        <w:fldChar w:fldCharType="separate"/>
      </w:r>
      <w:r>
        <w:rPr>
          <w:rFonts w:hint="default"/>
          <w:lang w:val="en-US" w:eastAsia="zh-CN"/>
        </w:rPr>
        <w:fldChar w:fldCharType="end"/>
      </w:r>
      <w:r>
        <w:rPr>
          <w:rFonts w:hint="default"/>
          <w:lang w:val="en-US" w:eastAsia="zh-CN"/>
        </w:rPr>
        <w:t>。施工船舶应综合考虑水深、水流和波浪等因素进行定位，宜采用“六锚定位法”控制船位和移船</w:t>
      </w:r>
      <w:r>
        <w:rPr>
          <w:rFonts w:hint="default"/>
          <w:lang w:val="en-US" w:eastAsia="zh-CN"/>
        </w:rPr>
        <w:fldChar w:fldCharType="begin"/>
      </w:r>
      <w:r>
        <w:rPr>
          <w:rFonts w:hint="default"/>
          <w:lang w:val="en-US" w:eastAsia="zh-CN"/>
        </w:rPr>
        <w:instrText xml:space="preserve"> HYPERLINK "https://patentimages.storage.googleapis.com/f5/e4/85/a7145f9737b0aa/CN102758419A.pdf" \l "2#2" \t "https://chat.deepseek.com/a/chat/s/_blank" </w:instrText>
      </w:r>
      <w:r>
        <w:rPr>
          <w:rFonts w:hint="default"/>
          <w:lang w:val="en-US" w:eastAsia="zh-CN"/>
        </w:rPr>
        <w:fldChar w:fldCharType="separate"/>
      </w:r>
      <w:r>
        <w:rPr>
          <w:rFonts w:hint="default"/>
          <w:lang w:val="en-US" w:eastAsia="zh-CN"/>
        </w:rPr>
        <w:fldChar w:fldCharType="end"/>
      </w:r>
      <w:r>
        <w:rPr>
          <w:rFonts w:hint="default"/>
          <w:lang w:val="en-US" w:eastAsia="zh-CN"/>
        </w:rPr>
        <w:t>。大面积施工前应进行典型施工，确定松铺厚度等施工参数。</w:t>
      </w:r>
    </w:p>
    <w:p w14:paraId="730129D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default"/>
          <w:lang w:val="en-US" w:eastAsia="zh-CN"/>
        </w:rPr>
        <w:t>10.</w:t>
      </w:r>
      <w:r>
        <w:rPr>
          <w:rFonts w:hint="eastAsia"/>
          <w:lang w:val="en-US" w:eastAsia="zh-CN"/>
        </w:rPr>
        <w:t>5</w:t>
      </w:r>
      <w:r>
        <w:rPr>
          <w:rFonts w:hint="default"/>
          <w:lang w:val="en-US" w:eastAsia="zh-CN"/>
        </w:rPr>
        <w:t>.5 铺排前应将缝制好的排垫卷绕至铺排船滚筒上，利用定位系统将铺排船定位至设计位置。在甲板上将混凝土联锁块与排垫上的加筋环通过系结绳绑扎在一起。联锁块吊装应采用专用吊架，确保受力均匀。活动加筋条应摆放均匀、顺直，所有系结环均与混凝土联锁块绑系</w:t>
      </w:r>
      <w:r>
        <w:rPr>
          <w:rFonts w:hint="default"/>
          <w:lang w:val="en-US" w:eastAsia="zh-CN"/>
        </w:rPr>
        <w:fldChar w:fldCharType="begin"/>
      </w:r>
      <w:r>
        <w:rPr>
          <w:rFonts w:hint="default"/>
          <w:lang w:val="en-US" w:eastAsia="zh-CN"/>
        </w:rPr>
        <w:instrText xml:space="preserve"> HYPERLINK "https://patentimages.storage.googleapis.com/f5/e4/85/a7145f9737b0aa/CN102758419A.pdf" \l "2#2" \t "https://chat.deepseek.com/a/chat/s/_blank" </w:instrText>
      </w:r>
      <w:r>
        <w:rPr>
          <w:rFonts w:hint="default"/>
          <w:lang w:val="en-US" w:eastAsia="zh-CN"/>
        </w:rPr>
        <w:fldChar w:fldCharType="separate"/>
      </w:r>
      <w:r>
        <w:rPr>
          <w:rFonts w:hint="default"/>
          <w:lang w:val="en-US" w:eastAsia="zh-CN"/>
        </w:rPr>
        <w:fldChar w:fldCharType="end"/>
      </w:r>
      <w:r>
        <w:rPr>
          <w:rFonts w:hint="default"/>
          <w:lang w:val="en-US" w:eastAsia="zh-CN"/>
        </w:rPr>
        <w:t>。排体在重力作用下沿滑板缓慢下滑并平铺于海床上</w:t>
      </w:r>
      <w:r>
        <w:rPr>
          <w:rFonts w:hint="default"/>
          <w:lang w:val="en-US" w:eastAsia="zh-CN"/>
        </w:rPr>
        <w:fldChar w:fldCharType="begin"/>
      </w:r>
      <w:r>
        <w:rPr>
          <w:rFonts w:hint="default"/>
          <w:lang w:val="en-US" w:eastAsia="zh-CN"/>
        </w:rPr>
        <w:instrText xml:space="preserve"> HYPERLINK "https://patentimages.storage.googleapis.com/f5/e4/85/a7145f9737b0aa/CN102758419A.pdf" \l "2#2" \t "https://chat.deepseek.com/a/chat/s/_blank" </w:instrText>
      </w:r>
      <w:r>
        <w:rPr>
          <w:rFonts w:hint="default"/>
          <w:lang w:val="en-US" w:eastAsia="zh-CN"/>
        </w:rPr>
        <w:fldChar w:fldCharType="separate"/>
      </w:r>
      <w:r>
        <w:rPr>
          <w:rFonts w:hint="default"/>
          <w:lang w:val="en-US" w:eastAsia="zh-CN"/>
        </w:rPr>
        <w:fldChar w:fldCharType="end"/>
      </w:r>
      <w:r>
        <w:rPr>
          <w:rFonts w:hint="default"/>
          <w:lang w:val="en-US" w:eastAsia="zh-CN"/>
        </w:rPr>
        <w:t>。单张排体铺设宜在一个施工潮位内完成，避免排体长时间受水流冲击产生疲劳应力</w:t>
      </w:r>
      <w:r>
        <w:rPr>
          <w:rFonts w:hint="default"/>
          <w:lang w:val="en-US" w:eastAsia="zh-CN"/>
        </w:rPr>
        <w:fldChar w:fldCharType="begin"/>
      </w:r>
      <w:r>
        <w:rPr>
          <w:rFonts w:hint="default"/>
          <w:lang w:val="en-US" w:eastAsia="zh-CN"/>
        </w:rPr>
        <w:instrText xml:space="preserve"> HYPERLINK "https://patentimages.storage.googleapis.com/f5/e4/85/a7145f9737b0aa/CN102758419A.pdf" \l "2#2" \t "https://chat.deepseek.com/a/chat/s/_blank" </w:instrText>
      </w:r>
      <w:r>
        <w:rPr>
          <w:rFonts w:hint="default"/>
          <w:lang w:val="en-US" w:eastAsia="zh-CN"/>
        </w:rPr>
        <w:fldChar w:fldCharType="separate"/>
      </w:r>
      <w:r>
        <w:rPr>
          <w:rFonts w:hint="default"/>
          <w:lang w:val="en-US" w:eastAsia="zh-CN"/>
        </w:rPr>
        <w:fldChar w:fldCharType="end"/>
      </w:r>
      <w:r>
        <w:rPr>
          <w:rFonts w:hint="default"/>
          <w:lang w:val="en-US" w:eastAsia="zh-CN"/>
        </w:rPr>
        <w:t>。</w:t>
      </w:r>
    </w:p>
    <w:p w14:paraId="040457B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default"/>
          <w:lang w:val="en-US" w:eastAsia="zh-CN"/>
        </w:rPr>
        <w:t>10.</w:t>
      </w:r>
      <w:r>
        <w:rPr>
          <w:rFonts w:hint="eastAsia"/>
          <w:lang w:val="en-US" w:eastAsia="zh-CN"/>
        </w:rPr>
        <w:t>5</w:t>
      </w:r>
      <w:r>
        <w:rPr>
          <w:rFonts w:hint="default"/>
          <w:lang w:val="en-US" w:eastAsia="zh-CN"/>
        </w:rPr>
        <w:t>.6 混凝土联锁排铺设过程中，铺排船应由GPS实时跟踪定位，绘出铺排轨迹线，并校核实际铺排轨迹与设计排位是否相符</w:t>
      </w:r>
      <w:r>
        <w:rPr>
          <w:rFonts w:hint="default"/>
          <w:lang w:val="en-US" w:eastAsia="zh-CN"/>
        </w:rPr>
        <w:fldChar w:fldCharType="begin"/>
      </w:r>
      <w:r>
        <w:rPr>
          <w:rFonts w:hint="default"/>
          <w:lang w:val="en-US" w:eastAsia="zh-CN"/>
        </w:rPr>
        <w:instrText xml:space="preserve"> HYPERLINK "https://patentimages.storage.googleapis.com/f5/e4/85/a7145f9737b0aa/CN102758419A.pdf" \l "2#2" \t "https://chat.deepseek.com/a/chat/s/_blank" </w:instrText>
      </w:r>
      <w:r>
        <w:rPr>
          <w:rFonts w:hint="default"/>
          <w:lang w:val="en-US" w:eastAsia="zh-CN"/>
        </w:rPr>
        <w:fldChar w:fldCharType="separate"/>
      </w:r>
      <w:r>
        <w:rPr>
          <w:rFonts w:hint="default"/>
          <w:lang w:val="en-US" w:eastAsia="zh-CN"/>
        </w:rPr>
        <w:fldChar w:fldCharType="end"/>
      </w:r>
      <w:r>
        <w:rPr>
          <w:rFonts w:hint="default"/>
          <w:lang w:val="en-US" w:eastAsia="zh-CN"/>
        </w:rPr>
        <w:t>。若出现偏差，应立即校正船位，保证护底范围和搭接宽度满足设计要求</w:t>
      </w:r>
      <w:r>
        <w:rPr>
          <w:rFonts w:hint="default"/>
          <w:lang w:val="en-US" w:eastAsia="zh-CN"/>
        </w:rPr>
        <w:fldChar w:fldCharType="begin"/>
      </w:r>
      <w:r>
        <w:rPr>
          <w:rFonts w:hint="default"/>
          <w:lang w:val="en-US" w:eastAsia="zh-CN"/>
        </w:rPr>
        <w:instrText xml:space="preserve"> HYPERLINK "https://patentimages.storage.googleapis.com/f5/e4/85/a7145f9737b0aa/CN102758419A.pdf" \l "2#2" \t "https://chat.deepseek.com/a/chat/s/_blank" </w:instrText>
      </w:r>
      <w:r>
        <w:rPr>
          <w:rFonts w:hint="default"/>
          <w:lang w:val="en-US" w:eastAsia="zh-CN"/>
        </w:rPr>
        <w:fldChar w:fldCharType="separate"/>
      </w:r>
      <w:r>
        <w:rPr>
          <w:rFonts w:hint="default"/>
          <w:lang w:val="en-US" w:eastAsia="zh-CN"/>
        </w:rPr>
        <w:fldChar w:fldCharType="end"/>
      </w:r>
      <w:r>
        <w:rPr>
          <w:rFonts w:hint="default"/>
          <w:lang w:val="en-US" w:eastAsia="zh-CN"/>
        </w:rPr>
        <w:t>。移船速度不宜大于1.7m/min，防止排体受力过大</w:t>
      </w:r>
      <w:r>
        <w:rPr>
          <w:rFonts w:hint="default"/>
          <w:lang w:val="en-US" w:eastAsia="zh-CN"/>
        </w:rPr>
        <w:fldChar w:fldCharType="begin"/>
      </w:r>
      <w:r>
        <w:rPr>
          <w:rFonts w:hint="default"/>
          <w:lang w:val="en-US" w:eastAsia="zh-CN"/>
        </w:rPr>
        <w:instrText xml:space="preserve"> HYPERLINK "https://patentimages.storage.googleapis.com/f5/e4/85/a7145f9737b0aa/CN102758419A.pdf" \l "2#2" \t "https://chat.deepseek.com/a/chat/s/_blank" </w:instrText>
      </w:r>
      <w:r>
        <w:rPr>
          <w:rFonts w:hint="default"/>
          <w:lang w:val="en-US" w:eastAsia="zh-CN"/>
        </w:rPr>
        <w:fldChar w:fldCharType="separate"/>
      </w:r>
      <w:r>
        <w:rPr>
          <w:rFonts w:hint="default"/>
          <w:lang w:val="en-US" w:eastAsia="zh-CN"/>
        </w:rPr>
        <w:fldChar w:fldCharType="end"/>
      </w:r>
      <w:r>
        <w:rPr>
          <w:rFonts w:hint="default"/>
          <w:lang w:val="en-US" w:eastAsia="zh-CN"/>
        </w:rPr>
        <w:t>。每一条联锁排最后一排的排尾应用排尾绳牵引，排尾着床后继续移船拉伸排尾至铺排区末端，最后将排尾绳活结解开，收回排尾绳</w:t>
      </w:r>
      <w:r>
        <w:rPr>
          <w:rFonts w:hint="default"/>
          <w:lang w:val="en-US" w:eastAsia="zh-CN"/>
        </w:rPr>
        <w:fldChar w:fldCharType="begin"/>
      </w:r>
      <w:r>
        <w:rPr>
          <w:rFonts w:hint="default"/>
          <w:lang w:val="en-US" w:eastAsia="zh-CN"/>
        </w:rPr>
        <w:instrText xml:space="preserve"> HYPERLINK "https://patentimages.storage.googleapis.com/f5/e4/85/a7145f9737b0aa/CN102758419A.pdf" \l "2#2" \t "https://chat.deepseek.com/a/chat/s/_blank" </w:instrText>
      </w:r>
      <w:r>
        <w:rPr>
          <w:rFonts w:hint="default"/>
          <w:lang w:val="en-US" w:eastAsia="zh-CN"/>
        </w:rPr>
        <w:fldChar w:fldCharType="separate"/>
      </w:r>
      <w:r>
        <w:rPr>
          <w:rFonts w:hint="default"/>
          <w:lang w:val="en-US" w:eastAsia="zh-CN"/>
        </w:rPr>
        <w:fldChar w:fldCharType="end"/>
      </w:r>
      <w:r>
        <w:rPr>
          <w:rFonts w:hint="default"/>
          <w:lang w:val="en-US" w:eastAsia="zh-CN"/>
        </w:rPr>
        <w:t>。铺设过程中应确保相邻排体间的搭接长度满足设计要求。</w:t>
      </w:r>
    </w:p>
    <w:p w14:paraId="3295401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default"/>
          <w:lang w:val="en-US" w:eastAsia="zh-CN"/>
        </w:rPr>
        <w:t>10.</w:t>
      </w:r>
      <w:r>
        <w:rPr>
          <w:rFonts w:hint="eastAsia"/>
          <w:lang w:val="en-US" w:eastAsia="zh-CN"/>
        </w:rPr>
        <w:t>5</w:t>
      </w:r>
      <w:r>
        <w:rPr>
          <w:rFonts w:hint="default"/>
          <w:lang w:val="en-US" w:eastAsia="zh-CN"/>
        </w:rPr>
        <w:t>.7 混凝土联锁排铺设完成后，应及时进行水下摄像探摸检测或水下地形测量</w:t>
      </w:r>
      <w:r>
        <w:rPr>
          <w:rFonts w:hint="default"/>
          <w:lang w:val="en-US" w:eastAsia="zh-CN"/>
        </w:rPr>
        <w:fldChar w:fldCharType="begin"/>
      </w:r>
      <w:r>
        <w:rPr>
          <w:rFonts w:hint="default"/>
          <w:lang w:val="en-US" w:eastAsia="zh-CN"/>
        </w:rPr>
        <w:instrText xml:space="preserve"> HYPERLINK "https://patentimages.storage.googleapis.com/f5/e4/85/a7145f9737b0aa/CN102758419A.pdf" \l "2#2" \t "https://chat.deepseek.com/a/chat/s/_blank" </w:instrText>
      </w:r>
      <w:r>
        <w:rPr>
          <w:rFonts w:hint="default"/>
          <w:lang w:val="en-US" w:eastAsia="zh-CN"/>
        </w:rPr>
        <w:fldChar w:fldCharType="separate"/>
      </w:r>
      <w:r>
        <w:rPr>
          <w:rFonts w:hint="default"/>
          <w:lang w:val="en-US" w:eastAsia="zh-CN"/>
        </w:rPr>
        <w:fldChar w:fldCharType="end"/>
      </w:r>
      <w:r>
        <w:rPr>
          <w:rFonts w:hint="default"/>
          <w:lang w:val="en-US" w:eastAsia="zh-CN"/>
        </w:rPr>
        <w:t>。排体平面位置、搭接宽度、顶面高程等均应符合设计要求。对未达到设计要求的区域，应进行补铺。</w:t>
      </w:r>
    </w:p>
    <w:p w14:paraId="532C92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default"/>
          <w:lang w:val="en-US" w:eastAsia="zh-CN"/>
        </w:rPr>
        <w:t>10.</w:t>
      </w:r>
      <w:r>
        <w:rPr>
          <w:rFonts w:hint="eastAsia"/>
          <w:lang w:val="en-US" w:eastAsia="zh-CN"/>
        </w:rPr>
        <w:t>5</w:t>
      </w:r>
      <w:r>
        <w:rPr>
          <w:rFonts w:hint="default"/>
          <w:lang w:val="en-US" w:eastAsia="zh-CN"/>
        </w:rPr>
        <w:t>.8 施工完成后，应及时进行海床扫测，对未达到设计要求的区域，应进行补铺或补填。混凝土联锁排施工质量检验应满足相关标准要求。</w:t>
      </w:r>
    </w:p>
    <w:p w14:paraId="70FE8D44">
      <w:pPr>
        <w:pStyle w:val="13"/>
        <w:bidi w:val="0"/>
        <w:rPr>
          <w:rFonts w:hint="eastAsia"/>
          <w:lang w:val="en-US" w:eastAsia="zh-CN"/>
        </w:rPr>
      </w:pPr>
    </w:p>
    <w:p w14:paraId="6983AB4F">
      <w:pPr>
        <w:rPr>
          <w:rFonts w:hint="eastAsia"/>
        </w:rPr>
      </w:pPr>
    </w:p>
    <w:p w14:paraId="58139B94">
      <w:pPr>
        <w:rPr>
          <w:rFonts w:hint="eastAsia"/>
        </w:rPr>
      </w:pPr>
    </w:p>
    <w:p w14:paraId="47DEEFBC">
      <w:pPr>
        <w:rPr>
          <w:rFonts w:hint="eastAsia"/>
        </w:rPr>
      </w:pPr>
    </w:p>
    <w:p w14:paraId="72EBDDBA">
      <w:pPr>
        <w:rPr>
          <w:rFonts w:hint="eastAsia"/>
        </w:rPr>
      </w:pPr>
    </w:p>
    <w:p w14:paraId="583A150E">
      <w:pPr>
        <w:rPr>
          <w:rFonts w:hint="eastAsia"/>
        </w:rPr>
      </w:pPr>
    </w:p>
    <w:p w14:paraId="685F8E88">
      <w:pPr>
        <w:rPr>
          <w:rFonts w:hint="eastAsia"/>
        </w:rPr>
      </w:pPr>
    </w:p>
    <w:p w14:paraId="73CC7816">
      <w:pPr>
        <w:rPr>
          <w:rFonts w:hint="eastAsia"/>
        </w:rPr>
      </w:pPr>
    </w:p>
    <w:p w14:paraId="5B250F63">
      <w:pPr>
        <w:rPr>
          <w:rFonts w:hint="eastAsia"/>
        </w:rPr>
      </w:pPr>
    </w:p>
    <w:p w14:paraId="636A611A">
      <w:pPr>
        <w:rPr>
          <w:rFonts w:hint="eastAsia"/>
        </w:rPr>
      </w:pPr>
    </w:p>
    <w:p w14:paraId="4375AB16">
      <w:pPr>
        <w:rPr>
          <w:rFonts w:hint="eastAsia"/>
        </w:rPr>
      </w:pPr>
    </w:p>
    <w:p w14:paraId="5A8C3970">
      <w:pPr>
        <w:rPr>
          <w:rFonts w:hint="eastAsia"/>
        </w:rPr>
      </w:pPr>
    </w:p>
    <w:p w14:paraId="60890423">
      <w:pPr>
        <w:rPr>
          <w:rFonts w:hint="eastAsia"/>
        </w:rPr>
      </w:pPr>
    </w:p>
    <w:p w14:paraId="02780540">
      <w:pPr>
        <w:rPr>
          <w:rFonts w:hint="eastAsia"/>
        </w:rPr>
      </w:pPr>
    </w:p>
    <w:p w14:paraId="1A732085">
      <w:pPr>
        <w:rPr>
          <w:rFonts w:hint="eastAsia"/>
        </w:rPr>
      </w:pPr>
    </w:p>
    <w:p w14:paraId="4572E719">
      <w:pPr>
        <w:pStyle w:val="2"/>
        <w:rPr>
          <w:rFonts w:hint="eastAsia"/>
        </w:rPr>
      </w:pPr>
    </w:p>
    <w:p w14:paraId="2FCD0015">
      <w:pPr>
        <w:rPr>
          <w:rFonts w:hint="eastAsia"/>
        </w:rPr>
      </w:pPr>
    </w:p>
    <w:p w14:paraId="7BB9686F">
      <w:pPr>
        <w:pStyle w:val="2"/>
        <w:rPr>
          <w:rFonts w:hint="eastAsia"/>
        </w:rPr>
      </w:pPr>
    </w:p>
    <w:p w14:paraId="498FA2EC">
      <w:pPr>
        <w:rPr>
          <w:rFonts w:hint="eastAsia"/>
        </w:rPr>
      </w:pPr>
    </w:p>
    <w:p w14:paraId="1BB59055">
      <w:pPr>
        <w:rPr>
          <w:rFonts w:hint="eastAsia"/>
        </w:rPr>
      </w:pPr>
    </w:p>
    <w:p w14:paraId="479A7970">
      <w:pPr>
        <w:rPr>
          <w:rFonts w:hint="eastAsia"/>
        </w:rPr>
      </w:pPr>
    </w:p>
    <w:p w14:paraId="65DC4A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8"/>
          <w:szCs w:val="28"/>
        </w:rPr>
      </w:pPr>
      <w:r>
        <w:rPr>
          <w:rFonts w:hint="eastAsia" w:cs="宋体"/>
          <w:color w:val="000000"/>
          <w:sz w:val="28"/>
          <w:szCs w:val="28"/>
          <w:lang w:val="en-US" w:eastAsia="zh-CN"/>
        </w:rPr>
        <w:t>1</w:t>
      </w: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rPr>
        <w:t xml:space="preserve"> 附属构件制作与安装</w:t>
      </w:r>
    </w:p>
    <w:p w14:paraId="6D440FC0">
      <w:pPr>
        <w:rPr>
          <w:rFonts w:hint="eastAsia"/>
        </w:rPr>
      </w:pPr>
    </w:p>
    <w:p w14:paraId="0C00E5EF">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11.1 一般规定</w:t>
      </w:r>
    </w:p>
    <w:p w14:paraId="410884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11.1.1 附属构件的制作与安装应符合现行国家标准《钢结构工程施工质量验收标准》GB 50205-2020，《钢结构通用规范》GB 55006-2021及行业标准《海上风电场钢结构防腐蚀技术标准》NB/T 31006-2011的要求。</w:t>
      </w:r>
    </w:p>
    <w:p w14:paraId="01E2D4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11.1.2  构件制作前需进行图纸深化，并按《钢结构焊接规范》GB 50661-2011的规定进行焊接工艺评定及编制焊接工艺规程。焊缝外观质量按《钢结构焊接规范》GB 50661-2011中焊缝质量标准验收。</w:t>
      </w:r>
    </w:p>
    <w:p w14:paraId="7CE172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11.1.3 附属构件材料选型需符合设计文件要求，且满足对应环境条件。钢管材料按《输送流体用无缝钢管》GB/T 8163-2018执行；构件加工精度需符合《海上风电场土建工程施工质量检验与评定标准》NB/T 11655-2024的要求。</w:t>
      </w:r>
    </w:p>
    <w:p w14:paraId="51A061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11.1.4 采取高强度螺栓连接的构件，应使用力矩扳手只在螺母上施加扭矩，施拧顺序的原则应符合《钢结构高强度螺栓连接技术规程》JGJ 82-2011第6.4.17条规定，拧紧力矩要符合设计要求，且需要进行扭矩系数复验。</w:t>
      </w:r>
    </w:p>
    <w:p w14:paraId="2899E1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11.1.5 附属构件的防腐蚀应符合《海上风电场工程防腐蚀设计规范》NB/T 10626-2021第1.0.2条的有关规定。</w:t>
      </w:r>
    </w:p>
    <w:p w14:paraId="1B4495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11.1.6 附属构件安装时应注意成品保护，避免发生刮蹭导致钢结构出现变形或者防腐油漆层脱落。</w:t>
      </w:r>
    </w:p>
    <w:p w14:paraId="34F3AB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11.1.7 涉及附属构件运输时做好成品保护，选择合适的运输工装，并且在运输工装与附属构件直接接触的部位放置橡胶垫等缓冲保护装置。</w:t>
      </w:r>
    </w:p>
    <w:p w14:paraId="33CFC7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11.1.8 附属构件安装须严格按照设计图纸要求，将附属构件准确安装在预定位置上。</w:t>
      </w:r>
    </w:p>
    <w:p w14:paraId="31B438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11.1.9 附属构件安装后须检查整体防腐涂层情况，若出现破损要及时进行修复。</w:t>
      </w:r>
    </w:p>
    <w:p w14:paraId="4C2CA4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11.1.10 附属构件安装前须根据《海上风电场土建工程施工质量检验与评定标准》NB/T 11655-2024要求进行外观质量检查。</w:t>
      </w:r>
    </w:p>
    <w:p w14:paraId="7D0734DD">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11.2 靠泊构件</w:t>
      </w:r>
    </w:p>
    <w:p w14:paraId="771813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 xml:space="preserve">11.2.1 靠泊构件橡胶护舷的型号、规格应符合现行行业标准《橡胶护舷》HG/T 2866-2016 的有关规定。 </w:t>
      </w:r>
    </w:p>
    <w:p w14:paraId="0FB1E4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11.2.2 靠泊构件安装后的定位偏差需符合《海上风电场土建工程施工质量检验与评定标准》NB/T 11655-2024第11.2.5条规定，标高偏差≤±10mm，轴线垂直度≤L/1000 且不大于 20 mm（L为靠泊钢管长度）。</w:t>
      </w:r>
    </w:p>
    <w:p w14:paraId="18A103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11.2.3 护舷安装时，紧固螺栓应按《钢结构高强度螺栓连接技术规程》JGJ 82-2011要求使用力矩扳手拧紧。</w:t>
      </w:r>
    </w:p>
    <w:p w14:paraId="18BBCE82">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11.3 钢爬梯</w:t>
      </w:r>
    </w:p>
    <w:p w14:paraId="053047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11.3.1 钢爬梯的制作应符合设计要求，踏棍间距应均匀，焊接应饱满、无虚焊，符合《焊缝无损检测 磁粉检测 验收等级》GB/T 26952-2025的验收等级。</w:t>
      </w:r>
    </w:p>
    <w:p w14:paraId="7E2182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11.3.2 钢爬梯安装应垂直、牢固，爬梯中心线应与基准点对齐。安装完成后应进行防坠落装置的检查与调试。</w:t>
      </w:r>
    </w:p>
    <w:p w14:paraId="570C3F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11.3.3 钢爬梯及其防护笼的选材与制作应符合《固定式钢梯及平台安全要求 第1部分：钢直梯》GB 4053.1-2009的规定，梯梁截面尺寸及踏棍直径应满足强度和刚度要求。</w:t>
      </w:r>
    </w:p>
    <w:p w14:paraId="3D9E2516">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11.4电缆管</w:t>
      </w:r>
    </w:p>
    <w:p w14:paraId="4B5ED9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11.4.1 电缆管弯曲半径按《电气装置安装工程电缆线路施工及验收标准》GB 50168-2018第6.1.7条和《海上风力发电场设计标准》GB/T 51308-2019规定的电缆弯曲半径进行设计。</w:t>
      </w:r>
    </w:p>
    <w:p w14:paraId="0D6F3A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11.4.2  电缆管贯穿水密隔舱时，应按《海上风电场土建工程施工质量检验与评定标准》NB/T 11655-2024 进行水压试验，试验压力应符合设计要求，保压时间不应少于30分钟，无渗漏为合格。</w:t>
      </w:r>
    </w:p>
    <w:p w14:paraId="21E3F2F7">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11.5内外平台</w:t>
      </w:r>
    </w:p>
    <w:p w14:paraId="0D452B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 xml:space="preserve">11.5.1 钢格栅承载扁钢间距应符合《钢格栅板及配套件 </w:t>
      </w:r>
      <w:r>
        <w:rPr>
          <w:rFonts w:hint="default" w:ascii="宋体" w:hAnsi="宋体" w:eastAsia="宋体" w:cs="宋体"/>
          <w:b w:val="0"/>
          <w:bCs w:val="0"/>
          <w:highlight w:val="none"/>
          <w:lang w:val="en-US" w:eastAsia="zh-CN"/>
        </w:rPr>
        <w:t>第1部分：钢格栅板</w:t>
      </w:r>
      <w:r>
        <w:rPr>
          <w:rFonts w:hint="eastAsia" w:ascii="宋体" w:hAnsi="宋体" w:eastAsia="宋体" w:cs="宋体"/>
          <w:b w:val="0"/>
          <w:bCs w:val="0"/>
          <w:highlight w:val="none"/>
          <w:lang w:val="en-US" w:eastAsia="zh-CN"/>
        </w:rPr>
        <w:t>》 YB/T 4001.1-2019的规定；平台铺板应平整，防滑面朝上，且应设置可靠的排水孔。</w:t>
      </w:r>
    </w:p>
    <w:p w14:paraId="610956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11.5.2 栏杆立柱垂直度偏差≤立柱高度的1.5‰且≤10mm。栏杆系统应符合《固定式钢梯及平台安全要求 第3部分：工业防护栏杆及钢平台》GB 4053.3-2009 的规定。</w:t>
      </w:r>
    </w:p>
    <w:p w14:paraId="0A090701">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11.6 集成式附属构件</w:t>
      </w:r>
    </w:p>
    <w:p w14:paraId="2A91FD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11.6.1 对于集成式附属构件（如单桩基础集成式附属结构），应在工厂内完成整体预拼装，确保各接口尺寸匹配。</w:t>
      </w:r>
    </w:p>
    <w:p w14:paraId="2E86B1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11.6.2 运输及吊装过程中应采取措施防止集成构件变形，吊点设计参考《钢结构设计标准》GB 50017-2017并经过计算验证。</w:t>
      </w:r>
    </w:p>
    <w:p w14:paraId="013880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11.6.3 集成式附属构件运输工装拆卸时若涉及工装切割，需要对切割波及的附属构件区域进行防腐涂层的修补。</w:t>
      </w:r>
    </w:p>
    <w:p w14:paraId="13E1DF44">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11.7抗冰锥结构</w:t>
      </w:r>
    </w:p>
    <w:p w14:paraId="07297B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11.7.1 在有冰凌作用的海域，抗冰锥结构的安装方位应符合设计要求，其破冰刃口应朝向主要流冰方向。</w:t>
      </w:r>
    </w:p>
    <w:p w14:paraId="0BD3D4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11.7.2 抗冰锥与基础结构的连接焊缝应进行100%无损检测，确保焊缝质量满足抗冰冲击要求。</w:t>
      </w:r>
    </w:p>
    <w:p w14:paraId="16A66F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11.7.3 抗冰锥表面应进行特殊耐磨防腐涂层处理，涂层厚度检测应符合</w:t>
      </w:r>
      <w:bookmarkStart w:id="8" w:name="dttl"/>
      <w:r>
        <w:rPr>
          <w:rFonts w:hint="eastAsia" w:ascii="宋体" w:hAnsi="宋体" w:eastAsia="宋体" w:cs="宋体"/>
          <w:b w:val="0"/>
          <w:bCs w:val="0"/>
          <w:highlight w:val="none"/>
          <w:lang w:val="en-US" w:eastAsia="zh-CN"/>
        </w:rPr>
        <w:t>《海上风电场工程防腐蚀设计规范》NB/T 10626—2021</w:t>
      </w:r>
      <w:bookmarkEnd w:id="8"/>
      <w:r>
        <w:rPr>
          <w:rFonts w:hint="eastAsia" w:ascii="宋体" w:hAnsi="宋体" w:eastAsia="宋体" w:cs="宋体"/>
          <w:b w:val="0"/>
          <w:bCs w:val="0"/>
          <w:highlight w:val="none"/>
          <w:lang w:val="en-US" w:eastAsia="zh-CN"/>
        </w:rPr>
        <w:t>的规定。</w:t>
      </w:r>
    </w:p>
    <w:p w14:paraId="16E91980">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11.8 灌浆管</w:t>
      </w:r>
    </w:p>
    <w:p w14:paraId="019731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11.8.1 灌浆管材料及管路配置应符合《海上风电场工程基础结构灌浆连接技术规程》NB/T 11727-2024要求，灌浆管及软管应能承受泵送灌浆料的压力。</w:t>
      </w:r>
    </w:p>
    <w:p w14:paraId="230840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11.8.2 安装时要注意灌浆管的姿态，安装偏差参考《海上风电场土建工程施工质量检验与评定标准》NB/T11655-2024第11.8.3条要求平面位置偏差≤±50mm，竖管直线度偏差≤L/1000且不大于10 mm（L为灌浆管直段长度）。</w:t>
      </w:r>
    </w:p>
    <w:p w14:paraId="77468B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364B5288">
      <w:pPr>
        <w:rPr>
          <w:rFonts w:hint="eastAsia"/>
        </w:rPr>
      </w:pPr>
    </w:p>
    <w:p w14:paraId="07265E0E">
      <w:pPr>
        <w:rPr>
          <w:rFonts w:hint="eastAsia"/>
        </w:rPr>
      </w:pPr>
    </w:p>
    <w:p w14:paraId="659E54BF">
      <w:pPr>
        <w:rPr>
          <w:rFonts w:hint="eastAsia"/>
        </w:rPr>
      </w:pPr>
    </w:p>
    <w:p w14:paraId="3E8A5345">
      <w:pPr>
        <w:rPr>
          <w:rFonts w:hint="eastAsia"/>
        </w:rPr>
      </w:pPr>
    </w:p>
    <w:p w14:paraId="68467A41">
      <w:pPr>
        <w:rPr>
          <w:rFonts w:hint="eastAsia"/>
        </w:rPr>
      </w:pPr>
    </w:p>
    <w:p w14:paraId="1330C18A">
      <w:pPr>
        <w:rPr>
          <w:rFonts w:hint="eastAsia"/>
        </w:rPr>
      </w:pPr>
    </w:p>
    <w:p w14:paraId="79642854">
      <w:pPr>
        <w:rPr>
          <w:rFonts w:hint="eastAsia"/>
        </w:rPr>
      </w:pPr>
    </w:p>
    <w:p w14:paraId="50471DAC">
      <w:pPr>
        <w:rPr>
          <w:rFonts w:hint="eastAsia"/>
        </w:rPr>
      </w:pPr>
    </w:p>
    <w:p w14:paraId="1C9A6EF3">
      <w:pPr>
        <w:rPr>
          <w:rFonts w:hint="eastAsia"/>
        </w:rPr>
      </w:pPr>
    </w:p>
    <w:p w14:paraId="653820BC">
      <w:pPr>
        <w:rPr>
          <w:rFonts w:hint="eastAsia"/>
        </w:rPr>
      </w:pPr>
    </w:p>
    <w:p w14:paraId="24ECA54C">
      <w:pPr>
        <w:rPr>
          <w:rFonts w:hint="eastAsia"/>
        </w:rPr>
      </w:pPr>
    </w:p>
    <w:p w14:paraId="4A45D800">
      <w:pPr>
        <w:rPr>
          <w:rFonts w:hint="eastAsia"/>
        </w:rPr>
      </w:pPr>
    </w:p>
    <w:p w14:paraId="1575675B">
      <w:pPr>
        <w:rPr>
          <w:rFonts w:hint="eastAsia"/>
        </w:rPr>
      </w:pPr>
    </w:p>
    <w:p w14:paraId="5B0BF18D">
      <w:pPr>
        <w:rPr>
          <w:rFonts w:hint="eastAsia"/>
        </w:rPr>
      </w:pPr>
    </w:p>
    <w:p w14:paraId="34ECBDC1">
      <w:pPr>
        <w:rPr>
          <w:rFonts w:hint="eastAsia"/>
        </w:rPr>
      </w:pPr>
    </w:p>
    <w:p w14:paraId="66D29CA1">
      <w:pPr>
        <w:rPr>
          <w:rFonts w:hint="eastAsia"/>
        </w:rPr>
      </w:pPr>
    </w:p>
    <w:p w14:paraId="619599D5">
      <w:pPr>
        <w:rPr>
          <w:rFonts w:hint="eastAsia"/>
        </w:rPr>
      </w:pPr>
    </w:p>
    <w:p w14:paraId="78D34FF1">
      <w:pPr>
        <w:rPr>
          <w:rFonts w:hint="eastAsia"/>
        </w:rPr>
      </w:pPr>
    </w:p>
    <w:p w14:paraId="3D0FE8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附录A 引用规范</w:t>
      </w:r>
    </w:p>
    <w:p w14:paraId="0A0ED2F1">
      <w:pPr>
        <w:pStyle w:val="21"/>
        <w:adjustRightInd/>
        <w:ind w:firstLine="420"/>
        <w:jc w:val="both"/>
        <w:rPr>
          <w:rFonts w:hint="eastAsia" w:eastAsia="宋体"/>
          <w:color w:val="auto"/>
          <w:sz w:val="21"/>
          <w:szCs w:val="21"/>
        </w:rPr>
      </w:pPr>
    </w:p>
    <w:p w14:paraId="11983D07">
      <w:pPr>
        <w:pStyle w:val="21"/>
        <w:adjustRightInd/>
        <w:ind w:firstLine="420"/>
        <w:jc w:val="both"/>
        <w:rPr>
          <w:rFonts w:eastAsia="宋体"/>
          <w:color w:val="auto"/>
          <w:sz w:val="21"/>
          <w:szCs w:val="21"/>
        </w:rPr>
      </w:pPr>
      <w:r>
        <w:rPr>
          <w:rFonts w:hint="eastAsia" w:eastAsia="宋体"/>
          <w:color w:val="auto"/>
          <w:sz w:val="21"/>
          <w:szCs w:val="21"/>
        </w:rPr>
        <w:t>下列文件对于本文件的应用是必不可少的。凡是注日期的引用文件，仅注日期的版本适用于本文件。凡是不注日期的引用文件，其最新版本（包括所有的修改单）适用于本文件。</w:t>
      </w:r>
    </w:p>
    <w:p w14:paraId="2DD24642">
      <w:pPr>
        <w:pStyle w:val="21"/>
        <w:adjustRightInd/>
        <w:spacing w:line="360" w:lineRule="auto"/>
        <w:ind w:right="112"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T</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50571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海上风力发电工程施工规范</w:t>
      </w:r>
    </w:p>
    <w:p w14:paraId="1696435A">
      <w:pPr>
        <w:pStyle w:val="21"/>
        <w:keepNext w:val="0"/>
        <w:keepLines w:val="0"/>
        <w:widowControl/>
        <w:suppressLineNumbers w:val="0"/>
        <w:pBdr>
          <w:top w:val="none" w:color="auto" w:sz="0" w:space="0"/>
          <w:left w:val="none" w:color="auto" w:sz="0" w:space="0"/>
          <w:right w:val="none" w:color="auto" w:sz="0" w:space="0"/>
        </w:pBdr>
        <w:adjustRightInd/>
        <w:spacing w:before="0" w:beforeAutospacing="0" w:after="0" w:afterAutospacing="0" w:line="360" w:lineRule="auto"/>
        <w:ind w:left="-360" w:leftChars="0" w:right="112" w:rightChars="0" w:firstLine="840" w:firstLineChars="40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auto"/>
          <w:sz w:val="21"/>
          <w:szCs w:val="21"/>
          <w:highlight w:val="none"/>
          <w:lang w:val="en-US" w:eastAsia="zh-CN"/>
        </w:rPr>
        <w:t>NB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T 10393  </w:t>
      </w:r>
      <w:r>
        <w:rPr>
          <w:rFonts w:hint="eastAsia" w:ascii="宋体" w:hAnsi="宋体" w:eastAsia="宋体" w:cs="宋体"/>
          <w:color w:val="000000"/>
          <w:sz w:val="21"/>
          <w:szCs w:val="21"/>
          <w:highlight w:val="none"/>
          <w:lang w:val="en-US" w:eastAsia="zh-CN"/>
        </w:rPr>
        <w:t>海上风电场工程施工安全技术规范</w:t>
      </w:r>
    </w:p>
    <w:p w14:paraId="4C24261B">
      <w:pPr>
        <w:pStyle w:val="21"/>
        <w:adjustRightInd/>
        <w:spacing w:line="360" w:lineRule="auto"/>
        <w:ind w:right="112"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 50661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钢结构焊接规范</w:t>
      </w:r>
    </w:p>
    <w:p w14:paraId="11F39B60">
      <w:pPr>
        <w:pStyle w:val="21"/>
        <w:adjustRightInd/>
        <w:spacing w:line="360" w:lineRule="auto"/>
        <w:ind w:right="112" w:firstLine="420"/>
        <w:jc w:val="both"/>
        <w:rPr>
          <w:rFonts w:hint="eastAsia" w:ascii="宋体" w:hAnsi="宋体" w:eastAsia="宋体" w:cs="宋体"/>
          <w:color w:val="000000"/>
          <w:sz w:val="21"/>
          <w:szCs w:val="21"/>
          <w:highlight w:val="none"/>
        </w:rPr>
      </w:pPr>
      <w:r>
        <w:rPr>
          <w:rFonts w:hint="eastAsia" w:ascii="宋体" w:hAnsi="宋体" w:eastAsia="宋体" w:cs="宋体"/>
          <w:color w:val="auto"/>
          <w:sz w:val="21"/>
          <w:szCs w:val="21"/>
          <w:highlight w:val="none"/>
        </w:rPr>
        <w:t>GB 55001</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工程结构通用规范</w:t>
      </w:r>
    </w:p>
    <w:p w14:paraId="531A9D6C">
      <w:pPr>
        <w:pStyle w:val="21"/>
        <w:adjustRightInd/>
        <w:spacing w:line="360" w:lineRule="auto"/>
        <w:ind w:right="112" w:firstLine="420"/>
        <w:jc w:val="both"/>
        <w:rPr>
          <w:rFonts w:hint="eastAsia" w:ascii="宋体" w:hAnsi="宋体" w:eastAsia="宋体" w:cs="宋体"/>
          <w:color w:val="000000"/>
          <w:sz w:val="21"/>
          <w:szCs w:val="21"/>
          <w:highlight w:val="none"/>
        </w:rPr>
      </w:pPr>
      <w:r>
        <w:rPr>
          <w:rFonts w:hint="eastAsia" w:ascii="宋体" w:hAnsi="宋体" w:eastAsia="宋体" w:cs="宋体"/>
          <w:color w:val="auto"/>
          <w:sz w:val="21"/>
          <w:szCs w:val="21"/>
          <w:highlight w:val="none"/>
          <w:lang w:val="en-US" w:eastAsia="zh-CN"/>
        </w:rPr>
        <w:t xml:space="preserve">GB 50755 </w:t>
      </w:r>
      <w:r>
        <w:rPr>
          <w:rFonts w:hint="eastAsia" w:ascii="宋体" w:hAnsi="宋体" w:eastAsia="宋体" w:cs="宋体"/>
          <w:color w:val="000000"/>
          <w:sz w:val="21"/>
          <w:szCs w:val="21"/>
          <w:highlight w:val="none"/>
        </w:rPr>
        <w:t>钢结构工程施工规范</w:t>
      </w:r>
    </w:p>
    <w:p w14:paraId="41B98880">
      <w:pPr>
        <w:pStyle w:val="21"/>
        <w:adjustRightInd/>
        <w:spacing w:line="360" w:lineRule="auto"/>
        <w:ind w:right="112" w:firstLine="420"/>
        <w:jc w:val="both"/>
        <w:rPr>
          <w:rFonts w:hint="eastAsia" w:ascii="宋体" w:hAnsi="宋体" w:eastAsia="宋体" w:cs="宋体"/>
          <w:color w:val="000000"/>
          <w:sz w:val="21"/>
          <w:szCs w:val="21"/>
          <w:highlight w:val="none"/>
        </w:rPr>
      </w:pPr>
      <w:r>
        <w:rPr>
          <w:rFonts w:hint="eastAsia" w:ascii="宋体" w:hAnsi="宋体" w:eastAsia="宋体" w:cs="宋体"/>
          <w:color w:val="auto"/>
          <w:sz w:val="21"/>
          <w:szCs w:val="21"/>
          <w:highlight w:val="none"/>
        </w:rPr>
        <w:t>GB 55006</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钢结构通用规范</w:t>
      </w:r>
    </w:p>
    <w:p w14:paraId="71335487">
      <w:pPr>
        <w:pStyle w:val="21"/>
        <w:adjustRightInd/>
        <w:spacing w:line="360" w:lineRule="auto"/>
        <w:ind w:right="112" w:firstLine="420"/>
        <w:jc w:val="both"/>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GB50010 混凝土结构设计规范</w:t>
      </w:r>
    </w:p>
    <w:p w14:paraId="38F391E8">
      <w:pPr>
        <w:pStyle w:val="21"/>
        <w:adjustRightInd/>
        <w:spacing w:line="360" w:lineRule="auto"/>
        <w:ind w:right="112"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 50164</w:t>
      </w:r>
      <w:r>
        <w:rPr>
          <w:rFonts w:hint="eastAsia" w:ascii="宋体" w:hAnsi="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混凝土质量控制标准</w:t>
      </w:r>
    </w:p>
    <w:p w14:paraId="7B033F3D">
      <w:pPr>
        <w:pStyle w:val="21"/>
        <w:adjustRightInd/>
        <w:spacing w:line="360" w:lineRule="auto"/>
        <w:ind w:right="112"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47273 海上组块浮托安装的设计与施工规范</w:t>
      </w:r>
    </w:p>
    <w:p w14:paraId="396F4F87">
      <w:pPr>
        <w:pStyle w:val="21"/>
        <w:adjustRightInd/>
        <w:spacing w:line="360" w:lineRule="auto"/>
        <w:ind w:right="112" w:firstLine="420"/>
        <w:jc w:val="both"/>
        <w:rPr>
          <w:rFonts w:hint="eastAsia" w:ascii="宋体" w:hAnsi="宋体" w:eastAsia="宋体" w:cs="宋体"/>
          <w:sz w:val="21"/>
          <w:szCs w:val="21"/>
          <w:highlight w:val="none"/>
        </w:rPr>
      </w:pPr>
      <w:r>
        <w:rPr>
          <w:rFonts w:hint="eastAsia" w:ascii="宋体" w:hAnsi="宋体" w:eastAsia="宋体" w:cs="宋体"/>
          <w:b w:val="0"/>
          <w:bCs w:val="0"/>
          <w:i w:val="0"/>
          <w:iCs w:val="0"/>
          <w:caps w:val="0"/>
          <w:color w:val="auto"/>
          <w:spacing w:val="0"/>
          <w:sz w:val="21"/>
          <w:szCs w:val="21"/>
          <w:highlight w:val="none"/>
          <w:shd w:val="clear" w:fill="auto"/>
        </w:rPr>
        <w:t>NB/T</w:t>
      </w:r>
      <w:r>
        <w:rPr>
          <w:rFonts w:hint="eastAsia" w:ascii="宋体" w:hAnsi="宋体" w:eastAsia="宋体" w:cs="宋体"/>
          <w:b w:val="0"/>
          <w:bCs w:val="0"/>
          <w:i w:val="0"/>
          <w:iCs w:val="0"/>
          <w:caps w:val="0"/>
          <w:color w:val="auto"/>
          <w:spacing w:val="0"/>
          <w:sz w:val="21"/>
          <w:szCs w:val="21"/>
          <w:highlight w:val="none"/>
          <w:shd w:val="clear"/>
          <w:lang w:val="en-US" w:eastAsia="zh-CN"/>
        </w:rPr>
        <w:t xml:space="preserve"> </w:t>
      </w:r>
      <w:r>
        <w:rPr>
          <w:rFonts w:hint="eastAsia" w:ascii="宋体" w:hAnsi="宋体" w:eastAsia="宋体" w:cs="宋体"/>
          <w:b w:val="0"/>
          <w:bCs w:val="0"/>
          <w:i w:val="0"/>
          <w:iCs w:val="0"/>
          <w:caps w:val="0"/>
          <w:color w:val="auto"/>
          <w:spacing w:val="0"/>
          <w:sz w:val="21"/>
          <w:szCs w:val="21"/>
          <w:highlight w:val="none"/>
          <w:shd w:val="clear" w:fill="auto"/>
        </w:rPr>
        <w:t>11600</w:t>
      </w:r>
      <w:r>
        <w:rPr>
          <w:rFonts w:hint="eastAsia" w:ascii="宋体" w:hAnsi="宋体" w:eastAsia="宋体" w:cs="宋体"/>
          <w:b w:val="0"/>
          <w:bCs w:val="0"/>
          <w:i w:val="0"/>
          <w:iCs w:val="0"/>
          <w:caps w:val="0"/>
          <w:color w:val="000000"/>
          <w:spacing w:val="0"/>
          <w:sz w:val="21"/>
          <w:szCs w:val="21"/>
          <w:highlight w:val="none"/>
          <w:shd w:val="clear"/>
          <w:lang w:val="en-US" w:eastAsia="zh-CN"/>
        </w:rPr>
        <w:t xml:space="preserve"> </w:t>
      </w:r>
      <w:r>
        <w:rPr>
          <w:rFonts w:hint="eastAsia" w:ascii="宋体" w:hAnsi="宋体" w:eastAsia="宋体" w:cs="宋体"/>
          <w:b w:val="0"/>
          <w:bCs w:val="0"/>
          <w:i w:val="0"/>
          <w:iCs w:val="0"/>
          <w:caps w:val="0"/>
          <w:color w:val="000000"/>
          <w:spacing w:val="0"/>
          <w:sz w:val="21"/>
          <w:szCs w:val="21"/>
          <w:highlight w:val="none"/>
          <w:shd w:val="clear" w:fill="auto"/>
        </w:rPr>
        <w:t>风电场工程抗震设计规范</w:t>
      </w:r>
    </w:p>
    <w:p w14:paraId="31D6B36D">
      <w:pPr>
        <w:pStyle w:val="21"/>
        <w:adjustRightInd/>
        <w:spacing w:line="360" w:lineRule="auto"/>
        <w:ind w:right="112" w:firstLine="420"/>
        <w:jc w:val="both"/>
        <w:rPr>
          <w:rFonts w:hint="eastAsia" w:ascii="宋体" w:hAnsi="宋体" w:eastAsia="宋体" w:cs="宋体"/>
          <w:color w:val="000000"/>
          <w:sz w:val="21"/>
          <w:szCs w:val="21"/>
          <w:highlight w:val="none"/>
        </w:rPr>
      </w:pPr>
      <w:r>
        <w:rPr>
          <w:rFonts w:hint="eastAsia" w:ascii="宋体" w:hAnsi="宋体" w:eastAsia="宋体" w:cs="宋体"/>
          <w:color w:val="auto"/>
          <w:kern w:val="0"/>
          <w:sz w:val="21"/>
          <w:szCs w:val="21"/>
          <w:highlight w:val="none"/>
          <w:lang w:val="en-US" w:eastAsia="zh-CN" w:bidi="ar-SA"/>
        </w:rPr>
        <w:t>NB/T 11084</w:t>
      </w:r>
      <w:r>
        <w:rPr>
          <w:rFonts w:hint="eastAsia" w:ascii="宋体" w:hAnsi="宋体" w:eastAsia="宋体" w:cs="宋体"/>
          <w:color w:val="000000"/>
          <w:kern w:val="0"/>
          <w:sz w:val="21"/>
          <w:szCs w:val="21"/>
          <w:highlight w:val="none"/>
          <w:lang w:val="en-US" w:eastAsia="zh-CN" w:bidi="ar-SA"/>
        </w:rPr>
        <w:t xml:space="preserve"> 海上风电场工程建（构）筑物荷载规范</w:t>
      </w:r>
    </w:p>
    <w:p w14:paraId="305BB27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auto"/>
          <w:kern w:val="0"/>
          <w:sz w:val="21"/>
          <w:szCs w:val="21"/>
          <w:highlight w:val="none"/>
          <w:lang w:val="en-US" w:eastAsia="zh-CN" w:bidi="ar-SA"/>
        </w:rPr>
        <w:t xml:space="preserve">NB/T 11655 </w:t>
      </w:r>
      <w:r>
        <w:rPr>
          <w:rFonts w:hint="eastAsia" w:ascii="宋体" w:hAnsi="宋体" w:eastAsia="宋体" w:cs="宋体"/>
          <w:color w:val="000000"/>
          <w:sz w:val="21"/>
          <w:szCs w:val="21"/>
          <w:highlight w:val="none"/>
        </w:rPr>
        <w:t>海上风电场土建工程施工质量检验与评定标准</w:t>
      </w:r>
    </w:p>
    <w:p w14:paraId="6087ECDE">
      <w:pPr>
        <w:pStyle w:val="21"/>
        <w:keepNext w:val="0"/>
        <w:keepLines w:val="0"/>
        <w:widowControl/>
        <w:suppressLineNumbers w:val="0"/>
        <w:pBdr>
          <w:top w:val="none" w:color="auto" w:sz="0" w:space="0"/>
          <w:left w:val="none" w:color="auto" w:sz="0" w:space="0"/>
          <w:right w:val="none" w:color="auto" w:sz="0" w:space="0"/>
        </w:pBdr>
        <w:spacing w:before="0" w:beforeAutospacing="0" w:after="0" w:afterAutospacing="0" w:line="360" w:lineRule="auto"/>
        <w:ind w:left="0" w:leftChars="0" w:right="112" w:rightChars="0" w:firstLine="420" w:firstLineChars="20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auto"/>
          <w:sz w:val="21"/>
          <w:szCs w:val="21"/>
          <w:highlight w:val="none"/>
          <w:lang w:val="en-US" w:eastAsia="zh-CN"/>
        </w:rPr>
        <w:t>NB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T 10105  </w:t>
      </w:r>
      <w:r>
        <w:rPr>
          <w:rFonts w:hint="eastAsia" w:ascii="宋体" w:hAnsi="宋体" w:eastAsia="宋体" w:cs="宋体"/>
          <w:color w:val="000000"/>
          <w:sz w:val="21"/>
          <w:szCs w:val="21"/>
          <w:highlight w:val="none"/>
          <w:lang w:val="en-US" w:eastAsia="zh-CN"/>
        </w:rPr>
        <w:t>海上风电场工程风电机组基础设计规范</w:t>
      </w:r>
    </w:p>
    <w:p w14:paraId="74B4139A">
      <w:pPr>
        <w:pStyle w:val="21"/>
        <w:keepNext w:val="0"/>
        <w:keepLines w:val="0"/>
        <w:widowControl/>
        <w:suppressLineNumbers w:val="0"/>
        <w:pBdr>
          <w:top w:val="none" w:color="auto" w:sz="0" w:space="0"/>
          <w:left w:val="none" w:color="auto" w:sz="0" w:space="0"/>
          <w:right w:val="none" w:color="auto" w:sz="0" w:space="0"/>
        </w:pBdr>
        <w:spacing w:before="0" w:beforeAutospacing="0" w:after="0" w:afterAutospacing="0" w:line="360" w:lineRule="auto"/>
        <w:ind w:left="0" w:leftChars="0" w:right="112" w:rightChars="0" w:firstLine="420" w:firstLineChars="20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auto"/>
          <w:sz w:val="21"/>
          <w:szCs w:val="21"/>
          <w:highlight w:val="none"/>
          <w:lang w:val="en-US" w:eastAsia="zh-CN"/>
        </w:rPr>
        <w:t>NB</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sz w:val="21"/>
          <w:szCs w:val="21"/>
          <w:highlight w:val="none"/>
          <w:lang w:val="en-US" w:eastAsia="zh-CN"/>
        </w:rPr>
        <w:t>T 11602</w:t>
      </w:r>
      <w:r>
        <w:rPr>
          <w:rFonts w:hint="eastAsia" w:ascii="宋体" w:hAnsi="宋体" w:eastAsia="宋体" w:cs="宋体"/>
          <w:color w:val="000000"/>
          <w:sz w:val="21"/>
          <w:szCs w:val="21"/>
          <w:highlight w:val="none"/>
          <w:lang w:val="en-US" w:eastAsia="zh-CN"/>
        </w:rPr>
        <w:t xml:space="preserve"> 海上风电机组地基基础防冲刷设计导则</w:t>
      </w:r>
    </w:p>
    <w:p w14:paraId="63202F99">
      <w:pPr>
        <w:pStyle w:val="21"/>
        <w:adjustRightInd/>
        <w:spacing w:line="360" w:lineRule="auto"/>
        <w:ind w:right="112" w:firstLine="420"/>
        <w:jc w:val="both"/>
        <w:rPr>
          <w:rFonts w:hint="eastAsia" w:ascii="宋体" w:hAnsi="宋体" w:eastAsia="宋体" w:cs="宋体"/>
          <w:color w:val="000000"/>
          <w:sz w:val="21"/>
          <w:szCs w:val="21"/>
          <w:highlight w:val="none"/>
        </w:rPr>
      </w:pPr>
      <w:r>
        <w:rPr>
          <w:rFonts w:hint="eastAsia" w:ascii="宋体" w:hAnsi="宋体" w:eastAsia="宋体" w:cs="宋体"/>
          <w:color w:val="auto"/>
          <w:sz w:val="21"/>
          <w:szCs w:val="21"/>
          <w:highlight w:val="none"/>
        </w:rPr>
        <w:t>NB/T 10626</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000000"/>
          <w:sz w:val="21"/>
          <w:szCs w:val="21"/>
          <w:highlight w:val="none"/>
        </w:rPr>
        <w:t>海上风电场工程防腐蚀设计规范</w:t>
      </w:r>
    </w:p>
    <w:p w14:paraId="0C19036F">
      <w:pPr>
        <w:pStyle w:val="21"/>
        <w:adjustRightInd/>
        <w:spacing w:line="360" w:lineRule="auto"/>
        <w:ind w:right="112" w:firstLine="420"/>
        <w:jc w:val="both"/>
        <w:rPr>
          <w:rFonts w:hint="eastAsia" w:ascii="宋体" w:hAnsi="宋体" w:eastAsia="宋体" w:cs="宋体"/>
          <w:color w:val="000000"/>
          <w:sz w:val="21"/>
          <w:szCs w:val="21"/>
          <w:highlight w:val="none"/>
          <w:lang w:val="en-US"/>
        </w:rPr>
      </w:pPr>
      <w:r>
        <w:rPr>
          <w:rFonts w:hint="eastAsia" w:ascii="宋体" w:hAnsi="宋体" w:eastAsia="宋体" w:cs="宋体"/>
          <w:color w:val="auto"/>
          <w:sz w:val="21"/>
          <w:szCs w:val="21"/>
          <w:highlight w:val="none"/>
          <w:lang w:val="en-US" w:eastAsia="zh-CN"/>
        </w:rPr>
        <w:t>NB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T 31006 </w:t>
      </w:r>
      <w:r>
        <w:rPr>
          <w:rFonts w:hint="eastAsia" w:ascii="宋体" w:hAnsi="宋体" w:eastAsia="宋体" w:cs="宋体"/>
          <w:color w:val="000000"/>
          <w:sz w:val="21"/>
          <w:szCs w:val="21"/>
          <w:highlight w:val="none"/>
          <w:lang w:val="en-US" w:eastAsia="zh-CN"/>
        </w:rPr>
        <w:t>海上风电场钢结构防腐蚀技术标准</w:t>
      </w:r>
    </w:p>
    <w:p w14:paraId="172EE4E2">
      <w:pPr>
        <w:pStyle w:val="21"/>
        <w:adjustRightInd/>
        <w:spacing w:line="360" w:lineRule="auto"/>
        <w:ind w:right="112" w:firstLine="42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auto"/>
          <w:sz w:val="21"/>
          <w:szCs w:val="21"/>
          <w:highlight w:val="none"/>
          <w:lang w:val="en-US" w:eastAsia="zh-CN"/>
        </w:rPr>
        <w:t>NB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T 11372  </w:t>
      </w:r>
      <w:r>
        <w:rPr>
          <w:rFonts w:hint="eastAsia" w:ascii="宋体" w:hAnsi="宋体" w:eastAsia="宋体" w:cs="宋体"/>
          <w:color w:val="000000"/>
          <w:sz w:val="21"/>
          <w:szCs w:val="21"/>
          <w:highlight w:val="none"/>
          <w:lang w:val="en-US" w:eastAsia="zh-CN"/>
        </w:rPr>
        <w:t>风电场工程施工质量检验与评定规程</w:t>
      </w:r>
    </w:p>
    <w:p w14:paraId="6BDD95CD">
      <w:pPr>
        <w:pStyle w:val="21"/>
        <w:adjustRightInd/>
        <w:spacing w:line="360" w:lineRule="auto"/>
        <w:ind w:right="112" w:firstLine="42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auto"/>
          <w:sz w:val="21"/>
          <w:szCs w:val="21"/>
          <w:highlight w:val="none"/>
          <w:lang w:val="en-US" w:eastAsia="zh-CN"/>
        </w:rPr>
        <w:t>NB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T 10684 </w:t>
      </w:r>
      <w:r>
        <w:rPr>
          <w:rFonts w:hint="eastAsia" w:ascii="宋体" w:hAnsi="宋体" w:eastAsia="宋体" w:cs="宋体"/>
          <w:color w:val="000000"/>
          <w:sz w:val="21"/>
          <w:szCs w:val="21"/>
          <w:highlight w:val="none"/>
          <w:lang w:val="en-US" w:eastAsia="zh-CN"/>
        </w:rPr>
        <w:t xml:space="preserve"> 风电场工程质量管理规程</w:t>
      </w:r>
    </w:p>
    <w:p w14:paraId="5DEBBC5B">
      <w:pPr>
        <w:pStyle w:val="21"/>
        <w:adjustRightInd/>
        <w:spacing w:line="360" w:lineRule="auto"/>
        <w:ind w:right="112" w:firstLine="42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auto"/>
          <w:sz w:val="21"/>
          <w:szCs w:val="21"/>
          <w:highlight w:val="none"/>
          <w:lang w:val="en-US" w:eastAsia="zh-CN"/>
        </w:rPr>
        <w:t>NB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T 11727 </w:t>
      </w:r>
      <w:r>
        <w:rPr>
          <w:rFonts w:hint="eastAsia" w:ascii="宋体" w:hAnsi="宋体" w:eastAsia="宋体" w:cs="宋体"/>
          <w:color w:val="000000"/>
          <w:sz w:val="21"/>
          <w:szCs w:val="21"/>
          <w:highlight w:val="none"/>
          <w:lang w:val="en-US" w:eastAsia="zh-CN"/>
        </w:rPr>
        <w:t xml:space="preserve"> 海上风电场工程基础结构灌浆连接技术规程</w:t>
      </w:r>
    </w:p>
    <w:p w14:paraId="0B1D6F3F">
      <w:pPr>
        <w:pStyle w:val="21"/>
        <w:adjustRightInd/>
        <w:spacing w:line="360" w:lineRule="auto"/>
        <w:ind w:right="112" w:firstLine="42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auto"/>
          <w:sz w:val="21"/>
          <w:szCs w:val="21"/>
          <w:highlight w:val="none"/>
          <w:lang w:val="en-US" w:eastAsia="zh-CN"/>
        </w:rPr>
        <w:t>NB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T 10628</w:t>
      </w:r>
      <w:r>
        <w:rPr>
          <w:rFonts w:hint="eastAsia" w:ascii="宋体" w:hAnsi="宋体" w:eastAsia="宋体" w:cs="宋体"/>
          <w:color w:val="000000"/>
          <w:sz w:val="21"/>
          <w:szCs w:val="21"/>
          <w:highlight w:val="none"/>
          <w:lang w:val="en-US" w:eastAsia="zh-CN"/>
        </w:rPr>
        <w:t xml:space="preserve">  风电场工程材料试验检测技术规范</w:t>
      </w:r>
    </w:p>
    <w:p w14:paraId="2EFED0C9">
      <w:pPr>
        <w:pStyle w:val="21"/>
        <w:spacing w:line="360" w:lineRule="auto"/>
        <w:ind w:right="112" w:firstLine="42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NB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T 10626  海上风电场工程防腐蚀设计规范</w:t>
      </w:r>
    </w:p>
    <w:p w14:paraId="7954F38B">
      <w:pPr>
        <w:pStyle w:val="21"/>
        <w:spacing w:line="360" w:lineRule="auto"/>
        <w:ind w:right="112" w:firstLine="42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NB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T 31006 海上风电场钢结构防腐蚀技术标准</w:t>
      </w:r>
    </w:p>
    <w:p w14:paraId="55878810">
      <w:pPr>
        <w:pStyle w:val="21"/>
        <w:spacing w:line="360" w:lineRule="auto"/>
        <w:ind w:right="112" w:firstLine="42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NB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T 10104 海上风电场工程测量规程</w:t>
      </w:r>
    </w:p>
    <w:p w14:paraId="0FA78937">
      <w:pPr>
        <w:pStyle w:val="21"/>
        <w:spacing w:line="360" w:lineRule="auto"/>
        <w:ind w:right="112" w:firstLine="42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NB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T 10988 海上风力发电机组 基础附属构件设计要求</w:t>
      </w:r>
    </w:p>
    <w:p w14:paraId="3FF25C34">
      <w:pPr>
        <w:pStyle w:val="21"/>
        <w:spacing w:line="360" w:lineRule="auto"/>
        <w:ind w:right="112" w:firstLine="42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NB/T 11378  漂浮式海上风电机组基础及系泊系统设计导则</w:t>
      </w:r>
    </w:p>
    <w:p w14:paraId="001A587D">
      <w:pPr>
        <w:pStyle w:val="21"/>
        <w:spacing w:line="360" w:lineRule="auto"/>
        <w:ind w:right="112" w:firstLine="42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NB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T 10994 海上风力发电机组 外平台起重设备规范</w:t>
      </w:r>
    </w:p>
    <w:p w14:paraId="35C83EA0">
      <w:pPr>
        <w:pStyle w:val="21"/>
        <w:spacing w:line="360" w:lineRule="auto"/>
        <w:ind w:right="112" w:firstLine="42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NB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T 10910 海上风电场工程安全标识设置设计规范</w:t>
      </w:r>
    </w:p>
    <w:p w14:paraId="7B7708B5">
      <w:pPr>
        <w:pStyle w:val="21"/>
        <w:adjustRightInd/>
        <w:spacing w:line="360" w:lineRule="auto"/>
        <w:ind w:right="112" w:firstLine="42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T</w:t>
      </w:r>
      <w:r>
        <w:rPr>
          <w:rFonts w:hint="eastAsia" w:ascii="宋体" w:hAnsi="宋体" w:eastAsia="宋体" w:cs="宋体"/>
          <w:color w:val="auto"/>
          <w:sz w:val="21"/>
          <w:szCs w:val="21"/>
          <w:highlight w:val="none"/>
          <w:lang w:val="en-US" w:eastAsia="zh-CN"/>
        </w:rPr>
        <w:t xml:space="preserve"> 712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船舶及海洋工程用结构钢</w:t>
      </w:r>
    </w:p>
    <w:p w14:paraId="58858CC1">
      <w:pPr>
        <w:pStyle w:val="21"/>
        <w:adjustRightInd/>
        <w:spacing w:line="360" w:lineRule="auto"/>
        <w:ind w:right="112" w:firstLine="420"/>
        <w:jc w:val="both"/>
        <w:rPr>
          <w:rFonts w:hint="eastAsia" w:ascii="宋体" w:hAnsi="宋体" w:eastAsia="宋体" w:cs="宋体"/>
          <w:color w:val="000000"/>
          <w:sz w:val="21"/>
          <w:szCs w:val="21"/>
          <w:highlight w:val="none"/>
        </w:rPr>
      </w:pPr>
      <w:r>
        <w:rPr>
          <w:rFonts w:hint="eastAsia" w:ascii="宋体" w:hAnsi="宋体" w:eastAsia="宋体" w:cs="宋体"/>
          <w:color w:val="auto"/>
          <w:sz w:val="21"/>
          <w:szCs w:val="21"/>
          <w:highlight w:val="none"/>
        </w:rPr>
        <w:t>GB/T 1591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000000"/>
          <w:sz w:val="21"/>
          <w:szCs w:val="21"/>
          <w:highlight w:val="none"/>
        </w:rPr>
        <w:t>低合金高强度结构钢</w:t>
      </w:r>
    </w:p>
    <w:p w14:paraId="684A223E">
      <w:pPr>
        <w:pStyle w:val="21"/>
        <w:adjustRightInd/>
        <w:spacing w:line="360" w:lineRule="auto"/>
        <w:ind w:right="112" w:firstLine="420"/>
        <w:jc w:val="both"/>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GB/T 700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sz w:val="21"/>
          <w:szCs w:val="21"/>
          <w:highlight w:val="none"/>
        </w:rPr>
        <w:t>碳素结构钢</w:t>
      </w:r>
    </w:p>
    <w:p w14:paraId="7027EE1A">
      <w:pPr>
        <w:pStyle w:val="21"/>
        <w:spacing w:line="360" w:lineRule="auto"/>
        <w:ind w:right="112" w:firstLine="42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31817</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 xml:space="preserve">风力发电设施防护涂装技术规范 </w:t>
      </w:r>
    </w:p>
    <w:p w14:paraId="3239416E">
      <w:pPr>
        <w:pStyle w:val="21"/>
        <w:adjustRightInd/>
        <w:spacing w:line="360" w:lineRule="auto"/>
        <w:ind w:right="112"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1231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钢结构用高强度大六角头螺栓连接副</w:t>
      </w:r>
    </w:p>
    <w:p w14:paraId="18D83A8F">
      <w:pPr>
        <w:pStyle w:val="21"/>
        <w:adjustRightInd/>
        <w:spacing w:line="360" w:lineRule="auto"/>
        <w:ind w:right="112"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26952</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焊缝无损检测 磁粉检测 验收等级</w:t>
      </w:r>
    </w:p>
    <w:p w14:paraId="4B41140F">
      <w:pPr>
        <w:pStyle w:val="21"/>
        <w:adjustRightInd/>
        <w:spacing w:line="360" w:lineRule="auto"/>
        <w:ind w:right="112" w:firstLine="420" w:firstLineChars="200"/>
        <w:jc w:val="both"/>
        <w:rPr>
          <w:rFonts w:hint="eastAsia" w:ascii="宋体" w:hAnsi="宋体" w:eastAsia="宋体" w:cs="宋体"/>
          <w:color w:val="000000"/>
          <w:sz w:val="21"/>
          <w:szCs w:val="21"/>
          <w:highlight w:val="none"/>
        </w:rPr>
      </w:pPr>
      <w:r>
        <w:rPr>
          <w:rFonts w:hint="eastAsia" w:ascii="宋体" w:hAnsi="宋体" w:eastAsia="宋体" w:cs="宋体"/>
          <w:color w:val="auto"/>
          <w:sz w:val="21"/>
          <w:szCs w:val="21"/>
          <w:highlight w:val="none"/>
        </w:rPr>
        <w:t>GB/T</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26953</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焊缝无损检测 渗透检测 验收等级</w:t>
      </w:r>
    </w:p>
    <w:p w14:paraId="006F5376">
      <w:pPr>
        <w:pStyle w:val="21"/>
        <w:spacing w:line="360" w:lineRule="auto"/>
        <w:ind w:right="11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4950-2021锌合金牺牲阳极</w:t>
      </w:r>
    </w:p>
    <w:p w14:paraId="6334F30D">
      <w:pPr>
        <w:pStyle w:val="21"/>
        <w:spacing w:line="360" w:lineRule="auto"/>
        <w:ind w:right="11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4948-2025 铝合金牺牲阳极 </w:t>
      </w:r>
    </w:p>
    <w:p w14:paraId="5592F9EA">
      <w:pPr>
        <w:pStyle w:val="21"/>
        <w:spacing w:line="360" w:lineRule="auto"/>
        <w:ind w:right="11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4949-2026 铝-锌-铟系合金牺牲阳极化学分析方法</w:t>
      </w:r>
    </w:p>
    <w:p w14:paraId="1CA08FA6">
      <w:pPr>
        <w:pStyle w:val="21"/>
        <w:spacing w:line="360" w:lineRule="auto"/>
        <w:ind w:right="11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8923.1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涂覆涂料前钢材表面处理表面清洁度的目视评定第1部分：未涂覆过的钢材表面和全面清除原有涂层后的钢材表面的锈蚀等级和处理等级</w:t>
      </w:r>
    </w:p>
    <w:p w14:paraId="04C6862C">
      <w:pPr>
        <w:pStyle w:val="21"/>
        <w:spacing w:line="360" w:lineRule="auto"/>
        <w:ind w:right="11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11374</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热喷涂涂层厚度的无损测量方法</w:t>
      </w:r>
    </w:p>
    <w:p w14:paraId="30207876">
      <w:pPr>
        <w:pStyle w:val="21"/>
        <w:spacing w:line="360" w:lineRule="auto"/>
        <w:ind w:right="11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13452.2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色漆和清漆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漆膜厚度的测定</w:t>
      </w:r>
    </w:p>
    <w:p w14:paraId="3A85DD9B">
      <w:pPr>
        <w:pStyle w:val="21"/>
        <w:spacing w:line="360" w:lineRule="auto"/>
        <w:ind w:right="11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13912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金属覆盖层</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钢铁制件热浸镀锌层</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技术要求及试验方法</w:t>
      </w:r>
    </w:p>
    <w:p w14:paraId="218F530A">
      <w:pPr>
        <w:pStyle w:val="21"/>
        <w:spacing w:line="360" w:lineRule="auto"/>
        <w:ind w:right="11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17848</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牺牲阳极电化学性能试验方法</w:t>
      </w:r>
    </w:p>
    <w:p w14:paraId="7D4D838B">
      <w:pPr>
        <w:pStyle w:val="21"/>
        <w:adjustRightInd/>
        <w:ind w:right="112" w:firstLine="420"/>
        <w:jc w:val="both"/>
        <w:rPr>
          <w:rFonts w:hint="eastAsia" w:eastAsia="宋体"/>
          <w:color w:val="auto"/>
          <w:sz w:val="21"/>
          <w:szCs w:val="21"/>
          <w:highlight w:val="none"/>
        </w:rPr>
      </w:pPr>
    </w:p>
    <w:p w14:paraId="008BE789">
      <w:pPr>
        <w:rPr>
          <w:rFonts w:hint="default"/>
          <w:lang w:val="en-US" w:eastAsia="zh-CN"/>
        </w:rPr>
      </w:pPr>
    </w:p>
    <w:p w14:paraId="11D72B37">
      <w:pPr>
        <w:rPr>
          <w:rFonts w:hint="eastAsia"/>
        </w:rPr>
      </w:pPr>
    </w:p>
    <w:p w14:paraId="6A23F57C">
      <w:pPr>
        <w:rPr>
          <w:rFonts w:hint="eastAsia"/>
        </w:rPr>
        <w:sectPr>
          <w:pgSz w:w="11906" w:h="16838"/>
          <w:pgMar w:top="1440" w:right="1800" w:bottom="1440" w:left="1800" w:header="851" w:footer="992" w:gutter="0"/>
          <w:cols w:space="425" w:num="1"/>
          <w:docGrid w:type="lines" w:linePitch="312" w:charSpace="0"/>
        </w:sectPr>
      </w:pPr>
    </w:p>
    <w:p w14:paraId="1F3A17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highlight w:val="none"/>
          <w:lang w:val="en-US" w:eastAsia="zh-CN"/>
        </w:rPr>
        <w:t>附录B 施工常用船舶与装备技术参数</w:t>
      </w:r>
      <w:r>
        <w:rPr>
          <w:rFonts w:hint="eastAsia" w:cs="宋体"/>
          <w:color w:val="000000"/>
          <w:sz w:val="28"/>
          <w:szCs w:val="28"/>
          <w:highlight w:val="none"/>
          <w:lang w:val="en-US" w:eastAsia="zh-CN"/>
        </w:rPr>
        <w:t>（参考性资料）</w:t>
      </w:r>
    </w:p>
    <w:p w14:paraId="71AF16F3">
      <w:pPr>
        <w:jc w:val="center"/>
        <w:rPr>
          <w:rFonts w:hint="eastAsia" w:ascii="宋体" w:hAnsi="宋体" w:eastAsia="宋体" w:cs="宋体"/>
          <w:b/>
          <w:bCs/>
          <w:color w:val="000000"/>
          <w:sz w:val="28"/>
          <w:szCs w:val="28"/>
        </w:rPr>
      </w:pPr>
    </w:p>
    <w:p w14:paraId="02FB6D82">
      <w:pPr>
        <w:spacing w:line="360" w:lineRule="auto"/>
        <w:ind w:left="360"/>
      </w:pPr>
      <w:r>
        <w:rPr>
          <w:rFonts w:hint="eastAsia"/>
        </w:rPr>
        <w:t>1 有DP起重船</w:t>
      </w:r>
    </w:p>
    <w:tbl>
      <w:tblPr>
        <w:tblStyle w:val="14"/>
        <w:tblW w:w="11800" w:type="dxa"/>
        <w:jc w:val="center"/>
        <w:tblLayout w:type="autofit"/>
        <w:tblCellMar>
          <w:top w:w="0" w:type="dxa"/>
          <w:left w:w="108" w:type="dxa"/>
          <w:bottom w:w="0" w:type="dxa"/>
          <w:right w:w="108" w:type="dxa"/>
        </w:tblCellMar>
      </w:tblPr>
      <w:tblGrid>
        <w:gridCol w:w="860"/>
        <w:gridCol w:w="1540"/>
        <w:gridCol w:w="2740"/>
        <w:gridCol w:w="1480"/>
        <w:gridCol w:w="900"/>
        <w:gridCol w:w="837"/>
        <w:gridCol w:w="837"/>
        <w:gridCol w:w="1400"/>
        <w:gridCol w:w="1240"/>
      </w:tblGrid>
      <w:tr w14:paraId="1CD61FF9">
        <w:tblPrEx>
          <w:tblCellMar>
            <w:top w:w="0" w:type="dxa"/>
            <w:left w:w="108" w:type="dxa"/>
            <w:bottom w:w="0" w:type="dxa"/>
            <w:right w:w="108" w:type="dxa"/>
          </w:tblCellMar>
        </w:tblPrEx>
        <w:trPr>
          <w:trHeight w:val="585" w:hRule="atLeast"/>
          <w:jc w:val="center"/>
        </w:trPr>
        <w:tc>
          <w:tcPr>
            <w:tcW w:w="860"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B2C63D0">
            <w:pPr>
              <w:jc w:val="center"/>
              <w:rPr>
                <w:b/>
                <w:bCs/>
                <w:sz w:val="22"/>
                <w:szCs w:val="22"/>
              </w:rPr>
            </w:pPr>
            <w:r>
              <w:rPr>
                <w:b/>
                <w:bCs/>
                <w:sz w:val="22"/>
                <w:szCs w:val="22"/>
              </w:rPr>
              <w:t>序号</w:t>
            </w:r>
          </w:p>
        </w:tc>
        <w:tc>
          <w:tcPr>
            <w:tcW w:w="1540" w:type="dxa"/>
            <w:tcBorders>
              <w:top w:val="single" w:color="auto" w:sz="4" w:space="0"/>
              <w:left w:val="nil"/>
              <w:bottom w:val="single" w:color="auto" w:sz="4" w:space="0"/>
              <w:right w:val="single" w:color="auto" w:sz="4" w:space="0"/>
            </w:tcBorders>
            <w:shd w:val="clear" w:color="000000" w:fill="FFFFFF"/>
            <w:noWrap/>
            <w:vAlign w:val="center"/>
          </w:tcPr>
          <w:p w14:paraId="60FDE8D8">
            <w:pPr>
              <w:jc w:val="center"/>
              <w:rPr>
                <w:b/>
                <w:bCs/>
                <w:sz w:val="22"/>
                <w:szCs w:val="22"/>
              </w:rPr>
            </w:pPr>
            <w:r>
              <w:rPr>
                <w:b/>
                <w:bCs/>
                <w:sz w:val="22"/>
                <w:szCs w:val="22"/>
              </w:rPr>
              <w:t>船 名</w:t>
            </w:r>
          </w:p>
        </w:tc>
        <w:tc>
          <w:tcPr>
            <w:tcW w:w="2740" w:type="dxa"/>
            <w:tcBorders>
              <w:top w:val="single" w:color="auto" w:sz="4" w:space="0"/>
              <w:left w:val="nil"/>
              <w:bottom w:val="single" w:color="auto" w:sz="4" w:space="0"/>
              <w:right w:val="single" w:color="auto" w:sz="4" w:space="0"/>
            </w:tcBorders>
            <w:shd w:val="clear" w:color="000000" w:fill="FFFFFF"/>
            <w:noWrap/>
            <w:vAlign w:val="center"/>
          </w:tcPr>
          <w:p w14:paraId="07DA8ED9">
            <w:pPr>
              <w:jc w:val="center"/>
              <w:rPr>
                <w:b/>
                <w:bCs/>
                <w:sz w:val="22"/>
                <w:szCs w:val="22"/>
              </w:rPr>
            </w:pPr>
            <w:r>
              <w:rPr>
                <w:b/>
                <w:bCs/>
                <w:sz w:val="22"/>
                <w:szCs w:val="22"/>
              </w:rPr>
              <w:t>船舶类型</w:t>
            </w:r>
          </w:p>
        </w:tc>
        <w:tc>
          <w:tcPr>
            <w:tcW w:w="1480" w:type="dxa"/>
            <w:tcBorders>
              <w:top w:val="single" w:color="auto" w:sz="4" w:space="0"/>
              <w:left w:val="nil"/>
              <w:bottom w:val="single" w:color="auto" w:sz="4" w:space="0"/>
              <w:right w:val="single" w:color="auto" w:sz="4" w:space="0"/>
            </w:tcBorders>
            <w:shd w:val="clear" w:color="000000" w:fill="FFFFFF"/>
            <w:vAlign w:val="center"/>
          </w:tcPr>
          <w:p w14:paraId="66A6CF48">
            <w:pPr>
              <w:jc w:val="center"/>
              <w:rPr>
                <w:b/>
                <w:bCs/>
                <w:sz w:val="22"/>
                <w:szCs w:val="22"/>
              </w:rPr>
            </w:pPr>
            <w:r>
              <w:rPr>
                <w:b/>
                <w:bCs/>
                <w:sz w:val="22"/>
                <w:szCs w:val="22"/>
              </w:rPr>
              <w:t>起升重量</w:t>
            </w:r>
            <w:r>
              <w:rPr>
                <w:b/>
                <w:bCs/>
                <w:sz w:val="22"/>
                <w:szCs w:val="22"/>
              </w:rPr>
              <w:br w:type="textWrapping"/>
            </w:r>
            <w:r>
              <w:rPr>
                <w:b/>
                <w:bCs/>
                <w:sz w:val="22"/>
                <w:szCs w:val="22"/>
              </w:rPr>
              <w:t>（t)</w:t>
            </w:r>
          </w:p>
        </w:tc>
        <w:tc>
          <w:tcPr>
            <w:tcW w:w="900" w:type="dxa"/>
            <w:tcBorders>
              <w:top w:val="single" w:color="auto" w:sz="4" w:space="0"/>
              <w:left w:val="nil"/>
              <w:bottom w:val="single" w:color="auto" w:sz="4" w:space="0"/>
              <w:right w:val="single" w:color="auto" w:sz="4" w:space="0"/>
            </w:tcBorders>
            <w:shd w:val="clear" w:color="000000" w:fill="FFFFFF"/>
            <w:vAlign w:val="center"/>
          </w:tcPr>
          <w:p w14:paraId="286ADCB1">
            <w:pPr>
              <w:jc w:val="center"/>
              <w:rPr>
                <w:b/>
                <w:bCs/>
                <w:sz w:val="22"/>
                <w:szCs w:val="22"/>
              </w:rPr>
            </w:pPr>
            <w:r>
              <w:rPr>
                <w:b/>
                <w:bCs/>
                <w:sz w:val="22"/>
                <w:szCs w:val="22"/>
              </w:rPr>
              <w:t>船长</w:t>
            </w:r>
            <w:r>
              <w:rPr>
                <w:b/>
                <w:bCs/>
                <w:sz w:val="22"/>
                <w:szCs w:val="22"/>
              </w:rPr>
              <w:br w:type="textWrapping"/>
            </w:r>
            <w:r>
              <w:rPr>
                <w:b/>
                <w:bCs/>
                <w:sz w:val="22"/>
                <w:szCs w:val="22"/>
              </w:rPr>
              <w:t>（m）</w:t>
            </w:r>
          </w:p>
        </w:tc>
        <w:tc>
          <w:tcPr>
            <w:tcW w:w="820" w:type="dxa"/>
            <w:tcBorders>
              <w:top w:val="single" w:color="auto" w:sz="4" w:space="0"/>
              <w:left w:val="nil"/>
              <w:bottom w:val="single" w:color="auto" w:sz="4" w:space="0"/>
              <w:right w:val="single" w:color="auto" w:sz="4" w:space="0"/>
            </w:tcBorders>
            <w:shd w:val="clear" w:color="000000" w:fill="FFFFFF"/>
            <w:vAlign w:val="center"/>
          </w:tcPr>
          <w:p w14:paraId="26A13C7B">
            <w:pPr>
              <w:jc w:val="center"/>
              <w:rPr>
                <w:b/>
                <w:bCs/>
                <w:sz w:val="22"/>
                <w:szCs w:val="22"/>
              </w:rPr>
            </w:pPr>
            <w:r>
              <w:rPr>
                <w:b/>
                <w:bCs/>
                <w:sz w:val="22"/>
                <w:szCs w:val="22"/>
              </w:rPr>
              <w:t>型宽</w:t>
            </w:r>
            <w:r>
              <w:rPr>
                <w:b/>
                <w:bCs/>
                <w:sz w:val="22"/>
                <w:szCs w:val="22"/>
              </w:rPr>
              <w:br w:type="textWrapping"/>
            </w:r>
            <w:r>
              <w:rPr>
                <w:b/>
                <w:bCs/>
                <w:sz w:val="22"/>
                <w:szCs w:val="22"/>
              </w:rPr>
              <w:t>（m）</w:t>
            </w:r>
          </w:p>
        </w:tc>
        <w:tc>
          <w:tcPr>
            <w:tcW w:w="820" w:type="dxa"/>
            <w:tcBorders>
              <w:top w:val="single" w:color="auto" w:sz="4" w:space="0"/>
              <w:left w:val="nil"/>
              <w:bottom w:val="single" w:color="auto" w:sz="4" w:space="0"/>
              <w:right w:val="single" w:color="auto" w:sz="4" w:space="0"/>
            </w:tcBorders>
            <w:shd w:val="clear" w:color="000000" w:fill="FFFFFF"/>
            <w:vAlign w:val="center"/>
          </w:tcPr>
          <w:p w14:paraId="129A0DC8">
            <w:pPr>
              <w:jc w:val="center"/>
              <w:rPr>
                <w:b/>
                <w:bCs/>
                <w:sz w:val="22"/>
                <w:szCs w:val="22"/>
              </w:rPr>
            </w:pPr>
            <w:r>
              <w:rPr>
                <w:b/>
                <w:bCs/>
                <w:sz w:val="22"/>
                <w:szCs w:val="22"/>
              </w:rPr>
              <w:t>型深</w:t>
            </w:r>
            <w:r>
              <w:rPr>
                <w:b/>
                <w:bCs/>
                <w:sz w:val="22"/>
                <w:szCs w:val="22"/>
              </w:rPr>
              <w:br w:type="textWrapping"/>
            </w:r>
            <w:r>
              <w:rPr>
                <w:b/>
                <w:bCs/>
                <w:sz w:val="22"/>
                <w:szCs w:val="22"/>
              </w:rPr>
              <w:t>（m）</w:t>
            </w:r>
          </w:p>
        </w:tc>
        <w:tc>
          <w:tcPr>
            <w:tcW w:w="1400" w:type="dxa"/>
            <w:tcBorders>
              <w:top w:val="single" w:color="auto" w:sz="4" w:space="0"/>
              <w:left w:val="nil"/>
              <w:bottom w:val="single" w:color="auto" w:sz="4" w:space="0"/>
              <w:right w:val="single" w:color="auto" w:sz="4" w:space="0"/>
            </w:tcBorders>
            <w:shd w:val="clear" w:color="000000" w:fill="FFFFFF"/>
            <w:vAlign w:val="center"/>
          </w:tcPr>
          <w:p w14:paraId="3B0F75FE">
            <w:pPr>
              <w:jc w:val="center"/>
              <w:rPr>
                <w:b/>
                <w:bCs/>
                <w:sz w:val="22"/>
                <w:szCs w:val="22"/>
              </w:rPr>
            </w:pPr>
            <w:r>
              <w:rPr>
                <w:b/>
                <w:bCs/>
                <w:sz w:val="22"/>
                <w:szCs w:val="22"/>
              </w:rPr>
              <w:t>设计/满载</w:t>
            </w:r>
            <w:r>
              <w:rPr>
                <w:b/>
                <w:bCs/>
                <w:sz w:val="22"/>
                <w:szCs w:val="22"/>
              </w:rPr>
              <w:br w:type="textWrapping"/>
            </w:r>
            <w:r>
              <w:rPr>
                <w:b/>
                <w:bCs/>
                <w:sz w:val="22"/>
                <w:szCs w:val="22"/>
              </w:rPr>
              <w:t>吃水（m）</w:t>
            </w:r>
          </w:p>
        </w:tc>
        <w:tc>
          <w:tcPr>
            <w:tcW w:w="1240" w:type="dxa"/>
            <w:tcBorders>
              <w:top w:val="single" w:color="auto" w:sz="4" w:space="0"/>
              <w:left w:val="nil"/>
              <w:bottom w:val="single" w:color="auto" w:sz="4" w:space="0"/>
              <w:right w:val="single" w:color="auto" w:sz="4" w:space="0"/>
            </w:tcBorders>
            <w:shd w:val="clear" w:color="000000" w:fill="FFFFFF"/>
            <w:vAlign w:val="center"/>
          </w:tcPr>
          <w:p w14:paraId="5B2E5DEC">
            <w:pPr>
              <w:jc w:val="center"/>
              <w:rPr>
                <w:b/>
                <w:bCs/>
                <w:sz w:val="22"/>
                <w:szCs w:val="22"/>
              </w:rPr>
            </w:pPr>
            <w:r>
              <w:rPr>
                <w:b/>
                <w:bCs/>
                <w:sz w:val="22"/>
                <w:szCs w:val="22"/>
              </w:rPr>
              <w:t>起升高度（m）</w:t>
            </w:r>
          </w:p>
        </w:tc>
      </w:tr>
      <w:tr w14:paraId="684D7D71">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5D9542E3">
            <w:pPr>
              <w:jc w:val="center"/>
              <w:rPr>
                <w:b/>
                <w:bCs/>
                <w:sz w:val="22"/>
                <w:szCs w:val="22"/>
              </w:rPr>
            </w:pPr>
            <w:r>
              <w:rPr>
                <w:b/>
                <w:bCs/>
                <w:sz w:val="22"/>
                <w:szCs w:val="22"/>
              </w:rPr>
              <w:t>1</w:t>
            </w:r>
          </w:p>
        </w:tc>
        <w:tc>
          <w:tcPr>
            <w:tcW w:w="1540" w:type="dxa"/>
            <w:tcBorders>
              <w:top w:val="nil"/>
              <w:left w:val="nil"/>
              <w:bottom w:val="single" w:color="auto" w:sz="4" w:space="0"/>
              <w:right w:val="single" w:color="auto" w:sz="4" w:space="0"/>
            </w:tcBorders>
            <w:shd w:val="clear" w:color="000000" w:fill="FFFFFF"/>
            <w:noWrap/>
            <w:vAlign w:val="center"/>
          </w:tcPr>
          <w:p w14:paraId="4233D77B">
            <w:pPr>
              <w:jc w:val="center"/>
              <w:rPr>
                <w:sz w:val="22"/>
                <w:szCs w:val="22"/>
              </w:rPr>
            </w:pPr>
            <w:r>
              <w:rPr>
                <w:sz w:val="22"/>
                <w:szCs w:val="22"/>
              </w:rPr>
              <w:t>振华30</w:t>
            </w:r>
          </w:p>
        </w:tc>
        <w:tc>
          <w:tcPr>
            <w:tcW w:w="2740" w:type="dxa"/>
            <w:tcBorders>
              <w:top w:val="nil"/>
              <w:left w:val="nil"/>
              <w:bottom w:val="single" w:color="auto" w:sz="4" w:space="0"/>
              <w:right w:val="single" w:color="auto" w:sz="4" w:space="0"/>
            </w:tcBorders>
            <w:shd w:val="clear" w:color="000000" w:fill="FFFFFF"/>
            <w:noWrap/>
            <w:vAlign w:val="center"/>
          </w:tcPr>
          <w:p w14:paraId="59DE5B6E">
            <w:pPr>
              <w:jc w:val="center"/>
              <w:rPr>
                <w:sz w:val="22"/>
                <w:szCs w:val="22"/>
              </w:rPr>
            </w:pPr>
            <w:r>
              <w:rPr>
                <w:sz w:val="22"/>
                <w:szCs w:val="22"/>
              </w:rPr>
              <w:t>全回转，自航，DP2</w:t>
            </w:r>
          </w:p>
        </w:tc>
        <w:tc>
          <w:tcPr>
            <w:tcW w:w="1480" w:type="dxa"/>
            <w:tcBorders>
              <w:top w:val="nil"/>
              <w:left w:val="nil"/>
              <w:bottom w:val="single" w:color="auto" w:sz="4" w:space="0"/>
              <w:right w:val="single" w:color="auto" w:sz="4" w:space="0"/>
            </w:tcBorders>
            <w:shd w:val="clear" w:color="000000" w:fill="FFFFFF"/>
            <w:vAlign w:val="center"/>
          </w:tcPr>
          <w:p w14:paraId="42666B52">
            <w:pPr>
              <w:jc w:val="center"/>
              <w:rPr>
                <w:sz w:val="22"/>
                <w:szCs w:val="22"/>
              </w:rPr>
            </w:pPr>
            <w:r>
              <w:rPr>
                <w:sz w:val="22"/>
                <w:szCs w:val="22"/>
              </w:rPr>
              <w:t>固定吊12000</w:t>
            </w:r>
            <w:r>
              <w:rPr>
                <w:sz w:val="22"/>
                <w:szCs w:val="22"/>
              </w:rPr>
              <w:br w:type="textWrapping"/>
            </w:r>
            <w:r>
              <w:rPr>
                <w:sz w:val="22"/>
                <w:szCs w:val="22"/>
              </w:rPr>
              <w:t>全回转7000</w:t>
            </w:r>
          </w:p>
        </w:tc>
        <w:tc>
          <w:tcPr>
            <w:tcW w:w="900" w:type="dxa"/>
            <w:tcBorders>
              <w:top w:val="nil"/>
              <w:left w:val="nil"/>
              <w:bottom w:val="single" w:color="auto" w:sz="4" w:space="0"/>
              <w:right w:val="single" w:color="auto" w:sz="4" w:space="0"/>
            </w:tcBorders>
            <w:shd w:val="clear" w:color="000000" w:fill="FFFFFF"/>
            <w:noWrap/>
            <w:vAlign w:val="center"/>
          </w:tcPr>
          <w:p w14:paraId="6E2FF2E4">
            <w:pPr>
              <w:jc w:val="center"/>
              <w:rPr>
                <w:sz w:val="22"/>
                <w:szCs w:val="22"/>
              </w:rPr>
            </w:pPr>
            <w:r>
              <w:rPr>
                <w:sz w:val="22"/>
                <w:szCs w:val="22"/>
              </w:rPr>
              <w:t>297.55</w:t>
            </w:r>
          </w:p>
        </w:tc>
        <w:tc>
          <w:tcPr>
            <w:tcW w:w="820" w:type="dxa"/>
            <w:tcBorders>
              <w:top w:val="nil"/>
              <w:left w:val="nil"/>
              <w:bottom w:val="single" w:color="auto" w:sz="4" w:space="0"/>
              <w:right w:val="single" w:color="auto" w:sz="4" w:space="0"/>
            </w:tcBorders>
            <w:shd w:val="clear" w:color="000000" w:fill="FFFFFF"/>
            <w:noWrap/>
            <w:vAlign w:val="center"/>
          </w:tcPr>
          <w:p w14:paraId="40860752">
            <w:pPr>
              <w:jc w:val="center"/>
              <w:rPr>
                <w:sz w:val="22"/>
                <w:szCs w:val="22"/>
              </w:rPr>
            </w:pPr>
            <w:r>
              <w:rPr>
                <w:sz w:val="22"/>
                <w:szCs w:val="22"/>
              </w:rPr>
              <w:t>58</w:t>
            </w:r>
          </w:p>
        </w:tc>
        <w:tc>
          <w:tcPr>
            <w:tcW w:w="820" w:type="dxa"/>
            <w:tcBorders>
              <w:top w:val="nil"/>
              <w:left w:val="nil"/>
              <w:bottom w:val="single" w:color="auto" w:sz="4" w:space="0"/>
              <w:right w:val="single" w:color="auto" w:sz="4" w:space="0"/>
            </w:tcBorders>
            <w:shd w:val="clear" w:color="000000" w:fill="FFFFFF"/>
            <w:noWrap/>
            <w:vAlign w:val="center"/>
          </w:tcPr>
          <w:p w14:paraId="70D39D3E">
            <w:pPr>
              <w:jc w:val="center"/>
              <w:rPr>
                <w:sz w:val="22"/>
                <w:szCs w:val="22"/>
              </w:rPr>
            </w:pPr>
            <w:r>
              <w:rPr>
                <w:sz w:val="22"/>
                <w:szCs w:val="22"/>
              </w:rPr>
              <w:t>28</w:t>
            </w:r>
          </w:p>
        </w:tc>
        <w:tc>
          <w:tcPr>
            <w:tcW w:w="1400" w:type="dxa"/>
            <w:tcBorders>
              <w:top w:val="nil"/>
              <w:left w:val="nil"/>
              <w:bottom w:val="single" w:color="auto" w:sz="4" w:space="0"/>
              <w:right w:val="single" w:color="auto" w:sz="4" w:space="0"/>
            </w:tcBorders>
            <w:shd w:val="clear" w:color="000000" w:fill="FFFFFF"/>
            <w:noWrap/>
            <w:vAlign w:val="center"/>
          </w:tcPr>
          <w:p w14:paraId="0144462B">
            <w:pPr>
              <w:jc w:val="center"/>
              <w:rPr>
                <w:sz w:val="22"/>
                <w:szCs w:val="22"/>
              </w:rPr>
            </w:pPr>
            <w:r>
              <w:rPr>
                <w:sz w:val="22"/>
                <w:szCs w:val="22"/>
              </w:rPr>
              <w:t>18</w:t>
            </w:r>
          </w:p>
        </w:tc>
        <w:tc>
          <w:tcPr>
            <w:tcW w:w="1240" w:type="dxa"/>
            <w:tcBorders>
              <w:top w:val="nil"/>
              <w:left w:val="nil"/>
              <w:bottom w:val="single" w:color="auto" w:sz="4" w:space="0"/>
              <w:right w:val="single" w:color="auto" w:sz="4" w:space="0"/>
            </w:tcBorders>
            <w:shd w:val="clear" w:color="000000" w:fill="FFFFFF"/>
            <w:noWrap/>
            <w:vAlign w:val="center"/>
          </w:tcPr>
          <w:p w14:paraId="33448FCD">
            <w:pPr>
              <w:jc w:val="center"/>
              <w:rPr>
                <w:sz w:val="22"/>
                <w:szCs w:val="22"/>
              </w:rPr>
            </w:pPr>
            <w:r>
              <w:rPr>
                <w:sz w:val="22"/>
                <w:szCs w:val="22"/>
              </w:rPr>
              <w:t>120</w:t>
            </w:r>
          </w:p>
        </w:tc>
      </w:tr>
      <w:tr w14:paraId="49E9B4B2">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7FD258D0">
            <w:pPr>
              <w:jc w:val="center"/>
              <w:rPr>
                <w:b/>
                <w:bCs/>
                <w:sz w:val="22"/>
                <w:szCs w:val="22"/>
              </w:rPr>
            </w:pPr>
            <w:r>
              <w:rPr>
                <w:b/>
                <w:bCs/>
                <w:sz w:val="22"/>
                <w:szCs w:val="22"/>
              </w:rPr>
              <w:t>2</w:t>
            </w:r>
          </w:p>
        </w:tc>
        <w:tc>
          <w:tcPr>
            <w:tcW w:w="1540" w:type="dxa"/>
            <w:tcBorders>
              <w:top w:val="nil"/>
              <w:left w:val="nil"/>
              <w:bottom w:val="single" w:color="auto" w:sz="4" w:space="0"/>
              <w:right w:val="single" w:color="auto" w:sz="4" w:space="0"/>
            </w:tcBorders>
            <w:shd w:val="clear" w:color="000000" w:fill="FFFFFF"/>
            <w:vAlign w:val="center"/>
          </w:tcPr>
          <w:p w14:paraId="43A6165A">
            <w:pPr>
              <w:jc w:val="center"/>
              <w:rPr>
                <w:sz w:val="22"/>
                <w:szCs w:val="22"/>
              </w:rPr>
            </w:pPr>
            <w:r>
              <w:rPr>
                <w:sz w:val="22"/>
                <w:szCs w:val="22"/>
              </w:rPr>
              <w:t>海峰2001</w:t>
            </w:r>
          </w:p>
        </w:tc>
        <w:tc>
          <w:tcPr>
            <w:tcW w:w="2740" w:type="dxa"/>
            <w:tcBorders>
              <w:top w:val="nil"/>
              <w:left w:val="nil"/>
              <w:bottom w:val="single" w:color="auto" w:sz="4" w:space="0"/>
              <w:right w:val="single" w:color="auto" w:sz="4" w:space="0"/>
            </w:tcBorders>
            <w:shd w:val="clear" w:color="000000" w:fill="FFFFFF"/>
            <w:vAlign w:val="center"/>
          </w:tcPr>
          <w:p w14:paraId="55B45F06">
            <w:pPr>
              <w:jc w:val="center"/>
              <w:rPr>
                <w:sz w:val="22"/>
                <w:szCs w:val="22"/>
              </w:rPr>
            </w:pPr>
            <w:r>
              <w:rPr>
                <w:sz w:val="22"/>
                <w:szCs w:val="22"/>
              </w:rPr>
              <w:t>全回转、自航、DP2</w:t>
            </w:r>
          </w:p>
        </w:tc>
        <w:tc>
          <w:tcPr>
            <w:tcW w:w="1480" w:type="dxa"/>
            <w:tcBorders>
              <w:top w:val="nil"/>
              <w:left w:val="nil"/>
              <w:bottom w:val="single" w:color="auto" w:sz="4" w:space="0"/>
              <w:right w:val="single" w:color="auto" w:sz="4" w:space="0"/>
            </w:tcBorders>
            <w:shd w:val="clear" w:color="000000" w:fill="FFFFFF"/>
            <w:vAlign w:val="center"/>
          </w:tcPr>
          <w:p w14:paraId="03AE4B57">
            <w:pPr>
              <w:jc w:val="center"/>
              <w:rPr>
                <w:sz w:val="22"/>
                <w:szCs w:val="22"/>
              </w:rPr>
            </w:pPr>
            <w:r>
              <w:rPr>
                <w:sz w:val="22"/>
                <w:szCs w:val="22"/>
              </w:rPr>
              <w:t>固定吊4000</w:t>
            </w:r>
            <w:r>
              <w:rPr>
                <w:sz w:val="22"/>
                <w:szCs w:val="22"/>
              </w:rPr>
              <w:br w:type="textWrapping"/>
            </w:r>
            <w:r>
              <w:rPr>
                <w:sz w:val="22"/>
                <w:szCs w:val="22"/>
              </w:rPr>
              <w:t>全回转3000</w:t>
            </w:r>
          </w:p>
        </w:tc>
        <w:tc>
          <w:tcPr>
            <w:tcW w:w="900" w:type="dxa"/>
            <w:tcBorders>
              <w:top w:val="nil"/>
              <w:left w:val="nil"/>
              <w:bottom w:val="single" w:color="auto" w:sz="4" w:space="0"/>
              <w:right w:val="single" w:color="auto" w:sz="4" w:space="0"/>
            </w:tcBorders>
            <w:shd w:val="clear" w:color="000000" w:fill="FFFFFF"/>
            <w:vAlign w:val="center"/>
          </w:tcPr>
          <w:p w14:paraId="508CFA22">
            <w:pPr>
              <w:jc w:val="center"/>
              <w:rPr>
                <w:sz w:val="22"/>
                <w:szCs w:val="22"/>
              </w:rPr>
            </w:pPr>
            <w:r>
              <w:rPr>
                <w:sz w:val="22"/>
                <w:szCs w:val="22"/>
              </w:rPr>
              <w:t>195</w:t>
            </w:r>
          </w:p>
        </w:tc>
        <w:tc>
          <w:tcPr>
            <w:tcW w:w="820" w:type="dxa"/>
            <w:tcBorders>
              <w:top w:val="nil"/>
              <w:left w:val="nil"/>
              <w:bottom w:val="single" w:color="auto" w:sz="4" w:space="0"/>
              <w:right w:val="single" w:color="auto" w:sz="4" w:space="0"/>
            </w:tcBorders>
            <w:shd w:val="clear" w:color="000000" w:fill="FFFFFF"/>
            <w:vAlign w:val="center"/>
          </w:tcPr>
          <w:p w14:paraId="4B64C6AA">
            <w:pPr>
              <w:jc w:val="center"/>
              <w:rPr>
                <w:sz w:val="22"/>
                <w:szCs w:val="22"/>
              </w:rPr>
            </w:pPr>
            <w:r>
              <w:rPr>
                <w:sz w:val="22"/>
                <w:szCs w:val="22"/>
              </w:rPr>
              <w:t>46.9</w:t>
            </w:r>
          </w:p>
        </w:tc>
        <w:tc>
          <w:tcPr>
            <w:tcW w:w="820" w:type="dxa"/>
            <w:tcBorders>
              <w:top w:val="nil"/>
              <w:left w:val="nil"/>
              <w:bottom w:val="single" w:color="auto" w:sz="4" w:space="0"/>
              <w:right w:val="single" w:color="auto" w:sz="4" w:space="0"/>
            </w:tcBorders>
            <w:shd w:val="clear" w:color="000000" w:fill="FFFFFF"/>
            <w:vAlign w:val="center"/>
          </w:tcPr>
          <w:p w14:paraId="74263934">
            <w:pPr>
              <w:jc w:val="center"/>
              <w:rPr>
                <w:sz w:val="22"/>
                <w:szCs w:val="22"/>
              </w:rPr>
            </w:pPr>
            <w:r>
              <w:rPr>
                <w:sz w:val="22"/>
                <w:szCs w:val="22"/>
              </w:rPr>
              <w:t>16</w:t>
            </w:r>
          </w:p>
        </w:tc>
        <w:tc>
          <w:tcPr>
            <w:tcW w:w="1400" w:type="dxa"/>
            <w:tcBorders>
              <w:top w:val="nil"/>
              <w:left w:val="nil"/>
              <w:bottom w:val="single" w:color="auto" w:sz="4" w:space="0"/>
              <w:right w:val="single" w:color="auto" w:sz="4" w:space="0"/>
            </w:tcBorders>
            <w:shd w:val="clear" w:color="000000" w:fill="FFFFFF"/>
            <w:vAlign w:val="center"/>
          </w:tcPr>
          <w:p w14:paraId="796D6ABC">
            <w:pPr>
              <w:jc w:val="center"/>
              <w:rPr>
                <w:sz w:val="22"/>
                <w:szCs w:val="22"/>
              </w:rPr>
            </w:pPr>
            <w:r>
              <w:rPr>
                <w:sz w:val="22"/>
                <w:szCs w:val="22"/>
              </w:rPr>
              <w:t>9.5</w:t>
            </w:r>
          </w:p>
        </w:tc>
        <w:tc>
          <w:tcPr>
            <w:tcW w:w="1240" w:type="dxa"/>
            <w:tcBorders>
              <w:top w:val="nil"/>
              <w:left w:val="nil"/>
              <w:bottom w:val="single" w:color="auto" w:sz="4" w:space="0"/>
              <w:right w:val="single" w:color="auto" w:sz="4" w:space="0"/>
            </w:tcBorders>
            <w:shd w:val="clear" w:color="000000" w:fill="FFFFFF"/>
            <w:vAlign w:val="center"/>
          </w:tcPr>
          <w:p w14:paraId="75A4AF65">
            <w:pPr>
              <w:jc w:val="center"/>
              <w:rPr>
                <w:sz w:val="22"/>
                <w:szCs w:val="22"/>
              </w:rPr>
            </w:pPr>
            <w:r>
              <w:rPr>
                <w:sz w:val="22"/>
                <w:szCs w:val="22"/>
              </w:rPr>
              <w:t>120</w:t>
            </w:r>
          </w:p>
        </w:tc>
      </w:tr>
      <w:tr w14:paraId="68C58123">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25C5E602">
            <w:pPr>
              <w:jc w:val="center"/>
              <w:rPr>
                <w:b/>
                <w:bCs/>
                <w:sz w:val="22"/>
                <w:szCs w:val="22"/>
              </w:rPr>
            </w:pPr>
            <w:r>
              <w:rPr>
                <w:b/>
                <w:bCs/>
                <w:sz w:val="22"/>
                <w:szCs w:val="22"/>
              </w:rPr>
              <w:t>3</w:t>
            </w:r>
          </w:p>
        </w:tc>
        <w:tc>
          <w:tcPr>
            <w:tcW w:w="1540" w:type="dxa"/>
            <w:tcBorders>
              <w:top w:val="nil"/>
              <w:left w:val="nil"/>
              <w:bottom w:val="single" w:color="auto" w:sz="4" w:space="0"/>
              <w:right w:val="single" w:color="auto" w:sz="4" w:space="0"/>
            </w:tcBorders>
            <w:shd w:val="clear" w:color="000000" w:fill="FFFFFF"/>
            <w:noWrap/>
            <w:vAlign w:val="center"/>
          </w:tcPr>
          <w:p w14:paraId="3415B04C">
            <w:pPr>
              <w:jc w:val="center"/>
              <w:rPr>
                <w:sz w:val="22"/>
                <w:szCs w:val="22"/>
              </w:rPr>
            </w:pPr>
            <w:r>
              <w:rPr>
                <w:sz w:val="22"/>
                <w:szCs w:val="22"/>
              </w:rPr>
              <w:t>华兆龙</w:t>
            </w:r>
          </w:p>
        </w:tc>
        <w:tc>
          <w:tcPr>
            <w:tcW w:w="2740" w:type="dxa"/>
            <w:tcBorders>
              <w:top w:val="nil"/>
              <w:left w:val="nil"/>
              <w:bottom w:val="single" w:color="auto" w:sz="4" w:space="0"/>
              <w:right w:val="single" w:color="auto" w:sz="4" w:space="0"/>
            </w:tcBorders>
            <w:shd w:val="clear" w:color="000000" w:fill="FFFFFF"/>
            <w:noWrap/>
            <w:vAlign w:val="center"/>
          </w:tcPr>
          <w:p w14:paraId="3F1917B8">
            <w:pPr>
              <w:jc w:val="center"/>
              <w:rPr>
                <w:sz w:val="22"/>
                <w:szCs w:val="22"/>
              </w:rPr>
            </w:pPr>
            <w:r>
              <w:rPr>
                <w:sz w:val="22"/>
                <w:szCs w:val="22"/>
              </w:rPr>
              <w:t>全回转，自航、DP2</w:t>
            </w:r>
          </w:p>
        </w:tc>
        <w:tc>
          <w:tcPr>
            <w:tcW w:w="1480" w:type="dxa"/>
            <w:tcBorders>
              <w:top w:val="nil"/>
              <w:left w:val="nil"/>
              <w:bottom w:val="single" w:color="auto" w:sz="4" w:space="0"/>
              <w:right w:val="single" w:color="auto" w:sz="4" w:space="0"/>
            </w:tcBorders>
            <w:shd w:val="clear" w:color="000000" w:fill="FFFFFF"/>
            <w:vAlign w:val="center"/>
          </w:tcPr>
          <w:p w14:paraId="40AFCBF4">
            <w:pPr>
              <w:jc w:val="center"/>
              <w:rPr>
                <w:sz w:val="22"/>
                <w:szCs w:val="22"/>
              </w:rPr>
            </w:pPr>
            <w:r>
              <w:rPr>
                <w:sz w:val="22"/>
                <w:szCs w:val="22"/>
              </w:rPr>
              <w:t>固定吊5000</w:t>
            </w:r>
            <w:r>
              <w:rPr>
                <w:sz w:val="22"/>
                <w:szCs w:val="22"/>
              </w:rPr>
              <w:br w:type="textWrapping"/>
            </w:r>
            <w:r>
              <w:rPr>
                <w:sz w:val="22"/>
                <w:szCs w:val="22"/>
              </w:rPr>
              <w:t>全回转3500</w:t>
            </w:r>
          </w:p>
        </w:tc>
        <w:tc>
          <w:tcPr>
            <w:tcW w:w="900" w:type="dxa"/>
            <w:tcBorders>
              <w:top w:val="nil"/>
              <w:left w:val="nil"/>
              <w:bottom w:val="single" w:color="auto" w:sz="4" w:space="0"/>
              <w:right w:val="single" w:color="auto" w:sz="4" w:space="0"/>
            </w:tcBorders>
            <w:shd w:val="clear" w:color="000000" w:fill="FFFFFF"/>
            <w:noWrap/>
            <w:vAlign w:val="center"/>
          </w:tcPr>
          <w:p w14:paraId="33302EE0">
            <w:pPr>
              <w:jc w:val="center"/>
              <w:rPr>
                <w:sz w:val="22"/>
                <w:szCs w:val="22"/>
              </w:rPr>
            </w:pPr>
            <w:r>
              <w:rPr>
                <w:sz w:val="22"/>
                <w:szCs w:val="22"/>
              </w:rPr>
              <w:t>195</w:t>
            </w:r>
          </w:p>
        </w:tc>
        <w:tc>
          <w:tcPr>
            <w:tcW w:w="820" w:type="dxa"/>
            <w:tcBorders>
              <w:top w:val="nil"/>
              <w:left w:val="nil"/>
              <w:bottom w:val="single" w:color="auto" w:sz="4" w:space="0"/>
              <w:right w:val="single" w:color="auto" w:sz="4" w:space="0"/>
            </w:tcBorders>
            <w:shd w:val="clear" w:color="000000" w:fill="FFFFFF"/>
            <w:noWrap/>
            <w:vAlign w:val="center"/>
          </w:tcPr>
          <w:p w14:paraId="5A831C0B">
            <w:pPr>
              <w:jc w:val="center"/>
              <w:rPr>
                <w:sz w:val="22"/>
                <w:szCs w:val="22"/>
              </w:rPr>
            </w:pPr>
            <w:r>
              <w:rPr>
                <w:sz w:val="22"/>
                <w:szCs w:val="22"/>
              </w:rPr>
              <w:t>49.8</w:t>
            </w:r>
          </w:p>
        </w:tc>
        <w:tc>
          <w:tcPr>
            <w:tcW w:w="820" w:type="dxa"/>
            <w:tcBorders>
              <w:top w:val="nil"/>
              <w:left w:val="nil"/>
              <w:bottom w:val="single" w:color="auto" w:sz="4" w:space="0"/>
              <w:right w:val="single" w:color="auto" w:sz="4" w:space="0"/>
            </w:tcBorders>
            <w:shd w:val="clear" w:color="000000" w:fill="FFFFFF"/>
            <w:noWrap/>
            <w:vAlign w:val="center"/>
          </w:tcPr>
          <w:p w14:paraId="72D7B593">
            <w:pPr>
              <w:jc w:val="center"/>
              <w:rPr>
                <w:sz w:val="22"/>
                <w:szCs w:val="22"/>
              </w:rPr>
            </w:pPr>
            <w:r>
              <w:rPr>
                <w:sz w:val="22"/>
                <w:szCs w:val="22"/>
              </w:rPr>
              <w:t>16</w:t>
            </w:r>
          </w:p>
        </w:tc>
        <w:tc>
          <w:tcPr>
            <w:tcW w:w="1400" w:type="dxa"/>
            <w:tcBorders>
              <w:top w:val="nil"/>
              <w:left w:val="nil"/>
              <w:bottom w:val="single" w:color="auto" w:sz="4" w:space="0"/>
              <w:right w:val="single" w:color="auto" w:sz="4" w:space="0"/>
            </w:tcBorders>
            <w:shd w:val="clear" w:color="000000" w:fill="FFFFFF"/>
            <w:noWrap/>
            <w:vAlign w:val="center"/>
          </w:tcPr>
          <w:p w14:paraId="585DB19A">
            <w:pPr>
              <w:jc w:val="center"/>
              <w:rPr>
                <w:sz w:val="22"/>
                <w:szCs w:val="22"/>
              </w:rPr>
            </w:pPr>
            <w:r>
              <w:rPr>
                <w:sz w:val="22"/>
                <w:szCs w:val="22"/>
              </w:rPr>
              <w:t>12</w:t>
            </w:r>
          </w:p>
        </w:tc>
        <w:tc>
          <w:tcPr>
            <w:tcW w:w="1240" w:type="dxa"/>
            <w:tcBorders>
              <w:top w:val="nil"/>
              <w:left w:val="nil"/>
              <w:bottom w:val="single" w:color="auto" w:sz="4" w:space="0"/>
              <w:right w:val="single" w:color="auto" w:sz="4" w:space="0"/>
            </w:tcBorders>
            <w:shd w:val="clear" w:color="000000" w:fill="FFFFFF"/>
            <w:noWrap/>
            <w:vAlign w:val="center"/>
          </w:tcPr>
          <w:p w14:paraId="1D733BB0">
            <w:pPr>
              <w:jc w:val="center"/>
              <w:rPr>
                <w:sz w:val="22"/>
                <w:szCs w:val="22"/>
              </w:rPr>
            </w:pPr>
            <w:r>
              <w:rPr>
                <w:sz w:val="22"/>
                <w:szCs w:val="22"/>
              </w:rPr>
              <w:t>148.5</w:t>
            </w:r>
          </w:p>
        </w:tc>
      </w:tr>
      <w:tr w14:paraId="2E728045">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7BF81060">
            <w:pPr>
              <w:jc w:val="center"/>
              <w:rPr>
                <w:b/>
                <w:bCs/>
                <w:sz w:val="22"/>
                <w:szCs w:val="22"/>
              </w:rPr>
            </w:pPr>
            <w:r>
              <w:rPr>
                <w:b/>
                <w:bCs/>
                <w:sz w:val="22"/>
                <w:szCs w:val="22"/>
              </w:rPr>
              <w:t>4</w:t>
            </w:r>
          </w:p>
        </w:tc>
        <w:tc>
          <w:tcPr>
            <w:tcW w:w="1540" w:type="dxa"/>
            <w:tcBorders>
              <w:top w:val="nil"/>
              <w:left w:val="nil"/>
              <w:bottom w:val="single" w:color="auto" w:sz="4" w:space="0"/>
              <w:right w:val="single" w:color="auto" w:sz="4" w:space="0"/>
            </w:tcBorders>
            <w:shd w:val="clear" w:color="000000" w:fill="FFFFFF"/>
            <w:noWrap/>
            <w:vAlign w:val="center"/>
          </w:tcPr>
          <w:p w14:paraId="76992BF5">
            <w:pPr>
              <w:jc w:val="center"/>
              <w:rPr>
                <w:sz w:val="22"/>
                <w:szCs w:val="22"/>
              </w:rPr>
            </w:pPr>
            <w:r>
              <w:rPr>
                <w:sz w:val="22"/>
                <w:szCs w:val="22"/>
              </w:rPr>
              <w:t>德和</w:t>
            </w:r>
          </w:p>
        </w:tc>
        <w:tc>
          <w:tcPr>
            <w:tcW w:w="2740" w:type="dxa"/>
            <w:tcBorders>
              <w:top w:val="nil"/>
              <w:left w:val="nil"/>
              <w:bottom w:val="single" w:color="auto" w:sz="4" w:space="0"/>
              <w:right w:val="single" w:color="auto" w:sz="4" w:space="0"/>
            </w:tcBorders>
            <w:shd w:val="clear" w:color="000000" w:fill="FFFFFF"/>
            <w:noWrap/>
            <w:vAlign w:val="center"/>
          </w:tcPr>
          <w:p w14:paraId="6D384439">
            <w:pPr>
              <w:jc w:val="center"/>
              <w:rPr>
                <w:sz w:val="22"/>
                <w:szCs w:val="22"/>
              </w:rPr>
            </w:pPr>
            <w:r>
              <w:rPr>
                <w:sz w:val="22"/>
                <w:szCs w:val="22"/>
              </w:rPr>
              <w:t>全回转，自航，DP3</w:t>
            </w:r>
          </w:p>
        </w:tc>
        <w:tc>
          <w:tcPr>
            <w:tcW w:w="1480" w:type="dxa"/>
            <w:tcBorders>
              <w:top w:val="nil"/>
              <w:left w:val="nil"/>
              <w:bottom w:val="single" w:color="auto" w:sz="4" w:space="0"/>
              <w:right w:val="single" w:color="auto" w:sz="4" w:space="0"/>
            </w:tcBorders>
            <w:shd w:val="clear" w:color="000000" w:fill="FFFFFF"/>
            <w:vAlign w:val="center"/>
          </w:tcPr>
          <w:p w14:paraId="229E200A">
            <w:pPr>
              <w:jc w:val="center"/>
              <w:rPr>
                <w:sz w:val="22"/>
                <w:szCs w:val="22"/>
              </w:rPr>
            </w:pPr>
            <w:r>
              <w:rPr>
                <w:sz w:val="22"/>
                <w:szCs w:val="22"/>
              </w:rPr>
              <w:t>固定吊5000</w:t>
            </w:r>
            <w:r>
              <w:rPr>
                <w:sz w:val="22"/>
                <w:szCs w:val="22"/>
              </w:rPr>
              <w:br w:type="textWrapping"/>
            </w:r>
            <w:r>
              <w:rPr>
                <w:sz w:val="22"/>
                <w:szCs w:val="22"/>
              </w:rPr>
              <w:t>全回转3500</w:t>
            </w:r>
          </w:p>
        </w:tc>
        <w:tc>
          <w:tcPr>
            <w:tcW w:w="900" w:type="dxa"/>
            <w:tcBorders>
              <w:top w:val="nil"/>
              <w:left w:val="nil"/>
              <w:bottom w:val="single" w:color="auto" w:sz="4" w:space="0"/>
              <w:right w:val="single" w:color="auto" w:sz="4" w:space="0"/>
            </w:tcBorders>
            <w:shd w:val="clear" w:color="000000" w:fill="FFFFFF"/>
            <w:vAlign w:val="center"/>
          </w:tcPr>
          <w:p w14:paraId="273FF7AD">
            <w:pPr>
              <w:jc w:val="center"/>
              <w:rPr>
                <w:sz w:val="22"/>
                <w:szCs w:val="22"/>
              </w:rPr>
            </w:pPr>
            <w:r>
              <w:rPr>
                <w:sz w:val="22"/>
                <w:szCs w:val="22"/>
              </w:rPr>
              <w:t>199</w:t>
            </w:r>
          </w:p>
        </w:tc>
        <w:tc>
          <w:tcPr>
            <w:tcW w:w="820" w:type="dxa"/>
            <w:tcBorders>
              <w:top w:val="nil"/>
              <w:left w:val="nil"/>
              <w:bottom w:val="single" w:color="auto" w:sz="4" w:space="0"/>
              <w:right w:val="single" w:color="auto" w:sz="4" w:space="0"/>
            </w:tcBorders>
            <w:shd w:val="clear" w:color="000000" w:fill="FFFFFF"/>
            <w:vAlign w:val="center"/>
          </w:tcPr>
          <w:p w14:paraId="5C0D6BBB">
            <w:pPr>
              <w:jc w:val="center"/>
              <w:rPr>
                <w:sz w:val="22"/>
                <w:szCs w:val="22"/>
              </w:rPr>
            </w:pPr>
            <w:r>
              <w:rPr>
                <w:sz w:val="22"/>
                <w:szCs w:val="22"/>
              </w:rPr>
              <w:t>47.6</w:t>
            </w:r>
          </w:p>
        </w:tc>
        <w:tc>
          <w:tcPr>
            <w:tcW w:w="820" w:type="dxa"/>
            <w:tcBorders>
              <w:top w:val="nil"/>
              <w:left w:val="nil"/>
              <w:bottom w:val="single" w:color="auto" w:sz="4" w:space="0"/>
              <w:right w:val="single" w:color="auto" w:sz="4" w:space="0"/>
            </w:tcBorders>
            <w:shd w:val="clear" w:color="000000" w:fill="FFFFFF"/>
            <w:vAlign w:val="center"/>
          </w:tcPr>
          <w:p w14:paraId="09EAD481">
            <w:pPr>
              <w:jc w:val="center"/>
              <w:rPr>
                <w:sz w:val="22"/>
                <w:szCs w:val="22"/>
              </w:rPr>
            </w:pPr>
            <w:r>
              <w:rPr>
                <w:sz w:val="22"/>
                <w:szCs w:val="22"/>
              </w:rPr>
              <w:t>15</w:t>
            </w:r>
          </w:p>
        </w:tc>
        <w:tc>
          <w:tcPr>
            <w:tcW w:w="1400" w:type="dxa"/>
            <w:tcBorders>
              <w:top w:val="nil"/>
              <w:left w:val="nil"/>
              <w:bottom w:val="single" w:color="auto" w:sz="4" w:space="0"/>
              <w:right w:val="single" w:color="auto" w:sz="4" w:space="0"/>
            </w:tcBorders>
            <w:shd w:val="clear" w:color="000000" w:fill="FFFFFF"/>
            <w:vAlign w:val="center"/>
          </w:tcPr>
          <w:p w14:paraId="10E71E1A">
            <w:pPr>
              <w:jc w:val="center"/>
              <w:rPr>
                <w:sz w:val="22"/>
                <w:szCs w:val="22"/>
              </w:rPr>
            </w:pPr>
            <w:r>
              <w:rPr>
                <w:sz w:val="22"/>
                <w:szCs w:val="22"/>
              </w:rPr>
              <w:t>10.6</w:t>
            </w:r>
          </w:p>
        </w:tc>
        <w:tc>
          <w:tcPr>
            <w:tcW w:w="1240" w:type="dxa"/>
            <w:tcBorders>
              <w:top w:val="nil"/>
              <w:left w:val="nil"/>
              <w:bottom w:val="single" w:color="auto" w:sz="4" w:space="0"/>
              <w:right w:val="single" w:color="auto" w:sz="4" w:space="0"/>
            </w:tcBorders>
            <w:shd w:val="clear" w:color="000000" w:fill="FFFFFF"/>
            <w:noWrap/>
            <w:vAlign w:val="center"/>
          </w:tcPr>
          <w:p w14:paraId="0D7A78A1">
            <w:pPr>
              <w:jc w:val="center"/>
              <w:rPr>
                <w:sz w:val="22"/>
                <w:szCs w:val="22"/>
              </w:rPr>
            </w:pPr>
            <w:r>
              <w:rPr>
                <w:sz w:val="22"/>
                <w:szCs w:val="22"/>
              </w:rPr>
              <w:t>97</w:t>
            </w:r>
          </w:p>
        </w:tc>
      </w:tr>
      <w:tr w14:paraId="311600A1">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79AFB15A">
            <w:pPr>
              <w:jc w:val="center"/>
              <w:rPr>
                <w:b/>
                <w:bCs/>
                <w:sz w:val="22"/>
                <w:szCs w:val="22"/>
              </w:rPr>
            </w:pPr>
            <w:r>
              <w:rPr>
                <w:b/>
                <w:bCs/>
                <w:sz w:val="22"/>
                <w:szCs w:val="22"/>
              </w:rPr>
              <w:t>5</w:t>
            </w:r>
          </w:p>
        </w:tc>
        <w:tc>
          <w:tcPr>
            <w:tcW w:w="1540" w:type="dxa"/>
            <w:tcBorders>
              <w:top w:val="nil"/>
              <w:left w:val="nil"/>
              <w:bottom w:val="single" w:color="auto" w:sz="4" w:space="0"/>
              <w:right w:val="single" w:color="auto" w:sz="4" w:space="0"/>
            </w:tcBorders>
            <w:shd w:val="clear" w:color="000000" w:fill="FFFFFF"/>
            <w:noWrap/>
            <w:vAlign w:val="center"/>
          </w:tcPr>
          <w:p w14:paraId="6433C52D">
            <w:pPr>
              <w:jc w:val="center"/>
              <w:rPr>
                <w:sz w:val="22"/>
                <w:szCs w:val="22"/>
              </w:rPr>
            </w:pPr>
            <w:r>
              <w:rPr>
                <w:sz w:val="22"/>
                <w:szCs w:val="22"/>
              </w:rPr>
              <w:t>创力</w:t>
            </w:r>
          </w:p>
        </w:tc>
        <w:tc>
          <w:tcPr>
            <w:tcW w:w="2740" w:type="dxa"/>
            <w:tcBorders>
              <w:top w:val="nil"/>
              <w:left w:val="nil"/>
              <w:bottom w:val="single" w:color="auto" w:sz="4" w:space="0"/>
              <w:right w:val="single" w:color="auto" w:sz="4" w:space="0"/>
            </w:tcBorders>
            <w:shd w:val="clear" w:color="000000" w:fill="FFFFFF"/>
            <w:noWrap/>
            <w:vAlign w:val="center"/>
          </w:tcPr>
          <w:p w14:paraId="31203660">
            <w:pPr>
              <w:jc w:val="center"/>
              <w:rPr>
                <w:sz w:val="22"/>
                <w:szCs w:val="22"/>
              </w:rPr>
            </w:pPr>
            <w:r>
              <w:rPr>
                <w:sz w:val="22"/>
                <w:szCs w:val="22"/>
              </w:rPr>
              <w:t>全回转，自航，DP3</w:t>
            </w:r>
          </w:p>
        </w:tc>
        <w:tc>
          <w:tcPr>
            <w:tcW w:w="1480" w:type="dxa"/>
            <w:tcBorders>
              <w:top w:val="nil"/>
              <w:left w:val="nil"/>
              <w:bottom w:val="single" w:color="auto" w:sz="4" w:space="0"/>
              <w:right w:val="single" w:color="auto" w:sz="4" w:space="0"/>
            </w:tcBorders>
            <w:shd w:val="clear" w:color="000000" w:fill="FFFFFF"/>
            <w:vAlign w:val="center"/>
          </w:tcPr>
          <w:p w14:paraId="3BD2D159">
            <w:pPr>
              <w:jc w:val="center"/>
              <w:rPr>
                <w:sz w:val="22"/>
                <w:szCs w:val="22"/>
              </w:rPr>
            </w:pPr>
            <w:r>
              <w:rPr>
                <w:sz w:val="22"/>
                <w:szCs w:val="22"/>
              </w:rPr>
              <w:t>固定吊4500</w:t>
            </w:r>
            <w:r>
              <w:rPr>
                <w:sz w:val="22"/>
                <w:szCs w:val="22"/>
              </w:rPr>
              <w:br w:type="textWrapping"/>
            </w:r>
            <w:r>
              <w:rPr>
                <w:sz w:val="22"/>
                <w:szCs w:val="22"/>
              </w:rPr>
              <w:t>全回转3500</w:t>
            </w:r>
          </w:p>
        </w:tc>
        <w:tc>
          <w:tcPr>
            <w:tcW w:w="900" w:type="dxa"/>
            <w:tcBorders>
              <w:top w:val="nil"/>
              <w:left w:val="nil"/>
              <w:bottom w:val="single" w:color="auto" w:sz="4" w:space="0"/>
              <w:right w:val="single" w:color="auto" w:sz="4" w:space="0"/>
            </w:tcBorders>
            <w:shd w:val="clear" w:color="000000" w:fill="FFFFFF"/>
            <w:noWrap/>
            <w:vAlign w:val="center"/>
          </w:tcPr>
          <w:p w14:paraId="21B62052">
            <w:pPr>
              <w:jc w:val="center"/>
              <w:rPr>
                <w:sz w:val="22"/>
                <w:szCs w:val="22"/>
              </w:rPr>
            </w:pPr>
            <w:r>
              <w:rPr>
                <w:sz w:val="22"/>
                <w:szCs w:val="22"/>
              </w:rPr>
              <w:t>198.8</w:t>
            </w:r>
          </w:p>
        </w:tc>
        <w:tc>
          <w:tcPr>
            <w:tcW w:w="820" w:type="dxa"/>
            <w:tcBorders>
              <w:top w:val="nil"/>
              <w:left w:val="nil"/>
              <w:bottom w:val="single" w:color="auto" w:sz="4" w:space="0"/>
              <w:right w:val="single" w:color="auto" w:sz="4" w:space="0"/>
            </w:tcBorders>
            <w:shd w:val="clear" w:color="000000" w:fill="FFFFFF"/>
            <w:noWrap/>
            <w:vAlign w:val="center"/>
          </w:tcPr>
          <w:p w14:paraId="6302AD39">
            <w:pPr>
              <w:jc w:val="center"/>
              <w:rPr>
                <w:sz w:val="22"/>
                <w:szCs w:val="22"/>
              </w:rPr>
            </w:pPr>
            <w:r>
              <w:rPr>
                <w:sz w:val="22"/>
                <w:szCs w:val="22"/>
              </w:rPr>
              <w:t>46.6</w:t>
            </w:r>
          </w:p>
        </w:tc>
        <w:tc>
          <w:tcPr>
            <w:tcW w:w="820" w:type="dxa"/>
            <w:tcBorders>
              <w:top w:val="nil"/>
              <w:left w:val="nil"/>
              <w:bottom w:val="single" w:color="auto" w:sz="4" w:space="0"/>
              <w:right w:val="single" w:color="auto" w:sz="4" w:space="0"/>
            </w:tcBorders>
            <w:shd w:val="clear" w:color="000000" w:fill="FFFFFF"/>
            <w:noWrap/>
            <w:vAlign w:val="center"/>
          </w:tcPr>
          <w:p w14:paraId="78BC4FD3">
            <w:pPr>
              <w:jc w:val="center"/>
              <w:rPr>
                <w:sz w:val="22"/>
                <w:szCs w:val="22"/>
              </w:rPr>
            </w:pPr>
            <w:r>
              <w:rPr>
                <w:sz w:val="22"/>
                <w:szCs w:val="22"/>
              </w:rPr>
              <w:t>14.2</w:t>
            </w:r>
          </w:p>
        </w:tc>
        <w:tc>
          <w:tcPr>
            <w:tcW w:w="1400" w:type="dxa"/>
            <w:tcBorders>
              <w:top w:val="nil"/>
              <w:left w:val="nil"/>
              <w:bottom w:val="single" w:color="auto" w:sz="4" w:space="0"/>
              <w:right w:val="single" w:color="auto" w:sz="4" w:space="0"/>
            </w:tcBorders>
            <w:shd w:val="clear" w:color="000000" w:fill="FFFFFF"/>
            <w:noWrap/>
            <w:vAlign w:val="center"/>
          </w:tcPr>
          <w:p w14:paraId="6B4F55F9">
            <w:pPr>
              <w:jc w:val="center"/>
              <w:rPr>
                <w:sz w:val="22"/>
                <w:szCs w:val="22"/>
              </w:rPr>
            </w:pPr>
            <w:r>
              <w:rPr>
                <w:sz w:val="22"/>
                <w:szCs w:val="22"/>
              </w:rPr>
              <w:t>9.5</w:t>
            </w:r>
          </w:p>
        </w:tc>
        <w:tc>
          <w:tcPr>
            <w:tcW w:w="1240" w:type="dxa"/>
            <w:tcBorders>
              <w:top w:val="nil"/>
              <w:left w:val="nil"/>
              <w:bottom w:val="single" w:color="auto" w:sz="4" w:space="0"/>
              <w:right w:val="single" w:color="auto" w:sz="4" w:space="0"/>
            </w:tcBorders>
            <w:shd w:val="clear" w:color="000000" w:fill="FFFFFF"/>
            <w:noWrap/>
            <w:vAlign w:val="center"/>
          </w:tcPr>
          <w:p w14:paraId="5DA22944">
            <w:pPr>
              <w:jc w:val="center"/>
              <w:rPr>
                <w:sz w:val="22"/>
                <w:szCs w:val="22"/>
              </w:rPr>
            </w:pPr>
            <w:r>
              <w:rPr>
                <w:sz w:val="22"/>
                <w:szCs w:val="22"/>
              </w:rPr>
              <w:t>95.2</w:t>
            </w:r>
          </w:p>
        </w:tc>
      </w:tr>
      <w:tr w14:paraId="717F3F76">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3422DBAF">
            <w:pPr>
              <w:jc w:val="center"/>
              <w:rPr>
                <w:b/>
                <w:bCs/>
                <w:sz w:val="22"/>
                <w:szCs w:val="22"/>
              </w:rPr>
            </w:pPr>
            <w:r>
              <w:rPr>
                <w:b/>
                <w:bCs/>
                <w:sz w:val="22"/>
                <w:szCs w:val="22"/>
              </w:rPr>
              <w:t>6</w:t>
            </w:r>
          </w:p>
        </w:tc>
        <w:tc>
          <w:tcPr>
            <w:tcW w:w="1540" w:type="dxa"/>
            <w:tcBorders>
              <w:top w:val="nil"/>
              <w:left w:val="nil"/>
              <w:bottom w:val="single" w:color="auto" w:sz="4" w:space="0"/>
              <w:right w:val="single" w:color="auto" w:sz="4" w:space="0"/>
            </w:tcBorders>
            <w:shd w:val="clear" w:color="000000" w:fill="FFFFFF"/>
            <w:noWrap/>
            <w:vAlign w:val="center"/>
          </w:tcPr>
          <w:p w14:paraId="38528F15">
            <w:pPr>
              <w:jc w:val="center"/>
              <w:rPr>
                <w:sz w:val="22"/>
                <w:szCs w:val="22"/>
              </w:rPr>
            </w:pPr>
            <w:r>
              <w:rPr>
                <w:sz w:val="22"/>
                <w:szCs w:val="22"/>
              </w:rPr>
              <w:t>巨杰4000</w:t>
            </w:r>
          </w:p>
        </w:tc>
        <w:tc>
          <w:tcPr>
            <w:tcW w:w="2740" w:type="dxa"/>
            <w:tcBorders>
              <w:top w:val="nil"/>
              <w:left w:val="nil"/>
              <w:bottom w:val="single" w:color="auto" w:sz="4" w:space="0"/>
              <w:right w:val="single" w:color="auto" w:sz="4" w:space="0"/>
            </w:tcBorders>
            <w:shd w:val="clear" w:color="000000" w:fill="FFFFFF"/>
            <w:noWrap/>
            <w:vAlign w:val="center"/>
          </w:tcPr>
          <w:p w14:paraId="5247EF8C">
            <w:pPr>
              <w:jc w:val="center"/>
              <w:rPr>
                <w:sz w:val="22"/>
                <w:szCs w:val="22"/>
              </w:rPr>
            </w:pPr>
            <w:r>
              <w:rPr>
                <w:sz w:val="22"/>
                <w:szCs w:val="22"/>
              </w:rPr>
              <w:t>全回转、自航、DP1</w:t>
            </w:r>
          </w:p>
        </w:tc>
        <w:tc>
          <w:tcPr>
            <w:tcW w:w="1480" w:type="dxa"/>
            <w:tcBorders>
              <w:top w:val="nil"/>
              <w:left w:val="nil"/>
              <w:bottom w:val="single" w:color="auto" w:sz="4" w:space="0"/>
              <w:right w:val="single" w:color="auto" w:sz="4" w:space="0"/>
            </w:tcBorders>
            <w:shd w:val="clear" w:color="000000" w:fill="FFFFFF"/>
            <w:vAlign w:val="center"/>
          </w:tcPr>
          <w:p w14:paraId="2CBD9C50">
            <w:pPr>
              <w:jc w:val="center"/>
              <w:rPr>
                <w:sz w:val="22"/>
                <w:szCs w:val="22"/>
              </w:rPr>
            </w:pPr>
            <w:r>
              <w:rPr>
                <w:sz w:val="22"/>
                <w:szCs w:val="22"/>
              </w:rPr>
              <w:t>固定吊4000</w:t>
            </w:r>
            <w:r>
              <w:rPr>
                <w:sz w:val="22"/>
                <w:szCs w:val="22"/>
              </w:rPr>
              <w:br w:type="textWrapping"/>
            </w:r>
            <w:r>
              <w:rPr>
                <w:sz w:val="22"/>
                <w:szCs w:val="22"/>
              </w:rPr>
              <w:t>全回转2800</w:t>
            </w:r>
          </w:p>
        </w:tc>
        <w:tc>
          <w:tcPr>
            <w:tcW w:w="900" w:type="dxa"/>
            <w:tcBorders>
              <w:top w:val="nil"/>
              <w:left w:val="nil"/>
              <w:bottom w:val="single" w:color="auto" w:sz="4" w:space="0"/>
              <w:right w:val="single" w:color="auto" w:sz="4" w:space="0"/>
            </w:tcBorders>
            <w:shd w:val="clear" w:color="000000" w:fill="FFFFFF"/>
            <w:noWrap/>
            <w:vAlign w:val="center"/>
          </w:tcPr>
          <w:p w14:paraId="0122635C">
            <w:pPr>
              <w:jc w:val="center"/>
              <w:rPr>
                <w:sz w:val="22"/>
                <w:szCs w:val="22"/>
              </w:rPr>
            </w:pPr>
            <w:r>
              <w:rPr>
                <w:sz w:val="22"/>
                <w:szCs w:val="22"/>
              </w:rPr>
              <w:t>176.9</w:t>
            </w:r>
          </w:p>
        </w:tc>
        <w:tc>
          <w:tcPr>
            <w:tcW w:w="820" w:type="dxa"/>
            <w:tcBorders>
              <w:top w:val="nil"/>
              <w:left w:val="nil"/>
              <w:bottom w:val="single" w:color="auto" w:sz="4" w:space="0"/>
              <w:right w:val="single" w:color="auto" w:sz="4" w:space="0"/>
            </w:tcBorders>
            <w:shd w:val="clear" w:color="000000" w:fill="FFFFFF"/>
            <w:noWrap/>
            <w:vAlign w:val="center"/>
          </w:tcPr>
          <w:p w14:paraId="1F4A800A">
            <w:pPr>
              <w:jc w:val="center"/>
              <w:rPr>
                <w:sz w:val="22"/>
                <w:szCs w:val="22"/>
              </w:rPr>
            </w:pPr>
            <w:r>
              <w:rPr>
                <w:sz w:val="22"/>
                <w:szCs w:val="22"/>
              </w:rPr>
              <w:t>43.8</w:t>
            </w:r>
          </w:p>
        </w:tc>
        <w:tc>
          <w:tcPr>
            <w:tcW w:w="820" w:type="dxa"/>
            <w:tcBorders>
              <w:top w:val="nil"/>
              <w:left w:val="nil"/>
              <w:bottom w:val="single" w:color="auto" w:sz="4" w:space="0"/>
              <w:right w:val="single" w:color="auto" w:sz="4" w:space="0"/>
            </w:tcBorders>
            <w:shd w:val="clear" w:color="000000" w:fill="FFFFFF"/>
            <w:noWrap/>
            <w:vAlign w:val="center"/>
          </w:tcPr>
          <w:p w14:paraId="081EBB48">
            <w:pPr>
              <w:jc w:val="center"/>
              <w:rPr>
                <w:sz w:val="22"/>
                <w:szCs w:val="22"/>
              </w:rPr>
            </w:pPr>
            <w:r>
              <w:rPr>
                <w:sz w:val="22"/>
                <w:szCs w:val="22"/>
              </w:rPr>
              <w:t>14.2</w:t>
            </w:r>
          </w:p>
        </w:tc>
        <w:tc>
          <w:tcPr>
            <w:tcW w:w="1400" w:type="dxa"/>
            <w:tcBorders>
              <w:top w:val="nil"/>
              <w:left w:val="nil"/>
              <w:bottom w:val="single" w:color="auto" w:sz="4" w:space="0"/>
              <w:right w:val="single" w:color="auto" w:sz="4" w:space="0"/>
            </w:tcBorders>
            <w:shd w:val="clear" w:color="000000" w:fill="FFFFFF"/>
            <w:noWrap/>
            <w:vAlign w:val="center"/>
          </w:tcPr>
          <w:p w14:paraId="1E036840">
            <w:pPr>
              <w:jc w:val="center"/>
              <w:rPr>
                <w:sz w:val="22"/>
                <w:szCs w:val="22"/>
              </w:rPr>
            </w:pPr>
            <w:r>
              <w:rPr>
                <w:sz w:val="22"/>
                <w:szCs w:val="22"/>
              </w:rPr>
              <w:t>11</w:t>
            </w:r>
          </w:p>
        </w:tc>
        <w:tc>
          <w:tcPr>
            <w:tcW w:w="1240" w:type="dxa"/>
            <w:tcBorders>
              <w:top w:val="nil"/>
              <w:left w:val="nil"/>
              <w:bottom w:val="single" w:color="auto" w:sz="4" w:space="0"/>
              <w:right w:val="single" w:color="auto" w:sz="4" w:space="0"/>
            </w:tcBorders>
            <w:shd w:val="clear" w:color="000000" w:fill="FFFFFF"/>
            <w:noWrap/>
            <w:vAlign w:val="center"/>
          </w:tcPr>
          <w:p w14:paraId="03C32C18">
            <w:pPr>
              <w:jc w:val="center"/>
              <w:rPr>
                <w:sz w:val="22"/>
                <w:szCs w:val="22"/>
              </w:rPr>
            </w:pPr>
            <w:r>
              <w:rPr>
                <w:sz w:val="22"/>
                <w:szCs w:val="22"/>
              </w:rPr>
              <w:t>113</w:t>
            </w:r>
          </w:p>
        </w:tc>
      </w:tr>
      <w:tr w14:paraId="0B945E76">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39B296E7">
            <w:pPr>
              <w:jc w:val="center"/>
              <w:rPr>
                <w:b/>
                <w:bCs/>
                <w:sz w:val="22"/>
                <w:szCs w:val="22"/>
              </w:rPr>
            </w:pPr>
            <w:r>
              <w:rPr>
                <w:b/>
                <w:bCs/>
                <w:sz w:val="22"/>
                <w:szCs w:val="22"/>
              </w:rPr>
              <w:t>7</w:t>
            </w:r>
          </w:p>
        </w:tc>
        <w:tc>
          <w:tcPr>
            <w:tcW w:w="1540" w:type="dxa"/>
            <w:tcBorders>
              <w:top w:val="nil"/>
              <w:left w:val="nil"/>
              <w:bottom w:val="single" w:color="auto" w:sz="4" w:space="0"/>
              <w:right w:val="single" w:color="auto" w:sz="4" w:space="0"/>
            </w:tcBorders>
            <w:shd w:val="clear" w:color="000000" w:fill="FFFFFF"/>
            <w:noWrap/>
            <w:vAlign w:val="center"/>
          </w:tcPr>
          <w:p w14:paraId="1353F5E9">
            <w:pPr>
              <w:jc w:val="center"/>
              <w:rPr>
                <w:sz w:val="22"/>
                <w:szCs w:val="22"/>
              </w:rPr>
            </w:pPr>
            <w:r>
              <w:rPr>
                <w:sz w:val="22"/>
                <w:szCs w:val="22"/>
              </w:rPr>
              <w:t>海洋石油201</w:t>
            </w:r>
          </w:p>
        </w:tc>
        <w:tc>
          <w:tcPr>
            <w:tcW w:w="2740" w:type="dxa"/>
            <w:tcBorders>
              <w:top w:val="nil"/>
              <w:left w:val="nil"/>
              <w:bottom w:val="single" w:color="auto" w:sz="4" w:space="0"/>
              <w:right w:val="single" w:color="auto" w:sz="4" w:space="0"/>
            </w:tcBorders>
            <w:shd w:val="clear" w:color="000000" w:fill="FFFFFF"/>
            <w:noWrap/>
            <w:vAlign w:val="center"/>
          </w:tcPr>
          <w:p w14:paraId="170DA4E4">
            <w:pPr>
              <w:jc w:val="center"/>
              <w:rPr>
                <w:sz w:val="22"/>
                <w:szCs w:val="22"/>
              </w:rPr>
            </w:pPr>
            <w:r>
              <w:rPr>
                <w:sz w:val="22"/>
                <w:szCs w:val="22"/>
              </w:rPr>
              <w:t>全回转、自航、DP3</w:t>
            </w:r>
          </w:p>
        </w:tc>
        <w:tc>
          <w:tcPr>
            <w:tcW w:w="1480" w:type="dxa"/>
            <w:tcBorders>
              <w:top w:val="nil"/>
              <w:left w:val="nil"/>
              <w:bottom w:val="single" w:color="auto" w:sz="4" w:space="0"/>
              <w:right w:val="single" w:color="auto" w:sz="4" w:space="0"/>
            </w:tcBorders>
            <w:shd w:val="clear" w:color="000000" w:fill="FFFFFF"/>
            <w:vAlign w:val="center"/>
          </w:tcPr>
          <w:p w14:paraId="017B8FFB">
            <w:pPr>
              <w:jc w:val="center"/>
              <w:rPr>
                <w:sz w:val="22"/>
                <w:szCs w:val="22"/>
              </w:rPr>
            </w:pPr>
            <w:r>
              <w:rPr>
                <w:sz w:val="22"/>
                <w:szCs w:val="22"/>
              </w:rPr>
              <w:t>固定吊4000</w:t>
            </w:r>
            <w:r>
              <w:rPr>
                <w:sz w:val="22"/>
                <w:szCs w:val="22"/>
              </w:rPr>
              <w:br w:type="textWrapping"/>
            </w:r>
            <w:r>
              <w:rPr>
                <w:sz w:val="22"/>
                <w:szCs w:val="22"/>
              </w:rPr>
              <w:t>全回转3500</w:t>
            </w:r>
          </w:p>
        </w:tc>
        <w:tc>
          <w:tcPr>
            <w:tcW w:w="900" w:type="dxa"/>
            <w:tcBorders>
              <w:top w:val="nil"/>
              <w:left w:val="nil"/>
              <w:bottom w:val="single" w:color="auto" w:sz="4" w:space="0"/>
              <w:right w:val="single" w:color="auto" w:sz="4" w:space="0"/>
            </w:tcBorders>
            <w:shd w:val="clear" w:color="000000" w:fill="FFFFFF"/>
            <w:noWrap/>
            <w:vAlign w:val="center"/>
          </w:tcPr>
          <w:p w14:paraId="7C4F38CB">
            <w:pPr>
              <w:jc w:val="center"/>
              <w:rPr>
                <w:sz w:val="22"/>
                <w:szCs w:val="22"/>
              </w:rPr>
            </w:pPr>
            <w:r>
              <w:rPr>
                <w:sz w:val="22"/>
                <w:szCs w:val="22"/>
              </w:rPr>
              <w:t>204.65</w:t>
            </w:r>
          </w:p>
        </w:tc>
        <w:tc>
          <w:tcPr>
            <w:tcW w:w="820" w:type="dxa"/>
            <w:tcBorders>
              <w:top w:val="nil"/>
              <w:left w:val="nil"/>
              <w:bottom w:val="single" w:color="auto" w:sz="4" w:space="0"/>
              <w:right w:val="single" w:color="auto" w:sz="4" w:space="0"/>
            </w:tcBorders>
            <w:shd w:val="clear" w:color="000000" w:fill="FFFFFF"/>
            <w:noWrap/>
            <w:vAlign w:val="center"/>
          </w:tcPr>
          <w:p w14:paraId="0642AED3">
            <w:pPr>
              <w:jc w:val="center"/>
              <w:rPr>
                <w:sz w:val="22"/>
                <w:szCs w:val="22"/>
              </w:rPr>
            </w:pPr>
            <w:r>
              <w:rPr>
                <w:sz w:val="22"/>
                <w:szCs w:val="22"/>
              </w:rPr>
              <w:t>39.2</w:t>
            </w:r>
          </w:p>
        </w:tc>
        <w:tc>
          <w:tcPr>
            <w:tcW w:w="820" w:type="dxa"/>
            <w:tcBorders>
              <w:top w:val="nil"/>
              <w:left w:val="nil"/>
              <w:bottom w:val="single" w:color="auto" w:sz="4" w:space="0"/>
              <w:right w:val="single" w:color="auto" w:sz="4" w:space="0"/>
            </w:tcBorders>
            <w:shd w:val="clear" w:color="000000" w:fill="FFFFFF"/>
            <w:noWrap/>
            <w:vAlign w:val="center"/>
          </w:tcPr>
          <w:p w14:paraId="47398308">
            <w:pPr>
              <w:jc w:val="center"/>
              <w:rPr>
                <w:sz w:val="22"/>
                <w:szCs w:val="22"/>
              </w:rPr>
            </w:pPr>
            <w:r>
              <w:rPr>
                <w:sz w:val="22"/>
                <w:szCs w:val="22"/>
              </w:rPr>
              <w:t>14</w:t>
            </w:r>
          </w:p>
        </w:tc>
        <w:tc>
          <w:tcPr>
            <w:tcW w:w="1400" w:type="dxa"/>
            <w:tcBorders>
              <w:top w:val="nil"/>
              <w:left w:val="nil"/>
              <w:bottom w:val="single" w:color="auto" w:sz="4" w:space="0"/>
              <w:right w:val="single" w:color="auto" w:sz="4" w:space="0"/>
            </w:tcBorders>
            <w:shd w:val="clear" w:color="000000" w:fill="FFFFFF"/>
            <w:noWrap/>
            <w:vAlign w:val="center"/>
          </w:tcPr>
          <w:p w14:paraId="0464B475">
            <w:pPr>
              <w:jc w:val="center"/>
              <w:rPr>
                <w:sz w:val="22"/>
                <w:szCs w:val="22"/>
              </w:rPr>
            </w:pPr>
            <w:r>
              <w:rPr>
                <w:sz w:val="22"/>
                <w:szCs w:val="22"/>
              </w:rPr>
              <w:t>9.5</w:t>
            </w:r>
          </w:p>
        </w:tc>
        <w:tc>
          <w:tcPr>
            <w:tcW w:w="1240" w:type="dxa"/>
            <w:tcBorders>
              <w:top w:val="nil"/>
              <w:left w:val="nil"/>
              <w:bottom w:val="single" w:color="auto" w:sz="4" w:space="0"/>
              <w:right w:val="single" w:color="auto" w:sz="4" w:space="0"/>
            </w:tcBorders>
            <w:shd w:val="clear" w:color="000000" w:fill="FFFFFF"/>
            <w:noWrap/>
            <w:vAlign w:val="center"/>
          </w:tcPr>
          <w:p w14:paraId="266BAB39">
            <w:pPr>
              <w:jc w:val="center"/>
              <w:rPr>
                <w:sz w:val="22"/>
                <w:szCs w:val="22"/>
              </w:rPr>
            </w:pPr>
            <w:r>
              <w:rPr>
                <w:sz w:val="22"/>
                <w:szCs w:val="22"/>
              </w:rPr>
              <w:t>75</w:t>
            </w:r>
          </w:p>
        </w:tc>
      </w:tr>
      <w:tr w14:paraId="78420937">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55F8838C">
            <w:pPr>
              <w:jc w:val="center"/>
              <w:rPr>
                <w:b/>
                <w:bCs/>
                <w:sz w:val="22"/>
                <w:szCs w:val="22"/>
              </w:rPr>
            </w:pPr>
            <w:r>
              <w:rPr>
                <w:b/>
                <w:bCs/>
                <w:sz w:val="22"/>
                <w:szCs w:val="22"/>
              </w:rPr>
              <w:t>8</w:t>
            </w:r>
          </w:p>
        </w:tc>
        <w:tc>
          <w:tcPr>
            <w:tcW w:w="1540" w:type="dxa"/>
            <w:tcBorders>
              <w:top w:val="nil"/>
              <w:left w:val="nil"/>
              <w:bottom w:val="single" w:color="auto" w:sz="4" w:space="0"/>
              <w:right w:val="single" w:color="auto" w:sz="4" w:space="0"/>
            </w:tcBorders>
            <w:shd w:val="clear" w:color="000000" w:fill="FFFFFF"/>
            <w:noWrap/>
            <w:vAlign w:val="center"/>
          </w:tcPr>
          <w:p w14:paraId="39DB71EB">
            <w:pPr>
              <w:jc w:val="center"/>
              <w:rPr>
                <w:sz w:val="22"/>
                <w:szCs w:val="22"/>
              </w:rPr>
            </w:pPr>
            <w:r>
              <w:rPr>
                <w:sz w:val="22"/>
                <w:szCs w:val="22"/>
              </w:rPr>
              <w:t>华天龙</w:t>
            </w:r>
          </w:p>
        </w:tc>
        <w:tc>
          <w:tcPr>
            <w:tcW w:w="2740" w:type="dxa"/>
            <w:tcBorders>
              <w:top w:val="nil"/>
              <w:left w:val="nil"/>
              <w:bottom w:val="single" w:color="auto" w:sz="4" w:space="0"/>
              <w:right w:val="single" w:color="auto" w:sz="4" w:space="0"/>
            </w:tcBorders>
            <w:shd w:val="clear" w:color="000000" w:fill="FFFFFF"/>
            <w:noWrap/>
            <w:vAlign w:val="center"/>
          </w:tcPr>
          <w:p w14:paraId="32AE18F7">
            <w:pPr>
              <w:jc w:val="center"/>
              <w:rPr>
                <w:sz w:val="22"/>
                <w:szCs w:val="22"/>
              </w:rPr>
            </w:pPr>
            <w:r>
              <w:rPr>
                <w:sz w:val="22"/>
                <w:szCs w:val="22"/>
              </w:rPr>
              <w:t>全回转，自航，DP2</w:t>
            </w:r>
          </w:p>
        </w:tc>
        <w:tc>
          <w:tcPr>
            <w:tcW w:w="1480" w:type="dxa"/>
            <w:tcBorders>
              <w:top w:val="nil"/>
              <w:left w:val="nil"/>
              <w:bottom w:val="single" w:color="auto" w:sz="4" w:space="0"/>
              <w:right w:val="single" w:color="auto" w:sz="4" w:space="0"/>
            </w:tcBorders>
            <w:shd w:val="clear" w:color="000000" w:fill="FFFFFF"/>
            <w:vAlign w:val="center"/>
          </w:tcPr>
          <w:p w14:paraId="5C009857">
            <w:pPr>
              <w:jc w:val="center"/>
              <w:rPr>
                <w:sz w:val="22"/>
                <w:szCs w:val="22"/>
              </w:rPr>
            </w:pPr>
            <w:r>
              <w:rPr>
                <w:sz w:val="22"/>
                <w:szCs w:val="22"/>
              </w:rPr>
              <w:t>固定吊4000</w:t>
            </w:r>
            <w:r>
              <w:rPr>
                <w:sz w:val="22"/>
                <w:szCs w:val="22"/>
              </w:rPr>
              <w:br w:type="textWrapping"/>
            </w:r>
            <w:r>
              <w:rPr>
                <w:sz w:val="22"/>
                <w:szCs w:val="22"/>
              </w:rPr>
              <w:t>全回转2000</w:t>
            </w:r>
          </w:p>
        </w:tc>
        <w:tc>
          <w:tcPr>
            <w:tcW w:w="900" w:type="dxa"/>
            <w:tcBorders>
              <w:top w:val="nil"/>
              <w:left w:val="nil"/>
              <w:bottom w:val="single" w:color="auto" w:sz="4" w:space="0"/>
              <w:right w:val="single" w:color="auto" w:sz="4" w:space="0"/>
            </w:tcBorders>
            <w:shd w:val="clear" w:color="000000" w:fill="FFFFFF"/>
            <w:noWrap/>
            <w:vAlign w:val="center"/>
          </w:tcPr>
          <w:p w14:paraId="1DE12EEE">
            <w:pPr>
              <w:jc w:val="center"/>
              <w:rPr>
                <w:sz w:val="22"/>
                <w:szCs w:val="22"/>
              </w:rPr>
            </w:pPr>
            <w:r>
              <w:rPr>
                <w:sz w:val="22"/>
                <w:szCs w:val="22"/>
              </w:rPr>
              <w:t>167.5</w:t>
            </w:r>
          </w:p>
        </w:tc>
        <w:tc>
          <w:tcPr>
            <w:tcW w:w="820" w:type="dxa"/>
            <w:tcBorders>
              <w:top w:val="nil"/>
              <w:left w:val="nil"/>
              <w:bottom w:val="single" w:color="auto" w:sz="4" w:space="0"/>
              <w:right w:val="single" w:color="auto" w:sz="4" w:space="0"/>
            </w:tcBorders>
            <w:shd w:val="clear" w:color="000000" w:fill="FFFFFF"/>
            <w:noWrap/>
            <w:vAlign w:val="center"/>
          </w:tcPr>
          <w:p w14:paraId="62D21476">
            <w:pPr>
              <w:jc w:val="center"/>
              <w:rPr>
                <w:sz w:val="22"/>
                <w:szCs w:val="22"/>
              </w:rPr>
            </w:pPr>
            <w:r>
              <w:rPr>
                <w:sz w:val="22"/>
                <w:szCs w:val="22"/>
              </w:rPr>
              <w:t>48</w:t>
            </w:r>
          </w:p>
        </w:tc>
        <w:tc>
          <w:tcPr>
            <w:tcW w:w="820" w:type="dxa"/>
            <w:tcBorders>
              <w:top w:val="nil"/>
              <w:left w:val="nil"/>
              <w:bottom w:val="single" w:color="auto" w:sz="4" w:space="0"/>
              <w:right w:val="single" w:color="auto" w:sz="4" w:space="0"/>
            </w:tcBorders>
            <w:shd w:val="clear" w:color="000000" w:fill="FFFFFF"/>
            <w:noWrap/>
            <w:vAlign w:val="center"/>
          </w:tcPr>
          <w:p w14:paraId="3067CEF5">
            <w:pPr>
              <w:jc w:val="center"/>
              <w:rPr>
                <w:sz w:val="22"/>
                <w:szCs w:val="22"/>
              </w:rPr>
            </w:pPr>
            <w:r>
              <w:rPr>
                <w:sz w:val="22"/>
                <w:szCs w:val="22"/>
              </w:rPr>
              <w:t>16.5</w:t>
            </w:r>
          </w:p>
        </w:tc>
        <w:tc>
          <w:tcPr>
            <w:tcW w:w="1400" w:type="dxa"/>
            <w:tcBorders>
              <w:top w:val="nil"/>
              <w:left w:val="nil"/>
              <w:bottom w:val="single" w:color="auto" w:sz="4" w:space="0"/>
              <w:right w:val="single" w:color="auto" w:sz="4" w:space="0"/>
            </w:tcBorders>
            <w:shd w:val="clear" w:color="000000" w:fill="FFFFFF"/>
            <w:noWrap/>
            <w:vAlign w:val="center"/>
          </w:tcPr>
          <w:p w14:paraId="197B498C">
            <w:pPr>
              <w:jc w:val="center"/>
              <w:rPr>
                <w:sz w:val="22"/>
                <w:szCs w:val="22"/>
              </w:rPr>
            </w:pPr>
            <w:r>
              <w:rPr>
                <w:sz w:val="22"/>
                <w:szCs w:val="22"/>
              </w:rPr>
              <w:t>11.5</w:t>
            </w:r>
          </w:p>
        </w:tc>
        <w:tc>
          <w:tcPr>
            <w:tcW w:w="1240" w:type="dxa"/>
            <w:tcBorders>
              <w:top w:val="nil"/>
              <w:left w:val="nil"/>
              <w:bottom w:val="single" w:color="auto" w:sz="4" w:space="0"/>
              <w:right w:val="single" w:color="auto" w:sz="4" w:space="0"/>
            </w:tcBorders>
            <w:shd w:val="clear" w:color="000000" w:fill="FFFFFF"/>
            <w:noWrap/>
            <w:vAlign w:val="center"/>
          </w:tcPr>
          <w:p w14:paraId="29C150B5">
            <w:pPr>
              <w:jc w:val="center"/>
              <w:rPr>
                <w:sz w:val="22"/>
                <w:szCs w:val="22"/>
              </w:rPr>
            </w:pPr>
            <w:r>
              <w:rPr>
                <w:sz w:val="22"/>
                <w:szCs w:val="22"/>
              </w:rPr>
              <w:t>95</w:t>
            </w:r>
          </w:p>
        </w:tc>
      </w:tr>
      <w:tr w14:paraId="1AB259B0">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18687E8A">
            <w:pPr>
              <w:jc w:val="center"/>
              <w:rPr>
                <w:b/>
                <w:bCs/>
                <w:sz w:val="22"/>
                <w:szCs w:val="22"/>
              </w:rPr>
            </w:pPr>
            <w:r>
              <w:rPr>
                <w:b/>
                <w:bCs/>
                <w:sz w:val="22"/>
                <w:szCs w:val="22"/>
              </w:rPr>
              <w:t>9</w:t>
            </w:r>
          </w:p>
        </w:tc>
        <w:tc>
          <w:tcPr>
            <w:tcW w:w="1540" w:type="dxa"/>
            <w:tcBorders>
              <w:top w:val="nil"/>
              <w:left w:val="nil"/>
              <w:bottom w:val="single" w:color="auto" w:sz="4" w:space="0"/>
              <w:right w:val="single" w:color="auto" w:sz="4" w:space="0"/>
            </w:tcBorders>
            <w:shd w:val="clear" w:color="000000" w:fill="FFFFFF"/>
            <w:vAlign w:val="center"/>
          </w:tcPr>
          <w:p w14:paraId="7BCB3BD6">
            <w:pPr>
              <w:jc w:val="center"/>
              <w:rPr>
                <w:sz w:val="22"/>
                <w:szCs w:val="22"/>
              </w:rPr>
            </w:pPr>
            <w:r>
              <w:rPr>
                <w:sz w:val="22"/>
                <w:szCs w:val="22"/>
              </w:rPr>
              <w:t>电建志高</w:t>
            </w:r>
          </w:p>
        </w:tc>
        <w:tc>
          <w:tcPr>
            <w:tcW w:w="2740" w:type="dxa"/>
            <w:tcBorders>
              <w:top w:val="nil"/>
              <w:left w:val="nil"/>
              <w:bottom w:val="single" w:color="auto" w:sz="4" w:space="0"/>
              <w:right w:val="single" w:color="auto" w:sz="4" w:space="0"/>
            </w:tcBorders>
            <w:shd w:val="clear" w:color="000000" w:fill="FFFFFF"/>
            <w:vAlign w:val="center"/>
          </w:tcPr>
          <w:p w14:paraId="3EC37A6D">
            <w:pPr>
              <w:jc w:val="center"/>
              <w:rPr>
                <w:sz w:val="22"/>
                <w:szCs w:val="22"/>
              </w:rPr>
            </w:pPr>
            <w:r>
              <w:rPr>
                <w:sz w:val="22"/>
                <w:szCs w:val="22"/>
              </w:rPr>
              <w:t>全回转，自航，DP1</w:t>
            </w:r>
          </w:p>
        </w:tc>
        <w:tc>
          <w:tcPr>
            <w:tcW w:w="1480" w:type="dxa"/>
            <w:tcBorders>
              <w:top w:val="nil"/>
              <w:left w:val="nil"/>
              <w:bottom w:val="single" w:color="auto" w:sz="4" w:space="0"/>
              <w:right w:val="single" w:color="auto" w:sz="4" w:space="0"/>
            </w:tcBorders>
            <w:shd w:val="clear" w:color="000000" w:fill="FFFFFF"/>
            <w:vAlign w:val="center"/>
          </w:tcPr>
          <w:p w14:paraId="6C3C80D6">
            <w:pPr>
              <w:jc w:val="center"/>
              <w:rPr>
                <w:sz w:val="22"/>
                <w:szCs w:val="22"/>
              </w:rPr>
            </w:pPr>
            <w:r>
              <w:rPr>
                <w:sz w:val="22"/>
                <w:szCs w:val="22"/>
              </w:rPr>
              <w:t>固定吊3600</w:t>
            </w:r>
            <w:r>
              <w:rPr>
                <w:sz w:val="22"/>
                <w:szCs w:val="22"/>
              </w:rPr>
              <w:br w:type="textWrapping"/>
            </w:r>
            <w:r>
              <w:rPr>
                <w:sz w:val="22"/>
                <w:szCs w:val="22"/>
              </w:rPr>
              <w:t>全回转3000</w:t>
            </w:r>
          </w:p>
        </w:tc>
        <w:tc>
          <w:tcPr>
            <w:tcW w:w="900" w:type="dxa"/>
            <w:tcBorders>
              <w:top w:val="nil"/>
              <w:left w:val="nil"/>
              <w:bottom w:val="single" w:color="auto" w:sz="4" w:space="0"/>
              <w:right w:val="single" w:color="auto" w:sz="4" w:space="0"/>
            </w:tcBorders>
            <w:shd w:val="clear" w:color="000000" w:fill="FFFFFF"/>
            <w:vAlign w:val="center"/>
          </w:tcPr>
          <w:p w14:paraId="68277864">
            <w:pPr>
              <w:jc w:val="center"/>
              <w:rPr>
                <w:sz w:val="22"/>
                <w:szCs w:val="22"/>
              </w:rPr>
            </w:pPr>
            <w:r>
              <w:rPr>
                <w:sz w:val="22"/>
                <w:szCs w:val="22"/>
              </w:rPr>
              <w:t>182</w:t>
            </w:r>
          </w:p>
        </w:tc>
        <w:tc>
          <w:tcPr>
            <w:tcW w:w="820" w:type="dxa"/>
            <w:tcBorders>
              <w:top w:val="nil"/>
              <w:left w:val="nil"/>
              <w:bottom w:val="single" w:color="auto" w:sz="4" w:space="0"/>
              <w:right w:val="single" w:color="auto" w:sz="4" w:space="0"/>
            </w:tcBorders>
            <w:shd w:val="clear" w:color="000000" w:fill="FFFFFF"/>
            <w:vAlign w:val="center"/>
          </w:tcPr>
          <w:p w14:paraId="4D428ED6">
            <w:pPr>
              <w:jc w:val="center"/>
              <w:rPr>
                <w:sz w:val="22"/>
                <w:szCs w:val="22"/>
              </w:rPr>
            </w:pPr>
            <w:r>
              <w:rPr>
                <w:sz w:val="22"/>
                <w:szCs w:val="22"/>
              </w:rPr>
              <w:t>49</w:t>
            </w:r>
          </w:p>
        </w:tc>
        <w:tc>
          <w:tcPr>
            <w:tcW w:w="820" w:type="dxa"/>
            <w:tcBorders>
              <w:top w:val="nil"/>
              <w:left w:val="nil"/>
              <w:bottom w:val="single" w:color="auto" w:sz="4" w:space="0"/>
              <w:right w:val="single" w:color="auto" w:sz="4" w:space="0"/>
            </w:tcBorders>
            <w:shd w:val="clear" w:color="000000" w:fill="FFFFFF"/>
            <w:vAlign w:val="center"/>
          </w:tcPr>
          <w:p w14:paraId="0D6E80E9">
            <w:pPr>
              <w:jc w:val="center"/>
              <w:rPr>
                <w:sz w:val="22"/>
                <w:szCs w:val="22"/>
              </w:rPr>
            </w:pPr>
            <w:r>
              <w:rPr>
                <w:sz w:val="22"/>
                <w:szCs w:val="22"/>
              </w:rPr>
              <w:t>15</w:t>
            </w:r>
          </w:p>
        </w:tc>
        <w:tc>
          <w:tcPr>
            <w:tcW w:w="1400" w:type="dxa"/>
            <w:tcBorders>
              <w:top w:val="nil"/>
              <w:left w:val="nil"/>
              <w:bottom w:val="single" w:color="auto" w:sz="4" w:space="0"/>
              <w:right w:val="single" w:color="auto" w:sz="4" w:space="0"/>
            </w:tcBorders>
            <w:shd w:val="clear" w:color="000000" w:fill="FFFFFF"/>
            <w:vAlign w:val="center"/>
          </w:tcPr>
          <w:p w14:paraId="635423F6">
            <w:pPr>
              <w:jc w:val="center"/>
              <w:rPr>
                <w:sz w:val="22"/>
                <w:szCs w:val="22"/>
              </w:rPr>
            </w:pPr>
            <w:r>
              <w:rPr>
                <w:sz w:val="22"/>
                <w:szCs w:val="22"/>
              </w:rPr>
              <w:t>10</w:t>
            </w:r>
          </w:p>
        </w:tc>
        <w:tc>
          <w:tcPr>
            <w:tcW w:w="1240" w:type="dxa"/>
            <w:tcBorders>
              <w:top w:val="nil"/>
              <w:left w:val="nil"/>
              <w:bottom w:val="single" w:color="auto" w:sz="4" w:space="0"/>
              <w:right w:val="single" w:color="auto" w:sz="4" w:space="0"/>
            </w:tcBorders>
            <w:shd w:val="clear" w:color="000000" w:fill="FFFFFF"/>
            <w:vAlign w:val="center"/>
          </w:tcPr>
          <w:p w14:paraId="2DF492D9">
            <w:pPr>
              <w:jc w:val="center"/>
              <w:rPr>
                <w:sz w:val="22"/>
                <w:szCs w:val="22"/>
              </w:rPr>
            </w:pPr>
            <w:r>
              <w:rPr>
                <w:sz w:val="22"/>
                <w:szCs w:val="22"/>
              </w:rPr>
              <w:t>130</w:t>
            </w:r>
          </w:p>
        </w:tc>
      </w:tr>
      <w:tr w14:paraId="6B943722">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47277A05">
            <w:pPr>
              <w:jc w:val="center"/>
              <w:rPr>
                <w:b/>
                <w:bCs/>
                <w:sz w:val="22"/>
                <w:szCs w:val="22"/>
              </w:rPr>
            </w:pPr>
            <w:r>
              <w:rPr>
                <w:b/>
                <w:bCs/>
                <w:sz w:val="22"/>
                <w:szCs w:val="22"/>
              </w:rPr>
              <w:t>10</w:t>
            </w:r>
          </w:p>
        </w:tc>
        <w:tc>
          <w:tcPr>
            <w:tcW w:w="1540" w:type="dxa"/>
            <w:tcBorders>
              <w:top w:val="nil"/>
              <w:left w:val="nil"/>
              <w:bottom w:val="single" w:color="auto" w:sz="4" w:space="0"/>
              <w:right w:val="single" w:color="auto" w:sz="4" w:space="0"/>
            </w:tcBorders>
            <w:shd w:val="clear" w:color="000000" w:fill="FFFFFF"/>
            <w:noWrap/>
            <w:vAlign w:val="center"/>
          </w:tcPr>
          <w:p w14:paraId="5080FDCA">
            <w:pPr>
              <w:jc w:val="center"/>
              <w:rPr>
                <w:sz w:val="22"/>
                <w:szCs w:val="22"/>
              </w:rPr>
            </w:pPr>
            <w:r>
              <w:rPr>
                <w:sz w:val="22"/>
                <w:szCs w:val="22"/>
              </w:rPr>
              <w:t>威力</w:t>
            </w:r>
          </w:p>
        </w:tc>
        <w:tc>
          <w:tcPr>
            <w:tcW w:w="2740" w:type="dxa"/>
            <w:tcBorders>
              <w:top w:val="nil"/>
              <w:left w:val="nil"/>
              <w:bottom w:val="single" w:color="auto" w:sz="4" w:space="0"/>
              <w:right w:val="single" w:color="auto" w:sz="4" w:space="0"/>
            </w:tcBorders>
            <w:shd w:val="clear" w:color="000000" w:fill="FFFFFF"/>
            <w:noWrap/>
            <w:vAlign w:val="center"/>
          </w:tcPr>
          <w:p w14:paraId="7F94FE67">
            <w:pPr>
              <w:jc w:val="center"/>
              <w:rPr>
                <w:sz w:val="22"/>
                <w:szCs w:val="22"/>
              </w:rPr>
            </w:pPr>
            <w:r>
              <w:rPr>
                <w:sz w:val="22"/>
                <w:szCs w:val="22"/>
              </w:rPr>
              <w:t>全回转，自航，DP2</w:t>
            </w:r>
          </w:p>
        </w:tc>
        <w:tc>
          <w:tcPr>
            <w:tcW w:w="1480" w:type="dxa"/>
            <w:tcBorders>
              <w:top w:val="nil"/>
              <w:left w:val="nil"/>
              <w:bottom w:val="single" w:color="auto" w:sz="4" w:space="0"/>
              <w:right w:val="single" w:color="auto" w:sz="4" w:space="0"/>
            </w:tcBorders>
            <w:shd w:val="clear" w:color="000000" w:fill="FFFFFF"/>
            <w:vAlign w:val="center"/>
          </w:tcPr>
          <w:p w14:paraId="11F0B553">
            <w:pPr>
              <w:jc w:val="center"/>
              <w:rPr>
                <w:sz w:val="22"/>
                <w:szCs w:val="22"/>
              </w:rPr>
            </w:pPr>
            <w:r>
              <w:rPr>
                <w:sz w:val="22"/>
                <w:szCs w:val="22"/>
              </w:rPr>
              <w:t>固定吊3000</w:t>
            </w:r>
            <w:r>
              <w:rPr>
                <w:sz w:val="22"/>
                <w:szCs w:val="22"/>
              </w:rPr>
              <w:br w:type="textWrapping"/>
            </w:r>
            <w:r>
              <w:rPr>
                <w:sz w:val="22"/>
                <w:szCs w:val="22"/>
              </w:rPr>
              <w:t>全回转2600</w:t>
            </w:r>
          </w:p>
        </w:tc>
        <w:tc>
          <w:tcPr>
            <w:tcW w:w="900" w:type="dxa"/>
            <w:tcBorders>
              <w:top w:val="nil"/>
              <w:left w:val="nil"/>
              <w:bottom w:val="single" w:color="auto" w:sz="4" w:space="0"/>
              <w:right w:val="single" w:color="auto" w:sz="4" w:space="0"/>
            </w:tcBorders>
            <w:shd w:val="clear" w:color="000000" w:fill="FFFFFF"/>
            <w:noWrap/>
            <w:vAlign w:val="center"/>
          </w:tcPr>
          <w:p w14:paraId="5A68E706">
            <w:pPr>
              <w:jc w:val="center"/>
              <w:rPr>
                <w:sz w:val="22"/>
                <w:szCs w:val="22"/>
              </w:rPr>
            </w:pPr>
            <w:r>
              <w:rPr>
                <w:sz w:val="22"/>
                <w:szCs w:val="22"/>
              </w:rPr>
              <w:t>141</w:t>
            </w:r>
          </w:p>
        </w:tc>
        <w:tc>
          <w:tcPr>
            <w:tcW w:w="820" w:type="dxa"/>
            <w:tcBorders>
              <w:top w:val="nil"/>
              <w:left w:val="nil"/>
              <w:bottom w:val="single" w:color="auto" w:sz="4" w:space="0"/>
              <w:right w:val="single" w:color="auto" w:sz="4" w:space="0"/>
            </w:tcBorders>
            <w:shd w:val="clear" w:color="000000" w:fill="FFFFFF"/>
            <w:noWrap/>
            <w:vAlign w:val="center"/>
          </w:tcPr>
          <w:p w14:paraId="0573C207">
            <w:pPr>
              <w:jc w:val="center"/>
              <w:rPr>
                <w:sz w:val="22"/>
                <w:szCs w:val="22"/>
              </w:rPr>
            </w:pPr>
            <w:r>
              <w:rPr>
                <w:sz w:val="22"/>
                <w:szCs w:val="22"/>
              </w:rPr>
              <w:t>40</w:t>
            </w:r>
          </w:p>
        </w:tc>
        <w:tc>
          <w:tcPr>
            <w:tcW w:w="820" w:type="dxa"/>
            <w:tcBorders>
              <w:top w:val="nil"/>
              <w:left w:val="nil"/>
              <w:bottom w:val="single" w:color="auto" w:sz="4" w:space="0"/>
              <w:right w:val="single" w:color="auto" w:sz="4" w:space="0"/>
            </w:tcBorders>
            <w:shd w:val="clear" w:color="000000" w:fill="FFFFFF"/>
            <w:noWrap/>
            <w:vAlign w:val="center"/>
          </w:tcPr>
          <w:p w14:paraId="44E728C9">
            <w:pPr>
              <w:jc w:val="center"/>
              <w:rPr>
                <w:sz w:val="22"/>
                <w:szCs w:val="22"/>
              </w:rPr>
            </w:pPr>
            <w:r>
              <w:rPr>
                <w:sz w:val="22"/>
                <w:szCs w:val="22"/>
              </w:rPr>
              <w:t>12.8</w:t>
            </w:r>
          </w:p>
        </w:tc>
        <w:tc>
          <w:tcPr>
            <w:tcW w:w="1400" w:type="dxa"/>
            <w:tcBorders>
              <w:top w:val="nil"/>
              <w:left w:val="nil"/>
              <w:bottom w:val="single" w:color="auto" w:sz="4" w:space="0"/>
              <w:right w:val="single" w:color="auto" w:sz="4" w:space="0"/>
            </w:tcBorders>
            <w:shd w:val="clear" w:color="000000" w:fill="FFFFFF"/>
            <w:noWrap/>
            <w:vAlign w:val="center"/>
          </w:tcPr>
          <w:p w14:paraId="7314813B">
            <w:pPr>
              <w:jc w:val="center"/>
              <w:rPr>
                <w:sz w:val="22"/>
                <w:szCs w:val="22"/>
              </w:rPr>
            </w:pPr>
            <w:r>
              <w:rPr>
                <w:sz w:val="22"/>
                <w:szCs w:val="22"/>
              </w:rPr>
              <w:t>8.5</w:t>
            </w:r>
          </w:p>
        </w:tc>
        <w:tc>
          <w:tcPr>
            <w:tcW w:w="1240" w:type="dxa"/>
            <w:tcBorders>
              <w:top w:val="nil"/>
              <w:left w:val="nil"/>
              <w:bottom w:val="single" w:color="auto" w:sz="4" w:space="0"/>
              <w:right w:val="single" w:color="auto" w:sz="4" w:space="0"/>
            </w:tcBorders>
            <w:shd w:val="clear" w:color="000000" w:fill="FFFFFF"/>
            <w:noWrap/>
            <w:vAlign w:val="center"/>
          </w:tcPr>
          <w:p w14:paraId="74AEA8F2">
            <w:pPr>
              <w:jc w:val="center"/>
              <w:rPr>
                <w:sz w:val="22"/>
                <w:szCs w:val="22"/>
              </w:rPr>
            </w:pPr>
            <w:r>
              <w:rPr>
                <w:sz w:val="22"/>
                <w:szCs w:val="22"/>
              </w:rPr>
              <w:t>86</w:t>
            </w:r>
          </w:p>
        </w:tc>
      </w:tr>
      <w:tr w14:paraId="409935A4">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301410DC">
            <w:pPr>
              <w:jc w:val="center"/>
              <w:rPr>
                <w:b/>
                <w:bCs/>
                <w:sz w:val="22"/>
                <w:szCs w:val="22"/>
              </w:rPr>
            </w:pPr>
            <w:r>
              <w:rPr>
                <w:b/>
                <w:bCs/>
                <w:sz w:val="22"/>
                <w:szCs w:val="22"/>
              </w:rPr>
              <w:t>11</w:t>
            </w:r>
          </w:p>
        </w:tc>
        <w:tc>
          <w:tcPr>
            <w:tcW w:w="1540" w:type="dxa"/>
            <w:tcBorders>
              <w:top w:val="nil"/>
              <w:left w:val="nil"/>
              <w:bottom w:val="single" w:color="auto" w:sz="4" w:space="0"/>
              <w:right w:val="single" w:color="auto" w:sz="4" w:space="0"/>
            </w:tcBorders>
            <w:shd w:val="clear" w:color="000000" w:fill="FFFFFF"/>
            <w:noWrap/>
            <w:vAlign w:val="center"/>
          </w:tcPr>
          <w:p w14:paraId="0CD784FE">
            <w:pPr>
              <w:jc w:val="center"/>
              <w:rPr>
                <w:sz w:val="22"/>
                <w:szCs w:val="22"/>
              </w:rPr>
            </w:pPr>
            <w:r>
              <w:rPr>
                <w:sz w:val="22"/>
                <w:szCs w:val="22"/>
              </w:rPr>
              <w:t>乌东德</w:t>
            </w:r>
          </w:p>
        </w:tc>
        <w:tc>
          <w:tcPr>
            <w:tcW w:w="2740" w:type="dxa"/>
            <w:tcBorders>
              <w:top w:val="nil"/>
              <w:left w:val="nil"/>
              <w:bottom w:val="single" w:color="auto" w:sz="4" w:space="0"/>
              <w:right w:val="single" w:color="auto" w:sz="4" w:space="0"/>
            </w:tcBorders>
            <w:shd w:val="clear" w:color="000000" w:fill="FFFFFF"/>
            <w:noWrap/>
            <w:vAlign w:val="center"/>
          </w:tcPr>
          <w:p w14:paraId="4315B92C">
            <w:pPr>
              <w:jc w:val="center"/>
              <w:rPr>
                <w:sz w:val="22"/>
                <w:szCs w:val="22"/>
              </w:rPr>
            </w:pPr>
            <w:r>
              <w:rPr>
                <w:sz w:val="22"/>
                <w:szCs w:val="22"/>
              </w:rPr>
              <w:t>全回转，自航，DP2</w:t>
            </w:r>
          </w:p>
        </w:tc>
        <w:tc>
          <w:tcPr>
            <w:tcW w:w="1480" w:type="dxa"/>
            <w:tcBorders>
              <w:top w:val="nil"/>
              <w:left w:val="nil"/>
              <w:bottom w:val="single" w:color="auto" w:sz="4" w:space="0"/>
              <w:right w:val="single" w:color="auto" w:sz="4" w:space="0"/>
            </w:tcBorders>
            <w:shd w:val="clear" w:color="000000" w:fill="FFFFFF"/>
            <w:vAlign w:val="center"/>
          </w:tcPr>
          <w:p w14:paraId="336DAFF7">
            <w:pPr>
              <w:jc w:val="center"/>
              <w:rPr>
                <w:sz w:val="22"/>
                <w:szCs w:val="22"/>
              </w:rPr>
            </w:pPr>
            <w:r>
              <w:rPr>
                <w:sz w:val="22"/>
                <w:szCs w:val="22"/>
              </w:rPr>
              <w:t>固定吊3000</w:t>
            </w:r>
            <w:r>
              <w:rPr>
                <w:sz w:val="22"/>
                <w:szCs w:val="22"/>
              </w:rPr>
              <w:br w:type="textWrapping"/>
            </w:r>
            <w:r>
              <w:rPr>
                <w:sz w:val="22"/>
                <w:szCs w:val="22"/>
              </w:rPr>
              <w:t>全回转2400</w:t>
            </w:r>
          </w:p>
        </w:tc>
        <w:tc>
          <w:tcPr>
            <w:tcW w:w="900" w:type="dxa"/>
            <w:tcBorders>
              <w:top w:val="nil"/>
              <w:left w:val="nil"/>
              <w:bottom w:val="single" w:color="auto" w:sz="4" w:space="0"/>
              <w:right w:val="single" w:color="auto" w:sz="4" w:space="0"/>
            </w:tcBorders>
            <w:shd w:val="clear" w:color="000000" w:fill="FFFFFF"/>
            <w:noWrap/>
            <w:vAlign w:val="center"/>
          </w:tcPr>
          <w:p w14:paraId="12046E8D">
            <w:pPr>
              <w:jc w:val="center"/>
              <w:rPr>
                <w:sz w:val="22"/>
                <w:szCs w:val="22"/>
              </w:rPr>
            </w:pPr>
            <w:r>
              <w:rPr>
                <w:sz w:val="22"/>
                <w:szCs w:val="22"/>
              </w:rPr>
              <w:t>182</w:t>
            </w:r>
          </w:p>
        </w:tc>
        <w:tc>
          <w:tcPr>
            <w:tcW w:w="820" w:type="dxa"/>
            <w:tcBorders>
              <w:top w:val="nil"/>
              <w:left w:val="nil"/>
              <w:bottom w:val="single" w:color="auto" w:sz="4" w:space="0"/>
              <w:right w:val="single" w:color="auto" w:sz="4" w:space="0"/>
            </w:tcBorders>
            <w:shd w:val="clear" w:color="000000" w:fill="FFFFFF"/>
            <w:noWrap/>
            <w:vAlign w:val="center"/>
          </w:tcPr>
          <w:p w14:paraId="4F11C634">
            <w:pPr>
              <w:jc w:val="center"/>
              <w:rPr>
                <w:sz w:val="22"/>
                <w:szCs w:val="22"/>
              </w:rPr>
            </w:pPr>
            <w:r>
              <w:rPr>
                <w:sz w:val="22"/>
                <w:szCs w:val="22"/>
              </w:rPr>
              <w:t>46</w:t>
            </w:r>
          </w:p>
        </w:tc>
        <w:tc>
          <w:tcPr>
            <w:tcW w:w="820" w:type="dxa"/>
            <w:tcBorders>
              <w:top w:val="nil"/>
              <w:left w:val="nil"/>
              <w:bottom w:val="single" w:color="auto" w:sz="4" w:space="0"/>
              <w:right w:val="single" w:color="auto" w:sz="4" w:space="0"/>
            </w:tcBorders>
            <w:shd w:val="clear" w:color="000000" w:fill="FFFFFF"/>
            <w:noWrap/>
            <w:vAlign w:val="center"/>
          </w:tcPr>
          <w:p w14:paraId="77ED8E75">
            <w:pPr>
              <w:jc w:val="center"/>
              <w:rPr>
                <w:sz w:val="22"/>
                <w:szCs w:val="22"/>
              </w:rPr>
            </w:pPr>
            <w:r>
              <w:rPr>
                <w:sz w:val="22"/>
                <w:szCs w:val="22"/>
              </w:rPr>
              <w:t>15</w:t>
            </w:r>
          </w:p>
        </w:tc>
        <w:tc>
          <w:tcPr>
            <w:tcW w:w="1400" w:type="dxa"/>
            <w:tcBorders>
              <w:top w:val="nil"/>
              <w:left w:val="nil"/>
              <w:bottom w:val="single" w:color="auto" w:sz="4" w:space="0"/>
              <w:right w:val="single" w:color="auto" w:sz="4" w:space="0"/>
            </w:tcBorders>
            <w:shd w:val="clear" w:color="000000" w:fill="FFFFFF"/>
            <w:noWrap/>
            <w:vAlign w:val="center"/>
          </w:tcPr>
          <w:p w14:paraId="6F7F08F9">
            <w:pPr>
              <w:jc w:val="center"/>
              <w:rPr>
                <w:sz w:val="22"/>
                <w:szCs w:val="22"/>
              </w:rPr>
            </w:pPr>
            <w:r>
              <w:rPr>
                <w:sz w:val="22"/>
                <w:szCs w:val="22"/>
              </w:rPr>
              <w:t>9</w:t>
            </w:r>
          </w:p>
        </w:tc>
        <w:tc>
          <w:tcPr>
            <w:tcW w:w="1240" w:type="dxa"/>
            <w:tcBorders>
              <w:top w:val="nil"/>
              <w:left w:val="nil"/>
              <w:bottom w:val="single" w:color="auto" w:sz="4" w:space="0"/>
              <w:right w:val="single" w:color="auto" w:sz="4" w:space="0"/>
            </w:tcBorders>
            <w:shd w:val="clear" w:color="000000" w:fill="FFFFFF"/>
            <w:noWrap/>
            <w:vAlign w:val="center"/>
          </w:tcPr>
          <w:p w14:paraId="77883D01">
            <w:pPr>
              <w:jc w:val="center"/>
              <w:rPr>
                <w:sz w:val="22"/>
                <w:szCs w:val="22"/>
              </w:rPr>
            </w:pPr>
            <w:r>
              <w:rPr>
                <w:sz w:val="22"/>
                <w:szCs w:val="22"/>
              </w:rPr>
              <w:t>130</w:t>
            </w:r>
          </w:p>
        </w:tc>
      </w:tr>
      <w:tr w14:paraId="763CC7F9">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50ABAC2B">
            <w:pPr>
              <w:jc w:val="center"/>
              <w:rPr>
                <w:b/>
                <w:bCs/>
                <w:sz w:val="22"/>
                <w:szCs w:val="22"/>
              </w:rPr>
            </w:pPr>
            <w:r>
              <w:rPr>
                <w:b/>
                <w:bCs/>
                <w:sz w:val="22"/>
                <w:szCs w:val="22"/>
              </w:rPr>
              <w:t>12</w:t>
            </w:r>
          </w:p>
        </w:tc>
        <w:tc>
          <w:tcPr>
            <w:tcW w:w="1540" w:type="dxa"/>
            <w:tcBorders>
              <w:top w:val="nil"/>
              <w:left w:val="nil"/>
              <w:bottom w:val="single" w:color="auto" w:sz="4" w:space="0"/>
              <w:right w:val="single" w:color="auto" w:sz="4" w:space="0"/>
            </w:tcBorders>
            <w:shd w:val="clear" w:color="000000" w:fill="FFFFFF"/>
            <w:noWrap/>
            <w:vAlign w:val="center"/>
          </w:tcPr>
          <w:p w14:paraId="64F8D46C">
            <w:pPr>
              <w:jc w:val="center"/>
              <w:rPr>
                <w:sz w:val="22"/>
                <w:szCs w:val="22"/>
              </w:rPr>
            </w:pPr>
            <w:r>
              <w:rPr>
                <w:sz w:val="22"/>
                <w:szCs w:val="22"/>
              </w:rPr>
              <w:t>秦航工5000</w:t>
            </w:r>
          </w:p>
        </w:tc>
        <w:tc>
          <w:tcPr>
            <w:tcW w:w="2740" w:type="dxa"/>
            <w:tcBorders>
              <w:top w:val="nil"/>
              <w:left w:val="nil"/>
              <w:bottom w:val="single" w:color="auto" w:sz="4" w:space="0"/>
              <w:right w:val="single" w:color="auto" w:sz="4" w:space="0"/>
            </w:tcBorders>
            <w:shd w:val="clear" w:color="000000" w:fill="FFFFFF"/>
            <w:noWrap/>
            <w:vAlign w:val="center"/>
          </w:tcPr>
          <w:p w14:paraId="38FA152B">
            <w:pPr>
              <w:jc w:val="center"/>
              <w:rPr>
                <w:sz w:val="22"/>
                <w:szCs w:val="22"/>
              </w:rPr>
            </w:pPr>
            <w:r>
              <w:rPr>
                <w:sz w:val="22"/>
                <w:szCs w:val="22"/>
              </w:rPr>
              <w:t>全回转、自航、DP2</w:t>
            </w:r>
          </w:p>
        </w:tc>
        <w:tc>
          <w:tcPr>
            <w:tcW w:w="1480" w:type="dxa"/>
            <w:tcBorders>
              <w:top w:val="nil"/>
              <w:left w:val="nil"/>
              <w:bottom w:val="single" w:color="auto" w:sz="4" w:space="0"/>
              <w:right w:val="single" w:color="auto" w:sz="4" w:space="0"/>
            </w:tcBorders>
            <w:shd w:val="clear" w:color="000000" w:fill="FFFFFF"/>
            <w:vAlign w:val="center"/>
          </w:tcPr>
          <w:p w14:paraId="6D0AD59B">
            <w:pPr>
              <w:jc w:val="center"/>
              <w:rPr>
                <w:sz w:val="22"/>
                <w:szCs w:val="22"/>
              </w:rPr>
            </w:pPr>
            <w:r>
              <w:rPr>
                <w:sz w:val="22"/>
                <w:szCs w:val="22"/>
              </w:rPr>
              <w:t>固定吊4000</w:t>
            </w:r>
            <w:r>
              <w:rPr>
                <w:sz w:val="22"/>
                <w:szCs w:val="22"/>
              </w:rPr>
              <w:br w:type="textWrapping"/>
            </w:r>
            <w:r>
              <w:rPr>
                <w:sz w:val="22"/>
                <w:szCs w:val="22"/>
              </w:rPr>
              <w:t>全回转3000</w:t>
            </w:r>
          </w:p>
        </w:tc>
        <w:tc>
          <w:tcPr>
            <w:tcW w:w="900" w:type="dxa"/>
            <w:tcBorders>
              <w:top w:val="nil"/>
              <w:left w:val="nil"/>
              <w:bottom w:val="single" w:color="auto" w:sz="4" w:space="0"/>
              <w:right w:val="single" w:color="auto" w:sz="4" w:space="0"/>
            </w:tcBorders>
            <w:shd w:val="clear" w:color="000000" w:fill="FFFFFF"/>
            <w:noWrap/>
            <w:vAlign w:val="center"/>
          </w:tcPr>
          <w:p w14:paraId="53B183FC">
            <w:pPr>
              <w:jc w:val="center"/>
              <w:rPr>
                <w:sz w:val="22"/>
                <w:szCs w:val="22"/>
              </w:rPr>
            </w:pPr>
            <w:r>
              <w:rPr>
                <w:sz w:val="22"/>
                <w:szCs w:val="22"/>
              </w:rPr>
              <w:t>182</w:t>
            </w:r>
          </w:p>
        </w:tc>
        <w:tc>
          <w:tcPr>
            <w:tcW w:w="820" w:type="dxa"/>
            <w:tcBorders>
              <w:top w:val="nil"/>
              <w:left w:val="nil"/>
              <w:bottom w:val="single" w:color="auto" w:sz="4" w:space="0"/>
              <w:right w:val="single" w:color="auto" w:sz="4" w:space="0"/>
            </w:tcBorders>
            <w:shd w:val="clear" w:color="000000" w:fill="FFFFFF"/>
            <w:noWrap/>
            <w:vAlign w:val="center"/>
          </w:tcPr>
          <w:p w14:paraId="5C212AF2">
            <w:pPr>
              <w:jc w:val="center"/>
              <w:rPr>
                <w:sz w:val="22"/>
                <w:szCs w:val="22"/>
              </w:rPr>
            </w:pPr>
            <w:r>
              <w:rPr>
                <w:sz w:val="22"/>
                <w:szCs w:val="22"/>
              </w:rPr>
              <w:t>49</w:t>
            </w:r>
          </w:p>
        </w:tc>
        <w:tc>
          <w:tcPr>
            <w:tcW w:w="820" w:type="dxa"/>
            <w:tcBorders>
              <w:top w:val="nil"/>
              <w:left w:val="nil"/>
              <w:bottom w:val="single" w:color="auto" w:sz="4" w:space="0"/>
              <w:right w:val="single" w:color="auto" w:sz="4" w:space="0"/>
            </w:tcBorders>
            <w:shd w:val="clear" w:color="000000" w:fill="FFFFFF"/>
            <w:noWrap/>
            <w:vAlign w:val="center"/>
          </w:tcPr>
          <w:p w14:paraId="7F795BEE">
            <w:pPr>
              <w:jc w:val="center"/>
              <w:rPr>
                <w:sz w:val="22"/>
                <w:szCs w:val="22"/>
              </w:rPr>
            </w:pPr>
            <w:r>
              <w:rPr>
                <w:sz w:val="22"/>
                <w:szCs w:val="22"/>
              </w:rPr>
              <w:t>15</w:t>
            </w:r>
          </w:p>
        </w:tc>
        <w:tc>
          <w:tcPr>
            <w:tcW w:w="1400" w:type="dxa"/>
            <w:tcBorders>
              <w:top w:val="nil"/>
              <w:left w:val="nil"/>
              <w:bottom w:val="single" w:color="auto" w:sz="4" w:space="0"/>
              <w:right w:val="single" w:color="auto" w:sz="4" w:space="0"/>
            </w:tcBorders>
            <w:shd w:val="clear" w:color="000000" w:fill="FFFFFF"/>
            <w:noWrap/>
            <w:vAlign w:val="center"/>
          </w:tcPr>
          <w:p w14:paraId="6DC8A761">
            <w:pPr>
              <w:jc w:val="center"/>
              <w:rPr>
                <w:sz w:val="22"/>
                <w:szCs w:val="22"/>
              </w:rPr>
            </w:pPr>
            <w:r>
              <w:rPr>
                <w:sz w:val="22"/>
                <w:szCs w:val="22"/>
              </w:rPr>
              <w:t>8</w:t>
            </w:r>
          </w:p>
        </w:tc>
        <w:tc>
          <w:tcPr>
            <w:tcW w:w="1240" w:type="dxa"/>
            <w:tcBorders>
              <w:top w:val="nil"/>
              <w:left w:val="nil"/>
              <w:bottom w:val="single" w:color="auto" w:sz="4" w:space="0"/>
              <w:right w:val="single" w:color="auto" w:sz="4" w:space="0"/>
            </w:tcBorders>
            <w:shd w:val="clear" w:color="000000" w:fill="FFFFFF"/>
            <w:noWrap/>
            <w:vAlign w:val="center"/>
          </w:tcPr>
          <w:p w14:paraId="45CA200F">
            <w:pPr>
              <w:jc w:val="center"/>
              <w:rPr>
                <w:sz w:val="22"/>
                <w:szCs w:val="22"/>
              </w:rPr>
            </w:pPr>
            <w:r>
              <w:rPr>
                <w:sz w:val="22"/>
                <w:szCs w:val="22"/>
              </w:rPr>
              <w:t>120</w:t>
            </w:r>
          </w:p>
        </w:tc>
      </w:tr>
      <w:tr w14:paraId="1D6678FD">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14D08436">
            <w:pPr>
              <w:jc w:val="center"/>
              <w:rPr>
                <w:b/>
                <w:bCs/>
                <w:sz w:val="22"/>
                <w:szCs w:val="22"/>
              </w:rPr>
            </w:pPr>
            <w:r>
              <w:rPr>
                <w:b/>
                <w:bCs/>
                <w:sz w:val="22"/>
                <w:szCs w:val="22"/>
              </w:rPr>
              <w:t>13</w:t>
            </w:r>
          </w:p>
        </w:tc>
        <w:tc>
          <w:tcPr>
            <w:tcW w:w="1540" w:type="dxa"/>
            <w:tcBorders>
              <w:top w:val="nil"/>
              <w:left w:val="nil"/>
              <w:bottom w:val="single" w:color="auto" w:sz="4" w:space="0"/>
              <w:right w:val="single" w:color="auto" w:sz="4" w:space="0"/>
            </w:tcBorders>
            <w:shd w:val="clear" w:color="000000" w:fill="FFFFFF"/>
            <w:noWrap/>
            <w:vAlign w:val="center"/>
          </w:tcPr>
          <w:p w14:paraId="1E6CBCB3">
            <w:pPr>
              <w:jc w:val="center"/>
              <w:rPr>
                <w:sz w:val="22"/>
                <w:szCs w:val="22"/>
              </w:rPr>
            </w:pPr>
            <w:r>
              <w:rPr>
                <w:sz w:val="22"/>
                <w:szCs w:val="22"/>
              </w:rPr>
              <w:t>长胜5000</w:t>
            </w:r>
          </w:p>
        </w:tc>
        <w:tc>
          <w:tcPr>
            <w:tcW w:w="2740" w:type="dxa"/>
            <w:tcBorders>
              <w:top w:val="nil"/>
              <w:left w:val="nil"/>
              <w:bottom w:val="single" w:color="auto" w:sz="4" w:space="0"/>
              <w:right w:val="single" w:color="auto" w:sz="4" w:space="0"/>
            </w:tcBorders>
            <w:shd w:val="clear" w:color="000000" w:fill="FFFFFF"/>
            <w:noWrap/>
            <w:vAlign w:val="center"/>
          </w:tcPr>
          <w:p w14:paraId="4C8FD187">
            <w:pPr>
              <w:jc w:val="center"/>
              <w:rPr>
                <w:sz w:val="22"/>
                <w:szCs w:val="22"/>
              </w:rPr>
            </w:pPr>
            <w:r>
              <w:rPr>
                <w:sz w:val="22"/>
                <w:szCs w:val="22"/>
              </w:rPr>
              <w:t>全回转、自航、DP1</w:t>
            </w:r>
          </w:p>
        </w:tc>
        <w:tc>
          <w:tcPr>
            <w:tcW w:w="1480" w:type="dxa"/>
            <w:tcBorders>
              <w:top w:val="nil"/>
              <w:left w:val="nil"/>
              <w:bottom w:val="single" w:color="auto" w:sz="4" w:space="0"/>
              <w:right w:val="single" w:color="auto" w:sz="4" w:space="0"/>
            </w:tcBorders>
            <w:shd w:val="clear" w:color="000000" w:fill="FFFFFF"/>
            <w:vAlign w:val="center"/>
          </w:tcPr>
          <w:p w14:paraId="44661237">
            <w:pPr>
              <w:jc w:val="center"/>
              <w:rPr>
                <w:sz w:val="22"/>
                <w:szCs w:val="22"/>
              </w:rPr>
            </w:pPr>
            <w:r>
              <w:rPr>
                <w:sz w:val="22"/>
                <w:szCs w:val="22"/>
              </w:rPr>
              <w:t>固定吊4000</w:t>
            </w:r>
            <w:r>
              <w:rPr>
                <w:sz w:val="22"/>
                <w:szCs w:val="22"/>
              </w:rPr>
              <w:br w:type="textWrapping"/>
            </w:r>
            <w:r>
              <w:rPr>
                <w:sz w:val="22"/>
                <w:szCs w:val="22"/>
              </w:rPr>
              <w:t>全回转3000</w:t>
            </w:r>
          </w:p>
        </w:tc>
        <w:tc>
          <w:tcPr>
            <w:tcW w:w="900" w:type="dxa"/>
            <w:tcBorders>
              <w:top w:val="nil"/>
              <w:left w:val="nil"/>
              <w:bottom w:val="single" w:color="auto" w:sz="4" w:space="0"/>
              <w:right w:val="single" w:color="auto" w:sz="4" w:space="0"/>
            </w:tcBorders>
            <w:shd w:val="clear" w:color="000000" w:fill="FFFFFF"/>
            <w:noWrap/>
            <w:vAlign w:val="center"/>
          </w:tcPr>
          <w:p w14:paraId="1AD5B095">
            <w:pPr>
              <w:jc w:val="center"/>
              <w:rPr>
                <w:sz w:val="22"/>
                <w:szCs w:val="22"/>
              </w:rPr>
            </w:pPr>
            <w:r>
              <w:rPr>
                <w:sz w:val="22"/>
                <w:szCs w:val="22"/>
              </w:rPr>
              <w:t>182</w:t>
            </w:r>
          </w:p>
        </w:tc>
        <w:tc>
          <w:tcPr>
            <w:tcW w:w="820" w:type="dxa"/>
            <w:tcBorders>
              <w:top w:val="nil"/>
              <w:left w:val="nil"/>
              <w:bottom w:val="single" w:color="auto" w:sz="4" w:space="0"/>
              <w:right w:val="single" w:color="auto" w:sz="4" w:space="0"/>
            </w:tcBorders>
            <w:shd w:val="clear" w:color="000000" w:fill="FFFFFF"/>
            <w:noWrap/>
            <w:vAlign w:val="center"/>
          </w:tcPr>
          <w:p w14:paraId="12E40D7D">
            <w:pPr>
              <w:jc w:val="center"/>
              <w:rPr>
                <w:sz w:val="22"/>
                <w:szCs w:val="22"/>
              </w:rPr>
            </w:pPr>
            <w:r>
              <w:rPr>
                <w:sz w:val="22"/>
                <w:szCs w:val="22"/>
              </w:rPr>
              <w:t>48</w:t>
            </w:r>
          </w:p>
        </w:tc>
        <w:tc>
          <w:tcPr>
            <w:tcW w:w="820" w:type="dxa"/>
            <w:tcBorders>
              <w:top w:val="nil"/>
              <w:left w:val="nil"/>
              <w:bottom w:val="single" w:color="auto" w:sz="4" w:space="0"/>
              <w:right w:val="single" w:color="auto" w:sz="4" w:space="0"/>
            </w:tcBorders>
            <w:shd w:val="clear" w:color="000000" w:fill="FFFFFF"/>
            <w:noWrap/>
            <w:vAlign w:val="center"/>
          </w:tcPr>
          <w:p w14:paraId="51E62137">
            <w:pPr>
              <w:jc w:val="center"/>
              <w:rPr>
                <w:sz w:val="22"/>
                <w:szCs w:val="22"/>
              </w:rPr>
            </w:pPr>
            <w:r>
              <w:rPr>
                <w:sz w:val="22"/>
                <w:szCs w:val="22"/>
              </w:rPr>
              <w:t>15</w:t>
            </w:r>
          </w:p>
        </w:tc>
        <w:tc>
          <w:tcPr>
            <w:tcW w:w="1400" w:type="dxa"/>
            <w:tcBorders>
              <w:top w:val="nil"/>
              <w:left w:val="nil"/>
              <w:bottom w:val="single" w:color="auto" w:sz="4" w:space="0"/>
              <w:right w:val="single" w:color="auto" w:sz="4" w:space="0"/>
            </w:tcBorders>
            <w:shd w:val="clear" w:color="000000" w:fill="FFFFFF"/>
            <w:noWrap/>
            <w:vAlign w:val="center"/>
          </w:tcPr>
          <w:p w14:paraId="04952CA7">
            <w:pPr>
              <w:jc w:val="center"/>
              <w:rPr>
                <w:sz w:val="22"/>
                <w:szCs w:val="22"/>
              </w:rPr>
            </w:pPr>
            <w:r>
              <w:rPr>
                <w:sz w:val="22"/>
                <w:szCs w:val="22"/>
              </w:rPr>
              <w:t>8.8</w:t>
            </w:r>
          </w:p>
        </w:tc>
        <w:tc>
          <w:tcPr>
            <w:tcW w:w="1240" w:type="dxa"/>
            <w:tcBorders>
              <w:top w:val="nil"/>
              <w:left w:val="nil"/>
              <w:bottom w:val="single" w:color="auto" w:sz="4" w:space="0"/>
              <w:right w:val="single" w:color="auto" w:sz="4" w:space="0"/>
            </w:tcBorders>
            <w:shd w:val="clear" w:color="000000" w:fill="FFFFFF"/>
            <w:noWrap/>
            <w:vAlign w:val="center"/>
          </w:tcPr>
          <w:p w14:paraId="69DEA4D5">
            <w:pPr>
              <w:jc w:val="center"/>
              <w:rPr>
                <w:sz w:val="22"/>
                <w:szCs w:val="22"/>
              </w:rPr>
            </w:pPr>
            <w:r>
              <w:rPr>
                <w:sz w:val="22"/>
                <w:szCs w:val="22"/>
              </w:rPr>
              <w:t>118</w:t>
            </w:r>
          </w:p>
        </w:tc>
      </w:tr>
      <w:tr w14:paraId="5241C2BD">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7F3C542E">
            <w:pPr>
              <w:jc w:val="center"/>
              <w:rPr>
                <w:b/>
                <w:bCs/>
                <w:sz w:val="22"/>
                <w:szCs w:val="22"/>
              </w:rPr>
            </w:pPr>
            <w:r>
              <w:rPr>
                <w:b/>
                <w:bCs/>
                <w:sz w:val="22"/>
                <w:szCs w:val="22"/>
              </w:rPr>
              <w:t>14</w:t>
            </w:r>
          </w:p>
        </w:tc>
        <w:tc>
          <w:tcPr>
            <w:tcW w:w="1540" w:type="dxa"/>
            <w:tcBorders>
              <w:top w:val="nil"/>
              <w:left w:val="nil"/>
              <w:bottom w:val="single" w:color="auto" w:sz="4" w:space="0"/>
              <w:right w:val="single" w:color="auto" w:sz="4" w:space="0"/>
            </w:tcBorders>
            <w:shd w:val="clear" w:color="000000" w:fill="FFFFFF"/>
            <w:noWrap/>
            <w:vAlign w:val="center"/>
          </w:tcPr>
          <w:p w14:paraId="4876537C">
            <w:pPr>
              <w:jc w:val="center"/>
              <w:rPr>
                <w:sz w:val="22"/>
                <w:szCs w:val="22"/>
              </w:rPr>
            </w:pPr>
            <w:r>
              <w:rPr>
                <w:sz w:val="22"/>
                <w:szCs w:val="22"/>
              </w:rPr>
              <w:t>铁建起重5000</w:t>
            </w:r>
          </w:p>
        </w:tc>
        <w:tc>
          <w:tcPr>
            <w:tcW w:w="2740" w:type="dxa"/>
            <w:tcBorders>
              <w:top w:val="nil"/>
              <w:left w:val="nil"/>
              <w:bottom w:val="single" w:color="auto" w:sz="4" w:space="0"/>
              <w:right w:val="single" w:color="auto" w:sz="4" w:space="0"/>
            </w:tcBorders>
            <w:shd w:val="clear" w:color="000000" w:fill="FFFFFF"/>
            <w:vAlign w:val="center"/>
          </w:tcPr>
          <w:p w14:paraId="7E6D8FBD">
            <w:pPr>
              <w:jc w:val="center"/>
              <w:rPr>
                <w:sz w:val="22"/>
                <w:szCs w:val="22"/>
              </w:rPr>
            </w:pPr>
            <w:r>
              <w:rPr>
                <w:sz w:val="22"/>
                <w:szCs w:val="22"/>
              </w:rPr>
              <w:t>全回转、自航、DP2</w:t>
            </w:r>
          </w:p>
        </w:tc>
        <w:tc>
          <w:tcPr>
            <w:tcW w:w="1480" w:type="dxa"/>
            <w:tcBorders>
              <w:top w:val="nil"/>
              <w:left w:val="nil"/>
              <w:bottom w:val="single" w:color="auto" w:sz="4" w:space="0"/>
              <w:right w:val="single" w:color="auto" w:sz="4" w:space="0"/>
            </w:tcBorders>
            <w:shd w:val="clear" w:color="000000" w:fill="FFFFFF"/>
            <w:vAlign w:val="center"/>
          </w:tcPr>
          <w:p w14:paraId="4C3041BE">
            <w:pPr>
              <w:jc w:val="center"/>
              <w:rPr>
                <w:sz w:val="22"/>
                <w:szCs w:val="22"/>
              </w:rPr>
            </w:pPr>
            <w:r>
              <w:rPr>
                <w:sz w:val="22"/>
                <w:szCs w:val="22"/>
              </w:rPr>
              <w:t>固定吊5000</w:t>
            </w:r>
            <w:r>
              <w:rPr>
                <w:sz w:val="22"/>
                <w:szCs w:val="22"/>
              </w:rPr>
              <w:br w:type="textWrapping"/>
            </w:r>
            <w:r>
              <w:rPr>
                <w:sz w:val="22"/>
                <w:szCs w:val="22"/>
              </w:rPr>
              <w:t>全回转3500</w:t>
            </w:r>
          </w:p>
        </w:tc>
        <w:tc>
          <w:tcPr>
            <w:tcW w:w="900" w:type="dxa"/>
            <w:tcBorders>
              <w:top w:val="nil"/>
              <w:left w:val="nil"/>
              <w:bottom w:val="single" w:color="auto" w:sz="4" w:space="0"/>
              <w:right w:val="single" w:color="auto" w:sz="4" w:space="0"/>
            </w:tcBorders>
            <w:shd w:val="clear" w:color="000000" w:fill="FFFFFF"/>
            <w:noWrap/>
            <w:vAlign w:val="center"/>
          </w:tcPr>
          <w:p w14:paraId="7256E811">
            <w:pPr>
              <w:jc w:val="center"/>
              <w:rPr>
                <w:sz w:val="22"/>
                <w:szCs w:val="22"/>
              </w:rPr>
            </w:pPr>
            <w:r>
              <w:rPr>
                <w:sz w:val="22"/>
                <w:szCs w:val="22"/>
              </w:rPr>
              <w:t>203</w:t>
            </w:r>
          </w:p>
        </w:tc>
        <w:tc>
          <w:tcPr>
            <w:tcW w:w="820" w:type="dxa"/>
            <w:tcBorders>
              <w:top w:val="nil"/>
              <w:left w:val="nil"/>
              <w:bottom w:val="single" w:color="auto" w:sz="4" w:space="0"/>
              <w:right w:val="single" w:color="auto" w:sz="4" w:space="0"/>
            </w:tcBorders>
            <w:shd w:val="clear" w:color="000000" w:fill="FFFFFF"/>
            <w:noWrap/>
            <w:vAlign w:val="center"/>
          </w:tcPr>
          <w:p w14:paraId="0B11D069">
            <w:pPr>
              <w:jc w:val="center"/>
              <w:rPr>
                <w:sz w:val="22"/>
                <w:szCs w:val="22"/>
              </w:rPr>
            </w:pPr>
            <w:r>
              <w:rPr>
                <w:sz w:val="22"/>
                <w:szCs w:val="22"/>
              </w:rPr>
              <w:t>50</w:t>
            </w:r>
          </w:p>
        </w:tc>
        <w:tc>
          <w:tcPr>
            <w:tcW w:w="820" w:type="dxa"/>
            <w:tcBorders>
              <w:top w:val="nil"/>
              <w:left w:val="nil"/>
              <w:bottom w:val="single" w:color="auto" w:sz="4" w:space="0"/>
              <w:right w:val="single" w:color="auto" w:sz="4" w:space="0"/>
            </w:tcBorders>
            <w:shd w:val="clear" w:color="000000" w:fill="FFFFFF"/>
            <w:noWrap/>
            <w:vAlign w:val="center"/>
          </w:tcPr>
          <w:p w14:paraId="457505EA">
            <w:pPr>
              <w:jc w:val="center"/>
              <w:rPr>
                <w:sz w:val="22"/>
                <w:szCs w:val="22"/>
              </w:rPr>
            </w:pPr>
            <w:r>
              <w:rPr>
                <w:sz w:val="22"/>
                <w:szCs w:val="22"/>
              </w:rPr>
              <w:t>18</w:t>
            </w:r>
          </w:p>
        </w:tc>
        <w:tc>
          <w:tcPr>
            <w:tcW w:w="1400" w:type="dxa"/>
            <w:tcBorders>
              <w:top w:val="nil"/>
              <w:left w:val="nil"/>
              <w:bottom w:val="single" w:color="auto" w:sz="4" w:space="0"/>
              <w:right w:val="single" w:color="auto" w:sz="4" w:space="0"/>
            </w:tcBorders>
            <w:shd w:val="clear" w:color="000000" w:fill="FFFFFF"/>
            <w:noWrap/>
            <w:vAlign w:val="center"/>
          </w:tcPr>
          <w:p w14:paraId="3570BD92">
            <w:pPr>
              <w:jc w:val="center"/>
              <w:rPr>
                <w:sz w:val="22"/>
                <w:szCs w:val="22"/>
              </w:rPr>
            </w:pPr>
            <w:r>
              <w:rPr>
                <w:sz w:val="22"/>
                <w:szCs w:val="22"/>
              </w:rPr>
              <w:t>13</w:t>
            </w:r>
          </w:p>
        </w:tc>
        <w:tc>
          <w:tcPr>
            <w:tcW w:w="1240" w:type="dxa"/>
            <w:tcBorders>
              <w:top w:val="nil"/>
              <w:left w:val="nil"/>
              <w:bottom w:val="single" w:color="auto" w:sz="4" w:space="0"/>
              <w:right w:val="single" w:color="auto" w:sz="4" w:space="0"/>
            </w:tcBorders>
            <w:shd w:val="clear" w:color="000000" w:fill="FFFFFF"/>
            <w:noWrap/>
            <w:vAlign w:val="center"/>
          </w:tcPr>
          <w:p w14:paraId="41256288">
            <w:pPr>
              <w:jc w:val="center"/>
              <w:rPr>
                <w:sz w:val="22"/>
                <w:szCs w:val="22"/>
              </w:rPr>
            </w:pPr>
            <w:r>
              <w:rPr>
                <w:sz w:val="22"/>
                <w:szCs w:val="22"/>
              </w:rPr>
              <w:t>130</w:t>
            </w:r>
          </w:p>
        </w:tc>
      </w:tr>
      <w:tr w14:paraId="694CBE97">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3FD8A381">
            <w:pPr>
              <w:jc w:val="center"/>
              <w:rPr>
                <w:b/>
                <w:bCs/>
                <w:sz w:val="22"/>
                <w:szCs w:val="22"/>
              </w:rPr>
            </w:pPr>
            <w:r>
              <w:rPr>
                <w:b/>
                <w:bCs/>
                <w:sz w:val="22"/>
                <w:szCs w:val="22"/>
              </w:rPr>
              <w:t>15</w:t>
            </w:r>
          </w:p>
        </w:tc>
        <w:tc>
          <w:tcPr>
            <w:tcW w:w="1540" w:type="dxa"/>
            <w:tcBorders>
              <w:top w:val="nil"/>
              <w:left w:val="nil"/>
              <w:bottom w:val="single" w:color="auto" w:sz="4" w:space="0"/>
              <w:right w:val="single" w:color="auto" w:sz="4" w:space="0"/>
            </w:tcBorders>
            <w:shd w:val="clear" w:color="000000" w:fill="FFFFFF"/>
            <w:noWrap/>
            <w:vAlign w:val="center"/>
          </w:tcPr>
          <w:p w14:paraId="75055358">
            <w:pPr>
              <w:jc w:val="center"/>
              <w:rPr>
                <w:sz w:val="22"/>
                <w:szCs w:val="22"/>
              </w:rPr>
            </w:pPr>
            <w:r>
              <w:rPr>
                <w:sz w:val="22"/>
                <w:szCs w:val="22"/>
              </w:rPr>
              <w:t>华夏鹍鹏01</w:t>
            </w:r>
          </w:p>
        </w:tc>
        <w:tc>
          <w:tcPr>
            <w:tcW w:w="2740" w:type="dxa"/>
            <w:tcBorders>
              <w:top w:val="nil"/>
              <w:left w:val="nil"/>
              <w:bottom w:val="single" w:color="auto" w:sz="4" w:space="0"/>
              <w:right w:val="single" w:color="auto" w:sz="4" w:space="0"/>
            </w:tcBorders>
            <w:shd w:val="clear" w:color="000000" w:fill="FFFFFF"/>
            <w:vAlign w:val="center"/>
          </w:tcPr>
          <w:p w14:paraId="685B3BBF">
            <w:pPr>
              <w:jc w:val="center"/>
              <w:rPr>
                <w:sz w:val="22"/>
                <w:szCs w:val="22"/>
              </w:rPr>
            </w:pPr>
            <w:r>
              <w:rPr>
                <w:sz w:val="22"/>
                <w:szCs w:val="22"/>
              </w:rPr>
              <w:t>全回转、自航、DP2</w:t>
            </w:r>
          </w:p>
        </w:tc>
        <w:tc>
          <w:tcPr>
            <w:tcW w:w="1480" w:type="dxa"/>
            <w:tcBorders>
              <w:top w:val="nil"/>
              <w:left w:val="nil"/>
              <w:bottom w:val="single" w:color="auto" w:sz="4" w:space="0"/>
              <w:right w:val="single" w:color="auto" w:sz="4" w:space="0"/>
            </w:tcBorders>
            <w:shd w:val="clear" w:color="000000" w:fill="FFFFFF"/>
            <w:vAlign w:val="center"/>
          </w:tcPr>
          <w:p w14:paraId="0F0FF411">
            <w:pPr>
              <w:jc w:val="center"/>
              <w:rPr>
                <w:sz w:val="22"/>
                <w:szCs w:val="22"/>
              </w:rPr>
            </w:pPr>
            <w:r>
              <w:rPr>
                <w:sz w:val="22"/>
                <w:szCs w:val="22"/>
              </w:rPr>
              <w:t>固定吊5000</w:t>
            </w:r>
            <w:r>
              <w:rPr>
                <w:sz w:val="22"/>
                <w:szCs w:val="22"/>
              </w:rPr>
              <w:br w:type="textWrapping"/>
            </w:r>
            <w:r>
              <w:rPr>
                <w:sz w:val="22"/>
                <w:szCs w:val="22"/>
              </w:rPr>
              <w:t>全回转3500</w:t>
            </w:r>
          </w:p>
        </w:tc>
        <w:tc>
          <w:tcPr>
            <w:tcW w:w="900" w:type="dxa"/>
            <w:tcBorders>
              <w:top w:val="nil"/>
              <w:left w:val="nil"/>
              <w:bottom w:val="single" w:color="auto" w:sz="4" w:space="0"/>
              <w:right w:val="single" w:color="auto" w:sz="4" w:space="0"/>
            </w:tcBorders>
            <w:shd w:val="clear" w:color="000000" w:fill="FFFFFF"/>
            <w:noWrap/>
            <w:vAlign w:val="center"/>
          </w:tcPr>
          <w:p w14:paraId="7212F64E">
            <w:pPr>
              <w:jc w:val="center"/>
              <w:rPr>
                <w:sz w:val="22"/>
                <w:szCs w:val="22"/>
              </w:rPr>
            </w:pPr>
            <w:r>
              <w:rPr>
                <w:sz w:val="22"/>
                <w:szCs w:val="22"/>
              </w:rPr>
              <w:t>195</w:t>
            </w:r>
          </w:p>
        </w:tc>
        <w:tc>
          <w:tcPr>
            <w:tcW w:w="820" w:type="dxa"/>
            <w:tcBorders>
              <w:top w:val="nil"/>
              <w:left w:val="nil"/>
              <w:bottom w:val="single" w:color="auto" w:sz="4" w:space="0"/>
              <w:right w:val="single" w:color="auto" w:sz="4" w:space="0"/>
            </w:tcBorders>
            <w:shd w:val="clear" w:color="000000" w:fill="FFFFFF"/>
            <w:noWrap/>
            <w:vAlign w:val="center"/>
          </w:tcPr>
          <w:p w14:paraId="5C800F23">
            <w:pPr>
              <w:jc w:val="center"/>
              <w:rPr>
                <w:sz w:val="22"/>
                <w:szCs w:val="22"/>
              </w:rPr>
            </w:pPr>
            <w:r>
              <w:rPr>
                <w:sz w:val="22"/>
                <w:szCs w:val="22"/>
              </w:rPr>
              <w:t>49.8</w:t>
            </w:r>
          </w:p>
        </w:tc>
        <w:tc>
          <w:tcPr>
            <w:tcW w:w="820" w:type="dxa"/>
            <w:tcBorders>
              <w:top w:val="nil"/>
              <w:left w:val="nil"/>
              <w:bottom w:val="single" w:color="auto" w:sz="4" w:space="0"/>
              <w:right w:val="single" w:color="auto" w:sz="4" w:space="0"/>
            </w:tcBorders>
            <w:shd w:val="clear" w:color="000000" w:fill="FFFFFF"/>
            <w:noWrap/>
            <w:vAlign w:val="center"/>
          </w:tcPr>
          <w:p w14:paraId="37D194D9">
            <w:pPr>
              <w:jc w:val="center"/>
              <w:rPr>
                <w:sz w:val="22"/>
                <w:szCs w:val="22"/>
              </w:rPr>
            </w:pPr>
            <w:r>
              <w:rPr>
                <w:sz w:val="22"/>
                <w:szCs w:val="22"/>
              </w:rPr>
              <w:t>16</w:t>
            </w:r>
          </w:p>
        </w:tc>
        <w:tc>
          <w:tcPr>
            <w:tcW w:w="1400" w:type="dxa"/>
            <w:tcBorders>
              <w:top w:val="nil"/>
              <w:left w:val="nil"/>
              <w:bottom w:val="single" w:color="auto" w:sz="4" w:space="0"/>
              <w:right w:val="single" w:color="auto" w:sz="4" w:space="0"/>
            </w:tcBorders>
            <w:shd w:val="clear" w:color="000000" w:fill="FFFFFF"/>
            <w:noWrap/>
            <w:vAlign w:val="center"/>
          </w:tcPr>
          <w:p w14:paraId="7E480838">
            <w:pPr>
              <w:jc w:val="center"/>
              <w:rPr>
                <w:sz w:val="22"/>
                <w:szCs w:val="22"/>
              </w:rPr>
            </w:pPr>
            <w:r>
              <w:rPr>
                <w:sz w:val="22"/>
                <w:szCs w:val="22"/>
              </w:rPr>
              <w:t>12</w:t>
            </w:r>
          </w:p>
        </w:tc>
        <w:tc>
          <w:tcPr>
            <w:tcW w:w="1240" w:type="dxa"/>
            <w:tcBorders>
              <w:top w:val="nil"/>
              <w:left w:val="nil"/>
              <w:bottom w:val="single" w:color="auto" w:sz="4" w:space="0"/>
              <w:right w:val="single" w:color="auto" w:sz="4" w:space="0"/>
            </w:tcBorders>
            <w:shd w:val="clear" w:color="000000" w:fill="FFFFFF"/>
            <w:noWrap/>
            <w:vAlign w:val="center"/>
          </w:tcPr>
          <w:p w14:paraId="2C703FCF">
            <w:pPr>
              <w:jc w:val="center"/>
              <w:rPr>
                <w:sz w:val="22"/>
                <w:szCs w:val="22"/>
              </w:rPr>
            </w:pPr>
            <w:r>
              <w:rPr>
                <w:sz w:val="22"/>
                <w:szCs w:val="22"/>
              </w:rPr>
              <w:t>130</w:t>
            </w:r>
          </w:p>
        </w:tc>
      </w:tr>
      <w:tr w14:paraId="16913471">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40389141">
            <w:pPr>
              <w:jc w:val="center"/>
              <w:rPr>
                <w:b/>
                <w:bCs/>
                <w:sz w:val="22"/>
                <w:szCs w:val="22"/>
              </w:rPr>
            </w:pPr>
            <w:r>
              <w:rPr>
                <w:b/>
                <w:bCs/>
                <w:sz w:val="22"/>
                <w:szCs w:val="22"/>
              </w:rPr>
              <w:t>16</w:t>
            </w:r>
          </w:p>
        </w:tc>
        <w:tc>
          <w:tcPr>
            <w:tcW w:w="1540" w:type="dxa"/>
            <w:tcBorders>
              <w:top w:val="nil"/>
              <w:left w:val="nil"/>
              <w:bottom w:val="single" w:color="auto" w:sz="4" w:space="0"/>
              <w:right w:val="single" w:color="auto" w:sz="4" w:space="0"/>
            </w:tcBorders>
            <w:shd w:val="clear" w:color="000000" w:fill="FFFFFF"/>
            <w:noWrap/>
            <w:vAlign w:val="center"/>
          </w:tcPr>
          <w:p w14:paraId="552941C1">
            <w:pPr>
              <w:jc w:val="center"/>
              <w:rPr>
                <w:sz w:val="22"/>
                <w:szCs w:val="22"/>
              </w:rPr>
            </w:pPr>
            <w:r>
              <w:rPr>
                <w:sz w:val="22"/>
                <w:szCs w:val="22"/>
              </w:rPr>
              <w:t>中天39</w:t>
            </w:r>
          </w:p>
        </w:tc>
        <w:tc>
          <w:tcPr>
            <w:tcW w:w="2740" w:type="dxa"/>
            <w:tcBorders>
              <w:top w:val="nil"/>
              <w:left w:val="nil"/>
              <w:bottom w:val="single" w:color="auto" w:sz="4" w:space="0"/>
              <w:right w:val="single" w:color="auto" w:sz="4" w:space="0"/>
            </w:tcBorders>
            <w:shd w:val="clear" w:color="000000" w:fill="FFFFFF"/>
            <w:noWrap/>
            <w:vAlign w:val="center"/>
          </w:tcPr>
          <w:p w14:paraId="2ACC6C78">
            <w:pPr>
              <w:jc w:val="center"/>
              <w:rPr>
                <w:sz w:val="22"/>
                <w:szCs w:val="22"/>
              </w:rPr>
            </w:pPr>
            <w:r>
              <w:rPr>
                <w:sz w:val="22"/>
                <w:szCs w:val="22"/>
              </w:rPr>
              <w:t>全回转、自航、DP1</w:t>
            </w:r>
          </w:p>
        </w:tc>
        <w:tc>
          <w:tcPr>
            <w:tcW w:w="1480" w:type="dxa"/>
            <w:tcBorders>
              <w:top w:val="nil"/>
              <w:left w:val="nil"/>
              <w:bottom w:val="single" w:color="auto" w:sz="4" w:space="0"/>
              <w:right w:val="single" w:color="auto" w:sz="4" w:space="0"/>
            </w:tcBorders>
            <w:shd w:val="clear" w:color="000000" w:fill="FFFFFF"/>
            <w:vAlign w:val="center"/>
          </w:tcPr>
          <w:p w14:paraId="7F6A0BE2">
            <w:pPr>
              <w:jc w:val="center"/>
              <w:rPr>
                <w:sz w:val="22"/>
                <w:szCs w:val="22"/>
              </w:rPr>
            </w:pPr>
            <w:r>
              <w:rPr>
                <w:sz w:val="22"/>
                <w:szCs w:val="22"/>
              </w:rPr>
              <w:t>固定吊5000</w:t>
            </w:r>
            <w:r>
              <w:rPr>
                <w:sz w:val="22"/>
                <w:szCs w:val="22"/>
              </w:rPr>
              <w:br w:type="textWrapping"/>
            </w:r>
            <w:r>
              <w:rPr>
                <w:sz w:val="22"/>
                <w:szCs w:val="22"/>
              </w:rPr>
              <w:t>全回转3500</w:t>
            </w:r>
          </w:p>
        </w:tc>
        <w:tc>
          <w:tcPr>
            <w:tcW w:w="900" w:type="dxa"/>
            <w:tcBorders>
              <w:top w:val="nil"/>
              <w:left w:val="nil"/>
              <w:bottom w:val="single" w:color="auto" w:sz="4" w:space="0"/>
              <w:right w:val="single" w:color="auto" w:sz="4" w:space="0"/>
            </w:tcBorders>
            <w:shd w:val="clear" w:color="000000" w:fill="FFFFFF"/>
            <w:noWrap/>
            <w:vAlign w:val="center"/>
          </w:tcPr>
          <w:p w14:paraId="2256EA91">
            <w:pPr>
              <w:jc w:val="center"/>
              <w:rPr>
                <w:sz w:val="22"/>
                <w:szCs w:val="22"/>
              </w:rPr>
            </w:pPr>
            <w:r>
              <w:rPr>
                <w:sz w:val="22"/>
                <w:szCs w:val="22"/>
              </w:rPr>
              <w:t>215</w:t>
            </w:r>
          </w:p>
        </w:tc>
        <w:tc>
          <w:tcPr>
            <w:tcW w:w="820" w:type="dxa"/>
            <w:tcBorders>
              <w:top w:val="nil"/>
              <w:left w:val="nil"/>
              <w:bottom w:val="single" w:color="auto" w:sz="4" w:space="0"/>
              <w:right w:val="single" w:color="auto" w:sz="4" w:space="0"/>
            </w:tcBorders>
            <w:shd w:val="clear" w:color="000000" w:fill="FFFFFF"/>
            <w:noWrap/>
            <w:vAlign w:val="center"/>
          </w:tcPr>
          <w:p w14:paraId="7B71941D">
            <w:pPr>
              <w:jc w:val="center"/>
              <w:rPr>
                <w:sz w:val="22"/>
                <w:szCs w:val="22"/>
              </w:rPr>
            </w:pPr>
            <w:r>
              <w:rPr>
                <w:sz w:val="22"/>
                <w:szCs w:val="22"/>
              </w:rPr>
              <w:t>51.8</w:t>
            </w:r>
          </w:p>
        </w:tc>
        <w:tc>
          <w:tcPr>
            <w:tcW w:w="820" w:type="dxa"/>
            <w:tcBorders>
              <w:top w:val="nil"/>
              <w:left w:val="nil"/>
              <w:bottom w:val="single" w:color="auto" w:sz="4" w:space="0"/>
              <w:right w:val="single" w:color="auto" w:sz="4" w:space="0"/>
            </w:tcBorders>
            <w:shd w:val="clear" w:color="000000" w:fill="FFFFFF"/>
            <w:noWrap/>
            <w:vAlign w:val="center"/>
          </w:tcPr>
          <w:p w14:paraId="4F4C1BC3">
            <w:pPr>
              <w:jc w:val="center"/>
              <w:rPr>
                <w:sz w:val="22"/>
                <w:szCs w:val="22"/>
              </w:rPr>
            </w:pPr>
            <w:r>
              <w:rPr>
                <w:sz w:val="22"/>
                <w:szCs w:val="22"/>
              </w:rPr>
              <w:t>19</w:t>
            </w:r>
          </w:p>
        </w:tc>
        <w:tc>
          <w:tcPr>
            <w:tcW w:w="1400" w:type="dxa"/>
            <w:tcBorders>
              <w:top w:val="nil"/>
              <w:left w:val="nil"/>
              <w:bottom w:val="single" w:color="auto" w:sz="4" w:space="0"/>
              <w:right w:val="single" w:color="auto" w:sz="4" w:space="0"/>
            </w:tcBorders>
            <w:shd w:val="clear" w:color="000000" w:fill="FFFFFF"/>
            <w:noWrap/>
            <w:vAlign w:val="center"/>
          </w:tcPr>
          <w:p w14:paraId="35D1F22A">
            <w:pPr>
              <w:jc w:val="center"/>
              <w:rPr>
                <w:sz w:val="22"/>
                <w:szCs w:val="22"/>
              </w:rPr>
            </w:pPr>
            <w:r>
              <w:rPr>
                <w:sz w:val="22"/>
                <w:szCs w:val="22"/>
              </w:rPr>
              <w:t>14</w:t>
            </w:r>
          </w:p>
        </w:tc>
        <w:tc>
          <w:tcPr>
            <w:tcW w:w="1240" w:type="dxa"/>
            <w:tcBorders>
              <w:top w:val="nil"/>
              <w:left w:val="nil"/>
              <w:bottom w:val="single" w:color="auto" w:sz="4" w:space="0"/>
              <w:right w:val="single" w:color="auto" w:sz="4" w:space="0"/>
            </w:tcBorders>
            <w:shd w:val="clear" w:color="000000" w:fill="FFFFFF"/>
            <w:noWrap/>
            <w:vAlign w:val="center"/>
          </w:tcPr>
          <w:p w14:paraId="5244056E">
            <w:pPr>
              <w:jc w:val="center"/>
              <w:rPr>
                <w:sz w:val="22"/>
                <w:szCs w:val="22"/>
              </w:rPr>
            </w:pPr>
            <w:r>
              <w:rPr>
                <w:sz w:val="22"/>
                <w:szCs w:val="22"/>
              </w:rPr>
              <w:t>120</w:t>
            </w:r>
          </w:p>
        </w:tc>
      </w:tr>
      <w:tr w14:paraId="593A1309">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5B95809B">
            <w:pPr>
              <w:jc w:val="center"/>
              <w:rPr>
                <w:b/>
                <w:bCs/>
                <w:sz w:val="22"/>
                <w:szCs w:val="22"/>
              </w:rPr>
            </w:pPr>
            <w:r>
              <w:rPr>
                <w:b/>
                <w:bCs/>
                <w:sz w:val="22"/>
                <w:szCs w:val="22"/>
              </w:rPr>
              <w:t>17</w:t>
            </w:r>
          </w:p>
        </w:tc>
        <w:tc>
          <w:tcPr>
            <w:tcW w:w="1540" w:type="dxa"/>
            <w:tcBorders>
              <w:top w:val="nil"/>
              <w:left w:val="nil"/>
              <w:bottom w:val="single" w:color="auto" w:sz="4" w:space="0"/>
              <w:right w:val="single" w:color="auto" w:sz="4" w:space="0"/>
            </w:tcBorders>
            <w:shd w:val="clear" w:color="000000" w:fill="FFFFFF"/>
            <w:noWrap/>
            <w:vAlign w:val="center"/>
          </w:tcPr>
          <w:p w14:paraId="1173A4EF">
            <w:pPr>
              <w:jc w:val="center"/>
              <w:rPr>
                <w:sz w:val="22"/>
                <w:szCs w:val="22"/>
              </w:rPr>
            </w:pPr>
            <w:r>
              <w:rPr>
                <w:sz w:val="22"/>
                <w:szCs w:val="22"/>
              </w:rPr>
              <w:t>天沨10</w:t>
            </w:r>
          </w:p>
        </w:tc>
        <w:tc>
          <w:tcPr>
            <w:tcW w:w="2740" w:type="dxa"/>
            <w:tcBorders>
              <w:top w:val="nil"/>
              <w:left w:val="nil"/>
              <w:bottom w:val="single" w:color="auto" w:sz="4" w:space="0"/>
              <w:right w:val="single" w:color="auto" w:sz="4" w:space="0"/>
            </w:tcBorders>
            <w:shd w:val="clear" w:color="000000" w:fill="FFFFFF"/>
            <w:noWrap/>
            <w:vAlign w:val="center"/>
          </w:tcPr>
          <w:p w14:paraId="1C8B2A83">
            <w:pPr>
              <w:jc w:val="center"/>
              <w:rPr>
                <w:sz w:val="22"/>
                <w:szCs w:val="22"/>
              </w:rPr>
            </w:pPr>
            <w:r>
              <w:rPr>
                <w:sz w:val="22"/>
                <w:szCs w:val="22"/>
              </w:rPr>
              <w:t>全回转、自航、DP2</w:t>
            </w:r>
          </w:p>
        </w:tc>
        <w:tc>
          <w:tcPr>
            <w:tcW w:w="1480" w:type="dxa"/>
            <w:tcBorders>
              <w:top w:val="nil"/>
              <w:left w:val="nil"/>
              <w:bottom w:val="single" w:color="auto" w:sz="4" w:space="0"/>
              <w:right w:val="single" w:color="auto" w:sz="4" w:space="0"/>
            </w:tcBorders>
            <w:shd w:val="clear" w:color="000000" w:fill="FFFFFF"/>
            <w:vAlign w:val="center"/>
          </w:tcPr>
          <w:p w14:paraId="21EA9438">
            <w:pPr>
              <w:jc w:val="center"/>
              <w:rPr>
                <w:sz w:val="22"/>
                <w:szCs w:val="22"/>
              </w:rPr>
            </w:pPr>
            <w:r>
              <w:rPr>
                <w:sz w:val="22"/>
                <w:szCs w:val="22"/>
              </w:rPr>
              <w:t>固定吊3000</w:t>
            </w:r>
            <w:r>
              <w:rPr>
                <w:sz w:val="22"/>
                <w:szCs w:val="22"/>
              </w:rPr>
              <w:br w:type="textWrapping"/>
            </w:r>
            <w:r>
              <w:rPr>
                <w:sz w:val="22"/>
                <w:szCs w:val="22"/>
              </w:rPr>
              <w:t>全回转</w:t>
            </w:r>
          </w:p>
        </w:tc>
        <w:tc>
          <w:tcPr>
            <w:tcW w:w="900" w:type="dxa"/>
            <w:tcBorders>
              <w:top w:val="nil"/>
              <w:left w:val="nil"/>
              <w:bottom w:val="single" w:color="auto" w:sz="4" w:space="0"/>
              <w:right w:val="single" w:color="auto" w:sz="4" w:space="0"/>
            </w:tcBorders>
            <w:shd w:val="clear" w:color="000000" w:fill="FFFFFF"/>
            <w:noWrap/>
            <w:vAlign w:val="center"/>
          </w:tcPr>
          <w:p w14:paraId="3F44FDC3">
            <w:pPr>
              <w:jc w:val="center"/>
              <w:rPr>
                <w:sz w:val="22"/>
                <w:szCs w:val="22"/>
              </w:rPr>
            </w:pPr>
            <w:r>
              <w:rPr>
                <w:sz w:val="22"/>
                <w:szCs w:val="22"/>
              </w:rPr>
              <w:t>149.8</w:t>
            </w:r>
          </w:p>
        </w:tc>
        <w:tc>
          <w:tcPr>
            <w:tcW w:w="820" w:type="dxa"/>
            <w:tcBorders>
              <w:top w:val="nil"/>
              <w:left w:val="nil"/>
              <w:bottom w:val="single" w:color="auto" w:sz="4" w:space="0"/>
              <w:right w:val="single" w:color="auto" w:sz="4" w:space="0"/>
            </w:tcBorders>
            <w:shd w:val="clear" w:color="000000" w:fill="FFFFFF"/>
            <w:noWrap/>
            <w:vAlign w:val="center"/>
          </w:tcPr>
          <w:p w14:paraId="54C7FE60">
            <w:pPr>
              <w:jc w:val="center"/>
              <w:rPr>
                <w:sz w:val="22"/>
                <w:szCs w:val="22"/>
              </w:rPr>
            </w:pPr>
            <w:r>
              <w:rPr>
                <w:sz w:val="22"/>
                <w:szCs w:val="22"/>
              </w:rPr>
              <w:t>41.5</w:t>
            </w:r>
          </w:p>
        </w:tc>
        <w:tc>
          <w:tcPr>
            <w:tcW w:w="820" w:type="dxa"/>
            <w:tcBorders>
              <w:top w:val="nil"/>
              <w:left w:val="nil"/>
              <w:bottom w:val="single" w:color="auto" w:sz="4" w:space="0"/>
              <w:right w:val="single" w:color="auto" w:sz="4" w:space="0"/>
            </w:tcBorders>
            <w:shd w:val="clear" w:color="000000" w:fill="FFFFFF"/>
            <w:noWrap/>
            <w:vAlign w:val="center"/>
          </w:tcPr>
          <w:p w14:paraId="17768F3B">
            <w:pPr>
              <w:jc w:val="center"/>
              <w:rPr>
                <w:sz w:val="22"/>
                <w:szCs w:val="22"/>
              </w:rPr>
            </w:pPr>
            <w:r>
              <w:rPr>
                <w:sz w:val="22"/>
                <w:szCs w:val="22"/>
              </w:rPr>
              <w:t>14</w:t>
            </w:r>
          </w:p>
        </w:tc>
        <w:tc>
          <w:tcPr>
            <w:tcW w:w="1400" w:type="dxa"/>
            <w:tcBorders>
              <w:top w:val="nil"/>
              <w:left w:val="nil"/>
              <w:bottom w:val="single" w:color="auto" w:sz="4" w:space="0"/>
              <w:right w:val="single" w:color="auto" w:sz="4" w:space="0"/>
            </w:tcBorders>
            <w:shd w:val="clear" w:color="000000" w:fill="FFFFFF"/>
            <w:noWrap/>
            <w:vAlign w:val="center"/>
          </w:tcPr>
          <w:p w14:paraId="3A61828E">
            <w:pPr>
              <w:jc w:val="center"/>
              <w:rPr>
                <w:sz w:val="22"/>
                <w:szCs w:val="22"/>
              </w:rPr>
            </w:pPr>
            <w:r>
              <w:rPr>
                <w:sz w:val="22"/>
                <w:szCs w:val="22"/>
              </w:rPr>
              <w:t>10</w:t>
            </w:r>
          </w:p>
        </w:tc>
        <w:tc>
          <w:tcPr>
            <w:tcW w:w="1240" w:type="dxa"/>
            <w:tcBorders>
              <w:top w:val="nil"/>
              <w:left w:val="nil"/>
              <w:bottom w:val="single" w:color="auto" w:sz="4" w:space="0"/>
              <w:right w:val="single" w:color="auto" w:sz="4" w:space="0"/>
            </w:tcBorders>
            <w:shd w:val="clear" w:color="000000" w:fill="FFFFFF"/>
            <w:noWrap/>
            <w:vAlign w:val="center"/>
          </w:tcPr>
          <w:p w14:paraId="49DA5D4C">
            <w:pPr>
              <w:jc w:val="center"/>
              <w:rPr>
                <w:sz w:val="22"/>
                <w:szCs w:val="22"/>
              </w:rPr>
            </w:pPr>
            <w:r>
              <w:rPr>
                <w:sz w:val="22"/>
                <w:szCs w:val="22"/>
              </w:rPr>
              <w:t>110</w:t>
            </w:r>
          </w:p>
        </w:tc>
      </w:tr>
      <w:tr w14:paraId="59CE10A5">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23F925B9">
            <w:pPr>
              <w:jc w:val="center"/>
              <w:rPr>
                <w:b/>
                <w:bCs/>
                <w:sz w:val="22"/>
                <w:szCs w:val="22"/>
              </w:rPr>
            </w:pPr>
            <w:r>
              <w:rPr>
                <w:b/>
                <w:bCs/>
                <w:sz w:val="22"/>
                <w:szCs w:val="22"/>
              </w:rPr>
              <w:t>18</w:t>
            </w:r>
          </w:p>
        </w:tc>
        <w:tc>
          <w:tcPr>
            <w:tcW w:w="1540" w:type="dxa"/>
            <w:tcBorders>
              <w:top w:val="nil"/>
              <w:left w:val="nil"/>
              <w:bottom w:val="single" w:color="auto" w:sz="4" w:space="0"/>
              <w:right w:val="single" w:color="auto" w:sz="4" w:space="0"/>
            </w:tcBorders>
            <w:shd w:val="clear" w:color="000000" w:fill="FFFFFF"/>
            <w:noWrap/>
            <w:vAlign w:val="center"/>
          </w:tcPr>
          <w:p w14:paraId="282901CD">
            <w:pPr>
              <w:jc w:val="center"/>
              <w:rPr>
                <w:sz w:val="22"/>
                <w:szCs w:val="22"/>
              </w:rPr>
            </w:pPr>
            <w:r>
              <w:rPr>
                <w:sz w:val="22"/>
                <w:szCs w:val="22"/>
              </w:rPr>
              <w:t>三航翔安</w:t>
            </w:r>
          </w:p>
        </w:tc>
        <w:tc>
          <w:tcPr>
            <w:tcW w:w="2740" w:type="dxa"/>
            <w:tcBorders>
              <w:top w:val="nil"/>
              <w:left w:val="nil"/>
              <w:bottom w:val="single" w:color="auto" w:sz="4" w:space="0"/>
              <w:right w:val="single" w:color="auto" w:sz="4" w:space="0"/>
            </w:tcBorders>
            <w:noWrap/>
            <w:vAlign w:val="center"/>
          </w:tcPr>
          <w:p w14:paraId="4836D5E9">
            <w:pPr>
              <w:jc w:val="center"/>
              <w:rPr>
                <w:sz w:val="22"/>
                <w:szCs w:val="22"/>
              </w:rPr>
            </w:pPr>
            <w:r>
              <w:rPr>
                <w:sz w:val="22"/>
                <w:szCs w:val="22"/>
              </w:rPr>
              <w:t>单臂架变幅式、自航、DP1</w:t>
            </w:r>
          </w:p>
        </w:tc>
        <w:tc>
          <w:tcPr>
            <w:tcW w:w="1480" w:type="dxa"/>
            <w:tcBorders>
              <w:top w:val="nil"/>
              <w:left w:val="nil"/>
              <w:bottom w:val="single" w:color="auto" w:sz="4" w:space="0"/>
              <w:right w:val="single" w:color="auto" w:sz="4" w:space="0"/>
            </w:tcBorders>
            <w:shd w:val="clear" w:color="000000" w:fill="FFFFFF"/>
            <w:vAlign w:val="center"/>
          </w:tcPr>
          <w:p w14:paraId="7AB92D93">
            <w:pPr>
              <w:jc w:val="center"/>
              <w:rPr>
                <w:sz w:val="22"/>
                <w:szCs w:val="22"/>
              </w:rPr>
            </w:pPr>
            <w:r>
              <w:rPr>
                <w:sz w:val="22"/>
                <w:szCs w:val="22"/>
              </w:rPr>
              <w:t>5000</w:t>
            </w:r>
          </w:p>
        </w:tc>
        <w:tc>
          <w:tcPr>
            <w:tcW w:w="900" w:type="dxa"/>
            <w:tcBorders>
              <w:top w:val="nil"/>
              <w:left w:val="nil"/>
              <w:bottom w:val="single" w:color="auto" w:sz="4" w:space="0"/>
              <w:right w:val="single" w:color="auto" w:sz="4" w:space="0"/>
            </w:tcBorders>
            <w:shd w:val="clear" w:color="000000" w:fill="FFFFFF"/>
            <w:noWrap/>
            <w:vAlign w:val="center"/>
          </w:tcPr>
          <w:p w14:paraId="2D1649C1">
            <w:pPr>
              <w:jc w:val="center"/>
              <w:rPr>
                <w:sz w:val="22"/>
                <w:szCs w:val="22"/>
              </w:rPr>
            </w:pPr>
            <w:r>
              <w:rPr>
                <w:sz w:val="22"/>
                <w:szCs w:val="22"/>
              </w:rPr>
              <w:t>178</w:t>
            </w:r>
          </w:p>
        </w:tc>
        <w:tc>
          <w:tcPr>
            <w:tcW w:w="820" w:type="dxa"/>
            <w:tcBorders>
              <w:top w:val="nil"/>
              <w:left w:val="nil"/>
              <w:bottom w:val="single" w:color="auto" w:sz="4" w:space="0"/>
              <w:right w:val="single" w:color="auto" w:sz="4" w:space="0"/>
            </w:tcBorders>
            <w:shd w:val="clear" w:color="000000" w:fill="FFFFFF"/>
            <w:noWrap/>
            <w:vAlign w:val="center"/>
          </w:tcPr>
          <w:p w14:paraId="4B183393">
            <w:pPr>
              <w:jc w:val="center"/>
              <w:rPr>
                <w:sz w:val="22"/>
                <w:szCs w:val="22"/>
              </w:rPr>
            </w:pPr>
            <w:r>
              <w:rPr>
                <w:sz w:val="22"/>
                <w:szCs w:val="22"/>
              </w:rPr>
              <w:t>48</w:t>
            </w:r>
          </w:p>
        </w:tc>
        <w:tc>
          <w:tcPr>
            <w:tcW w:w="820" w:type="dxa"/>
            <w:tcBorders>
              <w:top w:val="nil"/>
              <w:left w:val="nil"/>
              <w:bottom w:val="single" w:color="auto" w:sz="4" w:space="0"/>
              <w:right w:val="single" w:color="auto" w:sz="4" w:space="0"/>
            </w:tcBorders>
            <w:shd w:val="clear" w:color="000000" w:fill="FFFFFF"/>
            <w:noWrap/>
            <w:vAlign w:val="center"/>
          </w:tcPr>
          <w:p w14:paraId="7A7F6CA9">
            <w:pPr>
              <w:jc w:val="center"/>
              <w:rPr>
                <w:sz w:val="22"/>
                <w:szCs w:val="22"/>
              </w:rPr>
            </w:pPr>
            <w:r>
              <w:rPr>
                <w:sz w:val="22"/>
                <w:szCs w:val="22"/>
              </w:rPr>
              <w:t>13.5</w:t>
            </w:r>
          </w:p>
        </w:tc>
        <w:tc>
          <w:tcPr>
            <w:tcW w:w="1400" w:type="dxa"/>
            <w:tcBorders>
              <w:top w:val="nil"/>
              <w:left w:val="nil"/>
              <w:bottom w:val="single" w:color="auto" w:sz="4" w:space="0"/>
              <w:right w:val="single" w:color="auto" w:sz="4" w:space="0"/>
            </w:tcBorders>
            <w:shd w:val="clear" w:color="000000" w:fill="FFFFFF"/>
            <w:noWrap/>
            <w:vAlign w:val="center"/>
          </w:tcPr>
          <w:p w14:paraId="05787C92">
            <w:pPr>
              <w:jc w:val="center"/>
              <w:rPr>
                <w:sz w:val="22"/>
                <w:szCs w:val="22"/>
              </w:rPr>
            </w:pPr>
            <w:r>
              <w:rPr>
                <w:sz w:val="22"/>
                <w:szCs w:val="22"/>
              </w:rPr>
              <w:t>9</w:t>
            </w:r>
          </w:p>
        </w:tc>
        <w:tc>
          <w:tcPr>
            <w:tcW w:w="1240" w:type="dxa"/>
            <w:tcBorders>
              <w:top w:val="nil"/>
              <w:left w:val="nil"/>
              <w:bottom w:val="single" w:color="auto" w:sz="4" w:space="0"/>
              <w:right w:val="single" w:color="auto" w:sz="4" w:space="0"/>
            </w:tcBorders>
            <w:shd w:val="clear" w:color="000000" w:fill="FFFFFF"/>
            <w:noWrap/>
            <w:vAlign w:val="center"/>
          </w:tcPr>
          <w:p w14:paraId="7A4F932D">
            <w:pPr>
              <w:jc w:val="center"/>
              <w:rPr>
                <w:sz w:val="22"/>
                <w:szCs w:val="22"/>
              </w:rPr>
            </w:pPr>
            <w:r>
              <w:rPr>
                <w:sz w:val="22"/>
                <w:szCs w:val="22"/>
              </w:rPr>
              <w:t>133</w:t>
            </w:r>
          </w:p>
        </w:tc>
      </w:tr>
      <w:tr w14:paraId="3D978808">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516167FA">
            <w:pPr>
              <w:jc w:val="center"/>
              <w:rPr>
                <w:b/>
                <w:bCs/>
                <w:sz w:val="22"/>
                <w:szCs w:val="22"/>
              </w:rPr>
            </w:pPr>
            <w:r>
              <w:rPr>
                <w:b/>
                <w:bCs/>
                <w:sz w:val="22"/>
                <w:szCs w:val="22"/>
              </w:rPr>
              <w:t>19</w:t>
            </w:r>
          </w:p>
        </w:tc>
        <w:tc>
          <w:tcPr>
            <w:tcW w:w="1540" w:type="dxa"/>
            <w:tcBorders>
              <w:top w:val="nil"/>
              <w:left w:val="nil"/>
              <w:bottom w:val="single" w:color="auto" w:sz="4" w:space="0"/>
              <w:right w:val="single" w:color="auto" w:sz="4" w:space="0"/>
            </w:tcBorders>
            <w:shd w:val="clear" w:color="000000" w:fill="FFFFFF"/>
            <w:vAlign w:val="center"/>
          </w:tcPr>
          <w:p w14:paraId="20DEBA17">
            <w:pPr>
              <w:jc w:val="center"/>
              <w:rPr>
                <w:sz w:val="22"/>
                <w:szCs w:val="22"/>
              </w:rPr>
            </w:pPr>
            <w:r>
              <w:rPr>
                <w:sz w:val="22"/>
                <w:szCs w:val="22"/>
              </w:rPr>
              <w:t>华电中集01</w:t>
            </w:r>
          </w:p>
        </w:tc>
        <w:tc>
          <w:tcPr>
            <w:tcW w:w="2740" w:type="dxa"/>
            <w:tcBorders>
              <w:top w:val="nil"/>
              <w:left w:val="nil"/>
              <w:bottom w:val="single" w:color="auto" w:sz="4" w:space="0"/>
              <w:right w:val="single" w:color="auto" w:sz="4" w:space="0"/>
            </w:tcBorders>
            <w:shd w:val="clear" w:color="000000" w:fill="FFFFFF"/>
            <w:vAlign w:val="center"/>
          </w:tcPr>
          <w:p w14:paraId="1B95B6C9">
            <w:pPr>
              <w:jc w:val="center"/>
              <w:rPr>
                <w:sz w:val="22"/>
                <w:szCs w:val="22"/>
              </w:rPr>
            </w:pPr>
            <w:r>
              <w:rPr>
                <w:sz w:val="22"/>
                <w:szCs w:val="22"/>
              </w:rPr>
              <w:t>半潜起重平台、自航、DP3</w:t>
            </w:r>
          </w:p>
        </w:tc>
        <w:tc>
          <w:tcPr>
            <w:tcW w:w="1480" w:type="dxa"/>
            <w:tcBorders>
              <w:top w:val="nil"/>
              <w:left w:val="nil"/>
              <w:bottom w:val="single" w:color="auto" w:sz="4" w:space="0"/>
              <w:right w:val="single" w:color="auto" w:sz="4" w:space="0"/>
            </w:tcBorders>
            <w:shd w:val="clear" w:color="000000" w:fill="FFFFFF"/>
            <w:vAlign w:val="center"/>
          </w:tcPr>
          <w:p w14:paraId="5991F9DC">
            <w:pPr>
              <w:jc w:val="center"/>
              <w:rPr>
                <w:sz w:val="22"/>
                <w:szCs w:val="22"/>
              </w:rPr>
            </w:pPr>
            <w:r>
              <w:rPr>
                <w:sz w:val="22"/>
                <w:szCs w:val="22"/>
              </w:rPr>
              <w:t>1800×2</w:t>
            </w:r>
          </w:p>
        </w:tc>
        <w:tc>
          <w:tcPr>
            <w:tcW w:w="900" w:type="dxa"/>
            <w:tcBorders>
              <w:top w:val="nil"/>
              <w:left w:val="nil"/>
              <w:bottom w:val="single" w:color="auto" w:sz="4" w:space="0"/>
              <w:right w:val="single" w:color="auto" w:sz="4" w:space="0"/>
            </w:tcBorders>
            <w:shd w:val="clear" w:color="000000" w:fill="FFFFFF"/>
            <w:noWrap/>
            <w:vAlign w:val="center"/>
          </w:tcPr>
          <w:p w14:paraId="502B59A4">
            <w:pPr>
              <w:jc w:val="center"/>
              <w:rPr>
                <w:sz w:val="22"/>
                <w:szCs w:val="22"/>
              </w:rPr>
            </w:pPr>
            <w:r>
              <w:rPr>
                <w:sz w:val="22"/>
                <w:szCs w:val="22"/>
              </w:rPr>
              <w:t>137.75</w:t>
            </w:r>
          </w:p>
        </w:tc>
        <w:tc>
          <w:tcPr>
            <w:tcW w:w="820" w:type="dxa"/>
            <w:tcBorders>
              <w:top w:val="nil"/>
              <w:left w:val="nil"/>
              <w:bottom w:val="single" w:color="auto" w:sz="4" w:space="0"/>
              <w:right w:val="single" w:color="auto" w:sz="4" w:space="0"/>
            </w:tcBorders>
            <w:shd w:val="clear" w:color="000000" w:fill="FFFFFF"/>
            <w:noWrap/>
            <w:vAlign w:val="center"/>
          </w:tcPr>
          <w:p w14:paraId="2A1AD7EC">
            <w:pPr>
              <w:jc w:val="center"/>
              <w:rPr>
                <w:sz w:val="22"/>
                <w:szCs w:val="22"/>
              </w:rPr>
            </w:pPr>
            <w:r>
              <w:rPr>
                <w:sz w:val="22"/>
                <w:szCs w:val="22"/>
              </w:rPr>
              <w:t>81</w:t>
            </w:r>
          </w:p>
        </w:tc>
        <w:tc>
          <w:tcPr>
            <w:tcW w:w="820" w:type="dxa"/>
            <w:tcBorders>
              <w:top w:val="nil"/>
              <w:left w:val="nil"/>
              <w:bottom w:val="single" w:color="auto" w:sz="4" w:space="0"/>
              <w:right w:val="single" w:color="auto" w:sz="4" w:space="0"/>
            </w:tcBorders>
            <w:shd w:val="clear" w:color="000000" w:fill="FFFFFF"/>
            <w:noWrap/>
            <w:vAlign w:val="center"/>
          </w:tcPr>
          <w:p w14:paraId="62DA4F6D">
            <w:pPr>
              <w:jc w:val="center"/>
              <w:rPr>
                <w:sz w:val="22"/>
                <w:szCs w:val="22"/>
              </w:rPr>
            </w:pPr>
            <w:r>
              <w:rPr>
                <w:sz w:val="22"/>
                <w:szCs w:val="22"/>
              </w:rPr>
              <w:t>39</w:t>
            </w:r>
          </w:p>
        </w:tc>
        <w:tc>
          <w:tcPr>
            <w:tcW w:w="1400" w:type="dxa"/>
            <w:tcBorders>
              <w:top w:val="nil"/>
              <w:left w:val="nil"/>
              <w:bottom w:val="single" w:color="auto" w:sz="4" w:space="0"/>
              <w:right w:val="single" w:color="auto" w:sz="4" w:space="0"/>
            </w:tcBorders>
            <w:shd w:val="clear" w:color="000000" w:fill="FFFFFF"/>
            <w:vAlign w:val="center"/>
          </w:tcPr>
          <w:p w14:paraId="6C25E881">
            <w:pPr>
              <w:jc w:val="center"/>
              <w:rPr>
                <w:sz w:val="22"/>
                <w:szCs w:val="22"/>
              </w:rPr>
            </w:pPr>
            <w:r>
              <w:rPr>
                <w:sz w:val="22"/>
                <w:szCs w:val="22"/>
              </w:rPr>
              <w:t>26.4</w:t>
            </w:r>
          </w:p>
        </w:tc>
        <w:tc>
          <w:tcPr>
            <w:tcW w:w="1240" w:type="dxa"/>
            <w:tcBorders>
              <w:top w:val="nil"/>
              <w:left w:val="nil"/>
              <w:bottom w:val="single" w:color="auto" w:sz="4" w:space="0"/>
              <w:right w:val="single" w:color="auto" w:sz="4" w:space="0"/>
            </w:tcBorders>
            <w:shd w:val="clear" w:color="000000" w:fill="FFFFFF"/>
            <w:vAlign w:val="center"/>
          </w:tcPr>
          <w:p w14:paraId="055589E3">
            <w:pPr>
              <w:jc w:val="center"/>
              <w:rPr>
                <w:sz w:val="22"/>
                <w:szCs w:val="22"/>
              </w:rPr>
            </w:pPr>
            <w:r>
              <w:rPr>
                <w:sz w:val="22"/>
                <w:szCs w:val="22"/>
              </w:rPr>
              <w:t>100</w:t>
            </w:r>
          </w:p>
        </w:tc>
      </w:tr>
      <w:tr w14:paraId="56356E97">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794A6814">
            <w:pPr>
              <w:jc w:val="center"/>
              <w:rPr>
                <w:b/>
                <w:bCs/>
                <w:sz w:val="22"/>
                <w:szCs w:val="22"/>
              </w:rPr>
            </w:pPr>
            <w:r>
              <w:rPr>
                <w:b/>
                <w:bCs/>
                <w:sz w:val="22"/>
                <w:szCs w:val="22"/>
              </w:rPr>
              <w:t>20</w:t>
            </w:r>
          </w:p>
        </w:tc>
        <w:tc>
          <w:tcPr>
            <w:tcW w:w="1540" w:type="dxa"/>
            <w:tcBorders>
              <w:top w:val="nil"/>
              <w:left w:val="nil"/>
              <w:bottom w:val="single" w:color="auto" w:sz="4" w:space="0"/>
              <w:right w:val="single" w:color="auto" w:sz="4" w:space="0"/>
            </w:tcBorders>
            <w:shd w:val="clear" w:color="000000" w:fill="FFFFFF"/>
            <w:noWrap/>
            <w:vAlign w:val="center"/>
          </w:tcPr>
          <w:p w14:paraId="3687CAEA">
            <w:pPr>
              <w:jc w:val="center"/>
              <w:rPr>
                <w:sz w:val="22"/>
                <w:szCs w:val="22"/>
              </w:rPr>
            </w:pPr>
            <w:r>
              <w:rPr>
                <w:sz w:val="22"/>
                <w:szCs w:val="22"/>
              </w:rPr>
              <w:t>招商海狮3</w:t>
            </w:r>
          </w:p>
        </w:tc>
        <w:tc>
          <w:tcPr>
            <w:tcW w:w="2740" w:type="dxa"/>
            <w:tcBorders>
              <w:top w:val="nil"/>
              <w:left w:val="nil"/>
              <w:bottom w:val="single" w:color="auto" w:sz="4" w:space="0"/>
              <w:right w:val="single" w:color="auto" w:sz="4" w:space="0"/>
            </w:tcBorders>
            <w:shd w:val="clear" w:color="000000" w:fill="FFFFFF"/>
            <w:noWrap/>
            <w:vAlign w:val="center"/>
          </w:tcPr>
          <w:p w14:paraId="12805265">
            <w:pPr>
              <w:jc w:val="center"/>
              <w:rPr>
                <w:sz w:val="22"/>
                <w:szCs w:val="22"/>
              </w:rPr>
            </w:pPr>
            <w:r>
              <w:rPr>
                <w:sz w:val="22"/>
                <w:szCs w:val="22"/>
              </w:rPr>
              <w:t>半潜起重平台、自航、DP3</w:t>
            </w:r>
          </w:p>
        </w:tc>
        <w:tc>
          <w:tcPr>
            <w:tcW w:w="1480" w:type="dxa"/>
            <w:tcBorders>
              <w:top w:val="nil"/>
              <w:left w:val="nil"/>
              <w:bottom w:val="single" w:color="auto" w:sz="4" w:space="0"/>
              <w:right w:val="single" w:color="auto" w:sz="4" w:space="0"/>
            </w:tcBorders>
            <w:shd w:val="clear" w:color="000000" w:fill="FFFFFF"/>
            <w:noWrap/>
            <w:vAlign w:val="center"/>
          </w:tcPr>
          <w:p w14:paraId="5FE5A8EF">
            <w:pPr>
              <w:jc w:val="center"/>
              <w:rPr>
                <w:sz w:val="22"/>
                <w:szCs w:val="22"/>
              </w:rPr>
            </w:pPr>
            <w:r>
              <w:rPr>
                <w:sz w:val="22"/>
                <w:szCs w:val="22"/>
              </w:rPr>
              <w:t>2200×2</w:t>
            </w:r>
          </w:p>
        </w:tc>
        <w:tc>
          <w:tcPr>
            <w:tcW w:w="900" w:type="dxa"/>
            <w:tcBorders>
              <w:top w:val="nil"/>
              <w:left w:val="nil"/>
              <w:bottom w:val="single" w:color="auto" w:sz="4" w:space="0"/>
              <w:right w:val="single" w:color="auto" w:sz="4" w:space="0"/>
            </w:tcBorders>
            <w:shd w:val="clear" w:color="000000" w:fill="FFFFFF"/>
            <w:noWrap/>
            <w:vAlign w:val="center"/>
          </w:tcPr>
          <w:p w14:paraId="088EB42A">
            <w:pPr>
              <w:jc w:val="center"/>
              <w:rPr>
                <w:sz w:val="22"/>
                <w:szCs w:val="22"/>
              </w:rPr>
            </w:pPr>
            <w:r>
              <w:rPr>
                <w:sz w:val="22"/>
                <w:szCs w:val="22"/>
              </w:rPr>
              <w:t>137.75</w:t>
            </w:r>
          </w:p>
        </w:tc>
        <w:tc>
          <w:tcPr>
            <w:tcW w:w="820" w:type="dxa"/>
            <w:tcBorders>
              <w:top w:val="nil"/>
              <w:left w:val="nil"/>
              <w:bottom w:val="single" w:color="auto" w:sz="4" w:space="0"/>
              <w:right w:val="single" w:color="auto" w:sz="4" w:space="0"/>
            </w:tcBorders>
            <w:shd w:val="clear" w:color="000000" w:fill="FFFFFF"/>
            <w:noWrap/>
            <w:vAlign w:val="center"/>
          </w:tcPr>
          <w:p w14:paraId="65A272D7">
            <w:pPr>
              <w:jc w:val="center"/>
              <w:rPr>
                <w:sz w:val="22"/>
                <w:szCs w:val="22"/>
              </w:rPr>
            </w:pPr>
            <w:r>
              <w:rPr>
                <w:sz w:val="22"/>
                <w:szCs w:val="22"/>
              </w:rPr>
              <w:t>81</w:t>
            </w:r>
          </w:p>
        </w:tc>
        <w:tc>
          <w:tcPr>
            <w:tcW w:w="820" w:type="dxa"/>
            <w:tcBorders>
              <w:top w:val="nil"/>
              <w:left w:val="nil"/>
              <w:bottom w:val="single" w:color="auto" w:sz="4" w:space="0"/>
              <w:right w:val="single" w:color="auto" w:sz="4" w:space="0"/>
            </w:tcBorders>
            <w:shd w:val="clear" w:color="000000" w:fill="FFFFFF"/>
            <w:noWrap/>
            <w:vAlign w:val="center"/>
          </w:tcPr>
          <w:p w14:paraId="241C9C2A">
            <w:pPr>
              <w:jc w:val="center"/>
              <w:rPr>
                <w:sz w:val="22"/>
                <w:szCs w:val="22"/>
              </w:rPr>
            </w:pPr>
            <w:r>
              <w:rPr>
                <w:sz w:val="22"/>
                <w:szCs w:val="22"/>
              </w:rPr>
              <w:t>42.8</w:t>
            </w:r>
          </w:p>
        </w:tc>
        <w:tc>
          <w:tcPr>
            <w:tcW w:w="1400" w:type="dxa"/>
            <w:tcBorders>
              <w:top w:val="nil"/>
              <w:left w:val="nil"/>
              <w:bottom w:val="single" w:color="auto" w:sz="4" w:space="0"/>
              <w:right w:val="single" w:color="auto" w:sz="4" w:space="0"/>
            </w:tcBorders>
            <w:shd w:val="clear" w:color="000000" w:fill="FFFFFF"/>
            <w:noWrap/>
            <w:vAlign w:val="center"/>
          </w:tcPr>
          <w:p w14:paraId="789FCCF9">
            <w:pPr>
              <w:jc w:val="center"/>
              <w:rPr>
                <w:sz w:val="22"/>
                <w:szCs w:val="22"/>
              </w:rPr>
            </w:pPr>
            <w:r>
              <w:rPr>
                <w:sz w:val="22"/>
                <w:szCs w:val="22"/>
              </w:rPr>
              <w:t>26.4</w:t>
            </w:r>
          </w:p>
        </w:tc>
        <w:tc>
          <w:tcPr>
            <w:tcW w:w="1240" w:type="dxa"/>
            <w:tcBorders>
              <w:top w:val="nil"/>
              <w:left w:val="nil"/>
              <w:bottom w:val="single" w:color="auto" w:sz="4" w:space="0"/>
              <w:right w:val="single" w:color="auto" w:sz="4" w:space="0"/>
            </w:tcBorders>
            <w:shd w:val="clear" w:color="000000" w:fill="FFFFFF"/>
            <w:noWrap/>
            <w:vAlign w:val="center"/>
          </w:tcPr>
          <w:p w14:paraId="258764DE">
            <w:pPr>
              <w:jc w:val="center"/>
              <w:rPr>
                <w:sz w:val="22"/>
                <w:szCs w:val="22"/>
              </w:rPr>
            </w:pPr>
            <w:r>
              <w:rPr>
                <w:sz w:val="22"/>
                <w:szCs w:val="22"/>
              </w:rPr>
              <w:t>101</w:t>
            </w:r>
          </w:p>
        </w:tc>
      </w:tr>
    </w:tbl>
    <w:p w14:paraId="069CC886">
      <w:pPr>
        <w:ind w:firstLine="420" w:firstLineChars="200"/>
      </w:pPr>
    </w:p>
    <w:p w14:paraId="12D722A1">
      <w:pPr>
        <w:spacing w:line="360" w:lineRule="auto"/>
        <w:ind w:left="360"/>
      </w:pPr>
      <w:r>
        <w:rPr>
          <w:rFonts w:hint="eastAsia"/>
        </w:rPr>
        <w:t>2无DP起重船</w:t>
      </w:r>
    </w:p>
    <w:tbl>
      <w:tblPr>
        <w:tblStyle w:val="14"/>
        <w:tblW w:w="11800" w:type="dxa"/>
        <w:jc w:val="center"/>
        <w:tblLayout w:type="autofit"/>
        <w:tblCellMar>
          <w:top w:w="0" w:type="dxa"/>
          <w:left w:w="108" w:type="dxa"/>
          <w:bottom w:w="0" w:type="dxa"/>
          <w:right w:w="108" w:type="dxa"/>
        </w:tblCellMar>
      </w:tblPr>
      <w:tblGrid>
        <w:gridCol w:w="860"/>
        <w:gridCol w:w="1540"/>
        <w:gridCol w:w="2740"/>
        <w:gridCol w:w="1446"/>
        <w:gridCol w:w="900"/>
        <w:gridCol w:w="837"/>
        <w:gridCol w:w="837"/>
        <w:gridCol w:w="1400"/>
        <w:gridCol w:w="1240"/>
      </w:tblGrid>
      <w:tr w14:paraId="3A314882">
        <w:tblPrEx>
          <w:tblCellMar>
            <w:top w:w="0" w:type="dxa"/>
            <w:left w:w="108" w:type="dxa"/>
            <w:bottom w:w="0" w:type="dxa"/>
            <w:right w:w="108" w:type="dxa"/>
          </w:tblCellMar>
        </w:tblPrEx>
        <w:trPr>
          <w:trHeight w:val="585" w:hRule="atLeast"/>
          <w:jc w:val="center"/>
        </w:trPr>
        <w:tc>
          <w:tcPr>
            <w:tcW w:w="860"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DCD847D">
            <w:pPr>
              <w:jc w:val="center"/>
              <w:rPr>
                <w:b/>
                <w:bCs/>
                <w:sz w:val="22"/>
                <w:szCs w:val="22"/>
              </w:rPr>
            </w:pPr>
            <w:r>
              <w:rPr>
                <w:rFonts w:hint="eastAsia"/>
                <w:b/>
                <w:bCs/>
                <w:sz w:val="22"/>
                <w:szCs w:val="22"/>
              </w:rPr>
              <w:t>序号</w:t>
            </w:r>
          </w:p>
        </w:tc>
        <w:tc>
          <w:tcPr>
            <w:tcW w:w="1540" w:type="dxa"/>
            <w:tcBorders>
              <w:top w:val="single" w:color="auto" w:sz="4" w:space="0"/>
              <w:left w:val="nil"/>
              <w:bottom w:val="single" w:color="auto" w:sz="4" w:space="0"/>
              <w:right w:val="single" w:color="auto" w:sz="4" w:space="0"/>
            </w:tcBorders>
            <w:shd w:val="clear" w:color="000000" w:fill="FFFFFF"/>
            <w:noWrap/>
            <w:vAlign w:val="center"/>
          </w:tcPr>
          <w:p w14:paraId="0060A068">
            <w:pPr>
              <w:jc w:val="center"/>
              <w:rPr>
                <w:rFonts w:hint="eastAsia"/>
                <w:b/>
                <w:bCs/>
                <w:sz w:val="22"/>
                <w:szCs w:val="22"/>
              </w:rPr>
            </w:pPr>
            <w:r>
              <w:rPr>
                <w:rFonts w:hint="eastAsia"/>
                <w:b/>
                <w:bCs/>
                <w:sz w:val="22"/>
                <w:szCs w:val="22"/>
              </w:rPr>
              <w:t>船 名</w:t>
            </w:r>
          </w:p>
        </w:tc>
        <w:tc>
          <w:tcPr>
            <w:tcW w:w="2740" w:type="dxa"/>
            <w:tcBorders>
              <w:top w:val="single" w:color="auto" w:sz="4" w:space="0"/>
              <w:left w:val="nil"/>
              <w:bottom w:val="single" w:color="auto" w:sz="4" w:space="0"/>
              <w:right w:val="single" w:color="auto" w:sz="4" w:space="0"/>
            </w:tcBorders>
            <w:shd w:val="clear" w:color="000000" w:fill="FFFFFF"/>
            <w:noWrap/>
            <w:vAlign w:val="center"/>
          </w:tcPr>
          <w:p w14:paraId="15F665F7">
            <w:pPr>
              <w:jc w:val="center"/>
              <w:rPr>
                <w:rFonts w:hint="eastAsia"/>
                <w:b/>
                <w:bCs/>
                <w:sz w:val="22"/>
                <w:szCs w:val="22"/>
              </w:rPr>
            </w:pPr>
            <w:r>
              <w:rPr>
                <w:rFonts w:hint="eastAsia"/>
                <w:b/>
                <w:bCs/>
                <w:sz w:val="22"/>
                <w:szCs w:val="22"/>
              </w:rPr>
              <w:t>船舶类型</w:t>
            </w:r>
          </w:p>
        </w:tc>
        <w:tc>
          <w:tcPr>
            <w:tcW w:w="1480" w:type="dxa"/>
            <w:tcBorders>
              <w:top w:val="single" w:color="auto" w:sz="4" w:space="0"/>
              <w:left w:val="nil"/>
              <w:bottom w:val="single" w:color="auto" w:sz="4" w:space="0"/>
              <w:right w:val="single" w:color="auto" w:sz="4" w:space="0"/>
            </w:tcBorders>
            <w:shd w:val="clear" w:color="000000" w:fill="FFFFFF"/>
            <w:vAlign w:val="center"/>
          </w:tcPr>
          <w:p w14:paraId="28B26058">
            <w:pPr>
              <w:jc w:val="center"/>
              <w:rPr>
                <w:rFonts w:hint="eastAsia"/>
                <w:b/>
                <w:bCs/>
                <w:sz w:val="22"/>
                <w:szCs w:val="22"/>
              </w:rPr>
            </w:pPr>
            <w:r>
              <w:rPr>
                <w:rFonts w:hint="eastAsia"/>
                <w:b/>
                <w:bCs/>
                <w:sz w:val="22"/>
                <w:szCs w:val="22"/>
              </w:rPr>
              <w:t>起升重量</w:t>
            </w:r>
            <w:r>
              <w:rPr>
                <w:rFonts w:hint="eastAsia"/>
                <w:b/>
                <w:bCs/>
                <w:sz w:val="22"/>
                <w:szCs w:val="22"/>
              </w:rPr>
              <w:br w:type="textWrapping"/>
            </w:r>
            <w:r>
              <w:rPr>
                <w:rFonts w:hint="eastAsia"/>
                <w:b/>
                <w:bCs/>
                <w:sz w:val="22"/>
                <w:szCs w:val="22"/>
              </w:rPr>
              <w:t>（t)</w:t>
            </w:r>
          </w:p>
        </w:tc>
        <w:tc>
          <w:tcPr>
            <w:tcW w:w="900" w:type="dxa"/>
            <w:tcBorders>
              <w:top w:val="single" w:color="auto" w:sz="4" w:space="0"/>
              <w:left w:val="nil"/>
              <w:bottom w:val="single" w:color="auto" w:sz="4" w:space="0"/>
              <w:right w:val="single" w:color="auto" w:sz="4" w:space="0"/>
            </w:tcBorders>
            <w:shd w:val="clear" w:color="000000" w:fill="FFFFFF"/>
            <w:vAlign w:val="center"/>
          </w:tcPr>
          <w:p w14:paraId="5E26C6DF">
            <w:pPr>
              <w:jc w:val="center"/>
              <w:rPr>
                <w:rFonts w:hint="eastAsia"/>
                <w:b/>
                <w:bCs/>
                <w:sz w:val="22"/>
                <w:szCs w:val="22"/>
              </w:rPr>
            </w:pPr>
            <w:r>
              <w:rPr>
                <w:rFonts w:hint="eastAsia"/>
                <w:b/>
                <w:bCs/>
                <w:sz w:val="22"/>
                <w:szCs w:val="22"/>
              </w:rPr>
              <w:t>船长</w:t>
            </w:r>
            <w:r>
              <w:rPr>
                <w:rFonts w:hint="eastAsia"/>
                <w:b/>
                <w:bCs/>
                <w:sz w:val="22"/>
                <w:szCs w:val="22"/>
              </w:rPr>
              <w:br w:type="textWrapping"/>
            </w:r>
            <w:r>
              <w:rPr>
                <w:rFonts w:hint="eastAsia"/>
                <w:b/>
                <w:bCs/>
                <w:sz w:val="22"/>
                <w:szCs w:val="22"/>
              </w:rPr>
              <w:t>（m）</w:t>
            </w:r>
          </w:p>
        </w:tc>
        <w:tc>
          <w:tcPr>
            <w:tcW w:w="820" w:type="dxa"/>
            <w:tcBorders>
              <w:top w:val="single" w:color="auto" w:sz="4" w:space="0"/>
              <w:left w:val="nil"/>
              <w:bottom w:val="single" w:color="auto" w:sz="4" w:space="0"/>
              <w:right w:val="single" w:color="auto" w:sz="4" w:space="0"/>
            </w:tcBorders>
            <w:shd w:val="clear" w:color="000000" w:fill="FFFFFF"/>
            <w:vAlign w:val="center"/>
          </w:tcPr>
          <w:p w14:paraId="10A84031">
            <w:pPr>
              <w:jc w:val="center"/>
              <w:rPr>
                <w:rFonts w:hint="eastAsia"/>
                <w:b/>
                <w:bCs/>
                <w:sz w:val="22"/>
                <w:szCs w:val="22"/>
              </w:rPr>
            </w:pPr>
            <w:r>
              <w:rPr>
                <w:rFonts w:hint="eastAsia"/>
                <w:b/>
                <w:bCs/>
                <w:sz w:val="22"/>
                <w:szCs w:val="22"/>
              </w:rPr>
              <w:t>型宽</w:t>
            </w:r>
            <w:r>
              <w:rPr>
                <w:rFonts w:hint="eastAsia"/>
                <w:b/>
                <w:bCs/>
                <w:sz w:val="22"/>
                <w:szCs w:val="22"/>
              </w:rPr>
              <w:br w:type="textWrapping"/>
            </w:r>
            <w:r>
              <w:rPr>
                <w:rFonts w:hint="eastAsia"/>
                <w:b/>
                <w:bCs/>
                <w:sz w:val="22"/>
                <w:szCs w:val="22"/>
              </w:rPr>
              <w:t>（m）</w:t>
            </w:r>
          </w:p>
        </w:tc>
        <w:tc>
          <w:tcPr>
            <w:tcW w:w="820" w:type="dxa"/>
            <w:tcBorders>
              <w:top w:val="single" w:color="auto" w:sz="4" w:space="0"/>
              <w:left w:val="nil"/>
              <w:bottom w:val="single" w:color="auto" w:sz="4" w:space="0"/>
              <w:right w:val="single" w:color="auto" w:sz="4" w:space="0"/>
            </w:tcBorders>
            <w:shd w:val="clear" w:color="000000" w:fill="FFFFFF"/>
            <w:vAlign w:val="center"/>
          </w:tcPr>
          <w:p w14:paraId="21B34FD9">
            <w:pPr>
              <w:jc w:val="center"/>
              <w:rPr>
                <w:rFonts w:hint="eastAsia"/>
                <w:b/>
                <w:bCs/>
                <w:sz w:val="22"/>
                <w:szCs w:val="22"/>
              </w:rPr>
            </w:pPr>
            <w:r>
              <w:rPr>
                <w:rFonts w:hint="eastAsia"/>
                <w:b/>
                <w:bCs/>
                <w:sz w:val="22"/>
                <w:szCs w:val="22"/>
              </w:rPr>
              <w:t>型深</w:t>
            </w:r>
            <w:r>
              <w:rPr>
                <w:rFonts w:hint="eastAsia"/>
                <w:b/>
                <w:bCs/>
                <w:sz w:val="22"/>
                <w:szCs w:val="22"/>
              </w:rPr>
              <w:br w:type="textWrapping"/>
            </w:r>
            <w:r>
              <w:rPr>
                <w:rFonts w:hint="eastAsia"/>
                <w:b/>
                <w:bCs/>
                <w:sz w:val="22"/>
                <w:szCs w:val="22"/>
              </w:rPr>
              <w:t>（m）</w:t>
            </w:r>
          </w:p>
        </w:tc>
        <w:tc>
          <w:tcPr>
            <w:tcW w:w="1400" w:type="dxa"/>
            <w:tcBorders>
              <w:top w:val="single" w:color="auto" w:sz="4" w:space="0"/>
              <w:left w:val="nil"/>
              <w:bottom w:val="single" w:color="auto" w:sz="4" w:space="0"/>
              <w:right w:val="single" w:color="auto" w:sz="4" w:space="0"/>
            </w:tcBorders>
            <w:shd w:val="clear" w:color="000000" w:fill="FFFFFF"/>
            <w:vAlign w:val="center"/>
          </w:tcPr>
          <w:p w14:paraId="770B0C93">
            <w:pPr>
              <w:jc w:val="center"/>
              <w:rPr>
                <w:rFonts w:hint="eastAsia"/>
                <w:b/>
                <w:bCs/>
                <w:sz w:val="22"/>
                <w:szCs w:val="22"/>
              </w:rPr>
            </w:pPr>
            <w:r>
              <w:rPr>
                <w:rFonts w:hint="eastAsia"/>
                <w:b/>
                <w:bCs/>
                <w:sz w:val="22"/>
                <w:szCs w:val="22"/>
              </w:rPr>
              <w:t>设计/满载</w:t>
            </w:r>
            <w:r>
              <w:rPr>
                <w:rFonts w:hint="eastAsia"/>
                <w:b/>
                <w:bCs/>
                <w:sz w:val="22"/>
                <w:szCs w:val="22"/>
              </w:rPr>
              <w:br w:type="textWrapping"/>
            </w:r>
            <w:r>
              <w:rPr>
                <w:rFonts w:hint="eastAsia"/>
                <w:b/>
                <w:bCs/>
                <w:sz w:val="22"/>
                <w:szCs w:val="22"/>
              </w:rPr>
              <w:t>吃水（m）</w:t>
            </w:r>
          </w:p>
        </w:tc>
        <w:tc>
          <w:tcPr>
            <w:tcW w:w="1240" w:type="dxa"/>
            <w:tcBorders>
              <w:top w:val="single" w:color="auto" w:sz="4" w:space="0"/>
              <w:left w:val="nil"/>
              <w:bottom w:val="single" w:color="auto" w:sz="4" w:space="0"/>
              <w:right w:val="single" w:color="auto" w:sz="4" w:space="0"/>
            </w:tcBorders>
            <w:shd w:val="clear" w:color="000000" w:fill="FFFFFF"/>
            <w:vAlign w:val="center"/>
          </w:tcPr>
          <w:p w14:paraId="7DEE4DF2">
            <w:pPr>
              <w:jc w:val="center"/>
              <w:rPr>
                <w:rFonts w:hint="eastAsia"/>
                <w:b/>
                <w:bCs/>
                <w:sz w:val="22"/>
                <w:szCs w:val="22"/>
              </w:rPr>
            </w:pPr>
            <w:r>
              <w:rPr>
                <w:rFonts w:hint="eastAsia"/>
                <w:b/>
                <w:bCs/>
                <w:sz w:val="22"/>
                <w:szCs w:val="22"/>
              </w:rPr>
              <w:t>起升高度（m）</w:t>
            </w:r>
          </w:p>
        </w:tc>
      </w:tr>
      <w:tr w14:paraId="1E017B8D">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0FB765FE">
            <w:pPr>
              <w:jc w:val="center"/>
              <w:rPr>
                <w:rFonts w:hint="eastAsia"/>
                <w:b/>
                <w:bCs/>
                <w:sz w:val="22"/>
                <w:szCs w:val="22"/>
              </w:rPr>
            </w:pPr>
            <w:r>
              <w:rPr>
                <w:rFonts w:hint="eastAsia"/>
                <w:b/>
                <w:bCs/>
                <w:sz w:val="22"/>
                <w:szCs w:val="22"/>
              </w:rPr>
              <w:t>1</w:t>
            </w:r>
          </w:p>
        </w:tc>
        <w:tc>
          <w:tcPr>
            <w:tcW w:w="1540" w:type="dxa"/>
            <w:tcBorders>
              <w:top w:val="nil"/>
              <w:left w:val="nil"/>
              <w:bottom w:val="single" w:color="auto" w:sz="4" w:space="0"/>
              <w:right w:val="single" w:color="auto" w:sz="4" w:space="0"/>
            </w:tcBorders>
            <w:shd w:val="clear" w:color="000000" w:fill="FFFFFF"/>
            <w:noWrap/>
            <w:vAlign w:val="center"/>
          </w:tcPr>
          <w:p w14:paraId="09D06EAF">
            <w:pPr>
              <w:jc w:val="center"/>
              <w:rPr>
                <w:rFonts w:hint="eastAsia"/>
                <w:sz w:val="22"/>
                <w:szCs w:val="22"/>
              </w:rPr>
            </w:pPr>
            <w:r>
              <w:rPr>
                <w:rFonts w:hint="eastAsia"/>
                <w:sz w:val="22"/>
                <w:szCs w:val="22"/>
              </w:rPr>
              <w:t>浩博海工</w:t>
            </w:r>
          </w:p>
        </w:tc>
        <w:tc>
          <w:tcPr>
            <w:tcW w:w="2740" w:type="dxa"/>
            <w:tcBorders>
              <w:top w:val="nil"/>
              <w:left w:val="nil"/>
              <w:bottom w:val="single" w:color="auto" w:sz="4" w:space="0"/>
              <w:right w:val="single" w:color="auto" w:sz="4" w:space="0"/>
            </w:tcBorders>
            <w:shd w:val="clear" w:color="000000" w:fill="FFFFFF"/>
            <w:noWrap/>
            <w:vAlign w:val="center"/>
          </w:tcPr>
          <w:p w14:paraId="1C32E5E6">
            <w:pPr>
              <w:jc w:val="center"/>
              <w:rPr>
                <w:rFonts w:hint="eastAsia"/>
                <w:sz w:val="22"/>
                <w:szCs w:val="22"/>
              </w:rPr>
            </w:pPr>
            <w:r>
              <w:rPr>
                <w:rFonts w:hint="eastAsia"/>
                <w:sz w:val="22"/>
                <w:szCs w:val="22"/>
              </w:rPr>
              <w:t>全回转，非自航</w:t>
            </w:r>
          </w:p>
        </w:tc>
        <w:tc>
          <w:tcPr>
            <w:tcW w:w="1480" w:type="dxa"/>
            <w:tcBorders>
              <w:top w:val="nil"/>
              <w:left w:val="nil"/>
              <w:bottom w:val="single" w:color="auto" w:sz="4" w:space="0"/>
              <w:right w:val="single" w:color="auto" w:sz="4" w:space="0"/>
            </w:tcBorders>
            <w:shd w:val="clear" w:color="000000" w:fill="FFFFFF"/>
            <w:vAlign w:val="center"/>
          </w:tcPr>
          <w:p w14:paraId="67AA767A">
            <w:pPr>
              <w:jc w:val="center"/>
              <w:rPr>
                <w:rFonts w:hint="eastAsia"/>
                <w:sz w:val="22"/>
                <w:szCs w:val="22"/>
              </w:rPr>
            </w:pPr>
            <w:r>
              <w:rPr>
                <w:rFonts w:hint="eastAsia"/>
                <w:sz w:val="22"/>
                <w:szCs w:val="22"/>
              </w:rPr>
              <w:t>固定吊4000</w:t>
            </w:r>
            <w:r>
              <w:rPr>
                <w:rFonts w:hint="eastAsia"/>
                <w:sz w:val="22"/>
                <w:szCs w:val="22"/>
              </w:rPr>
              <w:br w:type="textWrapping"/>
            </w:r>
            <w:r>
              <w:rPr>
                <w:rFonts w:hint="eastAsia"/>
                <w:sz w:val="22"/>
                <w:szCs w:val="22"/>
              </w:rPr>
              <w:t>全回转2800</w:t>
            </w:r>
          </w:p>
        </w:tc>
        <w:tc>
          <w:tcPr>
            <w:tcW w:w="900" w:type="dxa"/>
            <w:tcBorders>
              <w:top w:val="nil"/>
              <w:left w:val="nil"/>
              <w:bottom w:val="single" w:color="auto" w:sz="4" w:space="0"/>
              <w:right w:val="single" w:color="auto" w:sz="4" w:space="0"/>
            </w:tcBorders>
            <w:shd w:val="clear" w:color="000000" w:fill="FFFFFF"/>
            <w:noWrap/>
            <w:vAlign w:val="center"/>
          </w:tcPr>
          <w:p w14:paraId="119022EE">
            <w:pPr>
              <w:jc w:val="center"/>
              <w:rPr>
                <w:rFonts w:hint="eastAsia"/>
                <w:sz w:val="22"/>
                <w:szCs w:val="22"/>
              </w:rPr>
            </w:pPr>
            <w:r>
              <w:rPr>
                <w:rFonts w:hint="eastAsia"/>
                <w:sz w:val="22"/>
                <w:szCs w:val="22"/>
              </w:rPr>
              <w:t>194.29</w:t>
            </w:r>
          </w:p>
        </w:tc>
        <w:tc>
          <w:tcPr>
            <w:tcW w:w="820" w:type="dxa"/>
            <w:tcBorders>
              <w:top w:val="nil"/>
              <w:left w:val="nil"/>
              <w:bottom w:val="single" w:color="auto" w:sz="4" w:space="0"/>
              <w:right w:val="single" w:color="auto" w:sz="4" w:space="0"/>
            </w:tcBorders>
            <w:shd w:val="clear" w:color="000000" w:fill="FFFFFF"/>
            <w:noWrap/>
            <w:vAlign w:val="center"/>
          </w:tcPr>
          <w:p w14:paraId="6198BA8F">
            <w:pPr>
              <w:jc w:val="center"/>
              <w:rPr>
                <w:rFonts w:hint="eastAsia"/>
                <w:sz w:val="22"/>
                <w:szCs w:val="22"/>
              </w:rPr>
            </w:pPr>
            <w:r>
              <w:rPr>
                <w:rFonts w:hint="eastAsia"/>
                <w:sz w:val="22"/>
                <w:szCs w:val="22"/>
              </w:rPr>
              <w:t>52</w:t>
            </w:r>
          </w:p>
        </w:tc>
        <w:tc>
          <w:tcPr>
            <w:tcW w:w="820" w:type="dxa"/>
            <w:tcBorders>
              <w:top w:val="nil"/>
              <w:left w:val="nil"/>
              <w:bottom w:val="single" w:color="auto" w:sz="4" w:space="0"/>
              <w:right w:val="single" w:color="auto" w:sz="4" w:space="0"/>
            </w:tcBorders>
            <w:shd w:val="clear" w:color="000000" w:fill="FFFFFF"/>
            <w:noWrap/>
            <w:vAlign w:val="center"/>
          </w:tcPr>
          <w:p w14:paraId="3B39DF55">
            <w:pPr>
              <w:jc w:val="center"/>
              <w:rPr>
                <w:rFonts w:hint="eastAsia"/>
                <w:sz w:val="22"/>
                <w:szCs w:val="22"/>
              </w:rPr>
            </w:pPr>
            <w:r>
              <w:rPr>
                <w:rFonts w:hint="eastAsia"/>
                <w:sz w:val="22"/>
                <w:szCs w:val="22"/>
              </w:rPr>
              <w:t>12.15</w:t>
            </w:r>
          </w:p>
        </w:tc>
        <w:tc>
          <w:tcPr>
            <w:tcW w:w="1400" w:type="dxa"/>
            <w:tcBorders>
              <w:top w:val="nil"/>
              <w:left w:val="nil"/>
              <w:bottom w:val="single" w:color="auto" w:sz="4" w:space="0"/>
              <w:right w:val="single" w:color="auto" w:sz="4" w:space="0"/>
            </w:tcBorders>
            <w:shd w:val="clear" w:color="000000" w:fill="FFFFFF"/>
            <w:noWrap/>
            <w:vAlign w:val="center"/>
          </w:tcPr>
          <w:p w14:paraId="3639A27C">
            <w:pPr>
              <w:jc w:val="center"/>
              <w:rPr>
                <w:rFonts w:hint="eastAsia"/>
                <w:sz w:val="22"/>
                <w:szCs w:val="22"/>
              </w:rPr>
            </w:pPr>
            <w:r>
              <w:rPr>
                <w:rFonts w:hint="eastAsia"/>
                <w:sz w:val="22"/>
                <w:szCs w:val="22"/>
              </w:rPr>
              <w:t>5.6</w:t>
            </w:r>
          </w:p>
        </w:tc>
        <w:tc>
          <w:tcPr>
            <w:tcW w:w="1240" w:type="dxa"/>
            <w:tcBorders>
              <w:top w:val="nil"/>
              <w:left w:val="nil"/>
              <w:bottom w:val="single" w:color="auto" w:sz="4" w:space="0"/>
              <w:right w:val="single" w:color="auto" w:sz="4" w:space="0"/>
            </w:tcBorders>
            <w:shd w:val="clear" w:color="000000" w:fill="FFFFFF"/>
            <w:noWrap/>
            <w:vAlign w:val="center"/>
          </w:tcPr>
          <w:p w14:paraId="5C1B4A62">
            <w:pPr>
              <w:jc w:val="center"/>
              <w:rPr>
                <w:rFonts w:hint="eastAsia"/>
                <w:sz w:val="22"/>
                <w:szCs w:val="22"/>
              </w:rPr>
            </w:pPr>
            <w:r>
              <w:rPr>
                <w:rFonts w:hint="eastAsia"/>
                <w:sz w:val="22"/>
                <w:szCs w:val="22"/>
              </w:rPr>
              <w:t>132</w:t>
            </w:r>
          </w:p>
        </w:tc>
      </w:tr>
      <w:tr w14:paraId="6EE66BBA">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39EDA3EB">
            <w:pPr>
              <w:jc w:val="center"/>
              <w:rPr>
                <w:rFonts w:hint="eastAsia"/>
                <w:b/>
                <w:bCs/>
                <w:sz w:val="22"/>
                <w:szCs w:val="22"/>
              </w:rPr>
            </w:pPr>
            <w:r>
              <w:rPr>
                <w:rFonts w:hint="eastAsia"/>
                <w:b/>
                <w:bCs/>
                <w:sz w:val="22"/>
                <w:szCs w:val="22"/>
              </w:rPr>
              <w:t>2</w:t>
            </w:r>
          </w:p>
        </w:tc>
        <w:tc>
          <w:tcPr>
            <w:tcW w:w="1540" w:type="dxa"/>
            <w:tcBorders>
              <w:top w:val="nil"/>
              <w:left w:val="nil"/>
              <w:bottom w:val="single" w:color="auto" w:sz="4" w:space="0"/>
              <w:right w:val="single" w:color="auto" w:sz="4" w:space="0"/>
            </w:tcBorders>
            <w:shd w:val="clear" w:color="000000" w:fill="FFFFFF"/>
            <w:noWrap/>
            <w:vAlign w:val="center"/>
          </w:tcPr>
          <w:p w14:paraId="6CB64416">
            <w:pPr>
              <w:jc w:val="center"/>
              <w:rPr>
                <w:rFonts w:hint="eastAsia"/>
                <w:sz w:val="22"/>
                <w:szCs w:val="22"/>
              </w:rPr>
            </w:pPr>
            <w:r>
              <w:rPr>
                <w:rFonts w:hint="eastAsia"/>
                <w:sz w:val="22"/>
                <w:szCs w:val="22"/>
              </w:rPr>
              <w:t>蓝疆</w:t>
            </w:r>
          </w:p>
        </w:tc>
        <w:tc>
          <w:tcPr>
            <w:tcW w:w="2740" w:type="dxa"/>
            <w:tcBorders>
              <w:top w:val="nil"/>
              <w:left w:val="nil"/>
              <w:bottom w:val="single" w:color="auto" w:sz="4" w:space="0"/>
              <w:right w:val="single" w:color="auto" w:sz="4" w:space="0"/>
            </w:tcBorders>
            <w:shd w:val="clear" w:color="000000" w:fill="FFFFFF"/>
            <w:noWrap/>
            <w:vAlign w:val="center"/>
          </w:tcPr>
          <w:p w14:paraId="275EF867">
            <w:pPr>
              <w:jc w:val="center"/>
              <w:rPr>
                <w:rFonts w:hint="eastAsia"/>
                <w:sz w:val="22"/>
                <w:szCs w:val="22"/>
              </w:rPr>
            </w:pPr>
            <w:r>
              <w:rPr>
                <w:rFonts w:hint="eastAsia"/>
                <w:sz w:val="22"/>
                <w:szCs w:val="22"/>
              </w:rPr>
              <w:t>全回转，非自航</w:t>
            </w:r>
          </w:p>
        </w:tc>
        <w:tc>
          <w:tcPr>
            <w:tcW w:w="1480" w:type="dxa"/>
            <w:tcBorders>
              <w:top w:val="nil"/>
              <w:left w:val="nil"/>
              <w:bottom w:val="single" w:color="auto" w:sz="4" w:space="0"/>
              <w:right w:val="single" w:color="auto" w:sz="4" w:space="0"/>
            </w:tcBorders>
            <w:shd w:val="clear" w:color="000000" w:fill="FFFFFF"/>
            <w:vAlign w:val="center"/>
          </w:tcPr>
          <w:p w14:paraId="016C5D5D">
            <w:pPr>
              <w:jc w:val="center"/>
              <w:rPr>
                <w:rFonts w:hint="eastAsia"/>
                <w:sz w:val="22"/>
                <w:szCs w:val="22"/>
              </w:rPr>
            </w:pPr>
            <w:r>
              <w:rPr>
                <w:rFonts w:hint="eastAsia"/>
                <w:sz w:val="22"/>
                <w:szCs w:val="22"/>
              </w:rPr>
              <w:t>固定吊3800</w:t>
            </w:r>
            <w:r>
              <w:rPr>
                <w:rFonts w:hint="eastAsia"/>
                <w:sz w:val="22"/>
                <w:szCs w:val="22"/>
              </w:rPr>
              <w:br w:type="textWrapping"/>
            </w:r>
            <w:r>
              <w:rPr>
                <w:rFonts w:hint="eastAsia"/>
                <w:sz w:val="22"/>
                <w:szCs w:val="22"/>
              </w:rPr>
              <w:t>全回转2500</w:t>
            </w:r>
          </w:p>
        </w:tc>
        <w:tc>
          <w:tcPr>
            <w:tcW w:w="900" w:type="dxa"/>
            <w:tcBorders>
              <w:top w:val="nil"/>
              <w:left w:val="nil"/>
              <w:bottom w:val="single" w:color="auto" w:sz="4" w:space="0"/>
              <w:right w:val="single" w:color="auto" w:sz="4" w:space="0"/>
            </w:tcBorders>
            <w:shd w:val="clear" w:color="000000" w:fill="FFFFFF"/>
            <w:noWrap/>
            <w:vAlign w:val="center"/>
          </w:tcPr>
          <w:p w14:paraId="35467960">
            <w:pPr>
              <w:jc w:val="center"/>
              <w:rPr>
                <w:rFonts w:hint="eastAsia"/>
                <w:sz w:val="22"/>
                <w:szCs w:val="22"/>
              </w:rPr>
            </w:pPr>
            <w:r>
              <w:rPr>
                <w:rFonts w:hint="eastAsia"/>
                <w:sz w:val="22"/>
                <w:szCs w:val="22"/>
              </w:rPr>
              <w:t>157.5</w:t>
            </w:r>
          </w:p>
        </w:tc>
        <w:tc>
          <w:tcPr>
            <w:tcW w:w="820" w:type="dxa"/>
            <w:tcBorders>
              <w:top w:val="nil"/>
              <w:left w:val="nil"/>
              <w:bottom w:val="single" w:color="auto" w:sz="4" w:space="0"/>
              <w:right w:val="single" w:color="auto" w:sz="4" w:space="0"/>
            </w:tcBorders>
            <w:shd w:val="clear" w:color="000000" w:fill="FFFFFF"/>
            <w:noWrap/>
            <w:vAlign w:val="center"/>
          </w:tcPr>
          <w:p w14:paraId="6BAB2161">
            <w:pPr>
              <w:jc w:val="center"/>
              <w:rPr>
                <w:rFonts w:hint="eastAsia"/>
                <w:sz w:val="22"/>
                <w:szCs w:val="22"/>
              </w:rPr>
            </w:pPr>
            <w:r>
              <w:rPr>
                <w:rFonts w:hint="eastAsia"/>
                <w:sz w:val="22"/>
                <w:szCs w:val="22"/>
              </w:rPr>
              <w:t>48</w:t>
            </w:r>
          </w:p>
        </w:tc>
        <w:tc>
          <w:tcPr>
            <w:tcW w:w="820" w:type="dxa"/>
            <w:tcBorders>
              <w:top w:val="nil"/>
              <w:left w:val="nil"/>
              <w:bottom w:val="single" w:color="auto" w:sz="4" w:space="0"/>
              <w:right w:val="single" w:color="auto" w:sz="4" w:space="0"/>
            </w:tcBorders>
            <w:shd w:val="clear" w:color="000000" w:fill="FFFFFF"/>
            <w:noWrap/>
            <w:vAlign w:val="center"/>
          </w:tcPr>
          <w:p w14:paraId="1F2C72D9">
            <w:pPr>
              <w:jc w:val="center"/>
              <w:rPr>
                <w:rFonts w:hint="eastAsia"/>
                <w:sz w:val="22"/>
                <w:szCs w:val="22"/>
              </w:rPr>
            </w:pPr>
            <w:r>
              <w:rPr>
                <w:rFonts w:hint="eastAsia"/>
                <w:sz w:val="22"/>
                <w:szCs w:val="22"/>
              </w:rPr>
              <w:t>12.5</w:t>
            </w:r>
          </w:p>
        </w:tc>
        <w:tc>
          <w:tcPr>
            <w:tcW w:w="1400" w:type="dxa"/>
            <w:tcBorders>
              <w:top w:val="nil"/>
              <w:left w:val="nil"/>
              <w:bottom w:val="single" w:color="auto" w:sz="4" w:space="0"/>
              <w:right w:val="single" w:color="auto" w:sz="4" w:space="0"/>
            </w:tcBorders>
            <w:shd w:val="clear" w:color="000000" w:fill="FFFFFF"/>
            <w:noWrap/>
            <w:vAlign w:val="center"/>
          </w:tcPr>
          <w:p w14:paraId="073EC095">
            <w:pPr>
              <w:jc w:val="center"/>
              <w:rPr>
                <w:rFonts w:hint="eastAsia"/>
                <w:sz w:val="22"/>
                <w:szCs w:val="22"/>
              </w:rPr>
            </w:pPr>
            <w:r>
              <w:rPr>
                <w:rFonts w:hint="eastAsia"/>
                <w:sz w:val="22"/>
                <w:szCs w:val="22"/>
              </w:rPr>
              <w:t>8</w:t>
            </w:r>
          </w:p>
        </w:tc>
        <w:tc>
          <w:tcPr>
            <w:tcW w:w="1240" w:type="dxa"/>
            <w:tcBorders>
              <w:top w:val="nil"/>
              <w:left w:val="nil"/>
              <w:bottom w:val="single" w:color="auto" w:sz="4" w:space="0"/>
              <w:right w:val="single" w:color="auto" w:sz="4" w:space="0"/>
            </w:tcBorders>
            <w:shd w:val="clear" w:color="000000" w:fill="FFFFFF"/>
            <w:noWrap/>
            <w:vAlign w:val="center"/>
          </w:tcPr>
          <w:p w14:paraId="0D6ECE20">
            <w:pPr>
              <w:jc w:val="center"/>
              <w:rPr>
                <w:rFonts w:hint="eastAsia"/>
                <w:sz w:val="22"/>
                <w:szCs w:val="22"/>
              </w:rPr>
            </w:pPr>
            <w:r>
              <w:rPr>
                <w:rFonts w:hint="eastAsia"/>
                <w:sz w:val="22"/>
                <w:szCs w:val="22"/>
              </w:rPr>
              <w:t>95</w:t>
            </w:r>
          </w:p>
        </w:tc>
      </w:tr>
      <w:tr w14:paraId="57E6E05B">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18BFB110">
            <w:pPr>
              <w:jc w:val="center"/>
              <w:rPr>
                <w:rFonts w:hint="eastAsia"/>
                <w:b/>
                <w:bCs/>
                <w:sz w:val="22"/>
                <w:szCs w:val="22"/>
              </w:rPr>
            </w:pPr>
            <w:r>
              <w:rPr>
                <w:rFonts w:hint="eastAsia"/>
                <w:b/>
                <w:bCs/>
                <w:sz w:val="22"/>
                <w:szCs w:val="22"/>
              </w:rPr>
              <w:t>3</w:t>
            </w:r>
          </w:p>
        </w:tc>
        <w:tc>
          <w:tcPr>
            <w:tcW w:w="1540" w:type="dxa"/>
            <w:tcBorders>
              <w:top w:val="nil"/>
              <w:left w:val="nil"/>
              <w:bottom w:val="single" w:color="auto" w:sz="4" w:space="0"/>
              <w:right w:val="single" w:color="auto" w:sz="4" w:space="0"/>
            </w:tcBorders>
            <w:shd w:val="clear" w:color="000000" w:fill="FFFFFF"/>
            <w:noWrap/>
            <w:vAlign w:val="center"/>
          </w:tcPr>
          <w:p w14:paraId="0CF87B46">
            <w:pPr>
              <w:jc w:val="center"/>
              <w:rPr>
                <w:rFonts w:hint="eastAsia"/>
                <w:sz w:val="22"/>
                <w:szCs w:val="22"/>
              </w:rPr>
            </w:pPr>
            <w:r>
              <w:rPr>
                <w:rFonts w:hint="eastAsia"/>
                <w:sz w:val="22"/>
                <w:szCs w:val="22"/>
              </w:rPr>
              <w:t>蓝鲸</w:t>
            </w:r>
          </w:p>
        </w:tc>
        <w:tc>
          <w:tcPr>
            <w:tcW w:w="2740" w:type="dxa"/>
            <w:tcBorders>
              <w:top w:val="nil"/>
              <w:left w:val="nil"/>
              <w:bottom w:val="single" w:color="auto" w:sz="4" w:space="0"/>
              <w:right w:val="single" w:color="auto" w:sz="4" w:space="0"/>
            </w:tcBorders>
            <w:shd w:val="clear" w:color="000000" w:fill="FFFFFF"/>
            <w:noWrap/>
            <w:vAlign w:val="center"/>
          </w:tcPr>
          <w:p w14:paraId="339DD258">
            <w:pPr>
              <w:jc w:val="center"/>
              <w:rPr>
                <w:rFonts w:hint="eastAsia"/>
                <w:sz w:val="22"/>
                <w:szCs w:val="22"/>
              </w:rPr>
            </w:pPr>
            <w:r>
              <w:rPr>
                <w:rFonts w:hint="eastAsia"/>
                <w:sz w:val="22"/>
                <w:szCs w:val="22"/>
              </w:rPr>
              <w:t>全回转、自航</w:t>
            </w:r>
          </w:p>
        </w:tc>
        <w:tc>
          <w:tcPr>
            <w:tcW w:w="1480" w:type="dxa"/>
            <w:tcBorders>
              <w:top w:val="nil"/>
              <w:left w:val="nil"/>
              <w:bottom w:val="single" w:color="auto" w:sz="4" w:space="0"/>
              <w:right w:val="single" w:color="auto" w:sz="4" w:space="0"/>
            </w:tcBorders>
            <w:shd w:val="clear" w:color="000000" w:fill="FFFFFF"/>
            <w:vAlign w:val="center"/>
          </w:tcPr>
          <w:p w14:paraId="489B505C">
            <w:pPr>
              <w:jc w:val="center"/>
              <w:rPr>
                <w:rFonts w:hint="eastAsia"/>
                <w:sz w:val="22"/>
                <w:szCs w:val="22"/>
              </w:rPr>
            </w:pPr>
            <w:r>
              <w:rPr>
                <w:rFonts w:hint="eastAsia"/>
                <w:sz w:val="22"/>
                <w:szCs w:val="22"/>
              </w:rPr>
              <w:t>固定吊7500</w:t>
            </w:r>
            <w:r>
              <w:rPr>
                <w:rFonts w:hint="eastAsia"/>
                <w:sz w:val="22"/>
                <w:szCs w:val="22"/>
              </w:rPr>
              <w:br w:type="textWrapping"/>
            </w:r>
            <w:r>
              <w:rPr>
                <w:rFonts w:hint="eastAsia"/>
                <w:sz w:val="22"/>
                <w:szCs w:val="22"/>
              </w:rPr>
              <w:t>全回转4000</w:t>
            </w:r>
          </w:p>
        </w:tc>
        <w:tc>
          <w:tcPr>
            <w:tcW w:w="900" w:type="dxa"/>
            <w:tcBorders>
              <w:top w:val="nil"/>
              <w:left w:val="nil"/>
              <w:bottom w:val="single" w:color="auto" w:sz="4" w:space="0"/>
              <w:right w:val="single" w:color="auto" w:sz="4" w:space="0"/>
            </w:tcBorders>
            <w:shd w:val="clear" w:color="000000" w:fill="FFFFFF"/>
            <w:noWrap/>
            <w:vAlign w:val="center"/>
          </w:tcPr>
          <w:p w14:paraId="0966C3D3">
            <w:pPr>
              <w:jc w:val="center"/>
              <w:rPr>
                <w:rFonts w:hint="eastAsia"/>
                <w:sz w:val="22"/>
                <w:szCs w:val="22"/>
              </w:rPr>
            </w:pPr>
            <w:r>
              <w:rPr>
                <w:rFonts w:hint="eastAsia"/>
                <w:sz w:val="22"/>
                <w:szCs w:val="22"/>
              </w:rPr>
              <w:t>241</w:t>
            </w:r>
          </w:p>
        </w:tc>
        <w:tc>
          <w:tcPr>
            <w:tcW w:w="820" w:type="dxa"/>
            <w:tcBorders>
              <w:top w:val="nil"/>
              <w:left w:val="nil"/>
              <w:bottom w:val="single" w:color="auto" w:sz="4" w:space="0"/>
              <w:right w:val="single" w:color="auto" w:sz="4" w:space="0"/>
            </w:tcBorders>
            <w:shd w:val="clear" w:color="000000" w:fill="FFFFFF"/>
            <w:noWrap/>
            <w:vAlign w:val="center"/>
          </w:tcPr>
          <w:p w14:paraId="4673266E">
            <w:pPr>
              <w:jc w:val="center"/>
              <w:rPr>
                <w:rFonts w:hint="eastAsia"/>
                <w:sz w:val="22"/>
                <w:szCs w:val="22"/>
              </w:rPr>
            </w:pPr>
            <w:r>
              <w:rPr>
                <w:rFonts w:hint="eastAsia"/>
                <w:sz w:val="22"/>
                <w:szCs w:val="22"/>
              </w:rPr>
              <w:t>50</w:t>
            </w:r>
          </w:p>
        </w:tc>
        <w:tc>
          <w:tcPr>
            <w:tcW w:w="820" w:type="dxa"/>
            <w:tcBorders>
              <w:top w:val="nil"/>
              <w:left w:val="nil"/>
              <w:bottom w:val="single" w:color="auto" w:sz="4" w:space="0"/>
              <w:right w:val="single" w:color="auto" w:sz="4" w:space="0"/>
            </w:tcBorders>
            <w:shd w:val="clear" w:color="000000" w:fill="FFFFFF"/>
            <w:noWrap/>
            <w:vAlign w:val="center"/>
          </w:tcPr>
          <w:p w14:paraId="4A962D51">
            <w:pPr>
              <w:jc w:val="center"/>
              <w:rPr>
                <w:rFonts w:hint="eastAsia"/>
                <w:sz w:val="22"/>
                <w:szCs w:val="22"/>
              </w:rPr>
            </w:pPr>
            <w:r>
              <w:rPr>
                <w:rFonts w:hint="eastAsia"/>
                <w:sz w:val="22"/>
                <w:szCs w:val="22"/>
              </w:rPr>
              <w:t>20.4</w:t>
            </w:r>
          </w:p>
        </w:tc>
        <w:tc>
          <w:tcPr>
            <w:tcW w:w="1400" w:type="dxa"/>
            <w:tcBorders>
              <w:top w:val="nil"/>
              <w:left w:val="nil"/>
              <w:bottom w:val="single" w:color="auto" w:sz="4" w:space="0"/>
              <w:right w:val="single" w:color="auto" w:sz="4" w:space="0"/>
            </w:tcBorders>
            <w:shd w:val="clear" w:color="000000" w:fill="FFFFFF"/>
            <w:noWrap/>
            <w:vAlign w:val="center"/>
          </w:tcPr>
          <w:p w14:paraId="7E5550B7">
            <w:pPr>
              <w:jc w:val="center"/>
              <w:rPr>
                <w:rFonts w:hint="eastAsia"/>
                <w:sz w:val="22"/>
                <w:szCs w:val="22"/>
              </w:rPr>
            </w:pPr>
            <w:r>
              <w:rPr>
                <w:rFonts w:hint="eastAsia"/>
                <w:sz w:val="22"/>
                <w:szCs w:val="22"/>
              </w:rPr>
              <w:t>8.5</w:t>
            </w:r>
          </w:p>
        </w:tc>
        <w:tc>
          <w:tcPr>
            <w:tcW w:w="1240" w:type="dxa"/>
            <w:tcBorders>
              <w:top w:val="nil"/>
              <w:left w:val="nil"/>
              <w:bottom w:val="single" w:color="auto" w:sz="4" w:space="0"/>
              <w:right w:val="single" w:color="auto" w:sz="4" w:space="0"/>
            </w:tcBorders>
            <w:shd w:val="clear" w:color="000000" w:fill="FFFFFF"/>
            <w:noWrap/>
            <w:vAlign w:val="center"/>
          </w:tcPr>
          <w:p w14:paraId="2A0689F2">
            <w:pPr>
              <w:jc w:val="center"/>
              <w:rPr>
                <w:rFonts w:hint="eastAsia"/>
                <w:sz w:val="22"/>
                <w:szCs w:val="22"/>
              </w:rPr>
            </w:pPr>
            <w:r>
              <w:rPr>
                <w:rFonts w:hint="eastAsia"/>
                <w:sz w:val="22"/>
                <w:szCs w:val="22"/>
              </w:rPr>
              <w:t>125</w:t>
            </w:r>
          </w:p>
        </w:tc>
      </w:tr>
      <w:tr w14:paraId="0F26A1B6">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4F39DBEC">
            <w:pPr>
              <w:jc w:val="center"/>
              <w:rPr>
                <w:rFonts w:hint="eastAsia"/>
                <w:b/>
                <w:bCs/>
                <w:sz w:val="22"/>
                <w:szCs w:val="22"/>
              </w:rPr>
            </w:pPr>
            <w:r>
              <w:rPr>
                <w:rFonts w:hint="eastAsia"/>
                <w:b/>
                <w:bCs/>
                <w:sz w:val="22"/>
                <w:szCs w:val="22"/>
              </w:rPr>
              <w:t>4</w:t>
            </w:r>
          </w:p>
        </w:tc>
        <w:tc>
          <w:tcPr>
            <w:tcW w:w="1540" w:type="dxa"/>
            <w:tcBorders>
              <w:top w:val="nil"/>
              <w:left w:val="nil"/>
              <w:bottom w:val="single" w:color="auto" w:sz="4" w:space="0"/>
              <w:right w:val="single" w:color="auto" w:sz="4" w:space="0"/>
            </w:tcBorders>
            <w:shd w:val="clear" w:color="000000" w:fill="FFFFFF"/>
            <w:noWrap/>
            <w:vAlign w:val="center"/>
          </w:tcPr>
          <w:p w14:paraId="79B6D6E8">
            <w:pPr>
              <w:jc w:val="center"/>
              <w:rPr>
                <w:rFonts w:hint="eastAsia"/>
                <w:sz w:val="22"/>
                <w:szCs w:val="22"/>
              </w:rPr>
            </w:pPr>
            <w:r>
              <w:rPr>
                <w:rFonts w:hint="eastAsia"/>
                <w:sz w:val="22"/>
                <w:szCs w:val="22"/>
              </w:rPr>
              <w:t>宇航起重58</w:t>
            </w:r>
          </w:p>
        </w:tc>
        <w:tc>
          <w:tcPr>
            <w:tcW w:w="2740" w:type="dxa"/>
            <w:tcBorders>
              <w:top w:val="nil"/>
              <w:left w:val="nil"/>
              <w:bottom w:val="single" w:color="auto" w:sz="4" w:space="0"/>
              <w:right w:val="single" w:color="auto" w:sz="4" w:space="0"/>
            </w:tcBorders>
            <w:shd w:val="clear" w:color="000000" w:fill="FFFFFF"/>
            <w:noWrap/>
            <w:vAlign w:val="center"/>
          </w:tcPr>
          <w:p w14:paraId="765F6AE1">
            <w:pPr>
              <w:jc w:val="center"/>
              <w:rPr>
                <w:rFonts w:hint="eastAsia"/>
                <w:sz w:val="22"/>
                <w:szCs w:val="22"/>
              </w:rPr>
            </w:pPr>
            <w:r>
              <w:rPr>
                <w:rFonts w:hint="eastAsia"/>
                <w:sz w:val="22"/>
                <w:szCs w:val="22"/>
              </w:rPr>
              <w:t>全回转，非自航</w:t>
            </w:r>
          </w:p>
        </w:tc>
        <w:tc>
          <w:tcPr>
            <w:tcW w:w="1480" w:type="dxa"/>
            <w:tcBorders>
              <w:top w:val="nil"/>
              <w:left w:val="nil"/>
              <w:bottom w:val="single" w:color="auto" w:sz="4" w:space="0"/>
              <w:right w:val="single" w:color="auto" w:sz="4" w:space="0"/>
            </w:tcBorders>
            <w:shd w:val="clear" w:color="000000" w:fill="FFFFFF"/>
            <w:vAlign w:val="center"/>
          </w:tcPr>
          <w:p w14:paraId="45942975">
            <w:pPr>
              <w:jc w:val="center"/>
              <w:rPr>
                <w:rFonts w:hint="eastAsia"/>
                <w:sz w:val="22"/>
                <w:szCs w:val="22"/>
              </w:rPr>
            </w:pPr>
            <w:r>
              <w:rPr>
                <w:rFonts w:hint="eastAsia"/>
                <w:sz w:val="22"/>
                <w:szCs w:val="22"/>
              </w:rPr>
              <w:t>固定吊3800</w:t>
            </w:r>
            <w:r>
              <w:rPr>
                <w:rFonts w:hint="eastAsia"/>
                <w:sz w:val="22"/>
                <w:szCs w:val="22"/>
              </w:rPr>
              <w:br w:type="textWrapping"/>
            </w:r>
            <w:r>
              <w:rPr>
                <w:rFonts w:hint="eastAsia"/>
                <w:sz w:val="22"/>
                <w:szCs w:val="22"/>
              </w:rPr>
              <w:t>全回转2800</w:t>
            </w:r>
          </w:p>
        </w:tc>
        <w:tc>
          <w:tcPr>
            <w:tcW w:w="900" w:type="dxa"/>
            <w:tcBorders>
              <w:top w:val="nil"/>
              <w:left w:val="nil"/>
              <w:bottom w:val="single" w:color="auto" w:sz="4" w:space="0"/>
              <w:right w:val="single" w:color="auto" w:sz="4" w:space="0"/>
            </w:tcBorders>
            <w:shd w:val="clear" w:color="000000" w:fill="FFFFFF"/>
            <w:noWrap/>
            <w:vAlign w:val="center"/>
          </w:tcPr>
          <w:p w14:paraId="600740BF">
            <w:pPr>
              <w:jc w:val="center"/>
              <w:rPr>
                <w:rFonts w:hint="eastAsia"/>
                <w:sz w:val="22"/>
                <w:szCs w:val="22"/>
              </w:rPr>
            </w:pPr>
            <w:r>
              <w:rPr>
                <w:rFonts w:hint="eastAsia"/>
                <w:sz w:val="22"/>
                <w:szCs w:val="22"/>
              </w:rPr>
              <w:t>145</w:t>
            </w:r>
          </w:p>
        </w:tc>
        <w:tc>
          <w:tcPr>
            <w:tcW w:w="820" w:type="dxa"/>
            <w:tcBorders>
              <w:top w:val="nil"/>
              <w:left w:val="nil"/>
              <w:bottom w:val="single" w:color="auto" w:sz="4" w:space="0"/>
              <w:right w:val="single" w:color="auto" w:sz="4" w:space="0"/>
            </w:tcBorders>
            <w:shd w:val="clear" w:color="000000" w:fill="FFFFFF"/>
            <w:noWrap/>
            <w:vAlign w:val="center"/>
          </w:tcPr>
          <w:p w14:paraId="114BD806">
            <w:pPr>
              <w:jc w:val="center"/>
              <w:rPr>
                <w:rFonts w:hint="eastAsia"/>
                <w:sz w:val="22"/>
                <w:szCs w:val="22"/>
              </w:rPr>
            </w:pPr>
            <w:r>
              <w:rPr>
                <w:rFonts w:hint="eastAsia"/>
                <w:sz w:val="22"/>
                <w:szCs w:val="22"/>
              </w:rPr>
              <w:t>44.4</w:t>
            </w:r>
          </w:p>
        </w:tc>
        <w:tc>
          <w:tcPr>
            <w:tcW w:w="820" w:type="dxa"/>
            <w:tcBorders>
              <w:top w:val="nil"/>
              <w:left w:val="nil"/>
              <w:bottom w:val="single" w:color="auto" w:sz="4" w:space="0"/>
              <w:right w:val="single" w:color="auto" w:sz="4" w:space="0"/>
            </w:tcBorders>
            <w:shd w:val="clear" w:color="000000" w:fill="FFFFFF"/>
            <w:noWrap/>
            <w:vAlign w:val="center"/>
          </w:tcPr>
          <w:p w14:paraId="25AB2297">
            <w:pPr>
              <w:jc w:val="center"/>
              <w:rPr>
                <w:rFonts w:hint="eastAsia"/>
                <w:sz w:val="22"/>
                <w:szCs w:val="22"/>
              </w:rPr>
            </w:pPr>
            <w:r>
              <w:rPr>
                <w:rFonts w:hint="eastAsia"/>
                <w:sz w:val="22"/>
                <w:szCs w:val="22"/>
              </w:rPr>
              <w:t>10.38</w:t>
            </w:r>
          </w:p>
        </w:tc>
        <w:tc>
          <w:tcPr>
            <w:tcW w:w="1400" w:type="dxa"/>
            <w:tcBorders>
              <w:top w:val="nil"/>
              <w:left w:val="nil"/>
              <w:bottom w:val="single" w:color="auto" w:sz="4" w:space="0"/>
              <w:right w:val="single" w:color="auto" w:sz="4" w:space="0"/>
            </w:tcBorders>
            <w:shd w:val="clear" w:color="000000" w:fill="FFFFFF"/>
            <w:noWrap/>
            <w:vAlign w:val="center"/>
          </w:tcPr>
          <w:p w14:paraId="315ACE7A">
            <w:pPr>
              <w:jc w:val="center"/>
              <w:rPr>
                <w:rFonts w:hint="eastAsia"/>
                <w:sz w:val="22"/>
                <w:szCs w:val="22"/>
              </w:rPr>
            </w:pPr>
            <w:r>
              <w:rPr>
                <w:rFonts w:hint="eastAsia"/>
                <w:sz w:val="22"/>
                <w:szCs w:val="22"/>
              </w:rPr>
              <w:t>6.2</w:t>
            </w:r>
          </w:p>
        </w:tc>
        <w:tc>
          <w:tcPr>
            <w:tcW w:w="1240" w:type="dxa"/>
            <w:tcBorders>
              <w:top w:val="nil"/>
              <w:left w:val="nil"/>
              <w:bottom w:val="single" w:color="auto" w:sz="4" w:space="0"/>
              <w:right w:val="single" w:color="auto" w:sz="4" w:space="0"/>
            </w:tcBorders>
            <w:shd w:val="clear" w:color="000000" w:fill="FFFFFF"/>
            <w:noWrap/>
            <w:vAlign w:val="center"/>
          </w:tcPr>
          <w:p w14:paraId="03AFED13">
            <w:pPr>
              <w:jc w:val="center"/>
              <w:rPr>
                <w:rFonts w:hint="eastAsia"/>
                <w:sz w:val="22"/>
                <w:szCs w:val="22"/>
              </w:rPr>
            </w:pPr>
            <w:r>
              <w:rPr>
                <w:rFonts w:hint="eastAsia"/>
                <w:sz w:val="22"/>
                <w:szCs w:val="22"/>
              </w:rPr>
              <w:t>122.8</w:t>
            </w:r>
          </w:p>
        </w:tc>
      </w:tr>
      <w:tr w14:paraId="489D39AE">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5816723F">
            <w:pPr>
              <w:jc w:val="center"/>
              <w:rPr>
                <w:rFonts w:hint="eastAsia"/>
                <w:b/>
                <w:bCs/>
                <w:sz w:val="22"/>
                <w:szCs w:val="22"/>
              </w:rPr>
            </w:pPr>
            <w:r>
              <w:rPr>
                <w:rFonts w:hint="eastAsia"/>
                <w:b/>
                <w:bCs/>
                <w:sz w:val="22"/>
                <w:szCs w:val="22"/>
              </w:rPr>
              <w:t>5</w:t>
            </w:r>
          </w:p>
        </w:tc>
        <w:tc>
          <w:tcPr>
            <w:tcW w:w="1540" w:type="dxa"/>
            <w:tcBorders>
              <w:top w:val="nil"/>
              <w:left w:val="nil"/>
              <w:bottom w:val="single" w:color="auto" w:sz="4" w:space="0"/>
              <w:right w:val="single" w:color="auto" w:sz="4" w:space="0"/>
            </w:tcBorders>
            <w:shd w:val="clear" w:color="000000" w:fill="FFFFFF"/>
            <w:noWrap/>
            <w:vAlign w:val="center"/>
          </w:tcPr>
          <w:p w14:paraId="7029BE64">
            <w:pPr>
              <w:jc w:val="center"/>
              <w:rPr>
                <w:rFonts w:hint="eastAsia"/>
                <w:sz w:val="22"/>
                <w:szCs w:val="22"/>
              </w:rPr>
            </w:pPr>
            <w:r>
              <w:rPr>
                <w:rFonts w:hint="eastAsia"/>
                <w:sz w:val="22"/>
                <w:szCs w:val="22"/>
              </w:rPr>
              <w:t>宇航起重3000</w:t>
            </w:r>
          </w:p>
        </w:tc>
        <w:tc>
          <w:tcPr>
            <w:tcW w:w="2740" w:type="dxa"/>
            <w:tcBorders>
              <w:top w:val="nil"/>
              <w:left w:val="nil"/>
              <w:bottom w:val="single" w:color="auto" w:sz="4" w:space="0"/>
              <w:right w:val="single" w:color="auto" w:sz="4" w:space="0"/>
            </w:tcBorders>
            <w:shd w:val="clear" w:color="000000" w:fill="FFFFFF"/>
            <w:noWrap/>
            <w:vAlign w:val="center"/>
          </w:tcPr>
          <w:p w14:paraId="0C79E490">
            <w:pPr>
              <w:jc w:val="center"/>
              <w:rPr>
                <w:rFonts w:hint="eastAsia"/>
                <w:sz w:val="22"/>
                <w:szCs w:val="22"/>
              </w:rPr>
            </w:pPr>
            <w:r>
              <w:rPr>
                <w:rFonts w:hint="eastAsia"/>
                <w:sz w:val="22"/>
                <w:szCs w:val="22"/>
              </w:rPr>
              <w:t>全回转，非自航</w:t>
            </w:r>
          </w:p>
        </w:tc>
        <w:tc>
          <w:tcPr>
            <w:tcW w:w="1480" w:type="dxa"/>
            <w:tcBorders>
              <w:top w:val="nil"/>
              <w:left w:val="nil"/>
              <w:bottom w:val="single" w:color="auto" w:sz="4" w:space="0"/>
              <w:right w:val="single" w:color="auto" w:sz="4" w:space="0"/>
            </w:tcBorders>
            <w:shd w:val="clear" w:color="000000" w:fill="FFFFFF"/>
            <w:vAlign w:val="center"/>
          </w:tcPr>
          <w:p w14:paraId="3B4220E2">
            <w:pPr>
              <w:jc w:val="center"/>
              <w:rPr>
                <w:rFonts w:hint="eastAsia"/>
                <w:sz w:val="22"/>
                <w:szCs w:val="22"/>
              </w:rPr>
            </w:pPr>
            <w:r>
              <w:rPr>
                <w:rFonts w:hint="eastAsia"/>
                <w:sz w:val="22"/>
                <w:szCs w:val="22"/>
              </w:rPr>
              <w:t>固定吊3500</w:t>
            </w:r>
            <w:r>
              <w:rPr>
                <w:rFonts w:hint="eastAsia"/>
                <w:sz w:val="22"/>
                <w:szCs w:val="22"/>
              </w:rPr>
              <w:br w:type="textWrapping"/>
            </w:r>
            <w:r>
              <w:rPr>
                <w:rFonts w:hint="eastAsia"/>
                <w:sz w:val="22"/>
                <w:szCs w:val="22"/>
              </w:rPr>
              <w:t>全回转2800</w:t>
            </w:r>
          </w:p>
        </w:tc>
        <w:tc>
          <w:tcPr>
            <w:tcW w:w="900" w:type="dxa"/>
            <w:tcBorders>
              <w:top w:val="nil"/>
              <w:left w:val="nil"/>
              <w:bottom w:val="single" w:color="auto" w:sz="4" w:space="0"/>
              <w:right w:val="single" w:color="auto" w:sz="4" w:space="0"/>
            </w:tcBorders>
            <w:shd w:val="clear" w:color="000000" w:fill="FFFFFF"/>
            <w:noWrap/>
            <w:vAlign w:val="center"/>
          </w:tcPr>
          <w:p w14:paraId="72F45D42">
            <w:pPr>
              <w:jc w:val="center"/>
              <w:rPr>
                <w:rFonts w:hint="eastAsia"/>
                <w:sz w:val="22"/>
                <w:szCs w:val="22"/>
              </w:rPr>
            </w:pPr>
            <w:r>
              <w:rPr>
                <w:rFonts w:hint="eastAsia"/>
                <w:sz w:val="22"/>
                <w:szCs w:val="22"/>
              </w:rPr>
              <w:t>148.4</w:t>
            </w:r>
          </w:p>
        </w:tc>
        <w:tc>
          <w:tcPr>
            <w:tcW w:w="820" w:type="dxa"/>
            <w:tcBorders>
              <w:top w:val="nil"/>
              <w:left w:val="nil"/>
              <w:bottom w:val="single" w:color="auto" w:sz="4" w:space="0"/>
              <w:right w:val="single" w:color="auto" w:sz="4" w:space="0"/>
            </w:tcBorders>
            <w:shd w:val="clear" w:color="000000" w:fill="FFFFFF"/>
            <w:noWrap/>
            <w:vAlign w:val="center"/>
          </w:tcPr>
          <w:p w14:paraId="23AAA10B">
            <w:pPr>
              <w:jc w:val="center"/>
              <w:rPr>
                <w:rFonts w:hint="eastAsia"/>
                <w:sz w:val="22"/>
                <w:szCs w:val="22"/>
              </w:rPr>
            </w:pPr>
            <w:r>
              <w:rPr>
                <w:rFonts w:hint="eastAsia"/>
                <w:sz w:val="22"/>
                <w:szCs w:val="22"/>
              </w:rPr>
              <w:t>44.6</w:t>
            </w:r>
          </w:p>
        </w:tc>
        <w:tc>
          <w:tcPr>
            <w:tcW w:w="820" w:type="dxa"/>
            <w:tcBorders>
              <w:top w:val="nil"/>
              <w:left w:val="nil"/>
              <w:bottom w:val="single" w:color="auto" w:sz="4" w:space="0"/>
              <w:right w:val="single" w:color="auto" w:sz="4" w:space="0"/>
            </w:tcBorders>
            <w:shd w:val="clear" w:color="000000" w:fill="FFFFFF"/>
            <w:noWrap/>
            <w:vAlign w:val="center"/>
          </w:tcPr>
          <w:p w14:paraId="63F0E468">
            <w:pPr>
              <w:jc w:val="center"/>
              <w:rPr>
                <w:rFonts w:hint="eastAsia"/>
                <w:sz w:val="22"/>
                <w:szCs w:val="22"/>
              </w:rPr>
            </w:pPr>
            <w:r>
              <w:rPr>
                <w:rFonts w:hint="eastAsia"/>
                <w:sz w:val="22"/>
                <w:szCs w:val="22"/>
              </w:rPr>
              <w:t>12</w:t>
            </w:r>
          </w:p>
        </w:tc>
        <w:tc>
          <w:tcPr>
            <w:tcW w:w="1400" w:type="dxa"/>
            <w:tcBorders>
              <w:top w:val="nil"/>
              <w:left w:val="nil"/>
              <w:bottom w:val="single" w:color="auto" w:sz="4" w:space="0"/>
              <w:right w:val="single" w:color="auto" w:sz="4" w:space="0"/>
            </w:tcBorders>
            <w:shd w:val="clear" w:color="000000" w:fill="FFFFFF"/>
            <w:noWrap/>
            <w:vAlign w:val="center"/>
          </w:tcPr>
          <w:p w14:paraId="2B775993">
            <w:pPr>
              <w:jc w:val="center"/>
              <w:rPr>
                <w:rFonts w:hint="eastAsia"/>
                <w:sz w:val="22"/>
                <w:szCs w:val="22"/>
              </w:rPr>
            </w:pPr>
            <w:r>
              <w:rPr>
                <w:rFonts w:hint="eastAsia"/>
                <w:sz w:val="22"/>
                <w:szCs w:val="22"/>
              </w:rPr>
              <w:t>8.5</w:t>
            </w:r>
          </w:p>
        </w:tc>
        <w:tc>
          <w:tcPr>
            <w:tcW w:w="1240" w:type="dxa"/>
            <w:tcBorders>
              <w:top w:val="nil"/>
              <w:left w:val="nil"/>
              <w:bottom w:val="single" w:color="auto" w:sz="4" w:space="0"/>
              <w:right w:val="single" w:color="auto" w:sz="4" w:space="0"/>
            </w:tcBorders>
            <w:shd w:val="clear" w:color="000000" w:fill="FFFFFF"/>
            <w:noWrap/>
            <w:vAlign w:val="center"/>
          </w:tcPr>
          <w:p w14:paraId="1CB4368B">
            <w:pPr>
              <w:jc w:val="center"/>
              <w:rPr>
                <w:rFonts w:hint="eastAsia"/>
                <w:sz w:val="22"/>
                <w:szCs w:val="22"/>
              </w:rPr>
            </w:pPr>
            <w:r>
              <w:rPr>
                <w:rFonts w:hint="eastAsia"/>
                <w:sz w:val="22"/>
                <w:szCs w:val="22"/>
              </w:rPr>
              <w:t>103</w:t>
            </w:r>
          </w:p>
        </w:tc>
      </w:tr>
      <w:tr w14:paraId="20BBA995">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52BA911E">
            <w:pPr>
              <w:jc w:val="center"/>
              <w:rPr>
                <w:rFonts w:hint="eastAsia"/>
                <w:b/>
                <w:bCs/>
                <w:sz w:val="22"/>
                <w:szCs w:val="22"/>
              </w:rPr>
            </w:pPr>
            <w:r>
              <w:rPr>
                <w:rFonts w:hint="eastAsia"/>
                <w:b/>
                <w:bCs/>
                <w:sz w:val="22"/>
                <w:szCs w:val="22"/>
              </w:rPr>
              <w:t>6</w:t>
            </w:r>
          </w:p>
        </w:tc>
        <w:tc>
          <w:tcPr>
            <w:tcW w:w="1540" w:type="dxa"/>
            <w:tcBorders>
              <w:top w:val="nil"/>
              <w:left w:val="nil"/>
              <w:bottom w:val="single" w:color="auto" w:sz="4" w:space="0"/>
              <w:right w:val="single" w:color="auto" w:sz="4" w:space="0"/>
            </w:tcBorders>
            <w:shd w:val="clear" w:color="000000" w:fill="FFFFFF"/>
            <w:noWrap/>
            <w:vAlign w:val="center"/>
          </w:tcPr>
          <w:p w14:paraId="5A5DFB9F">
            <w:pPr>
              <w:jc w:val="center"/>
              <w:rPr>
                <w:rFonts w:hint="eastAsia"/>
                <w:sz w:val="22"/>
                <w:szCs w:val="22"/>
              </w:rPr>
            </w:pPr>
            <w:r>
              <w:rPr>
                <w:rFonts w:hint="eastAsia"/>
                <w:sz w:val="22"/>
                <w:szCs w:val="22"/>
              </w:rPr>
              <w:t>建申号</w:t>
            </w:r>
          </w:p>
        </w:tc>
        <w:tc>
          <w:tcPr>
            <w:tcW w:w="2740" w:type="dxa"/>
            <w:tcBorders>
              <w:top w:val="nil"/>
              <w:left w:val="nil"/>
              <w:bottom w:val="single" w:color="auto" w:sz="4" w:space="0"/>
              <w:right w:val="single" w:color="auto" w:sz="4" w:space="0"/>
            </w:tcBorders>
            <w:shd w:val="clear" w:color="000000" w:fill="FFFFFF"/>
            <w:noWrap/>
            <w:vAlign w:val="center"/>
          </w:tcPr>
          <w:p w14:paraId="628AE6CA">
            <w:pPr>
              <w:jc w:val="center"/>
              <w:rPr>
                <w:rFonts w:hint="eastAsia"/>
                <w:sz w:val="22"/>
                <w:szCs w:val="22"/>
              </w:rPr>
            </w:pPr>
            <w:r>
              <w:rPr>
                <w:rFonts w:hint="eastAsia"/>
                <w:sz w:val="22"/>
                <w:szCs w:val="22"/>
              </w:rPr>
              <w:t>全回转，非自航</w:t>
            </w:r>
          </w:p>
        </w:tc>
        <w:tc>
          <w:tcPr>
            <w:tcW w:w="1480" w:type="dxa"/>
            <w:tcBorders>
              <w:top w:val="nil"/>
              <w:left w:val="nil"/>
              <w:bottom w:val="single" w:color="auto" w:sz="4" w:space="0"/>
              <w:right w:val="single" w:color="auto" w:sz="4" w:space="0"/>
            </w:tcBorders>
            <w:shd w:val="clear" w:color="000000" w:fill="FFFFFF"/>
            <w:vAlign w:val="center"/>
          </w:tcPr>
          <w:p w14:paraId="05C4C008">
            <w:pPr>
              <w:jc w:val="center"/>
              <w:rPr>
                <w:rFonts w:hint="eastAsia"/>
                <w:sz w:val="22"/>
                <w:szCs w:val="22"/>
              </w:rPr>
            </w:pPr>
            <w:r>
              <w:rPr>
                <w:rFonts w:hint="eastAsia"/>
                <w:sz w:val="22"/>
                <w:szCs w:val="22"/>
              </w:rPr>
              <w:t>固定吊3500</w:t>
            </w:r>
            <w:r>
              <w:rPr>
                <w:rFonts w:hint="eastAsia"/>
                <w:sz w:val="22"/>
                <w:szCs w:val="22"/>
              </w:rPr>
              <w:br w:type="textWrapping"/>
            </w:r>
            <w:r>
              <w:rPr>
                <w:rFonts w:hint="eastAsia"/>
                <w:sz w:val="22"/>
                <w:szCs w:val="22"/>
              </w:rPr>
              <w:t>全回转2800</w:t>
            </w:r>
          </w:p>
        </w:tc>
        <w:tc>
          <w:tcPr>
            <w:tcW w:w="900" w:type="dxa"/>
            <w:tcBorders>
              <w:top w:val="nil"/>
              <w:left w:val="nil"/>
              <w:bottom w:val="single" w:color="auto" w:sz="4" w:space="0"/>
              <w:right w:val="single" w:color="auto" w:sz="4" w:space="0"/>
            </w:tcBorders>
            <w:shd w:val="clear" w:color="000000" w:fill="FFFFFF"/>
            <w:noWrap/>
            <w:vAlign w:val="center"/>
          </w:tcPr>
          <w:p w14:paraId="6807B4EA">
            <w:pPr>
              <w:jc w:val="center"/>
              <w:rPr>
                <w:rFonts w:hint="eastAsia"/>
                <w:sz w:val="22"/>
                <w:szCs w:val="22"/>
              </w:rPr>
            </w:pPr>
            <w:r>
              <w:rPr>
                <w:rFonts w:hint="eastAsia"/>
                <w:sz w:val="22"/>
                <w:szCs w:val="22"/>
              </w:rPr>
              <w:t>177.8</w:t>
            </w:r>
          </w:p>
        </w:tc>
        <w:tc>
          <w:tcPr>
            <w:tcW w:w="820" w:type="dxa"/>
            <w:tcBorders>
              <w:top w:val="nil"/>
              <w:left w:val="nil"/>
              <w:bottom w:val="single" w:color="auto" w:sz="4" w:space="0"/>
              <w:right w:val="single" w:color="auto" w:sz="4" w:space="0"/>
            </w:tcBorders>
            <w:shd w:val="clear" w:color="000000" w:fill="FFFFFF"/>
            <w:noWrap/>
            <w:vAlign w:val="center"/>
          </w:tcPr>
          <w:p w14:paraId="0AB47630">
            <w:pPr>
              <w:jc w:val="center"/>
              <w:rPr>
                <w:rFonts w:hint="eastAsia"/>
                <w:sz w:val="22"/>
                <w:szCs w:val="22"/>
              </w:rPr>
            </w:pPr>
            <w:r>
              <w:rPr>
                <w:rFonts w:hint="eastAsia"/>
                <w:sz w:val="22"/>
                <w:szCs w:val="22"/>
              </w:rPr>
              <w:t>43</w:t>
            </w:r>
          </w:p>
        </w:tc>
        <w:tc>
          <w:tcPr>
            <w:tcW w:w="820" w:type="dxa"/>
            <w:tcBorders>
              <w:top w:val="nil"/>
              <w:left w:val="nil"/>
              <w:bottom w:val="single" w:color="auto" w:sz="4" w:space="0"/>
              <w:right w:val="single" w:color="auto" w:sz="4" w:space="0"/>
            </w:tcBorders>
            <w:shd w:val="clear" w:color="000000" w:fill="FFFFFF"/>
            <w:noWrap/>
            <w:vAlign w:val="center"/>
          </w:tcPr>
          <w:p w14:paraId="4826C89C">
            <w:pPr>
              <w:jc w:val="center"/>
              <w:rPr>
                <w:rFonts w:hint="eastAsia"/>
                <w:sz w:val="22"/>
                <w:szCs w:val="22"/>
              </w:rPr>
            </w:pPr>
            <w:r>
              <w:rPr>
                <w:rFonts w:hint="eastAsia"/>
                <w:sz w:val="22"/>
                <w:szCs w:val="22"/>
              </w:rPr>
              <w:t>15</w:t>
            </w:r>
          </w:p>
        </w:tc>
        <w:tc>
          <w:tcPr>
            <w:tcW w:w="1400" w:type="dxa"/>
            <w:tcBorders>
              <w:top w:val="nil"/>
              <w:left w:val="nil"/>
              <w:bottom w:val="single" w:color="auto" w:sz="4" w:space="0"/>
              <w:right w:val="single" w:color="auto" w:sz="4" w:space="0"/>
            </w:tcBorders>
            <w:shd w:val="clear" w:color="000000" w:fill="FFFFFF"/>
            <w:noWrap/>
            <w:vAlign w:val="center"/>
          </w:tcPr>
          <w:p w14:paraId="12EAD2DB">
            <w:pPr>
              <w:jc w:val="center"/>
              <w:rPr>
                <w:rFonts w:hint="eastAsia"/>
                <w:sz w:val="22"/>
                <w:szCs w:val="22"/>
              </w:rPr>
            </w:pPr>
            <w:r>
              <w:rPr>
                <w:rFonts w:hint="eastAsia"/>
                <w:sz w:val="22"/>
                <w:szCs w:val="22"/>
              </w:rPr>
              <w:t>10</w:t>
            </w:r>
          </w:p>
        </w:tc>
        <w:tc>
          <w:tcPr>
            <w:tcW w:w="1240" w:type="dxa"/>
            <w:tcBorders>
              <w:top w:val="nil"/>
              <w:left w:val="nil"/>
              <w:bottom w:val="single" w:color="auto" w:sz="4" w:space="0"/>
              <w:right w:val="single" w:color="auto" w:sz="4" w:space="0"/>
            </w:tcBorders>
            <w:shd w:val="clear" w:color="000000" w:fill="FFFFFF"/>
            <w:noWrap/>
            <w:vAlign w:val="center"/>
          </w:tcPr>
          <w:p w14:paraId="55A7C84A">
            <w:pPr>
              <w:jc w:val="center"/>
              <w:rPr>
                <w:rFonts w:hint="eastAsia"/>
                <w:sz w:val="22"/>
                <w:szCs w:val="22"/>
              </w:rPr>
            </w:pPr>
            <w:r>
              <w:rPr>
                <w:rFonts w:hint="eastAsia"/>
                <w:sz w:val="22"/>
                <w:szCs w:val="22"/>
              </w:rPr>
              <w:t>114</w:t>
            </w:r>
          </w:p>
        </w:tc>
      </w:tr>
      <w:tr w14:paraId="43269B77">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5A6585C7">
            <w:pPr>
              <w:jc w:val="center"/>
              <w:rPr>
                <w:rFonts w:hint="eastAsia"/>
                <w:b/>
                <w:bCs/>
                <w:sz w:val="22"/>
                <w:szCs w:val="22"/>
              </w:rPr>
            </w:pPr>
            <w:r>
              <w:rPr>
                <w:rFonts w:hint="eastAsia"/>
                <w:b/>
                <w:bCs/>
                <w:sz w:val="22"/>
                <w:szCs w:val="22"/>
              </w:rPr>
              <w:t>7</w:t>
            </w:r>
          </w:p>
        </w:tc>
        <w:tc>
          <w:tcPr>
            <w:tcW w:w="1540" w:type="dxa"/>
            <w:tcBorders>
              <w:top w:val="nil"/>
              <w:left w:val="nil"/>
              <w:bottom w:val="single" w:color="auto" w:sz="4" w:space="0"/>
              <w:right w:val="single" w:color="auto" w:sz="4" w:space="0"/>
            </w:tcBorders>
            <w:shd w:val="clear" w:color="000000" w:fill="FFFFFF"/>
            <w:noWrap/>
            <w:vAlign w:val="center"/>
          </w:tcPr>
          <w:p w14:paraId="03CA1C88">
            <w:pPr>
              <w:jc w:val="center"/>
              <w:rPr>
                <w:rFonts w:hint="eastAsia"/>
                <w:sz w:val="22"/>
                <w:szCs w:val="22"/>
              </w:rPr>
            </w:pPr>
            <w:r>
              <w:rPr>
                <w:rFonts w:hint="eastAsia"/>
                <w:sz w:val="22"/>
                <w:szCs w:val="22"/>
              </w:rPr>
              <w:t>宇航起重29</w:t>
            </w:r>
          </w:p>
        </w:tc>
        <w:tc>
          <w:tcPr>
            <w:tcW w:w="2740" w:type="dxa"/>
            <w:tcBorders>
              <w:top w:val="nil"/>
              <w:left w:val="nil"/>
              <w:bottom w:val="single" w:color="auto" w:sz="4" w:space="0"/>
              <w:right w:val="single" w:color="auto" w:sz="4" w:space="0"/>
            </w:tcBorders>
            <w:shd w:val="clear" w:color="000000" w:fill="FFFFFF"/>
            <w:noWrap/>
            <w:vAlign w:val="center"/>
          </w:tcPr>
          <w:p w14:paraId="7BB53CD5">
            <w:pPr>
              <w:jc w:val="center"/>
              <w:rPr>
                <w:rFonts w:hint="eastAsia"/>
                <w:sz w:val="22"/>
                <w:szCs w:val="22"/>
              </w:rPr>
            </w:pPr>
            <w:r>
              <w:rPr>
                <w:rFonts w:hint="eastAsia"/>
                <w:sz w:val="22"/>
                <w:szCs w:val="22"/>
              </w:rPr>
              <w:t>全回转，非自航</w:t>
            </w:r>
          </w:p>
        </w:tc>
        <w:tc>
          <w:tcPr>
            <w:tcW w:w="1480" w:type="dxa"/>
            <w:tcBorders>
              <w:top w:val="nil"/>
              <w:left w:val="nil"/>
              <w:bottom w:val="single" w:color="auto" w:sz="4" w:space="0"/>
              <w:right w:val="single" w:color="auto" w:sz="4" w:space="0"/>
            </w:tcBorders>
            <w:shd w:val="clear" w:color="000000" w:fill="FFFFFF"/>
            <w:vAlign w:val="center"/>
          </w:tcPr>
          <w:p w14:paraId="72EBB6C1">
            <w:pPr>
              <w:jc w:val="center"/>
              <w:rPr>
                <w:rFonts w:hint="eastAsia"/>
                <w:sz w:val="22"/>
                <w:szCs w:val="22"/>
              </w:rPr>
            </w:pPr>
            <w:r>
              <w:rPr>
                <w:rFonts w:hint="eastAsia"/>
                <w:sz w:val="22"/>
                <w:szCs w:val="22"/>
              </w:rPr>
              <w:t>固定吊3000</w:t>
            </w:r>
            <w:r>
              <w:rPr>
                <w:rFonts w:hint="eastAsia"/>
                <w:sz w:val="22"/>
                <w:szCs w:val="22"/>
              </w:rPr>
              <w:br w:type="textWrapping"/>
            </w:r>
            <w:r>
              <w:rPr>
                <w:rFonts w:hint="eastAsia"/>
                <w:sz w:val="22"/>
                <w:szCs w:val="22"/>
              </w:rPr>
              <w:t>全回转2300</w:t>
            </w:r>
          </w:p>
        </w:tc>
        <w:tc>
          <w:tcPr>
            <w:tcW w:w="900" w:type="dxa"/>
            <w:tcBorders>
              <w:top w:val="nil"/>
              <w:left w:val="nil"/>
              <w:bottom w:val="single" w:color="auto" w:sz="4" w:space="0"/>
              <w:right w:val="single" w:color="auto" w:sz="4" w:space="0"/>
            </w:tcBorders>
            <w:shd w:val="clear" w:color="000000" w:fill="FFFFFF"/>
            <w:noWrap/>
            <w:vAlign w:val="center"/>
          </w:tcPr>
          <w:p w14:paraId="57CF0239">
            <w:pPr>
              <w:jc w:val="center"/>
              <w:rPr>
                <w:rFonts w:hint="eastAsia"/>
                <w:sz w:val="22"/>
                <w:szCs w:val="22"/>
              </w:rPr>
            </w:pPr>
            <w:r>
              <w:rPr>
                <w:rFonts w:hint="eastAsia"/>
                <w:sz w:val="22"/>
                <w:szCs w:val="22"/>
              </w:rPr>
              <w:t>164.55</w:t>
            </w:r>
          </w:p>
        </w:tc>
        <w:tc>
          <w:tcPr>
            <w:tcW w:w="820" w:type="dxa"/>
            <w:tcBorders>
              <w:top w:val="nil"/>
              <w:left w:val="nil"/>
              <w:bottom w:val="single" w:color="auto" w:sz="4" w:space="0"/>
              <w:right w:val="single" w:color="auto" w:sz="4" w:space="0"/>
            </w:tcBorders>
            <w:shd w:val="clear" w:color="000000" w:fill="FFFFFF"/>
            <w:noWrap/>
            <w:vAlign w:val="center"/>
          </w:tcPr>
          <w:p w14:paraId="3B952524">
            <w:pPr>
              <w:jc w:val="center"/>
              <w:rPr>
                <w:rFonts w:hint="eastAsia"/>
                <w:sz w:val="22"/>
                <w:szCs w:val="22"/>
              </w:rPr>
            </w:pPr>
            <w:r>
              <w:rPr>
                <w:rFonts w:hint="eastAsia"/>
                <w:sz w:val="22"/>
                <w:szCs w:val="22"/>
              </w:rPr>
              <w:t>45</w:t>
            </w:r>
          </w:p>
        </w:tc>
        <w:tc>
          <w:tcPr>
            <w:tcW w:w="820" w:type="dxa"/>
            <w:tcBorders>
              <w:top w:val="nil"/>
              <w:left w:val="nil"/>
              <w:bottom w:val="single" w:color="auto" w:sz="4" w:space="0"/>
              <w:right w:val="single" w:color="auto" w:sz="4" w:space="0"/>
            </w:tcBorders>
            <w:shd w:val="clear" w:color="000000" w:fill="FFFFFF"/>
            <w:noWrap/>
            <w:vAlign w:val="center"/>
          </w:tcPr>
          <w:p w14:paraId="63BEA726">
            <w:pPr>
              <w:jc w:val="center"/>
              <w:rPr>
                <w:rFonts w:hint="eastAsia"/>
                <w:sz w:val="22"/>
                <w:szCs w:val="22"/>
              </w:rPr>
            </w:pPr>
            <w:r>
              <w:rPr>
                <w:rFonts w:hint="eastAsia"/>
                <w:sz w:val="22"/>
                <w:szCs w:val="22"/>
              </w:rPr>
              <w:t>9.8</w:t>
            </w:r>
          </w:p>
        </w:tc>
        <w:tc>
          <w:tcPr>
            <w:tcW w:w="1400" w:type="dxa"/>
            <w:tcBorders>
              <w:top w:val="nil"/>
              <w:left w:val="nil"/>
              <w:bottom w:val="single" w:color="auto" w:sz="4" w:space="0"/>
              <w:right w:val="single" w:color="auto" w:sz="4" w:space="0"/>
            </w:tcBorders>
            <w:shd w:val="clear" w:color="000000" w:fill="FFFFFF"/>
            <w:noWrap/>
            <w:vAlign w:val="center"/>
          </w:tcPr>
          <w:p w14:paraId="241F4B2D">
            <w:pPr>
              <w:jc w:val="center"/>
              <w:rPr>
                <w:rFonts w:hint="eastAsia"/>
                <w:sz w:val="22"/>
                <w:szCs w:val="22"/>
              </w:rPr>
            </w:pPr>
            <w:r>
              <w:rPr>
                <w:rFonts w:hint="eastAsia"/>
                <w:sz w:val="22"/>
                <w:szCs w:val="22"/>
              </w:rPr>
              <w:t>5.5</w:t>
            </w:r>
          </w:p>
        </w:tc>
        <w:tc>
          <w:tcPr>
            <w:tcW w:w="1240" w:type="dxa"/>
            <w:tcBorders>
              <w:top w:val="nil"/>
              <w:left w:val="nil"/>
              <w:bottom w:val="single" w:color="auto" w:sz="4" w:space="0"/>
              <w:right w:val="single" w:color="auto" w:sz="4" w:space="0"/>
            </w:tcBorders>
            <w:shd w:val="clear" w:color="000000" w:fill="FFFFFF"/>
            <w:noWrap/>
            <w:vAlign w:val="center"/>
          </w:tcPr>
          <w:p w14:paraId="5F93C62D">
            <w:pPr>
              <w:jc w:val="center"/>
              <w:rPr>
                <w:rFonts w:hint="eastAsia"/>
                <w:sz w:val="22"/>
                <w:szCs w:val="22"/>
              </w:rPr>
            </w:pPr>
            <w:r>
              <w:rPr>
                <w:rFonts w:hint="eastAsia"/>
                <w:sz w:val="22"/>
                <w:szCs w:val="22"/>
              </w:rPr>
              <w:t>109</w:t>
            </w:r>
          </w:p>
        </w:tc>
      </w:tr>
      <w:tr w14:paraId="7246A244">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3B270C62">
            <w:pPr>
              <w:jc w:val="center"/>
              <w:rPr>
                <w:rFonts w:hint="eastAsia"/>
                <w:b/>
                <w:bCs/>
                <w:sz w:val="22"/>
                <w:szCs w:val="22"/>
              </w:rPr>
            </w:pPr>
            <w:r>
              <w:rPr>
                <w:rFonts w:hint="eastAsia"/>
                <w:b/>
                <w:bCs/>
                <w:sz w:val="22"/>
                <w:szCs w:val="22"/>
              </w:rPr>
              <w:t>8</w:t>
            </w:r>
          </w:p>
        </w:tc>
        <w:tc>
          <w:tcPr>
            <w:tcW w:w="1540" w:type="dxa"/>
            <w:tcBorders>
              <w:top w:val="nil"/>
              <w:left w:val="nil"/>
              <w:bottom w:val="single" w:color="auto" w:sz="4" w:space="0"/>
              <w:right w:val="single" w:color="auto" w:sz="4" w:space="0"/>
            </w:tcBorders>
            <w:shd w:val="clear" w:color="000000" w:fill="FFFFFF"/>
            <w:noWrap/>
            <w:vAlign w:val="center"/>
          </w:tcPr>
          <w:p w14:paraId="6412D182">
            <w:pPr>
              <w:jc w:val="center"/>
              <w:rPr>
                <w:rFonts w:hint="eastAsia"/>
                <w:sz w:val="22"/>
                <w:szCs w:val="22"/>
              </w:rPr>
            </w:pPr>
            <w:r>
              <w:rPr>
                <w:rFonts w:hint="eastAsia"/>
                <w:sz w:val="22"/>
                <w:szCs w:val="22"/>
              </w:rPr>
              <w:t>海隆106</w:t>
            </w:r>
          </w:p>
        </w:tc>
        <w:tc>
          <w:tcPr>
            <w:tcW w:w="2740" w:type="dxa"/>
            <w:tcBorders>
              <w:top w:val="nil"/>
              <w:left w:val="nil"/>
              <w:bottom w:val="single" w:color="auto" w:sz="4" w:space="0"/>
              <w:right w:val="single" w:color="auto" w:sz="4" w:space="0"/>
            </w:tcBorders>
            <w:shd w:val="clear" w:color="000000" w:fill="FFFFFF"/>
            <w:noWrap/>
            <w:vAlign w:val="center"/>
          </w:tcPr>
          <w:p w14:paraId="40FC5420">
            <w:pPr>
              <w:jc w:val="center"/>
              <w:rPr>
                <w:rFonts w:hint="eastAsia"/>
                <w:sz w:val="22"/>
                <w:szCs w:val="22"/>
              </w:rPr>
            </w:pPr>
            <w:r>
              <w:rPr>
                <w:rFonts w:hint="eastAsia"/>
                <w:sz w:val="22"/>
                <w:szCs w:val="22"/>
              </w:rPr>
              <w:t>全回转，非自航</w:t>
            </w:r>
          </w:p>
        </w:tc>
        <w:tc>
          <w:tcPr>
            <w:tcW w:w="1480" w:type="dxa"/>
            <w:tcBorders>
              <w:top w:val="nil"/>
              <w:left w:val="nil"/>
              <w:bottom w:val="single" w:color="auto" w:sz="4" w:space="0"/>
              <w:right w:val="single" w:color="auto" w:sz="4" w:space="0"/>
            </w:tcBorders>
            <w:shd w:val="clear" w:color="000000" w:fill="FFFFFF"/>
            <w:vAlign w:val="center"/>
          </w:tcPr>
          <w:p w14:paraId="2B3418AF">
            <w:pPr>
              <w:jc w:val="center"/>
              <w:rPr>
                <w:rFonts w:hint="eastAsia"/>
                <w:sz w:val="22"/>
                <w:szCs w:val="22"/>
              </w:rPr>
            </w:pPr>
            <w:r>
              <w:rPr>
                <w:rFonts w:hint="eastAsia"/>
                <w:sz w:val="22"/>
                <w:szCs w:val="22"/>
              </w:rPr>
              <w:t>固定吊3000</w:t>
            </w:r>
            <w:r>
              <w:rPr>
                <w:rFonts w:hint="eastAsia"/>
                <w:sz w:val="22"/>
                <w:szCs w:val="22"/>
              </w:rPr>
              <w:br w:type="textWrapping"/>
            </w:r>
            <w:r>
              <w:rPr>
                <w:rFonts w:hint="eastAsia"/>
                <w:sz w:val="22"/>
                <w:szCs w:val="22"/>
              </w:rPr>
              <w:t>全回转2000</w:t>
            </w:r>
          </w:p>
        </w:tc>
        <w:tc>
          <w:tcPr>
            <w:tcW w:w="900" w:type="dxa"/>
            <w:tcBorders>
              <w:top w:val="nil"/>
              <w:left w:val="nil"/>
              <w:bottom w:val="single" w:color="auto" w:sz="4" w:space="0"/>
              <w:right w:val="single" w:color="auto" w:sz="4" w:space="0"/>
            </w:tcBorders>
            <w:shd w:val="clear" w:color="000000" w:fill="FFFFFF"/>
            <w:noWrap/>
            <w:vAlign w:val="center"/>
          </w:tcPr>
          <w:p w14:paraId="08A3A8E0">
            <w:pPr>
              <w:jc w:val="center"/>
              <w:rPr>
                <w:rFonts w:hint="eastAsia"/>
                <w:sz w:val="22"/>
                <w:szCs w:val="22"/>
              </w:rPr>
            </w:pPr>
            <w:r>
              <w:rPr>
                <w:rFonts w:hint="eastAsia"/>
                <w:sz w:val="22"/>
                <w:szCs w:val="22"/>
              </w:rPr>
              <w:t>167</w:t>
            </w:r>
          </w:p>
        </w:tc>
        <w:tc>
          <w:tcPr>
            <w:tcW w:w="820" w:type="dxa"/>
            <w:tcBorders>
              <w:top w:val="nil"/>
              <w:left w:val="nil"/>
              <w:bottom w:val="single" w:color="auto" w:sz="4" w:space="0"/>
              <w:right w:val="single" w:color="auto" w:sz="4" w:space="0"/>
            </w:tcBorders>
            <w:shd w:val="clear" w:color="000000" w:fill="FFFFFF"/>
            <w:noWrap/>
            <w:vAlign w:val="center"/>
          </w:tcPr>
          <w:p w14:paraId="09924ECD">
            <w:pPr>
              <w:jc w:val="center"/>
              <w:rPr>
                <w:rFonts w:hint="eastAsia"/>
                <w:sz w:val="22"/>
                <w:szCs w:val="22"/>
              </w:rPr>
            </w:pPr>
            <w:r>
              <w:rPr>
                <w:rFonts w:hint="eastAsia"/>
                <w:sz w:val="22"/>
                <w:szCs w:val="22"/>
              </w:rPr>
              <w:t>46</w:t>
            </w:r>
          </w:p>
        </w:tc>
        <w:tc>
          <w:tcPr>
            <w:tcW w:w="820" w:type="dxa"/>
            <w:tcBorders>
              <w:top w:val="nil"/>
              <w:left w:val="nil"/>
              <w:bottom w:val="single" w:color="auto" w:sz="4" w:space="0"/>
              <w:right w:val="single" w:color="auto" w:sz="4" w:space="0"/>
            </w:tcBorders>
            <w:shd w:val="clear" w:color="000000" w:fill="FFFFFF"/>
            <w:noWrap/>
            <w:vAlign w:val="center"/>
          </w:tcPr>
          <w:p w14:paraId="4CE5D581">
            <w:pPr>
              <w:jc w:val="center"/>
              <w:rPr>
                <w:rFonts w:hint="eastAsia"/>
                <w:sz w:val="22"/>
                <w:szCs w:val="22"/>
              </w:rPr>
            </w:pPr>
            <w:r>
              <w:rPr>
                <w:rFonts w:hint="eastAsia"/>
                <w:sz w:val="22"/>
                <w:szCs w:val="22"/>
              </w:rPr>
              <w:t>13.5</w:t>
            </w:r>
          </w:p>
        </w:tc>
        <w:tc>
          <w:tcPr>
            <w:tcW w:w="1400" w:type="dxa"/>
            <w:tcBorders>
              <w:top w:val="nil"/>
              <w:left w:val="nil"/>
              <w:bottom w:val="single" w:color="auto" w:sz="4" w:space="0"/>
              <w:right w:val="single" w:color="auto" w:sz="4" w:space="0"/>
            </w:tcBorders>
            <w:shd w:val="clear" w:color="000000" w:fill="FFFFFF"/>
            <w:noWrap/>
            <w:vAlign w:val="center"/>
          </w:tcPr>
          <w:p w14:paraId="283C9732">
            <w:pPr>
              <w:jc w:val="center"/>
              <w:rPr>
                <w:rFonts w:hint="eastAsia"/>
                <w:sz w:val="22"/>
                <w:szCs w:val="22"/>
              </w:rPr>
            </w:pPr>
            <w:r>
              <w:rPr>
                <w:rFonts w:hint="eastAsia"/>
                <w:sz w:val="22"/>
                <w:szCs w:val="22"/>
              </w:rPr>
              <w:t>8.7</w:t>
            </w:r>
          </w:p>
        </w:tc>
        <w:tc>
          <w:tcPr>
            <w:tcW w:w="1240" w:type="dxa"/>
            <w:tcBorders>
              <w:top w:val="nil"/>
              <w:left w:val="nil"/>
              <w:bottom w:val="single" w:color="auto" w:sz="4" w:space="0"/>
              <w:right w:val="single" w:color="auto" w:sz="4" w:space="0"/>
            </w:tcBorders>
            <w:shd w:val="clear" w:color="000000" w:fill="FFFFFF"/>
            <w:noWrap/>
            <w:vAlign w:val="center"/>
          </w:tcPr>
          <w:p w14:paraId="37813121">
            <w:pPr>
              <w:jc w:val="center"/>
              <w:rPr>
                <w:rFonts w:hint="eastAsia"/>
                <w:sz w:val="22"/>
                <w:szCs w:val="22"/>
              </w:rPr>
            </w:pPr>
            <w:r>
              <w:rPr>
                <w:rFonts w:hint="eastAsia"/>
                <w:sz w:val="22"/>
                <w:szCs w:val="22"/>
              </w:rPr>
              <w:t>86.5</w:t>
            </w:r>
          </w:p>
        </w:tc>
      </w:tr>
      <w:tr w14:paraId="53CF0490">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1ACBFE65">
            <w:pPr>
              <w:jc w:val="center"/>
              <w:rPr>
                <w:rFonts w:hint="eastAsia"/>
                <w:b/>
                <w:bCs/>
                <w:sz w:val="22"/>
                <w:szCs w:val="22"/>
              </w:rPr>
            </w:pPr>
            <w:r>
              <w:rPr>
                <w:rFonts w:hint="eastAsia"/>
                <w:b/>
                <w:bCs/>
                <w:sz w:val="22"/>
                <w:szCs w:val="22"/>
              </w:rPr>
              <w:t>9</w:t>
            </w:r>
          </w:p>
        </w:tc>
        <w:tc>
          <w:tcPr>
            <w:tcW w:w="1540" w:type="dxa"/>
            <w:tcBorders>
              <w:top w:val="nil"/>
              <w:left w:val="nil"/>
              <w:bottom w:val="single" w:color="auto" w:sz="4" w:space="0"/>
              <w:right w:val="single" w:color="auto" w:sz="4" w:space="0"/>
            </w:tcBorders>
            <w:shd w:val="clear" w:color="000000" w:fill="FFFFFF"/>
            <w:noWrap/>
            <w:vAlign w:val="center"/>
          </w:tcPr>
          <w:p w14:paraId="1EEB2D8E">
            <w:pPr>
              <w:jc w:val="center"/>
              <w:rPr>
                <w:rFonts w:hint="eastAsia"/>
                <w:sz w:val="22"/>
                <w:szCs w:val="22"/>
              </w:rPr>
            </w:pPr>
            <w:r>
              <w:rPr>
                <w:rFonts w:hint="eastAsia"/>
                <w:sz w:val="22"/>
                <w:szCs w:val="22"/>
              </w:rPr>
              <w:t>能建广火002</w:t>
            </w:r>
          </w:p>
        </w:tc>
        <w:tc>
          <w:tcPr>
            <w:tcW w:w="2740" w:type="dxa"/>
            <w:tcBorders>
              <w:top w:val="nil"/>
              <w:left w:val="nil"/>
              <w:bottom w:val="single" w:color="auto" w:sz="4" w:space="0"/>
              <w:right w:val="single" w:color="auto" w:sz="4" w:space="0"/>
            </w:tcBorders>
            <w:shd w:val="clear" w:color="000000" w:fill="FFFFFF"/>
            <w:vAlign w:val="center"/>
          </w:tcPr>
          <w:p w14:paraId="3F3F514A">
            <w:pPr>
              <w:jc w:val="center"/>
              <w:rPr>
                <w:rFonts w:hint="eastAsia"/>
                <w:sz w:val="22"/>
                <w:szCs w:val="22"/>
              </w:rPr>
            </w:pPr>
            <w:r>
              <w:rPr>
                <w:rFonts w:hint="eastAsia"/>
                <w:sz w:val="22"/>
                <w:szCs w:val="22"/>
              </w:rPr>
              <w:t>全回转，非自航</w:t>
            </w:r>
          </w:p>
        </w:tc>
        <w:tc>
          <w:tcPr>
            <w:tcW w:w="1480" w:type="dxa"/>
            <w:tcBorders>
              <w:top w:val="nil"/>
              <w:left w:val="nil"/>
              <w:bottom w:val="single" w:color="auto" w:sz="4" w:space="0"/>
              <w:right w:val="single" w:color="auto" w:sz="4" w:space="0"/>
            </w:tcBorders>
            <w:shd w:val="clear" w:color="000000" w:fill="FFFFFF"/>
            <w:vAlign w:val="center"/>
          </w:tcPr>
          <w:p w14:paraId="7B1E6044">
            <w:pPr>
              <w:jc w:val="center"/>
              <w:rPr>
                <w:rFonts w:hint="eastAsia"/>
                <w:sz w:val="22"/>
                <w:szCs w:val="22"/>
              </w:rPr>
            </w:pPr>
            <w:r>
              <w:rPr>
                <w:rFonts w:hint="eastAsia"/>
                <w:sz w:val="22"/>
                <w:szCs w:val="22"/>
              </w:rPr>
              <w:t>固定吊3000</w:t>
            </w:r>
            <w:r>
              <w:rPr>
                <w:rFonts w:hint="eastAsia"/>
                <w:sz w:val="22"/>
                <w:szCs w:val="22"/>
              </w:rPr>
              <w:br w:type="textWrapping"/>
            </w:r>
            <w:r>
              <w:rPr>
                <w:rFonts w:hint="eastAsia"/>
                <w:sz w:val="22"/>
                <w:szCs w:val="22"/>
              </w:rPr>
              <w:t>全回转2400</w:t>
            </w:r>
          </w:p>
        </w:tc>
        <w:tc>
          <w:tcPr>
            <w:tcW w:w="900" w:type="dxa"/>
            <w:tcBorders>
              <w:top w:val="nil"/>
              <w:left w:val="nil"/>
              <w:bottom w:val="single" w:color="auto" w:sz="4" w:space="0"/>
              <w:right w:val="single" w:color="auto" w:sz="4" w:space="0"/>
            </w:tcBorders>
            <w:shd w:val="clear" w:color="000000" w:fill="FFFFFF"/>
            <w:noWrap/>
            <w:vAlign w:val="center"/>
          </w:tcPr>
          <w:p w14:paraId="57600F7B">
            <w:pPr>
              <w:jc w:val="center"/>
              <w:rPr>
                <w:rFonts w:hint="eastAsia"/>
                <w:sz w:val="22"/>
                <w:szCs w:val="22"/>
              </w:rPr>
            </w:pPr>
            <w:r>
              <w:rPr>
                <w:rFonts w:hint="eastAsia"/>
                <w:sz w:val="22"/>
                <w:szCs w:val="22"/>
              </w:rPr>
              <w:t>181.58</w:t>
            </w:r>
          </w:p>
        </w:tc>
        <w:tc>
          <w:tcPr>
            <w:tcW w:w="820" w:type="dxa"/>
            <w:tcBorders>
              <w:top w:val="nil"/>
              <w:left w:val="nil"/>
              <w:bottom w:val="single" w:color="auto" w:sz="4" w:space="0"/>
              <w:right w:val="single" w:color="auto" w:sz="4" w:space="0"/>
            </w:tcBorders>
            <w:shd w:val="clear" w:color="000000" w:fill="FFFFFF"/>
            <w:noWrap/>
            <w:vAlign w:val="center"/>
          </w:tcPr>
          <w:p w14:paraId="1B3EC86A">
            <w:pPr>
              <w:jc w:val="center"/>
              <w:rPr>
                <w:rFonts w:hint="eastAsia"/>
                <w:sz w:val="22"/>
                <w:szCs w:val="22"/>
              </w:rPr>
            </w:pPr>
            <w:r>
              <w:rPr>
                <w:rFonts w:hint="eastAsia"/>
                <w:sz w:val="22"/>
                <w:szCs w:val="22"/>
              </w:rPr>
              <w:t>48</w:t>
            </w:r>
          </w:p>
        </w:tc>
        <w:tc>
          <w:tcPr>
            <w:tcW w:w="820" w:type="dxa"/>
            <w:tcBorders>
              <w:top w:val="nil"/>
              <w:left w:val="nil"/>
              <w:bottom w:val="single" w:color="auto" w:sz="4" w:space="0"/>
              <w:right w:val="single" w:color="auto" w:sz="4" w:space="0"/>
            </w:tcBorders>
            <w:shd w:val="clear" w:color="000000" w:fill="FFFFFF"/>
            <w:noWrap/>
            <w:vAlign w:val="center"/>
          </w:tcPr>
          <w:p w14:paraId="529B3F1B">
            <w:pPr>
              <w:jc w:val="center"/>
              <w:rPr>
                <w:rFonts w:hint="eastAsia"/>
                <w:sz w:val="22"/>
                <w:szCs w:val="22"/>
              </w:rPr>
            </w:pPr>
            <w:r>
              <w:rPr>
                <w:rFonts w:hint="eastAsia"/>
                <w:sz w:val="22"/>
                <w:szCs w:val="22"/>
              </w:rPr>
              <w:t>13</w:t>
            </w:r>
          </w:p>
        </w:tc>
        <w:tc>
          <w:tcPr>
            <w:tcW w:w="1400" w:type="dxa"/>
            <w:tcBorders>
              <w:top w:val="nil"/>
              <w:left w:val="nil"/>
              <w:bottom w:val="single" w:color="auto" w:sz="4" w:space="0"/>
              <w:right w:val="single" w:color="auto" w:sz="4" w:space="0"/>
            </w:tcBorders>
            <w:shd w:val="clear" w:color="000000" w:fill="FFFFFF"/>
            <w:noWrap/>
            <w:vAlign w:val="center"/>
          </w:tcPr>
          <w:p w14:paraId="28D0DC48">
            <w:pPr>
              <w:jc w:val="center"/>
              <w:rPr>
                <w:rFonts w:hint="eastAsia"/>
                <w:sz w:val="22"/>
                <w:szCs w:val="22"/>
              </w:rPr>
            </w:pPr>
            <w:r>
              <w:rPr>
                <w:rFonts w:hint="eastAsia"/>
                <w:sz w:val="22"/>
                <w:szCs w:val="22"/>
              </w:rPr>
              <w:t>9</w:t>
            </w:r>
          </w:p>
        </w:tc>
        <w:tc>
          <w:tcPr>
            <w:tcW w:w="1240" w:type="dxa"/>
            <w:tcBorders>
              <w:top w:val="nil"/>
              <w:left w:val="nil"/>
              <w:bottom w:val="single" w:color="auto" w:sz="4" w:space="0"/>
              <w:right w:val="single" w:color="auto" w:sz="4" w:space="0"/>
            </w:tcBorders>
            <w:shd w:val="clear" w:color="000000" w:fill="FFFFFF"/>
            <w:noWrap/>
            <w:vAlign w:val="center"/>
          </w:tcPr>
          <w:p w14:paraId="6F9F7817">
            <w:pPr>
              <w:jc w:val="center"/>
              <w:rPr>
                <w:rFonts w:hint="eastAsia"/>
                <w:sz w:val="22"/>
                <w:szCs w:val="22"/>
              </w:rPr>
            </w:pPr>
            <w:r>
              <w:rPr>
                <w:rFonts w:hint="eastAsia"/>
                <w:sz w:val="22"/>
                <w:szCs w:val="22"/>
              </w:rPr>
              <w:t>115</w:t>
            </w:r>
          </w:p>
        </w:tc>
      </w:tr>
      <w:tr w14:paraId="254C588D">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47EEEC0B">
            <w:pPr>
              <w:jc w:val="center"/>
              <w:rPr>
                <w:rFonts w:hint="eastAsia"/>
                <w:b/>
                <w:bCs/>
                <w:sz w:val="22"/>
                <w:szCs w:val="22"/>
              </w:rPr>
            </w:pPr>
            <w:r>
              <w:rPr>
                <w:rFonts w:hint="eastAsia"/>
                <w:b/>
                <w:bCs/>
                <w:sz w:val="22"/>
                <w:szCs w:val="22"/>
              </w:rPr>
              <w:t>10</w:t>
            </w:r>
          </w:p>
        </w:tc>
        <w:tc>
          <w:tcPr>
            <w:tcW w:w="1540" w:type="dxa"/>
            <w:tcBorders>
              <w:top w:val="nil"/>
              <w:left w:val="nil"/>
              <w:bottom w:val="single" w:color="auto" w:sz="4" w:space="0"/>
              <w:right w:val="single" w:color="auto" w:sz="4" w:space="0"/>
            </w:tcBorders>
            <w:shd w:val="clear" w:color="000000" w:fill="FFFFFF"/>
            <w:noWrap/>
            <w:vAlign w:val="center"/>
          </w:tcPr>
          <w:p w14:paraId="33E232C5">
            <w:pPr>
              <w:jc w:val="center"/>
              <w:rPr>
                <w:rFonts w:hint="eastAsia"/>
                <w:sz w:val="22"/>
                <w:szCs w:val="22"/>
              </w:rPr>
            </w:pPr>
            <w:r>
              <w:rPr>
                <w:rFonts w:hint="eastAsia"/>
                <w:sz w:val="22"/>
                <w:szCs w:val="22"/>
              </w:rPr>
              <w:t>华西5000</w:t>
            </w:r>
          </w:p>
        </w:tc>
        <w:tc>
          <w:tcPr>
            <w:tcW w:w="2740" w:type="dxa"/>
            <w:tcBorders>
              <w:top w:val="nil"/>
              <w:left w:val="nil"/>
              <w:bottom w:val="single" w:color="auto" w:sz="4" w:space="0"/>
              <w:right w:val="single" w:color="auto" w:sz="4" w:space="0"/>
            </w:tcBorders>
            <w:shd w:val="clear" w:color="000000" w:fill="FFFFFF"/>
            <w:noWrap/>
            <w:vAlign w:val="center"/>
          </w:tcPr>
          <w:p w14:paraId="07C28211">
            <w:pPr>
              <w:jc w:val="center"/>
              <w:rPr>
                <w:rFonts w:hint="eastAsia"/>
                <w:sz w:val="22"/>
                <w:szCs w:val="22"/>
              </w:rPr>
            </w:pPr>
            <w:r>
              <w:rPr>
                <w:rFonts w:hint="eastAsia"/>
                <w:sz w:val="22"/>
                <w:szCs w:val="22"/>
              </w:rPr>
              <w:t>全回转，非自航</w:t>
            </w:r>
          </w:p>
        </w:tc>
        <w:tc>
          <w:tcPr>
            <w:tcW w:w="1480" w:type="dxa"/>
            <w:tcBorders>
              <w:top w:val="nil"/>
              <w:left w:val="nil"/>
              <w:bottom w:val="single" w:color="auto" w:sz="4" w:space="0"/>
              <w:right w:val="single" w:color="auto" w:sz="4" w:space="0"/>
            </w:tcBorders>
            <w:shd w:val="clear" w:color="000000" w:fill="FFFFFF"/>
            <w:vAlign w:val="center"/>
          </w:tcPr>
          <w:p w14:paraId="4C047920">
            <w:pPr>
              <w:jc w:val="center"/>
              <w:rPr>
                <w:rFonts w:hint="eastAsia"/>
                <w:sz w:val="22"/>
                <w:szCs w:val="22"/>
              </w:rPr>
            </w:pPr>
            <w:r>
              <w:rPr>
                <w:rFonts w:hint="eastAsia"/>
                <w:sz w:val="22"/>
                <w:szCs w:val="22"/>
              </w:rPr>
              <w:t>固定吊5000</w:t>
            </w:r>
            <w:r>
              <w:rPr>
                <w:rFonts w:hint="eastAsia"/>
                <w:sz w:val="22"/>
                <w:szCs w:val="22"/>
              </w:rPr>
              <w:br w:type="textWrapping"/>
            </w:r>
            <w:r>
              <w:rPr>
                <w:rFonts w:hint="eastAsia"/>
                <w:sz w:val="22"/>
                <w:szCs w:val="22"/>
              </w:rPr>
              <w:t>全回转3000</w:t>
            </w:r>
          </w:p>
        </w:tc>
        <w:tc>
          <w:tcPr>
            <w:tcW w:w="900" w:type="dxa"/>
            <w:tcBorders>
              <w:top w:val="nil"/>
              <w:left w:val="nil"/>
              <w:bottom w:val="single" w:color="auto" w:sz="4" w:space="0"/>
              <w:right w:val="single" w:color="auto" w:sz="4" w:space="0"/>
            </w:tcBorders>
            <w:shd w:val="clear" w:color="000000" w:fill="FFFFFF"/>
            <w:noWrap/>
            <w:vAlign w:val="center"/>
          </w:tcPr>
          <w:p w14:paraId="62A7AE3E">
            <w:pPr>
              <w:jc w:val="center"/>
              <w:rPr>
                <w:rFonts w:hint="eastAsia"/>
                <w:sz w:val="22"/>
                <w:szCs w:val="22"/>
              </w:rPr>
            </w:pPr>
            <w:r>
              <w:rPr>
                <w:rFonts w:hint="eastAsia"/>
                <w:sz w:val="22"/>
                <w:szCs w:val="22"/>
              </w:rPr>
              <w:t>178</w:t>
            </w:r>
          </w:p>
        </w:tc>
        <w:tc>
          <w:tcPr>
            <w:tcW w:w="820" w:type="dxa"/>
            <w:tcBorders>
              <w:top w:val="nil"/>
              <w:left w:val="nil"/>
              <w:bottom w:val="single" w:color="auto" w:sz="4" w:space="0"/>
              <w:right w:val="single" w:color="auto" w:sz="4" w:space="0"/>
            </w:tcBorders>
            <w:shd w:val="clear" w:color="000000" w:fill="FFFFFF"/>
            <w:noWrap/>
            <w:vAlign w:val="center"/>
          </w:tcPr>
          <w:p w14:paraId="55D476C2">
            <w:pPr>
              <w:jc w:val="center"/>
              <w:rPr>
                <w:rFonts w:hint="eastAsia"/>
                <w:sz w:val="22"/>
                <w:szCs w:val="22"/>
              </w:rPr>
            </w:pPr>
            <w:r>
              <w:rPr>
                <w:rFonts w:hint="eastAsia"/>
                <w:sz w:val="22"/>
                <w:szCs w:val="22"/>
              </w:rPr>
              <w:t>48</w:t>
            </w:r>
          </w:p>
        </w:tc>
        <w:tc>
          <w:tcPr>
            <w:tcW w:w="820" w:type="dxa"/>
            <w:tcBorders>
              <w:top w:val="nil"/>
              <w:left w:val="nil"/>
              <w:bottom w:val="single" w:color="auto" w:sz="4" w:space="0"/>
              <w:right w:val="single" w:color="auto" w:sz="4" w:space="0"/>
            </w:tcBorders>
            <w:shd w:val="clear" w:color="000000" w:fill="FFFFFF"/>
            <w:noWrap/>
            <w:vAlign w:val="center"/>
          </w:tcPr>
          <w:p w14:paraId="52DCE271">
            <w:pPr>
              <w:jc w:val="center"/>
              <w:rPr>
                <w:rFonts w:hint="eastAsia"/>
                <w:sz w:val="22"/>
                <w:szCs w:val="22"/>
              </w:rPr>
            </w:pPr>
            <w:r>
              <w:rPr>
                <w:rFonts w:hint="eastAsia"/>
                <w:sz w:val="22"/>
                <w:szCs w:val="22"/>
              </w:rPr>
              <w:t>17</w:t>
            </w:r>
          </w:p>
        </w:tc>
        <w:tc>
          <w:tcPr>
            <w:tcW w:w="1400" w:type="dxa"/>
            <w:tcBorders>
              <w:top w:val="nil"/>
              <w:left w:val="nil"/>
              <w:bottom w:val="single" w:color="auto" w:sz="4" w:space="0"/>
              <w:right w:val="single" w:color="auto" w:sz="4" w:space="0"/>
            </w:tcBorders>
            <w:shd w:val="clear" w:color="000000" w:fill="FFFFFF"/>
            <w:noWrap/>
            <w:vAlign w:val="center"/>
          </w:tcPr>
          <w:p w14:paraId="7EE7ED74">
            <w:pPr>
              <w:jc w:val="center"/>
              <w:rPr>
                <w:rFonts w:hint="eastAsia"/>
                <w:sz w:val="22"/>
                <w:szCs w:val="22"/>
              </w:rPr>
            </w:pPr>
            <w:r>
              <w:rPr>
                <w:rFonts w:hint="eastAsia"/>
                <w:sz w:val="22"/>
                <w:szCs w:val="22"/>
              </w:rPr>
              <w:t>11.5</w:t>
            </w:r>
          </w:p>
        </w:tc>
        <w:tc>
          <w:tcPr>
            <w:tcW w:w="1240" w:type="dxa"/>
            <w:tcBorders>
              <w:top w:val="nil"/>
              <w:left w:val="nil"/>
              <w:bottom w:val="single" w:color="auto" w:sz="4" w:space="0"/>
              <w:right w:val="single" w:color="auto" w:sz="4" w:space="0"/>
            </w:tcBorders>
            <w:shd w:val="clear" w:color="000000" w:fill="FFFFFF"/>
            <w:noWrap/>
            <w:vAlign w:val="center"/>
          </w:tcPr>
          <w:p w14:paraId="228D6444">
            <w:pPr>
              <w:jc w:val="center"/>
              <w:rPr>
                <w:rFonts w:hint="eastAsia"/>
                <w:sz w:val="22"/>
                <w:szCs w:val="22"/>
              </w:rPr>
            </w:pPr>
            <w:r>
              <w:rPr>
                <w:rFonts w:hint="eastAsia"/>
                <w:sz w:val="22"/>
                <w:szCs w:val="22"/>
              </w:rPr>
              <w:t>100</w:t>
            </w:r>
          </w:p>
        </w:tc>
      </w:tr>
      <w:tr w14:paraId="313FDF48">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7CEDD683">
            <w:pPr>
              <w:jc w:val="center"/>
              <w:rPr>
                <w:rFonts w:hint="eastAsia"/>
                <w:b/>
                <w:bCs/>
                <w:sz w:val="22"/>
                <w:szCs w:val="22"/>
              </w:rPr>
            </w:pPr>
            <w:r>
              <w:rPr>
                <w:rFonts w:hint="eastAsia"/>
                <w:b/>
                <w:bCs/>
                <w:sz w:val="22"/>
                <w:szCs w:val="22"/>
              </w:rPr>
              <w:t>11</w:t>
            </w:r>
          </w:p>
        </w:tc>
        <w:tc>
          <w:tcPr>
            <w:tcW w:w="1540" w:type="dxa"/>
            <w:tcBorders>
              <w:top w:val="nil"/>
              <w:left w:val="nil"/>
              <w:bottom w:val="single" w:color="auto" w:sz="4" w:space="0"/>
              <w:right w:val="single" w:color="auto" w:sz="4" w:space="0"/>
            </w:tcBorders>
            <w:shd w:val="clear" w:color="000000" w:fill="FFFFFF"/>
            <w:noWrap/>
            <w:vAlign w:val="center"/>
          </w:tcPr>
          <w:p w14:paraId="4B4B4FC2">
            <w:pPr>
              <w:jc w:val="center"/>
              <w:rPr>
                <w:rFonts w:hint="eastAsia"/>
                <w:sz w:val="22"/>
                <w:szCs w:val="22"/>
              </w:rPr>
            </w:pPr>
            <w:r>
              <w:rPr>
                <w:rFonts w:hint="eastAsia"/>
                <w:sz w:val="22"/>
                <w:szCs w:val="22"/>
              </w:rPr>
              <w:t>冠盛一航</w:t>
            </w:r>
          </w:p>
        </w:tc>
        <w:tc>
          <w:tcPr>
            <w:tcW w:w="2740" w:type="dxa"/>
            <w:tcBorders>
              <w:top w:val="nil"/>
              <w:left w:val="nil"/>
              <w:bottom w:val="single" w:color="auto" w:sz="4" w:space="0"/>
              <w:right w:val="single" w:color="auto" w:sz="4" w:space="0"/>
            </w:tcBorders>
            <w:shd w:val="clear" w:color="000000" w:fill="FFFFFF"/>
            <w:noWrap/>
            <w:vAlign w:val="center"/>
          </w:tcPr>
          <w:p w14:paraId="233F9C2C">
            <w:pPr>
              <w:jc w:val="center"/>
              <w:rPr>
                <w:rFonts w:hint="eastAsia"/>
                <w:sz w:val="22"/>
                <w:szCs w:val="22"/>
              </w:rPr>
            </w:pPr>
            <w:r>
              <w:rPr>
                <w:rFonts w:hint="eastAsia"/>
                <w:sz w:val="22"/>
                <w:szCs w:val="22"/>
              </w:rPr>
              <w:t>全回转，非自航</w:t>
            </w:r>
          </w:p>
        </w:tc>
        <w:tc>
          <w:tcPr>
            <w:tcW w:w="1480" w:type="dxa"/>
            <w:tcBorders>
              <w:top w:val="nil"/>
              <w:left w:val="nil"/>
              <w:bottom w:val="single" w:color="auto" w:sz="4" w:space="0"/>
              <w:right w:val="single" w:color="auto" w:sz="4" w:space="0"/>
            </w:tcBorders>
            <w:shd w:val="clear" w:color="000000" w:fill="FFFFFF"/>
            <w:vAlign w:val="center"/>
          </w:tcPr>
          <w:p w14:paraId="5A56FD87">
            <w:pPr>
              <w:jc w:val="center"/>
              <w:rPr>
                <w:rFonts w:hint="eastAsia"/>
                <w:sz w:val="22"/>
                <w:szCs w:val="22"/>
              </w:rPr>
            </w:pPr>
            <w:r>
              <w:rPr>
                <w:rFonts w:hint="eastAsia"/>
                <w:sz w:val="22"/>
                <w:szCs w:val="22"/>
              </w:rPr>
              <w:t>固定吊4600</w:t>
            </w:r>
            <w:r>
              <w:rPr>
                <w:rFonts w:hint="eastAsia"/>
                <w:sz w:val="22"/>
                <w:szCs w:val="22"/>
              </w:rPr>
              <w:br w:type="textWrapping"/>
            </w:r>
            <w:r>
              <w:rPr>
                <w:rFonts w:hint="eastAsia"/>
                <w:sz w:val="22"/>
                <w:szCs w:val="22"/>
              </w:rPr>
              <w:t>全回转3000</w:t>
            </w:r>
          </w:p>
        </w:tc>
        <w:tc>
          <w:tcPr>
            <w:tcW w:w="900" w:type="dxa"/>
            <w:tcBorders>
              <w:top w:val="nil"/>
              <w:left w:val="nil"/>
              <w:bottom w:val="single" w:color="auto" w:sz="4" w:space="0"/>
              <w:right w:val="single" w:color="auto" w:sz="4" w:space="0"/>
            </w:tcBorders>
            <w:shd w:val="clear" w:color="000000" w:fill="FFFFFF"/>
            <w:noWrap/>
            <w:vAlign w:val="center"/>
          </w:tcPr>
          <w:p w14:paraId="56491110">
            <w:pPr>
              <w:jc w:val="center"/>
              <w:rPr>
                <w:rFonts w:hint="eastAsia"/>
                <w:sz w:val="22"/>
                <w:szCs w:val="22"/>
              </w:rPr>
            </w:pPr>
            <w:r>
              <w:rPr>
                <w:rFonts w:hint="eastAsia"/>
                <w:sz w:val="22"/>
                <w:szCs w:val="22"/>
              </w:rPr>
              <w:t>168.8</w:t>
            </w:r>
          </w:p>
        </w:tc>
        <w:tc>
          <w:tcPr>
            <w:tcW w:w="820" w:type="dxa"/>
            <w:tcBorders>
              <w:top w:val="nil"/>
              <w:left w:val="nil"/>
              <w:bottom w:val="single" w:color="auto" w:sz="4" w:space="0"/>
              <w:right w:val="single" w:color="auto" w:sz="4" w:space="0"/>
            </w:tcBorders>
            <w:shd w:val="clear" w:color="000000" w:fill="FFFFFF"/>
            <w:noWrap/>
            <w:vAlign w:val="center"/>
          </w:tcPr>
          <w:p w14:paraId="4C2077AA">
            <w:pPr>
              <w:jc w:val="center"/>
              <w:rPr>
                <w:rFonts w:hint="eastAsia"/>
                <w:sz w:val="22"/>
                <w:szCs w:val="22"/>
              </w:rPr>
            </w:pPr>
            <w:r>
              <w:rPr>
                <w:rFonts w:hint="eastAsia"/>
                <w:sz w:val="22"/>
                <w:szCs w:val="22"/>
              </w:rPr>
              <w:t>51.8</w:t>
            </w:r>
          </w:p>
        </w:tc>
        <w:tc>
          <w:tcPr>
            <w:tcW w:w="820" w:type="dxa"/>
            <w:tcBorders>
              <w:top w:val="nil"/>
              <w:left w:val="nil"/>
              <w:bottom w:val="single" w:color="auto" w:sz="4" w:space="0"/>
              <w:right w:val="single" w:color="auto" w:sz="4" w:space="0"/>
            </w:tcBorders>
            <w:shd w:val="clear" w:color="000000" w:fill="FFFFFF"/>
            <w:noWrap/>
            <w:vAlign w:val="center"/>
          </w:tcPr>
          <w:p w14:paraId="149BA155">
            <w:pPr>
              <w:jc w:val="center"/>
              <w:rPr>
                <w:rFonts w:hint="eastAsia"/>
                <w:sz w:val="22"/>
                <w:szCs w:val="22"/>
              </w:rPr>
            </w:pPr>
            <w:r>
              <w:rPr>
                <w:rFonts w:hint="eastAsia"/>
                <w:sz w:val="22"/>
                <w:szCs w:val="22"/>
              </w:rPr>
              <w:t>11.8</w:t>
            </w:r>
          </w:p>
        </w:tc>
        <w:tc>
          <w:tcPr>
            <w:tcW w:w="1400" w:type="dxa"/>
            <w:tcBorders>
              <w:top w:val="nil"/>
              <w:left w:val="nil"/>
              <w:bottom w:val="single" w:color="auto" w:sz="4" w:space="0"/>
              <w:right w:val="single" w:color="auto" w:sz="4" w:space="0"/>
            </w:tcBorders>
            <w:shd w:val="clear" w:color="000000" w:fill="FFFFFF"/>
            <w:noWrap/>
            <w:vAlign w:val="center"/>
          </w:tcPr>
          <w:p w14:paraId="3188F4EC">
            <w:pPr>
              <w:jc w:val="center"/>
              <w:rPr>
                <w:rFonts w:hint="eastAsia"/>
                <w:sz w:val="22"/>
                <w:szCs w:val="22"/>
              </w:rPr>
            </w:pPr>
            <w:r>
              <w:rPr>
                <w:rFonts w:hint="eastAsia"/>
                <w:sz w:val="22"/>
                <w:szCs w:val="22"/>
              </w:rPr>
              <w:t>6.8</w:t>
            </w:r>
          </w:p>
        </w:tc>
        <w:tc>
          <w:tcPr>
            <w:tcW w:w="1240" w:type="dxa"/>
            <w:tcBorders>
              <w:top w:val="nil"/>
              <w:left w:val="nil"/>
              <w:bottom w:val="single" w:color="auto" w:sz="4" w:space="0"/>
              <w:right w:val="single" w:color="auto" w:sz="4" w:space="0"/>
            </w:tcBorders>
            <w:shd w:val="clear" w:color="000000" w:fill="FFFFFF"/>
            <w:noWrap/>
            <w:vAlign w:val="center"/>
          </w:tcPr>
          <w:p w14:paraId="6E28E0AB">
            <w:pPr>
              <w:jc w:val="center"/>
              <w:rPr>
                <w:rFonts w:hint="eastAsia"/>
                <w:sz w:val="22"/>
                <w:szCs w:val="22"/>
              </w:rPr>
            </w:pPr>
            <w:r>
              <w:rPr>
                <w:rFonts w:hint="eastAsia"/>
                <w:sz w:val="22"/>
                <w:szCs w:val="22"/>
              </w:rPr>
              <w:t>125</w:t>
            </w:r>
          </w:p>
        </w:tc>
      </w:tr>
      <w:tr w14:paraId="2CDCD4F8">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7A659B01">
            <w:pPr>
              <w:jc w:val="center"/>
              <w:rPr>
                <w:rFonts w:hint="eastAsia"/>
                <w:b/>
                <w:bCs/>
                <w:sz w:val="22"/>
                <w:szCs w:val="22"/>
              </w:rPr>
            </w:pPr>
            <w:r>
              <w:rPr>
                <w:rFonts w:hint="eastAsia"/>
                <w:b/>
                <w:bCs/>
                <w:sz w:val="22"/>
                <w:szCs w:val="22"/>
              </w:rPr>
              <w:t>12</w:t>
            </w:r>
          </w:p>
        </w:tc>
        <w:tc>
          <w:tcPr>
            <w:tcW w:w="1540" w:type="dxa"/>
            <w:tcBorders>
              <w:top w:val="nil"/>
              <w:left w:val="nil"/>
              <w:bottom w:val="single" w:color="auto" w:sz="4" w:space="0"/>
              <w:right w:val="single" w:color="auto" w:sz="4" w:space="0"/>
            </w:tcBorders>
            <w:shd w:val="clear" w:color="000000" w:fill="FFFFFF"/>
            <w:noWrap/>
            <w:vAlign w:val="center"/>
          </w:tcPr>
          <w:p w14:paraId="26F86B01">
            <w:pPr>
              <w:jc w:val="center"/>
              <w:rPr>
                <w:rFonts w:hint="eastAsia"/>
                <w:sz w:val="22"/>
                <w:szCs w:val="22"/>
              </w:rPr>
            </w:pPr>
            <w:r>
              <w:rPr>
                <w:rFonts w:hint="eastAsia"/>
                <w:sz w:val="22"/>
                <w:szCs w:val="22"/>
              </w:rPr>
              <w:t>二航卓越</w:t>
            </w:r>
          </w:p>
        </w:tc>
        <w:tc>
          <w:tcPr>
            <w:tcW w:w="2740" w:type="dxa"/>
            <w:tcBorders>
              <w:top w:val="nil"/>
              <w:left w:val="nil"/>
              <w:bottom w:val="single" w:color="auto" w:sz="4" w:space="0"/>
              <w:right w:val="single" w:color="auto" w:sz="4" w:space="0"/>
            </w:tcBorders>
            <w:noWrap/>
            <w:vAlign w:val="center"/>
          </w:tcPr>
          <w:p w14:paraId="232DBFBC">
            <w:pPr>
              <w:jc w:val="center"/>
              <w:rPr>
                <w:rFonts w:hint="eastAsia"/>
                <w:sz w:val="22"/>
                <w:szCs w:val="22"/>
              </w:rPr>
            </w:pPr>
            <w:r>
              <w:rPr>
                <w:rFonts w:hint="eastAsia"/>
                <w:sz w:val="22"/>
                <w:szCs w:val="22"/>
              </w:rPr>
              <w:t>双臂架变幅式，非自航</w:t>
            </w:r>
          </w:p>
        </w:tc>
        <w:tc>
          <w:tcPr>
            <w:tcW w:w="1480" w:type="dxa"/>
            <w:tcBorders>
              <w:top w:val="nil"/>
              <w:left w:val="nil"/>
              <w:bottom w:val="single" w:color="auto" w:sz="4" w:space="0"/>
              <w:right w:val="single" w:color="auto" w:sz="4" w:space="0"/>
            </w:tcBorders>
            <w:shd w:val="clear" w:color="000000" w:fill="FFFFFF"/>
            <w:vAlign w:val="center"/>
          </w:tcPr>
          <w:p w14:paraId="2D2155E1">
            <w:pPr>
              <w:jc w:val="center"/>
              <w:rPr>
                <w:rFonts w:hint="eastAsia"/>
                <w:sz w:val="22"/>
                <w:szCs w:val="22"/>
              </w:rPr>
            </w:pPr>
            <w:r>
              <w:rPr>
                <w:rFonts w:hint="eastAsia"/>
                <w:sz w:val="22"/>
                <w:szCs w:val="22"/>
              </w:rPr>
              <w:t>5500</w:t>
            </w:r>
          </w:p>
        </w:tc>
        <w:tc>
          <w:tcPr>
            <w:tcW w:w="900" w:type="dxa"/>
            <w:tcBorders>
              <w:top w:val="nil"/>
              <w:left w:val="nil"/>
              <w:bottom w:val="single" w:color="auto" w:sz="4" w:space="0"/>
              <w:right w:val="single" w:color="auto" w:sz="4" w:space="0"/>
            </w:tcBorders>
            <w:shd w:val="clear" w:color="000000" w:fill="FFFFFF"/>
            <w:noWrap/>
            <w:vAlign w:val="center"/>
          </w:tcPr>
          <w:p w14:paraId="72E8769F">
            <w:pPr>
              <w:jc w:val="center"/>
              <w:rPr>
                <w:rFonts w:hint="eastAsia"/>
                <w:sz w:val="22"/>
                <w:szCs w:val="22"/>
              </w:rPr>
            </w:pPr>
            <w:r>
              <w:rPr>
                <w:rFonts w:hint="eastAsia"/>
                <w:sz w:val="22"/>
                <w:szCs w:val="22"/>
              </w:rPr>
              <w:t>165</w:t>
            </w:r>
          </w:p>
        </w:tc>
        <w:tc>
          <w:tcPr>
            <w:tcW w:w="820" w:type="dxa"/>
            <w:tcBorders>
              <w:top w:val="nil"/>
              <w:left w:val="nil"/>
              <w:bottom w:val="single" w:color="auto" w:sz="4" w:space="0"/>
              <w:right w:val="single" w:color="auto" w:sz="4" w:space="0"/>
            </w:tcBorders>
            <w:shd w:val="clear" w:color="000000" w:fill="FFFFFF"/>
            <w:noWrap/>
            <w:vAlign w:val="center"/>
          </w:tcPr>
          <w:p w14:paraId="5B1BA274">
            <w:pPr>
              <w:jc w:val="center"/>
              <w:rPr>
                <w:rFonts w:hint="eastAsia"/>
                <w:sz w:val="22"/>
                <w:szCs w:val="22"/>
              </w:rPr>
            </w:pPr>
            <w:r>
              <w:rPr>
                <w:rFonts w:hint="eastAsia"/>
                <w:sz w:val="22"/>
                <w:szCs w:val="22"/>
              </w:rPr>
              <w:t>52</w:t>
            </w:r>
          </w:p>
        </w:tc>
        <w:tc>
          <w:tcPr>
            <w:tcW w:w="820" w:type="dxa"/>
            <w:tcBorders>
              <w:top w:val="nil"/>
              <w:left w:val="nil"/>
              <w:bottom w:val="single" w:color="auto" w:sz="4" w:space="0"/>
              <w:right w:val="single" w:color="auto" w:sz="4" w:space="0"/>
            </w:tcBorders>
            <w:shd w:val="clear" w:color="000000" w:fill="FFFFFF"/>
            <w:noWrap/>
            <w:vAlign w:val="center"/>
          </w:tcPr>
          <w:p w14:paraId="4E341D2C">
            <w:pPr>
              <w:jc w:val="center"/>
              <w:rPr>
                <w:rFonts w:hint="eastAsia"/>
                <w:sz w:val="22"/>
                <w:szCs w:val="22"/>
              </w:rPr>
            </w:pPr>
            <w:r>
              <w:rPr>
                <w:rFonts w:hint="eastAsia"/>
                <w:sz w:val="22"/>
                <w:szCs w:val="22"/>
              </w:rPr>
              <w:t>11</w:t>
            </w:r>
          </w:p>
        </w:tc>
        <w:tc>
          <w:tcPr>
            <w:tcW w:w="1400" w:type="dxa"/>
            <w:tcBorders>
              <w:top w:val="nil"/>
              <w:left w:val="nil"/>
              <w:bottom w:val="single" w:color="auto" w:sz="4" w:space="0"/>
              <w:right w:val="single" w:color="auto" w:sz="4" w:space="0"/>
            </w:tcBorders>
            <w:shd w:val="clear" w:color="000000" w:fill="FFFFFF"/>
            <w:noWrap/>
            <w:vAlign w:val="center"/>
          </w:tcPr>
          <w:p w14:paraId="40500371">
            <w:pPr>
              <w:jc w:val="center"/>
              <w:rPr>
                <w:rFonts w:hint="eastAsia"/>
                <w:sz w:val="22"/>
                <w:szCs w:val="22"/>
              </w:rPr>
            </w:pPr>
            <w:r>
              <w:rPr>
                <w:rFonts w:hint="eastAsia"/>
                <w:sz w:val="22"/>
                <w:szCs w:val="22"/>
              </w:rPr>
              <w:t>6.5</w:t>
            </w:r>
          </w:p>
        </w:tc>
        <w:tc>
          <w:tcPr>
            <w:tcW w:w="1240" w:type="dxa"/>
            <w:tcBorders>
              <w:top w:val="nil"/>
              <w:left w:val="nil"/>
              <w:bottom w:val="single" w:color="auto" w:sz="4" w:space="0"/>
              <w:right w:val="single" w:color="auto" w:sz="4" w:space="0"/>
            </w:tcBorders>
            <w:shd w:val="clear" w:color="000000" w:fill="FFFFFF"/>
            <w:noWrap/>
            <w:vAlign w:val="center"/>
          </w:tcPr>
          <w:p w14:paraId="58A0D373">
            <w:pPr>
              <w:jc w:val="center"/>
              <w:rPr>
                <w:rFonts w:hint="eastAsia"/>
                <w:sz w:val="22"/>
                <w:szCs w:val="22"/>
              </w:rPr>
            </w:pPr>
            <w:r>
              <w:rPr>
                <w:rFonts w:hint="eastAsia"/>
                <w:sz w:val="22"/>
                <w:szCs w:val="22"/>
              </w:rPr>
              <w:t>130</w:t>
            </w:r>
          </w:p>
        </w:tc>
      </w:tr>
      <w:tr w14:paraId="7E36A0A2">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2EE3010A">
            <w:pPr>
              <w:jc w:val="center"/>
              <w:rPr>
                <w:rFonts w:hint="eastAsia"/>
                <w:b/>
                <w:bCs/>
                <w:sz w:val="22"/>
                <w:szCs w:val="22"/>
              </w:rPr>
            </w:pPr>
            <w:r>
              <w:rPr>
                <w:rFonts w:hint="eastAsia"/>
                <w:b/>
                <w:bCs/>
                <w:sz w:val="22"/>
                <w:szCs w:val="22"/>
              </w:rPr>
              <w:t>13</w:t>
            </w:r>
          </w:p>
        </w:tc>
        <w:tc>
          <w:tcPr>
            <w:tcW w:w="1540" w:type="dxa"/>
            <w:tcBorders>
              <w:top w:val="nil"/>
              <w:left w:val="nil"/>
              <w:bottom w:val="single" w:color="auto" w:sz="4" w:space="0"/>
              <w:right w:val="single" w:color="auto" w:sz="4" w:space="0"/>
            </w:tcBorders>
            <w:shd w:val="clear" w:color="000000" w:fill="FFFFFF"/>
            <w:noWrap/>
            <w:vAlign w:val="center"/>
          </w:tcPr>
          <w:p w14:paraId="55ABB965">
            <w:pPr>
              <w:jc w:val="center"/>
              <w:rPr>
                <w:rFonts w:hint="eastAsia"/>
                <w:sz w:val="22"/>
                <w:szCs w:val="22"/>
              </w:rPr>
            </w:pPr>
            <w:r>
              <w:rPr>
                <w:rFonts w:hint="eastAsia"/>
                <w:sz w:val="22"/>
                <w:szCs w:val="22"/>
              </w:rPr>
              <w:t>新振浮7</w:t>
            </w:r>
          </w:p>
        </w:tc>
        <w:tc>
          <w:tcPr>
            <w:tcW w:w="2740" w:type="dxa"/>
            <w:tcBorders>
              <w:top w:val="nil"/>
              <w:left w:val="nil"/>
              <w:bottom w:val="single" w:color="auto" w:sz="4" w:space="0"/>
              <w:right w:val="single" w:color="auto" w:sz="4" w:space="0"/>
            </w:tcBorders>
            <w:noWrap/>
            <w:vAlign w:val="center"/>
          </w:tcPr>
          <w:p w14:paraId="37F42C96">
            <w:pPr>
              <w:jc w:val="center"/>
              <w:rPr>
                <w:rFonts w:hint="eastAsia"/>
                <w:sz w:val="22"/>
                <w:szCs w:val="22"/>
              </w:rPr>
            </w:pPr>
            <w:r>
              <w:rPr>
                <w:rFonts w:hint="eastAsia"/>
                <w:sz w:val="22"/>
                <w:szCs w:val="22"/>
              </w:rPr>
              <w:t>单臂架变幅式，非自航</w:t>
            </w:r>
          </w:p>
        </w:tc>
        <w:tc>
          <w:tcPr>
            <w:tcW w:w="1480" w:type="dxa"/>
            <w:tcBorders>
              <w:top w:val="nil"/>
              <w:left w:val="nil"/>
              <w:bottom w:val="single" w:color="auto" w:sz="4" w:space="0"/>
              <w:right w:val="single" w:color="auto" w:sz="4" w:space="0"/>
            </w:tcBorders>
            <w:shd w:val="clear" w:color="000000" w:fill="FFFFFF"/>
            <w:vAlign w:val="center"/>
          </w:tcPr>
          <w:p w14:paraId="2D5F489D">
            <w:pPr>
              <w:jc w:val="center"/>
              <w:rPr>
                <w:rFonts w:hint="eastAsia"/>
                <w:sz w:val="22"/>
                <w:szCs w:val="22"/>
              </w:rPr>
            </w:pPr>
            <w:r>
              <w:rPr>
                <w:rFonts w:hint="eastAsia"/>
                <w:sz w:val="22"/>
                <w:szCs w:val="22"/>
              </w:rPr>
              <w:t>5000</w:t>
            </w:r>
          </w:p>
        </w:tc>
        <w:tc>
          <w:tcPr>
            <w:tcW w:w="900" w:type="dxa"/>
            <w:tcBorders>
              <w:top w:val="nil"/>
              <w:left w:val="nil"/>
              <w:bottom w:val="single" w:color="auto" w:sz="4" w:space="0"/>
              <w:right w:val="single" w:color="auto" w:sz="4" w:space="0"/>
            </w:tcBorders>
            <w:shd w:val="clear" w:color="000000" w:fill="FFFFFF"/>
            <w:noWrap/>
            <w:vAlign w:val="center"/>
          </w:tcPr>
          <w:p w14:paraId="3B718BDF">
            <w:pPr>
              <w:jc w:val="center"/>
              <w:rPr>
                <w:rFonts w:hint="eastAsia"/>
                <w:sz w:val="22"/>
                <w:szCs w:val="22"/>
              </w:rPr>
            </w:pPr>
            <w:r>
              <w:rPr>
                <w:rFonts w:hint="eastAsia"/>
                <w:sz w:val="22"/>
                <w:szCs w:val="22"/>
              </w:rPr>
              <w:t>141.7</w:t>
            </w:r>
          </w:p>
        </w:tc>
        <w:tc>
          <w:tcPr>
            <w:tcW w:w="820" w:type="dxa"/>
            <w:tcBorders>
              <w:top w:val="nil"/>
              <w:left w:val="nil"/>
              <w:bottom w:val="single" w:color="auto" w:sz="4" w:space="0"/>
              <w:right w:val="single" w:color="auto" w:sz="4" w:space="0"/>
            </w:tcBorders>
            <w:shd w:val="clear" w:color="000000" w:fill="FFFFFF"/>
            <w:noWrap/>
            <w:vAlign w:val="center"/>
          </w:tcPr>
          <w:p w14:paraId="0E0FC5E1">
            <w:pPr>
              <w:jc w:val="center"/>
              <w:rPr>
                <w:rFonts w:hint="eastAsia"/>
                <w:sz w:val="22"/>
                <w:szCs w:val="22"/>
              </w:rPr>
            </w:pPr>
            <w:r>
              <w:rPr>
                <w:rFonts w:hint="eastAsia"/>
                <w:sz w:val="22"/>
                <w:szCs w:val="22"/>
              </w:rPr>
              <w:t>50.8</w:t>
            </w:r>
          </w:p>
        </w:tc>
        <w:tc>
          <w:tcPr>
            <w:tcW w:w="820" w:type="dxa"/>
            <w:tcBorders>
              <w:top w:val="nil"/>
              <w:left w:val="nil"/>
              <w:bottom w:val="single" w:color="auto" w:sz="4" w:space="0"/>
              <w:right w:val="single" w:color="auto" w:sz="4" w:space="0"/>
            </w:tcBorders>
            <w:shd w:val="clear" w:color="000000" w:fill="FFFFFF"/>
            <w:noWrap/>
            <w:vAlign w:val="center"/>
          </w:tcPr>
          <w:p w14:paraId="0E26F061">
            <w:pPr>
              <w:jc w:val="center"/>
              <w:rPr>
                <w:rFonts w:hint="eastAsia"/>
                <w:sz w:val="22"/>
                <w:szCs w:val="22"/>
              </w:rPr>
            </w:pPr>
            <w:r>
              <w:rPr>
                <w:rFonts w:hint="eastAsia"/>
                <w:sz w:val="22"/>
                <w:szCs w:val="22"/>
              </w:rPr>
              <w:t>9.6</w:t>
            </w:r>
          </w:p>
        </w:tc>
        <w:tc>
          <w:tcPr>
            <w:tcW w:w="1400" w:type="dxa"/>
            <w:tcBorders>
              <w:top w:val="nil"/>
              <w:left w:val="nil"/>
              <w:bottom w:val="single" w:color="auto" w:sz="4" w:space="0"/>
              <w:right w:val="single" w:color="auto" w:sz="4" w:space="0"/>
            </w:tcBorders>
            <w:shd w:val="clear" w:color="000000" w:fill="FFFFFF"/>
            <w:noWrap/>
            <w:vAlign w:val="center"/>
          </w:tcPr>
          <w:p w14:paraId="06E07017">
            <w:pPr>
              <w:jc w:val="center"/>
              <w:rPr>
                <w:rFonts w:hint="eastAsia"/>
                <w:sz w:val="22"/>
                <w:szCs w:val="22"/>
              </w:rPr>
            </w:pPr>
            <w:r>
              <w:rPr>
                <w:rFonts w:hint="eastAsia"/>
                <w:sz w:val="22"/>
                <w:szCs w:val="22"/>
              </w:rPr>
              <w:t>5.8</w:t>
            </w:r>
          </w:p>
        </w:tc>
        <w:tc>
          <w:tcPr>
            <w:tcW w:w="1240" w:type="dxa"/>
            <w:tcBorders>
              <w:top w:val="nil"/>
              <w:left w:val="nil"/>
              <w:bottom w:val="single" w:color="auto" w:sz="4" w:space="0"/>
              <w:right w:val="single" w:color="auto" w:sz="4" w:space="0"/>
            </w:tcBorders>
            <w:shd w:val="clear" w:color="000000" w:fill="FFFFFF"/>
            <w:noWrap/>
            <w:vAlign w:val="center"/>
          </w:tcPr>
          <w:p w14:paraId="6B38D455">
            <w:pPr>
              <w:jc w:val="center"/>
              <w:rPr>
                <w:rFonts w:hint="eastAsia"/>
                <w:sz w:val="22"/>
                <w:szCs w:val="22"/>
              </w:rPr>
            </w:pPr>
            <w:r>
              <w:rPr>
                <w:rFonts w:hint="eastAsia"/>
                <w:sz w:val="22"/>
                <w:szCs w:val="22"/>
              </w:rPr>
              <w:t>132</w:t>
            </w:r>
          </w:p>
        </w:tc>
      </w:tr>
      <w:tr w14:paraId="0ABF0B57">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10BD6C74">
            <w:pPr>
              <w:jc w:val="center"/>
              <w:rPr>
                <w:rFonts w:hint="eastAsia"/>
                <w:b/>
                <w:bCs/>
                <w:sz w:val="22"/>
                <w:szCs w:val="22"/>
              </w:rPr>
            </w:pPr>
            <w:r>
              <w:rPr>
                <w:rFonts w:hint="eastAsia"/>
                <w:b/>
                <w:bCs/>
                <w:sz w:val="22"/>
                <w:szCs w:val="22"/>
              </w:rPr>
              <w:t>14</w:t>
            </w:r>
          </w:p>
        </w:tc>
        <w:tc>
          <w:tcPr>
            <w:tcW w:w="1540" w:type="dxa"/>
            <w:tcBorders>
              <w:top w:val="nil"/>
              <w:left w:val="nil"/>
              <w:bottom w:val="single" w:color="auto" w:sz="4" w:space="0"/>
              <w:right w:val="single" w:color="auto" w:sz="4" w:space="0"/>
            </w:tcBorders>
            <w:shd w:val="clear" w:color="000000" w:fill="FFFFFF"/>
            <w:noWrap/>
            <w:vAlign w:val="center"/>
          </w:tcPr>
          <w:p w14:paraId="4DF64C85">
            <w:pPr>
              <w:jc w:val="center"/>
              <w:rPr>
                <w:rFonts w:hint="eastAsia"/>
                <w:sz w:val="22"/>
                <w:szCs w:val="22"/>
              </w:rPr>
            </w:pPr>
            <w:r>
              <w:rPr>
                <w:rFonts w:hint="eastAsia"/>
                <w:sz w:val="22"/>
                <w:szCs w:val="22"/>
              </w:rPr>
              <w:t>大桥海鸥</w:t>
            </w:r>
          </w:p>
        </w:tc>
        <w:tc>
          <w:tcPr>
            <w:tcW w:w="2740" w:type="dxa"/>
            <w:tcBorders>
              <w:top w:val="nil"/>
              <w:left w:val="nil"/>
              <w:bottom w:val="single" w:color="auto" w:sz="4" w:space="0"/>
              <w:right w:val="single" w:color="auto" w:sz="4" w:space="0"/>
            </w:tcBorders>
            <w:noWrap/>
            <w:vAlign w:val="center"/>
          </w:tcPr>
          <w:p w14:paraId="7CE274DC">
            <w:pPr>
              <w:jc w:val="center"/>
              <w:rPr>
                <w:rFonts w:hint="eastAsia"/>
                <w:sz w:val="22"/>
                <w:szCs w:val="22"/>
              </w:rPr>
            </w:pPr>
            <w:r>
              <w:rPr>
                <w:rFonts w:hint="eastAsia"/>
                <w:sz w:val="22"/>
                <w:szCs w:val="22"/>
              </w:rPr>
              <w:t>双臂架变幅式，非自航</w:t>
            </w:r>
          </w:p>
        </w:tc>
        <w:tc>
          <w:tcPr>
            <w:tcW w:w="1480" w:type="dxa"/>
            <w:tcBorders>
              <w:top w:val="nil"/>
              <w:left w:val="nil"/>
              <w:bottom w:val="single" w:color="auto" w:sz="4" w:space="0"/>
              <w:right w:val="single" w:color="auto" w:sz="4" w:space="0"/>
            </w:tcBorders>
            <w:shd w:val="clear" w:color="000000" w:fill="FFFFFF"/>
            <w:vAlign w:val="center"/>
          </w:tcPr>
          <w:p w14:paraId="16AA275E">
            <w:pPr>
              <w:jc w:val="center"/>
              <w:rPr>
                <w:rFonts w:hint="eastAsia"/>
                <w:sz w:val="22"/>
                <w:szCs w:val="22"/>
              </w:rPr>
            </w:pPr>
            <w:r>
              <w:rPr>
                <w:rFonts w:hint="eastAsia"/>
                <w:sz w:val="22"/>
                <w:szCs w:val="22"/>
              </w:rPr>
              <w:t>3600</w:t>
            </w:r>
          </w:p>
        </w:tc>
        <w:tc>
          <w:tcPr>
            <w:tcW w:w="900" w:type="dxa"/>
            <w:tcBorders>
              <w:top w:val="nil"/>
              <w:left w:val="nil"/>
              <w:bottom w:val="single" w:color="auto" w:sz="4" w:space="0"/>
              <w:right w:val="single" w:color="auto" w:sz="4" w:space="0"/>
            </w:tcBorders>
            <w:shd w:val="clear" w:color="000000" w:fill="FFFFFF"/>
            <w:noWrap/>
            <w:vAlign w:val="center"/>
          </w:tcPr>
          <w:p w14:paraId="18B4F5FA">
            <w:pPr>
              <w:jc w:val="center"/>
              <w:rPr>
                <w:rFonts w:hint="eastAsia"/>
                <w:sz w:val="22"/>
                <w:szCs w:val="22"/>
              </w:rPr>
            </w:pPr>
            <w:r>
              <w:rPr>
                <w:rFonts w:hint="eastAsia"/>
                <w:sz w:val="22"/>
                <w:szCs w:val="22"/>
              </w:rPr>
              <w:t>114.4</w:t>
            </w:r>
          </w:p>
        </w:tc>
        <w:tc>
          <w:tcPr>
            <w:tcW w:w="820" w:type="dxa"/>
            <w:tcBorders>
              <w:top w:val="nil"/>
              <w:left w:val="nil"/>
              <w:bottom w:val="single" w:color="auto" w:sz="4" w:space="0"/>
              <w:right w:val="single" w:color="auto" w:sz="4" w:space="0"/>
            </w:tcBorders>
            <w:shd w:val="clear" w:color="000000" w:fill="FFFFFF"/>
            <w:noWrap/>
            <w:vAlign w:val="center"/>
          </w:tcPr>
          <w:p w14:paraId="714D2D77">
            <w:pPr>
              <w:jc w:val="center"/>
              <w:rPr>
                <w:rFonts w:hint="eastAsia"/>
                <w:sz w:val="22"/>
                <w:szCs w:val="22"/>
              </w:rPr>
            </w:pPr>
            <w:r>
              <w:rPr>
                <w:rFonts w:hint="eastAsia"/>
                <w:sz w:val="22"/>
                <w:szCs w:val="22"/>
              </w:rPr>
              <w:t>48</w:t>
            </w:r>
          </w:p>
        </w:tc>
        <w:tc>
          <w:tcPr>
            <w:tcW w:w="820" w:type="dxa"/>
            <w:tcBorders>
              <w:top w:val="nil"/>
              <w:left w:val="nil"/>
              <w:bottom w:val="single" w:color="auto" w:sz="4" w:space="0"/>
              <w:right w:val="single" w:color="auto" w:sz="4" w:space="0"/>
            </w:tcBorders>
            <w:shd w:val="clear" w:color="000000" w:fill="FFFFFF"/>
            <w:noWrap/>
            <w:vAlign w:val="center"/>
          </w:tcPr>
          <w:p w14:paraId="38D63088">
            <w:pPr>
              <w:jc w:val="center"/>
              <w:rPr>
                <w:rFonts w:hint="eastAsia"/>
                <w:sz w:val="22"/>
                <w:szCs w:val="22"/>
              </w:rPr>
            </w:pPr>
            <w:r>
              <w:rPr>
                <w:rFonts w:hint="eastAsia"/>
                <w:sz w:val="22"/>
                <w:szCs w:val="22"/>
              </w:rPr>
              <w:t>8.8</w:t>
            </w:r>
          </w:p>
        </w:tc>
        <w:tc>
          <w:tcPr>
            <w:tcW w:w="1400" w:type="dxa"/>
            <w:tcBorders>
              <w:top w:val="nil"/>
              <w:left w:val="nil"/>
              <w:bottom w:val="single" w:color="auto" w:sz="4" w:space="0"/>
              <w:right w:val="single" w:color="auto" w:sz="4" w:space="0"/>
            </w:tcBorders>
            <w:shd w:val="clear" w:color="000000" w:fill="FFFFFF"/>
            <w:noWrap/>
            <w:vAlign w:val="center"/>
          </w:tcPr>
          <w:p w14:paraId="0C10A674">
            <w:pPr>
              <w:jc w:val="center"/>
              <w:rPr>
                <w:rFonts w:hint="eastAsia"/>
                <w:sz w:val="22"/>
                <w:szCs w:val="22"/>
              </w:rPr>
            </w:pPr>
            <w:r>
              <w:rPr>
                <w:rFonts w:hint="eastAsia"/>
                <w:sz w:val="22"/>
                <w:szCs w:val="22"/>
              </w:rPr>
              <w:t>4.8</w:t>
            </w:r>
          </w:p>
        </w:tc>
        <w:tc>
          <w:tcPr>
            <w:tcW w:w="1240" w:type="dxa"/>
            <w:tcBorders>
              <w:top w:val="nil"/>
              <w:left w:val="nil"/>
              <w:bottom w:val="single" w:color="auto" w:sz="4" w:space="0"/>
              <w:right w:val="single" w:color="auto" w:sz="4" w:space="0"/>
            </w:tcBorders>
            <w:shd w:val="clear" w:color="000000" w:fill="FFFFFF"/>
            <w:noWrap/>
            <w:vAlign w:val="center"/>
          </w:tcPr>
          <w:p w14:paraId="75CE69D5">
            <w:pPr>
              <w:jc w:val="center"/>
              <w:rPr>
                <w:rFonts w:hint="eastAsia"/>
                <w:sz w:val="22"/>
                <w:szCs w:val="22"/>
              </w:rPr>
            </w:pPr>
            <w:r>
              <w:rPr>
                <w:rFonts w:hint="eastAsia"/>
                <w:sz w:val="22"/>
                <w:szCs w:val="22"/>
              </w:rPr>
              <w:t>110</w:t>
            </w:r>
          </w:p>
        </w:tc>
      </w:tr>
      <w:tr w14:paraId="331BA076">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5E22BEED">
            <w:pPr>
              <w:jc w:val="center"/>
              <w:rPr>
                <w:rFonts w:hint="eastAsia"/>
                <w:b/>
                <w:bCs/>
                <w:sz w:val="22"/>
                <w:szCs w:val="22"/>
              </w:rPr>
            </w:pPr>
            <w:r>
              <w:rPr>
                <w:rFonts w:hint="eastAsia"/>
                <w:b/>
                <w:bCs/>
                <w:sz w:val="22"/>
                <w:szCs w:val="22"/>
              </w:rPr>
              <w:t>15</w:t>
            </w:r>
          </w:p>
        </w:tc>
        <w:tc>
          <w:tcPr>
            <w:tcW w:w="1540" w:type="dxa"/>
            <w:tcBorders>
              <w:top w:val="nil"/>
              <w:left w:val="nil"/>
              <w:bottom w:val="single" w:color="auto" w:sz="4" w:space="0"/>
              <w:right w:val="single" w:color="auto" w:sz="4" w:space="0"/>
            </w:tcBorders>
            <w:shd w:val="clear" w:color="000000" w:fill="FFFFFF"/>
            <w:noWrap/>
            <w:vAlign w:val="center"/>
          </w:tcPr>
          <w:p w14:paraId="76037E62">
            <w:pPr>
              <w:jc w:val="center"/>
              <w:rPr>
                <w:rFonts w:hint="eastAsia"/>
                <w:sz w:val="22"/>
                <w:szCs w:val="22"/>
              </w:rPr>
            </w:pPr>
            <w:r>
              <w:rPr>
                <w:rFonts w:hint="eastAsia"/>
                <w:sz w:val="22"/>
                <w:szCs w:val="22"/>
              </w:rPr>
              <w:t>德浮3600</w:t>
            </w:r>
          </w:p>
        </w:tc>
        <w:tc>
          <w:tcPr>
            <w:tcW w:w="2740" w:type="dxa"/>
            <w:tcBorders>
              <w:top w:val="nil"/>
              <w:left w:val="nil"/>
              <w:bottom w:val="single" w:color="auto" w:sz="4" w:space="0"/>
              <w:right w:val="single" w:color="auto" w:sz="4" w:space="0"/>
            </w:tcBorders>
            <w:noWrap/>
            <w:vAlign w:val="center"/>
          </w:tcPr>
          <w:p w14:paraId="7F147234">
            <w:pPr>
              <w:jc w:val="center"/>
              <w:rPr>
                <w:rFonts w:hint="eastAsia"/>
                <w:sz w:val="22"/>
                <w:szCs w:val="22"/>
              </w:rPr>
            </w:pPr>
            <w:r>
              <w:rPr>
                <w:rFonts w:hint="eastAsia"/>
                <w:sz w:val="22"/>
                <w:szCs w:val="22"/>
              </w:rPr>
              <w:t>双臂架变幅式，非自航</w:t>
            </w:r>
          </w:p>
        </w:tc>
        <w:tc>
          <w:tcPr>
            <w:tcW w:w="1480" w:type="dxa"/>
            <w:tcBorders>
              <w:top w:val="nil"/>
              <w:left w:val="nil"/>
              <w:bottom w:val="single" w:color="auto" w:sz="4" w:space="0"/>
              <w:right w:val="single" w:color="auto" w:sz="4" w:space="0"/>
            </w:tcBorders>
            <w:shd w:val="clear" w:color="000000" w:fill="FFFFFF"/>
            <w:vAlign w:val="center"/>
          </w:tcPr>
          <w:p w14:paraId="4E6E37CA">
            <w:pPr>
              <w:jc w:val="center"/>
              <w:rPr>
                <w:rFonts w:hint="eastAsia"/>
                <w:sz w:val="22"/>
                <w:szCs w:val="22"/>
              </w:rPr>
            </w:pPr>
            <w:r>
              <w:rPr>
                <w:rFonts w:hint="eastAsia"/>
                <w:sz w:val="22"/>
                <w:szCs w:val="22"/>
              </w:rPr>
              <w:t>3600</w:t>
            </w:r>
          </w:p>
        </w:tc>
        <w:tc>
          <w:tcPr>
            <w:tcW w:w="900" w:type="dxa"/>
            <w:tcBorders>
              <w:top w:val="nil"/>
              <w:left w:val="nil"/>
              <w:bottom w:val="single" w:color="auto" w:sz="4" w:space="0"/>
              <w:right w:val="single" w:color="auto" w:sz="4" w:space="0"/>
            </w:tcBorders>
            <w:shd w:val="clear" w:color="000000" w:fill="FFFFFF"/>
            <w:vAlign w:val="center"/>
          </w:tcPr>
          <w:p w14:paraId="755F26CF">
            <w:pPr>
              <w:jc w:val="center"/>
              <w:rPr>
                <w:rFonts w:hint="eastAsia"/>
                <w:sz w:val="22"/>
                <w:szCs w:val="22"/>
              </w:rPr>
            </w:pPr>
            <w:r>
              <w:rPr>
                <w:rFonts w:hint="eastAsia"/>
                <w:sz w:val="22"/>
                <w:szCs w:val="22"/>
              </w:rPr>
              <w:t>118.9</w:t>
            </w:r>
          </w:p>
        </w:tc>
        <w:tc>
          <w:tcPr>
            <w:tcW w:w="820" w:type="dxa"/>
            <w:tcBorders>
              <w:top w:val="nil"/>
              <w:left w:val="nil"/>
              <w:bottom w:val="single" w:color="auto" w:sz="4" w:space="0"/>
              <w:right w:val="single" w:color="auto" w:sz="4" w:space="0"/>
            </w:tcBorders>
            <w:shd w:val="clear" w:color="000000" w:fill="FFFFFF"/>
            <w:vAlign w:val="center"/>
          </w:tcPr>
          <w:p w14:paraId="5E60B8A7">
            <w:pPr>
              <w:jc w:val="center"/>
              <w:rPr>
                <w:rFonts w:hint="eastAsia"/>
                <w:sz w:val="22"/>
                <w:szCs w:val="22"/>
              </w:rPr>
            </w:pPr>
            <w:r>
              <w:rPr>
                <w:rFonts w:hint="eastAsia"/>
                <w:sz w:val="22"/>
                <w:szCs w:val="22"/>
              </w:rPr>
              <w:t>48</w:t>
            </w:r>
          </w:p>
        </w:tc>
        <w:tc>
          <w:tcPr>
            <w:tcW w:w="820" w:type="dxa"/>
            <w:tcBorders>
              <w:top w:val="nil"/>
              <w:left w:val="nil"/>
              <w:bottom w:val="single" w:color="auto" w:sz="4" w:space="0"/>
              <w:right w:val="single" w:color="auto" w:sz="4" w:space="0"/>
            </w:tcBorders>
            <w:shd w:val="clear" w:color="000000" w:fill="FFFFFF"/>
            <w:vAlign w:val="center"/>
          </w:tcPr>
          <w:p w14:paraId="3F98B669">
            <w:pPr>
              <w:jc w:val="center"/>
              <w:rPr>
                <w:rFonts w:hint="eastAsia"/>
                <w:sz w:val="22"/>
                <w:szCs w:val="22"/>
              </w:rPr>
            </w:pPr>
            <w:r>
              <w:rPr>
                <w:rFonts w:hint="eastAsia"/>
                <w:sz w:val="22"/>
                <w:szCs w:val="22"/>
              </w:rPr>
              <w:t>8.8</w:t>
            </w:r>
          </w:p>
        </w:tc>
        <w:tc>
          <w:tcPr>
            <w:tcW w:w="1400" w:type="dxa"/>
            <w:tcBorders>
              <w:top w:val="nil"/>
              <w:left w:val="nil"/>
              <w:bottom w:val="single" w:color="auto" w:sz="4" w:space="0"/>
              <w:right w:val="single" w:color="auto" w:sz="4" w:space="0"/>
            </w:tcBorders>
            <w:shd w:val="clear" w:color="000000" w:fill="FFFFFF"/>
            <w:vAlign w:val="center"/>
          </w:tcPr>
          <w:p w14:paraId="609AA885">
            <w:pPr>
              <w:jc w:val="center"/>
              <w:rPr>
                <w:rFonts w:hint="eastAsia"/>
                <w:sz w:val="22"/>
                <w:szCs w:val="22"/>
              </w:rPr>
            </w:pPr>
            <w:r>
              <w:rPr>
                <w:rFonts w:hint="eastAsia"/>
                <w:sz w:val="22"/>
                <w:szCs w:val="22"/>
              </w:rPr>
              <w:t>4.6</w:t>
            </w:r>
          </w:p>
        </w:tc>
        <w:tc>
          <w:tcPr>
            <w:tcW w:w="1240" w:type="dxa"/>
            <w:tcBorders>
              <w:top w:val="nil"/>
              <w:left w:val="nil"/>
              <w:bottom w:val="single" w:color="auto" w:sz="4" w:space="0"/>
              <w:right w:val="single" w:color="auto" w:sz="4" w:space="0"/>
            </w:tcBorders>
            <w:shd w:val="clear" w:color="000000" w:fill="FFFFFF"/>
            <w:noWrap/>
            <w:vAlign w:val="center"/>
          </w:tcPr>
          <w:p w14:paraId="283FD002">
            <w:pPr>
              <w:jc w:val="center"/>
              <w:rPr>
                <w:rFonts w:hint="eastAsia"/>
                <w:sz w:val="22"/>
                <w:szCs w:val="22"/>
              </w:rPr>
            </w:pPr>
            <w:r>
              <w:rPr>
                <w:rFonts w:hint="eastAsia"/>
                <w:sz w:val="22"/>
                <w:szCs w:val="22"/>
              </w:rPr>
              <w:t>108</w:t>
            </w:r>
          </w:p>
        </w:tc>
      </w:tr>
      <w:tr w14:paraId="40AA3AEE">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45E7B080">
            <w:pPr>
              <w:jc w:val="center"/>
              <w:rPr>
                <w:rFonts w:hint="eastAsia"/>
                <w:b/>
                <w:bCs/>
                <w:sz w:val="22"/>
                <w:szCs w:val="22"/>
              </w:rPr>
            </w:pPr>
            <w:r>
              <w:rPr>
                <w:rFonts w:hint="eastAsia"/>
                <w:b/>
                <w:bCs/>
                <w:sz w:val="22"/>
                <w:szCs w:val="22"/>
              </w:rPr>
              <w:t>16</w:t>
            </w:r>
          </w:p>
        </w:tc>
        <w:tc>
          <w:tcPr>
            <w:tcW w:w="1540" w:type="dxa"/>
            <w:tcBorders>
              <w:top w:val="nil"/>
              <w:left w:val="nil"/>
              <w:bottom w:val="single" w:color="auto" w:sz="4" w:space="0"/>
              <w:right w:val="single" w:color="auto" w:sz="4" w:space="0"/>
            </w:tcBorders>
            <w:shd w:val="clear" w:color="000000" w:fill="FFFFFF"/>
            <w:noWrap/>
            <w:vAlign w:val="center"/>
          </w:tcPr>
          <w:p w14:paraId="646AEBF9">
            <w:pPr>
              <w:jc w:val="center"/>
              <w:rPr>
                <w:rFonts w:hint="eastAsia"/>
                <w:sz w:val="22"/>
                <w:szCs w:val="22"/>
              </w:rPr>
            </w:pPr>
            <w:r>
              <w:rPr>
                <w:rFonts w:hint="eastAsia"/>
                <w:sz w:val="22"/>
                <w:szCs w:val="22"/>
              </w:rPr>
              <w:t>一航津泰</w:t>
            </w:r>
          </w:p>
        </w:tc>
        <w:tc>
          <w:tcPr>
            <w:tcW w:w="2740" w:type="dxa"/>
            <w:tcBorders>
              <w:top w:val="nil"/>
              <w:left w:val="nil"/>
              <w:bottom w:val="single" w:color="auto" w:sz="4" w:space="0"/>
              <w:right w:val="single" w:color="auto" w:sz="4" w:space="0"/>
            </w:tcBorders>
            <w:noWrap/>
            <w:vAlign w:val="center"/>
          </w:tcPr>
          <w:p w14:paraId="74EBA89D">
            <w:pPr>
              <w:jc w:val="center"/>
              <w:rPr>
                <w:rFonts w:hint="eastAsia"/>
                <w:sz w:val="22"/>
                <w:szCs w:val="22"/>
              </w:rPr>
            </w:pPr>
            <w:r>
              <w:rPr>
                <w:rFonts w:hint="eastAsia"/>
                <w:sz w:val="22"/>
                <w:szCs w:val="22"/>
              </w:rPr>
              <w:t>单臂架变幅式、非自航</w:t>
            </w:r>
          </w:p>
        </w:tc>
        <w:tc>
          <w:tcPr>
            <w:tcW w:w="1480" w:type="dxa"/>
            <w:tcBorders>
              <w:top w:val="nil"/>
              <w:left w:val="nil"/>
              <w:bottom w:val="single" w:color="auto" w:sz="4" w:space="0"/>
              <w:right w:val="single" w:color="auto" w:sz="4" w:space="0"/>
            </w:tcBorders>
            <w:shd w:val="clear" w:color="000000" w:fill="FFFFFF"/>
            <w:vAlign w:val="center"/>
          </w:tcPr>
          <w:p w14:paraId="0FB0843A">
            <w:pPr>
              <w:jc w:val="center"/>
              <w:rPr>
                <w:rFonts w:hint="eastAsia"/>
                <w:sz w:val="22"/>
                <w:szCs w:val="22"/>
              </w:rPr>
            </w:pPr>
            <w:r>
              <w:rPr>
                <w:rFonts w:hint="eastAsia"/>
                <w:sz w:val="22"/>
                <w:szCs w:val="22"/>
              </w:rPr>
              <w:t>4000</w:t>
            </w:r>
          </w:p>
        </w:tc>
        <w:tc>
          <w:tcPr>
            <w:tcW w:w="900" w:type="dxa"/>
            <w:tcBorders>
              <w:top w:val="nil"/>
              <w:left w:val="nil"/>
              <w:bottom w:val="single" w:color="auto" w:sz="4" w:space="0"/>
              <w:right w:val="single" w:color="auto" w:sz="4" w:space="0"/>
            </w:tcBorders>
            <w:shd w:val="clear" w:color="000000" w:fill="FFFFFF"/>
            <w:noWrap/>
            <w:vAlign w:val="center"/>
          </w:tcPr>
          <w:p w14:paraId="01CD5BD9">
            <w:pPr>
              <w:jc w:val="center"/>
              <w:rPr>
                <w:rFonts w:hint="eastAsia"/>
                <w:sz w:val="22"/>
                <w:szCs w:val="22"/>
              </w:rPr>
            </w:pPr>
            <w:r>
              <w:rPr>
                <w:rFonts w:hint="eastAsia"/>
                <w:sz w:val="22"/>
                <w:szCs w:val="22"/>
              </w:rPr>
              <w:t>121.24</w:t>
            </w:r>
          </w:p>
        </w:tc>
        <w:tc>
          <w:tcPr>
            <w:tcW w:w="820" w:type="dxa"/>
            <w:tcBorders>
              <w:top w:val="nil"/>
              <w:left w:val="nil"/>
              <w:bottom w:val="single" w:color="auto" w:sz="4" w:space="0"/>
              <w:right w:val="single" w:color="auto" w:sz="4" w:space="0"/>
            </w:tcBorders>
            <w:shd w:val="clear" w:color="000000" w:fill="FFFFFF"/>
            <w:noWrap/>
            <w:vAlign w:val="center"/>
          </w:tcPr>
          <w:p w14:paraId="3E493ED7">
            <w:pPr>
              <w:jc w:val="center"/>
              <w:rPr>
                <w:rFonts w:hint="eastAsia"/>
                <w:sz w:val="22"/>
                <w:szCs w:val="22"/>
              </w:rPr>
            </w:pPr>
            <w:r>
              <w:rPr>
                <w:rFonts w:hint="eastAsia"/>
                <w:sz w:val="22"/>
                <w:szCs w:val="22"/>
              </w:rPr>
              <w:t>48</w:t>
            </w:r>
          </w:p>
        </w:tc>
        <w:tc>
          <w:tcPr>
            <w:tcW w:w="820" w:type="dxa"/>
            <w:tcBorders>
              <w:top w:val="nil"/>
              <w:left w:val="nil"/>
              <w:bottom w:val="single" w:color="auto" w:sz="4" w:space="0"/>
              <w:right w:val="single" w:color="auto" w:sz="4" w:space="0"/>
            </w:tcBorders>
            <w:shd w:val="clear" w:color="000000" w:fill="FFFFFF"/>
            <w:noWrap/>
            <w:vAlign w:val="center"/>
          </w:tcPr>
          <w:p w14:paraId="1AFCA1FD">
            <w:pPr>
              <w:jc w:val="center"/>
              <w:rPr>
                <w:rFonts w:hint="eastAsia"/>
                <w:sz w:val="22"/>
                <w:szCs w:val="22"/>
              </w:rPr>
            </w:pPr>
            <w:r>
              <w:rPr>
                <w:rFonts w:hint="eastAsia"/>
                <w:sz w:val="22"/>
                <w:szCs w:val="22"/>
              </w:rPr>
              <w:t>8</w:t>
            </w:r>
          </w:p>
        </w:tc>
        <w:tc>
          <w:tcPr>
            <w:tcW w:w="1400" w:type="dxa"/>
            <w:tcBorders>
              <w:top w:val="nil"/>
              <w:left w:val="nil"/>
              <w:bottom w:val="single" w:color="auto" w:sz="4" w:space="0"/>
              <w:right w:val="single" w:color="auto" w:sz="4" w:space="0"/>
            </w:tcBorders>
            <w:shd w:val="clear" w:color="000000" w:fill="FFFFFF"/>
            <w:noWrap/>
            <w:vAlign w:val="center"/>
          </w:tcPr>
          <w:p w14:paraId="68DF3642">
            <w:pPr>
              <w:jc w:val="center"/>
              <w:rPr>
                <w:rFonts w:hint="eastAsia"/>
                <w:sz w:val="22"/>
                <w:szCs w:val="22"/>
              </w:rPr>
            </w:pPr>
            <w:r>
              <w:rPr>
                <w:rFonts w:hint="eastAsia"/>
                <w:sz w:val="22"/>
                <w:szCs w:val="22"/>
              </w:rPr>
              <w:t>4.8</w:t>
            </w:r>
          </w:p>
        </w:tc>
        <w:tc>
          <w:tcPr>
            <w:tcW w:w="1240" w:type="dxa"/>
            <w:tcBorders>
              <w:top w:val="nil"/>
              <w:left w:val="nil"/>
              <w:bottom w:val="single" w:color="auto" w:sz="4" w:space="0"/>
              <w:right w:val="single" w:color="auto" w:sz="4" w:space="0"/>
            </w:tcBorders>
            <w:shd w:val="clear" w:color="000000" w:fill="FFFFFF"/>
            <w:noWrap/>
            <w:vAlign w:val="center"/>
          </w:tcPr>
          <w:p w14:paraId="56316987">
            <w:pPr>
              <w:jc w:val="center"/>
              <w:rPr>
                <w:rFonts w:hint="eastAsia"/>
                <w:sz w:val="22"/>
                <w:szCs w:val="22"/>
              </w:rPr>
            </w:pPr>
            <w:r>
              <w:rPr>
                <w:rFonts w:hint="eastAsia"/>
                <w:sz w:val="22"/>
                <w:szCs w:val="22"/>
              </w:rPr>
              <w:t>110</w:t>
            </w:r>
          </w:p>
        </w:tc>
      </w:tr>
      <w:tr w14:paraId="0BB77C91">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5DA3A2F6">
            <w:pPr>
              <w:jc w:val="center"/>
              <w:rPr>
                <w:rFonts w:hint="eastAsia"/>
                <w:b/>
                <w:bCs/>
                <w:sz w:val="22"/>
                <w:szCs w:val="22"/>
              </w:rPr>
            </w:pPr>
            <w:r>
              <w:rPr>
                <w:rFonts w:hint="eastAsia"/>
                <w:b/>
                <w:bCs/>
                <w:sz w:val="22"/>
                <w:szCs w:val="22"/>
              </w:rPr>
              <w:t>17</w:t>
            </w:r>
          </w:p>
        </w:tc>
        <w:tc>
          <w:tcPr>
            <w:tcW w:w="1540" w:type="dxa"/>
            <w:tcBorders>
              <w:top w:val="nil"/>
              <w:left w:val="nil"/>
              <w:bottom w:val="single" w:color="auto" w:sz="4" w:space="0"/>
              <w:right w:val="single" w:color="auto" w:sz="4" w:space="0"/>
            </w:tcBorders>
            <w:shd w:val="clear" w:color="000000" w:fill="FFFFFF"/>
            <w:noWrap/>
            <w:vAlign w:val="center"/>
          </w:tcPr>
          <w:p w14:paraId="69AFA3C9">
            <w:pPr>
              <w:jc w:val="center"/>
              <w:rPr>
                <w:rFonts w:hint="eastAsia"/>
                <w:sz w:val="22"/>
                <w:szCs w:val="22"/>
              </w:rPr>
            </w:pPr>
            <w:r>
              <w:rPr>
                <w:rFonts w:hint="eastAsia"/>
                <w:sz w:val="22"/>
                <w:szCs w:val="22"/>
              </w:rPr>
              <w:t>长大海升</w:t>
            </w:r>
          </w:p>
        </w:tc>
        <w:tc>
          <w:tcPr>
            <w:tcW w:w="2740" w:type="dxa"/>
            <w:tcBorders>
              <w:top w:val="nil"/>
              <w:left w:val="nil"/>
              <w:bottom w:val="single" w:color="auto" w:sz="4" w:space="0"/>
              <w:right w:val="single" w:color="auto" w:sz="4" w:space="0"/>
            </w:tcBorders>
            <w:noWrap/>
            <w:vAlign w:val="center"/>
          </w:tcPr>
          <w:p w14:paraId="122B4FDB">
            <w:pPr>
              <w:jc w:val="center"/>
              <w:rPr>
                <w:rFonts w:hint="eastAsia"/>
                <w:sz w:val="22"/>
                <w:szCs w:val="22"/>
              </w:rPr>
            </w:pPr>
            <w:r>
              <w:rPr>
                <w:rFonts w:hint="eastAsia"/>
                <w:sz w:val="22"/>
                <w:szCs w:val="22"/>
              </w:rPr>
              <w:t>双臂架变幅式，非自航</w:t>
            </w:r>
          </w:p>
        </w:tc>
        <w:tc>
          <w:tcPr>
            <w:tcW w:w="1480" w:type="dxa"/>
            <w:tcBorders>
              <w:top w:val="nil"/>
              <w:left w:val="nil"/>
              <w:bottom w:val="single" w:color="auto" w:sz="4" w:space="0"/>
              <w:right w:val="single" w:color="auto" w:sz="4" w:space="0"/>
            </w:tcBorders>
            <w:shd w:val="clear" w:color="000000" w:fill="FFFFFF"/>
            <w:vAlign w:val="center"/>
          </w:tcPr>
          <w:p w14:paraId="22A34560">
            <w:pPr>
              <w:jc w:val="center"/>
              <w:rPr>
                <w:rFonts w:hint="eastAsia"/>
                <w:sz w:val="22"/>
                <w:szCs w:val="22"/>
              </w:rPr>
            </w:pPr>
            <w:r>
              <w:rPr>
                <w:rFonts w:hint="eastAsia"/>
                <w:sz w:val="22"/>
                <w:szCs w:val="22"/>
              </w:rPr>
              <w:t>3200</w:t>
            </w:r>
          </w:p>
        </w:tc>
        <w:tc>
          <w:tcPr>
            <w:tcW w:w="900" w:type="dxa"/>
            <w:tcBorders>
              <w:top w:val="nil"/>
              <w:left w:val="nil"/>
              <w:bottom w:val="single" w:color="auto" w:sz="4" w:space="0"/>
              <w:right w:val="single" w:color="auto" w:sz="4" w:space="0"/>
            </w:tcBorders>
            <w:shd w:val="clear" w:color="000000" w:fill="FFFFFF"/>
            <w:noWrap/>
            <w:vAlign w:val="center"/>
          </w:tcPr>
          <w:p w14:paraId="6CA92BEB">
            <w:pPr>
              <w:jc w:val="center"/>
              <w:rPr>
                <w:rFonts w:hint="eastAsia"/>
                <w:sz w:val="22"/>
                <w:szCs w:val="22"/>
              </w:rPr>
            </w:pPr>
            <w:r>
              <w:rPr>
                <w:rFonts w:hint="eastAsia"/>
                <w:sz w:val="22"/>
                <w:szCs w:val="22"/>
              </w:rPr>
              <w:t>110</w:t>
            </w:r>
          </w:p>
        </w:tc>
        <w:tc>
          <w:tcPr>
            <w:tcW w:w="820" w:type="dxa"/>
            <w:tcBorders>
              <w:top w:val="nil"/>
              <w:left w:val="nil"/>
              <w:bottom w:val="single" w:color="auto" w:sz="4" w:space="0"/>
              <w:right w:val="single" w:color="auto" w:sz="4" w:space="0"/>
            </w:tcBorders>
            <w:shd w:val="clear" w:color="000000" w:fill="FFFFFF"/>
            <w:noWrap/>
            <w:vAlign w:val="center"/>
          </w:tcPr>
          <w:p w14:paraId="3106D17B">
            <w:pPr>
              <w:jc w:val="center"/>
              <w:rPr>
                <w:rFonts w:hint="eastAsia"/>
                <w:sz w:val="22"/>
                <w:szCs w:val="22"/>
              </w:rPr>
            </w:pPr>
            <w:r>
              <w:rPr>
                <w:rFonts w:hint="eastAsia"/>
                <w:sz w:val="22"/>
                <w:szCs w:val="22"/>
              </w:rPr>
              <w:t>48</w:t>
            </w:r>
          </w:p>
        </w:tc>
        <w:tc>
          <w:tcPr>
            <w:tcW w:w="820" w:type="dxa"/>
            <w:tcBorders>
              <w:top w:val="nil"/>
              <w:left w:val="nil"/>
              <w:bottom w:val="single" w:color="auto" w:sz="4" w:space="0"/>
              <w:right w:val="single" w:color="auto" w:sz="4" w:space="0"/>
            </w:tcBorders>
            <w:shd w:val="clear" w:color="000000" w:fill="FFFFFF"/>
            <w:noWrap/>
            <w:vAlign w:val="center"/>
          </w:tcPr>
          <w:p w14:paraId="6D9F1FF1">
            <w:pPr>
              <w:jc w:val="center"/>
              <w:rPr>
                <w:rFonts w:hint="eastAsia"/>
                <w:sz w:val="22"/>
                <w:szCs w:val="22"/>
              </w:rPr>
            </w:pPr>
            <w:r>
              <w:rPr>
                <w:rFonts w:hint="eastAsia"/>
                <w:sz w:val="22"/>
                <w:szCs w:val="22"/>
              </w:rPr>
              <w:t>8.4</w:t>
            </w:r>
          </w:p>
        </w:tc>
        <w:tc>
          <w:tcPr>
            <w:tcW w:w="1400" w:type="dxa"/>
            <w:tcBorders>
              <w:top w:val="nil"/>
              <w:left w:val="nil"/>
              <w:bottom w:val="single" w:color="auto" w:sz="4" w:space="0"/>
              <w:right w:val="single" w:color="auto" w:sz="4" w:space="0"/>
            </w:tcBorders>
            <w:shd w:val="clear" w:color="000000" w:fill="FFFFFF"/>
            <w:noWrap/>
            <w:vAlign w:val="center"/>
          </w:tcPr>
          <w:p w14:paraId="0C994C9A">
            <w:pPr>
              <w:jc w:val="center"/>
              <w:rPr>
                <w:rFonts w:hint="eastAsia"/>
                <w:sz w:val="22"/>
                <w:szCs w:val="22"/>
              </w:rPr>
            </w:pPr>
            <w:r>
              <w:rPr>
                <w:rFonts w:hint="eastAsia"/>
                <w:sz w:val="22"/>
                <w:szCs w:val="22"/>
              </w:rPr>
              <w:t>4.8</w:t>
            </w:r>
          </w:p>
        </w:tc>
        <w:tc>
          <w:tcPr>
            <w:tcW w:w="1240" w:type="dxa"/>
            <w:tcBorders>
              <w:top w:val="nil"/>
              <w:left w:val="nil"/>
              <w:bottom w:val="single" w:color="auto" w:sz="4" w:space="0"/>
              <w:right w:val="single" w:color="auto" w:sz="4" w:space="0"/>
            </w:tcBorders>
            <w:shd w:val="clear" w:color="000000" w:fill="FFFFFF"/>
            <w:noWrap/>
            <w:vAlign w:val="center"/>
          </w:tcPr>
          <w:p w14:paraId="701C60B9">
            <w:pPr>
              <w:jc w:val="center"/>
              <w:rPr>
                <w:rFonts w:hint="eastAsia"/>
                <w:sz w:val="22"/>
                <w:szCs w:val="22"/>
              </w:rPr>
            </w:pPr>
            <w:r>
              <w:rPr>
                <w:rFonts w:hint="eastAsia"/>
                <w:sz w:val="22"/>
                <w:szCs w:val="22"/>
              </w:rPr>
              <w:t>102</w:t>
            </w:r>
          </w:p>
        </w:tc>
      </w:tr>
      <w:tr w14:paraId="6A669F7D">
        <w:tblPrEx>
          <w:tblCellMar>
            <w:top w:w="0" w:type="dxa"/>
            <w:left w:w="108" w:type="dxa"/>
            <w:bottom w:w="0" w:type="dxa"/>
            <w:right w:w="108" w:type="dxa"/>
          </w:tblCellMar>
        </w:tblPrEx>
        <w:trPr>
          <w:trHeight w:val="585" w:hRule="atLeast"/>
          <w:jc w:val="center"/>
        </w:trPr>
        <w:tc>
          <w:tcPr>
            <w:tcW w:w="860" w:type="dxa"/>
            <w:tcBorders>
              <w:top w:val="nil"/>
              <w:left w:val="single" w:color="auto" w:sz="4" w:space="0"/>
              <w:bottom w:val="single" w:color="auto" w:sz="4" w:space="0"/>
              <w:right w:val="single" w:color="auto" w:sz="4" w:space="0"/>
            </w:tcBorders>
            <w:shd w:val="clear" w:color="000000" w:fill="FFFFFF"/>
            <w:noWrap/>
            <w:vAlign w:val="center"/>
          </w:tcPr>
          <w:p w14:paraId="193274C2">
            <w:pPr>
              <w:jc w:val="center"/>
              <w:rPr>
                <w:rFonts w:hint="eastAsia"/>
                <w:b/>
                <w:bCs/>
                <w:sz w:val="22"/>
                <w:szCs w:val="22"/>
              </w:rPr>
            </w:pPr>
            <w:r>
              <w:rPr>
                <w:rFonts w:hint="eastAsia"/>
                <w:b/>
                <w:bCs/>
                <w:sz w:val="22"/>
                <w:szCs w:val="22"/>
              </w:rPr>
              <w:t>18</w:t>
            </w:r>
          </w:p>
        </w:tc>
        <w:tc>
          <w:tcPr>
            <w:tcW w:w="1540" w:type="dxa"/>
            <w:tcBorders>
              <w:top w:val="nil"/>
              <w:left w:val="nil"/>
              <w:bottom w:val="single" w:color="auto" w:sz="4" w:space="0"/>
              <w:right w:val="single" w:color="auto" w:sz="4" w:space="0"/>
            </w:tcBorders>
            <w:shd w:val="clear" w:color="000000" w:fill="FFFFFF"/>
            <w:noWrap/>
            <w:vAlign w:val="center"/>
          </w:tcPr>
          <w:p w14:paraId="3FB60527">
            <w:pPr>
              <w:jc w:val="center"/>
              <w:rPr>
                <w:rFonts w:hint="eastAsia"/>
                <w:sz w:val="22"/>
                <w:szCs w:val="22"/>
              </w:rPr>
            </w:pPr>
            <w:r>
              <w:rPr>
                <w:rFonts w:hint="eastAsia"/>
                <w:sz w:val="22"/>
                <w:szCs w:val="22"/>
              </w:rPr>
              <w:t>招商重工2</w:t>
            </w:r>
          </w:p>
        </w:tc>
        <w:tc>
          <w:tcPr>
            <w:tcW w:w="2740" w:type="dxa"/>
            <w:tcBorders>
              <w:top w:val="nil"/>
              <w:left w:val="nil"/>
              <w:bottom w:val="single" w:color="auto" w:sz="4" w:space="0"/>
              <w:right w:val="single" w:color="auto" w:sz="4" w:space="0"/>
            </w:tcBorders>
            <w:noWrap/>
            <w:vAlign w:val="center"/>
          </w:tcPr>
          <w:p w14:paraId="44F0785E">
            <w:pPr>
              <w:jc w:val="center"/>
              <w:rPr>
                <w:rFonts w:hint="eastAsia"/>
                <w:sz w:val="22"/>
                <w:szCs w:val="22"/>
              </w:rPr>
            </w:pPr>
            <w:r>
              <w:rPr>
                <w:rFonts w:hint="eastAsia"/>
                <w:sz w:val="22"/>
                <w:szCs w:val="22"/>
              </w:rPr>
              <w:t>单臂架变幅式，非自航</w:t>
            </w:r>
          </w:p>
        </w:tc>
        <w:tc>
          <w:tcPr>
            <w:tcW w:w="1480" w:type="dxa"/>
            <w:tcBorders>
              <w:top w:val="nil"/>
              <w:left w:val="nil"/>
              <w:bottom w:val="single" w:color="auto" w:sz="4" w:space="0"/>
              <w:right w:val="single" w:color="auto" w:sz="4" w:space="0"/>
            </w:tcBorders>
            <w:shd w:val="clear" w:color="000000" w:fill="FFFFFF"/>
            <w:vAlign w:val="center"/>
          </w:tcPr>
          <w:p w14:paraId="584687C3">
            <w:pPr>
              <w:jc w:val="center"/>
              <w:rPr>
                <w:rFonts w:hint="eastAsia"/>
                <w:sz w:val="22"/>
                <w:szCs w:val="22"/>
              </w:rPr>
            </w:pPr>
            <w:r>
              <w:rPr>
                <w:rFonts w:hint="eastAsia"/>
                <w:sz w:val="22"/>
                <w:szCs w:val="22"/>
              </w:rPr>
              <w:t>3000</w:t>
            </w:r>
          </w:p>
        </w:tc>
        <w:tc>
          <w:tcPr>
            <w:tcW w:w="900" w:type="dxa"/>
            <w:tcBorders>
              <w:top w:val="nil"/>
              <w:left w:val="nil"/>
              <w:bottom w:val="single" w:color="auto" w:sz="4" w:space="0"/>
              <w:right w:val="single" w:color="auto" w:sz="4" w:space="0"/>
            </w:tcBorders>
            <w:shd w:val="clear" w:color="000000" w:fill="FFFFFF"/>
            <w:noWrap/>
            <w:vAlign w:val="center"/>
          </w:tcPr>
          <w:p w14:paraId="24D326F9">
            <w:pPr>
              <w:jc w:val="center"/>
              <w:rPr>
                <w:rFonts w:hint="eastAsia"/>
                <w:sz w:val="22"/>
                <w:szCs w:val="22"/>
              </w:rPr>
            </w:pPr>
            <w:r>
              <w:rPr>
                <w:rFonts w:hint="eastAsia"/>
                <w:sz w:val="22"/>
                <w:szCs w:val="22"/>
              </w:rPr>
              <w:t>127.5</w:t>
            </w:r>
          </w:p>
        </w:tc>
        <w:tc>
          <w:tcPr>
            <w:tcW w:w="820" w:type="dxa"/>
            <w:tcBorders>
              <w:top w:val="nil"/>
              <w:left w:val="nil"/>
              <w:bottom w:val="single" w:color="auto" w:sz="4" w:space="0"/>
              <w:right w:val="single" w:color="auto" w:sz="4" w:space="0"/>
            </w:tcBorders>
            <w:shd w:val="clear" w:color="000000" w:fill="FFFFFF"/>
            <w:noWrap/>
            <w:vAlign w:val="center"/>
          </w:tcPr>
          <w:p w14:paraId="538ADDD8">
            <w:pPr>
              <w:jc w:val="center"/>
              <w:rPr>
                <w:rFonts w:hint="eastAsia"/>
                <w:sz w:val="22"/>
                <w:szCs w:val="22"/>
              </w:rPr>
            </w:pPr>
            <w:r>
              <w:rPr>
                <w:rFonts w:hint="eastAsia"/>
                <w:sz w:val="22"/>
                <w:szCs w:val="22"/>
              </w:rPr>
              <w:t>50</w:t>
            </w:r>
          </w:p>
        </w:tc>
        <w:tc>
          <w:tcPr>
            <w:tcW w:w="820" w:type="dxa"/>
            <w:tcBorders>
              <w:top w:val="nil"/>
              <w:left w:val="nil"/>
              <w:bottom w:val="single" w:color="auto" w:sz="4" w:space="0"/>
              <w:right w:val="single" w:color="auto" w:sz="4" w:space="0"/>
            </w:tcBorders>
            <w:shd w:val="clear" w:color="000000" w:fill="FFFFFF"/>
            <w:noWrap/>
            <w:vAlign w:val="center"/>
          </w:tcPr>
          <w:p w14:paraId="116D9AF0">
            <w:pPr>
              <w:jc w:val="center"/>
              <w:rPr>
                <w:rFonts w:hint="eastAsia"/>
                <w:sz w:val="22"/>
                <w:szCs w:val="22"/>
              </w:rPr>
            </w:pPr>
            <w:r>
              <w:rPr>
                <w:rFonts w:hint="eastAsia"/>
                <w:sz w:val="22"/>
                <w:szCs w:val="22"/>
              </w:rPr>
              <w:t>9</w:t>
            </w:r>
          </w:p>
        </w:tc>
        <w:tc>
          <w:tcPr>
            <w:tcW w:w="1400" w:type="dxa"/>
            <w:tcBorders>
              <w:top w:val="nil"/>
              <w:left w:val="nil"/>
              <w:bottom w:val="single" w:color="auto" w:sz="4" w:space="0"/>
              <w:right w:val="single" w:color="auto" w:sz="4" w:space="0"/>
            </w:tcBorders>
            <w:shd w:val="clear" w:color="000000" w:fill="FFFFFF"/>
            <w:noWrap/>
            <w:vAlign w:val="center"/>
          </w:tcPr>
          <w:p w14:paraId="34DD9925">
            <w:pPr>
              <w:jc w:val="center"/>
              <w:rPr>
                <w:rFonts w:hint="eastAsia"/>
                <w:sz w:val="22"/>
                <w:szCs w:val="22"/>
              </w:rPr>
            </w:pPr>
            <w:r>
              <w:rPr>
                <w:rFonts w:hint="eastAsia"/>
                <w:sz w:val="22"/>
                <w:szCs w:val="22"/>
              </w:rPr>
              <w:t>5</w:t>
            </w:r>
          </w:p>
        </w:tc>
        <w:tc>
          <w:tcPr>
            <w:tcW w:w="1240" w:type="dxa"/>
            <w:tcBorders>
              <w:top w:val="nil"/>
              <w:left w:val="nil"/>
              <w:bottom w:val="single" w:color="auto" w:sz="4" w:space="0"/>
              <w:right w:val="single" w:color="auto" w:sz="4" w:space="0"/>
            </w:tcBorders>
            <w:shd w:val="clear" w:color="000000" w:fill="FFFFFF"/>
            <w:noWrap/>
            <w:vAlign w:val="center"/>
          </w:tcPr>
          <w:p w14:paraId="3448DD82">
            <w:pPr>
              <w:jc w:val="center"/>
              <w:rPr>
                <w:rFonts w:hint="eastAsia"/>
                <w:sz w:val="22"/>
                <w:szCs w:val="22"/>
              </w:rPr>
            </w:pPr>
            <w:r>
              <w:rPr>
                <w:rFonts w:hint="eastAsia"/>
                <w:sz w:val="22"/>
                <w:szCs w:val="22"/>
              </w:rPr>
              <w:t>115</w:t>
            </w:r>
          </w:p>
        </w:tc>
      </w:tr>
    </w:tbl>
    <w:p w14:paraId="3BB97266">
      <w:pPr>
        <w:spacing w:line="360" w:lineRule="auto"/>
        <w:ind w:left="360"/>
      </w:pPr>
      <w:r>
        <w:rPr>
          <w:rFonts w:hint="eastAsia"/>
        </w:rPr>
        <w:t>3 大型运输船</w:t>
      </w:r>
    </w:p>
    <w:tbl>
      <w:tblPr>
        <w:tblStyle w:val="14"/>
        <w:tblW w:w="11854" w:type="dxa"/>
        <w:jc w:val="center"/>
        <w:tblLayout w:type="autofit"/>
        <w:tblCellMar>
          <w:top w:w="0" w:type="dxa"/>
          <w:left w:w="108" w:type="dxa"/>
          <w:bottom w:w="0" w:type="dxa"/>
          <w:right w:w="108" w:type="dxa"/>
        </w:tblCellMar>
      </w:tblPr>
      <w:tblGrid>
        <w:gridCol w:w="933"/>
        <w:gridCol w:w="2020"/>
        <w:gridCol w:w="1818"/>
        <w:gridCol w:w="1203"/>
        <w:gridCol w:w="1203"/>
        <w:gridCol w:w="1203"/>
        <w:gridCol w:w="1203"/>
        <w:gridCol w:w="1203"/>
        <w:gridCol w:w="1068"/>
      </w:tblGrid>
      <w:tr w14:paraId="73D3B25C">
        <w:tblPrEx>
          <w:tblCellMar>
            <w:top w:w="0" w:type="dxa"/>
            <w:left w:w="108" w:type="dxa"/>
            <w:bottom w:w="0" w:type="dxa"/>
            <w:right w:w="108" w:type="dxa"/>
          </w:tblCellMar>
        </w:tblPrEx>
        <w:trPr>
          <w:trHeight w:val="1219" w:hRule="atLeast"/>
          <w:jc w:val="center"/>
        </w:trPr>
        <w:tc>
          <w:tcPr>
            <w:tcW w:w="933"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89DCC84">
            <w:pPr>
              <w:jc w:val="center"/>
              <w:rPr>
                <w:b/>
                <w:bCs/>
                <w:sz w:val="22"/>
                <w:szCs w:val="22"/>
              </w:rPr>
            </w:pPr>
            <w:r>
              <w:rPr>
                <w:rFonts w:hint="eastAsia"/>
                <w:b/>
                <w:bCs/>
                <w:sz w:val="22"/>
                <w:szCs w:val="22"/>
              </w:rPr>
              <w:t>序号</w:t>
            </w:r>
          </w:p>
        </w:tc>
        <w:tc>
          <w:tcPr>
            <w:tcW w:w="2020" w:type="dxa"/>
            <w:tcBorders>
              <w:top w:val="single" w:color="auto" w:sz="4" w:space="0"/>
              <w:left w:val="nil"/>
              <w:bottom w:val="single" w:color="auto" w:sz="4" w:space="0"/>
              <w:right w:val="single" w:color="auto" w:sz="4" w:space="0"/>
            </w:tcBorders>
            <w:shd w:val="clear" w:color="000000" w:fill="FFFFFF"/>
            <w:noWrap/>
            <w:vAlign w:val="center"/>
          </w:tcPr>
          <w:p w14:paraId="18BBBBC6">
            <w:pPr>
              <w:jc w:val="center"/>
              <w:rPr>
                <w:rFonts w:hint="eastAsia"/>
                <w:b/>
                <w:bCs/>
                <w:sz w:val="22"/>
                <w:szCs w:val="22"/>
              </w:rPr>
            </w:pPr>
            <w:r>
              <w:rPr>
                <w:rFonts w:hint="eastAsia"/>
                <w:b/>
                <w:bCs/>
                <w:sz w:val="22"/>
                <w:szCs w:val="22"/>
              </w:rPr>
              <w:t>船 名</w:t>
            </w:r>
          </w:p>
        </w:tc>
        <w:tc>
          <w:tcPr>
            <w:tcW w:w="1818" w:type="dxa"/>
            <w:tcBorders>
              <w:top w:val="single" w:color="auto" w:sz="4" w:space="0"/>
              <w:left w:val="nil"/>
              <w:bottom w:val="single" w:color="auto" w:sz="4" w:space="0"/>
              <w:right w:val="single" w:color="auto" w:sz="4" w:space="0"/>
            </w:tcBorders>
            <w:shd w:val="clear" w:color="000000" w:fill="FFFFFF"/>
            <w:noWrap/>
            <w:vAlign w:val="center"/>
          </w:tcPr>
          <w:p w14:paraId="751F49E8">
            <w:pPr>
              <w:jc w:val="center"/>
              <w:rPr>
                <w:rFonts w:hint="eastAsia"/>
                <w:b/>
                <w:bCs/>
                <w:sz w:val="22"/>
                <w:szCs w:val="22"/>
              </w:rPr>
            </w:pPr>
            <w:r>
              <w:rPr>
                <w:rFonts w:hint="eastAsia"/>
                <w:b/>
                <w:bCs/>
                <w:sz w:val="22"/>
                <w:szCs w:val="22"/>
              </w:rPr>
              <w:t>船舶类型</w:t>
            </w:r>
          </w:p>
        </w:tc>
        <w:tc>
          <w:tcPr>
            <w:tcW w:w="1203" w:type="dxa"/>
            <w:tcBorders>
              <w:top w:val="single" w:color="auto" w:sz="4" w:space="0"/>
              <w:left w:val="nil"/>
              <w:bottom w:val="single" w:color="auto" w:sz="4" w:space="0"/>
              <w:right w:val="single" w:color="auto" w:sz="4" w:space="0"/>
            </w:tcBorders>
            <w:shd w:val="clear" w:color="000000" w:fill="FFFFFF"/>
            <w:vAlign w:val="center"/>
          </w:tcPr>
          <w:p w14:paraId="4C634536">
            <w:pPr>
              <w:jc w:val="center"/>
              <w:rPr>
                <w:rFonts w:hint="eastAsia"/>
                <w:b/>
                <w:bCs/>
                <w:sz w:val="22"/>
                <w:szCs w:val="22"/>
              </w:rPr>
            </w:pPr>
            <w:r>
              <w:rPr>
                <w:rFonts w:hint="eastAsia"/>
                <w:b/>
                <w:bCs/>
                <w:sz w:val="22"/>
                <w:szCs w:val="22"/>
              </w:rPr>
              <w:t>总吨位</w:t>
            </w:r>
            <w:r>
              <w:rPr>
                <w:rFonts w:hint="eastAsia"/>
                <w:b/>
                <w:bCs/>
                <w:sz w:val="22"/>
                <w:szCs w:val="22"/>
              </w:rPr>
              <w:br w:type="textWrapping"/>
            </w:r>
            <w:r>
              <w:rPr>
                <w:rFonts w:hint="eastAsia"/>
                <w:b/>
                <w:bCs/>
                <w:sz w:val="22"/>
                <w:szCs w:val="22"/>
              </w:rPr>
              <w:t>（t)</w:t>
            </w:r>
          </w:p>
        </w:tc>
        <w:tc>
          <w:tcPr>
            <w:tcW w:w="1203" w:type="dxa"/>
            <w:tcBorders>
              <w:top w:val="single" w:color="auto" w:sz="4" w:space="0"/>
              <w:left w:val="nil"/>
              <w:bottom w:val="single" w:color="auto" w:sz="4" w:space="0"/>
              <w:right w:val="single" w:color="auto" w:sz="4" w:space="0"/>
            </w:tcBorders>
            <w:shd w:val="clear" w:color="000000" w:fill="FFFFFF"/>
            <w:vAlign w:val="center"/>
          </w:tcPr>
          <w:p w14:paraId="1763133E">
            <w:pPr>
              <w:jc w:val="center"/>
              <w:rPr>
                <w:rFonts w:hint="eastAsia"/>
                <w:b/>
                <w:bCs/>
                <w:sz w:val="22"/>
                <w:szCs w:val="22"/>
              </w:rPr>
            </w:pPr>
            <w:r>
              <w:rPr>
                <w:rFonts w:hint="eastAsia"/>
                <w:b/>
                <w:bCs/>
                <w:sz w:val="22"/>
                <w:szCs w:val="22"/>
              </w:rPr>
              <w:t>船长</w:t>
            </w:r>
            <w:r>
              <w:rPr>
                <w:rFonts w:hint="eastAsia"/>
                <w:b/>
                <w:bCs/>
                <w:sz w:val="22"/>
                <w:szCs w:val="22"/>
              </w:rPr>
              <w:br w:type="textWrapping"/>
            </w:r>
            <w:r>
              <w:rPr>
                <w:rFonts w:hint="eastAsia"/>
                <w:b/>
                <w:bCs/>
                <w:sz w:val="22"/>
                <w:szCs w:val="22"/>
              </w:rPr>
              <w:t>（m）</w:t>
            </w:r>
          </w:p>
        </w:tc>
        <w:tc>
          <w:tcPr>
            <w:tcW w:w="1203" w:type="dxa"/>
            <w:tcBorders>
              <w:top w:val="single" w:color="auto" w:sz="4" w:space="0"/>
              <w:left w:val="nil"/>
              <w:bottom w:val="single" w:color="auto" w:sz="4" w:space="0"/>
              <w:right w:val="single" w:color="auto" w:sz="4" w:space="0"/>
            </w:tcBorders>
            <w:shd w:val="clear" w:color="000000" w:fill="FFFFFF"/>
            <w:vAlign w:val="center"/>
          </w:tcPr>
          <w:p w14:paraId="4EE5F735">
            <w:pPr>
              <w:jc w:val="center"/>
              <w:rPr>
                <w:rFonts w:hint="eastAsia"/>
                <w:b/>
                <w:bCs/>
                <w:sz w:val="22"/>
                <w:szCs w:val="22"/>
              </w:rPr>
            </w:pPr>
            <w:r>
              <w:rPr>
                <w:rFonts w:hint="eastAsia"/>
                <w:b/>
                <w:bCs/>
                <w:sz w:val="22"/>
                <w:szCs w:val="22"/>
              </w:rPr>
              <w:t>型宽</w:t>
            </w:r>
            <w:r>
              <w:rPr>
                <w:rFonts w:hint="eastAsia"/>
                <w:b/>
                <w:bCs/>
                <w:sz w:val="22"/>
                <w:szCs w:val="22"/>
              </w:rPr>
              <w:br w:type="textWrapping"/>
            </w:r>
            <w:r>
              <w:rPr>
                <w:rFonts w:hint="eastAsia"/>
                <w:b/>
                <w:bCs/>
                <w:sz w:val="22"/>
                <w:szCs w:val="22"/>
              </w:rPr>
              <w:t>（m）</w:t>
            </w:r>
          </w:p>
        </w:tc>
        <w:tc>
          <w:tcPr>
            <w:tcW w:w="1203" w:type="dxa"/>
            <w:tcBorders>
              <w:top w:val="single" w:color="auto" w:sz="4" w:space="0"/>
              <w:left w:val="nil"/>
              <w:bottom w:val="single" w:color="auto" w:sz="4" w:space="0"/>
              <w:right w:val="single" w:color="auto" w:sz="4" w:space="0"/>
            </w:tcBorders>
            <w:shd w:val="clear" w:color="000000" w:fill="FFFFFF"/>
            <w:vAlign w:val="center"/>
          </w:tcPr>
          <w:p w14:paraId="6749833E">
            <w:pPr>
              <w:jc w:val="center"/>
              <w:rPr>
                <w:rFonts w:hint="eastAsia"/>
                <w:b/>
                <w:bCs/>
                <w:sz w:val="22"/>
                <w:szCs w:val="22"/>
              </w:rPr>
            </w:pPr>
            <w:r>
              <w:rPr>
                <w:rFonts w:hint="eastAsia"/>
                <w:b/>
                <w:bCs/>
                <w:sz w:val="22"/>
                <w:szCs w:val="22"/>
              </w:rPr>
              <w:t>型深</w:t>
            </w:r>
            <w:r>
              <w:rPr>
                <w:rFonts w:hint="eastAsia"/>
                <w:b/>
                <w:bCs/>
                <w:sz w:val="22"/>
                <w:szCs w:val="22"/>
              </w:rPr>
              <w:br w:type="textWrapping"/>
            </w:r>
            <w:r>
              <w:rPr>
                <w:rFonts w:hint="eastAsia"/>
                <w:b/>
                <w:bCs/>
                <w:sz w:val="22"/>
                <w:szCs w:val="22"/>
              </w:rPr>
              <w:t>（m）</w:t>
            </w:r>
          </w:p>
        </w:tc>
        <w:tc>
          <w:tcPr>
            <w:tcW w:w="1203" w:type="dxa"/>
            <w:tcBorders>
              <w:top w:val="single" w:color="auto" w:sz="4" w:space="0"/>
              <w:left w:val="nil"/>
              <w:bottom w:val="single" w:color="auto" w:sz="4" w:space="0"/>
              <w:right w:val="single" w:color="auto" w:sz="4" w:space="0"/>
            </w:tcBorders>
            <w:shd w:val="clear" w:color="000000" w:fill="FFFFFF"/>
            <w:vAlign w:val="center"/>
          </w:tcPr>
          <w:p w14:paraId="0A3CDD4F">
            <w:pPr>
              <w:jc w:val="center"/>
              <w:rPr>
                <w:rFonts w:hint="eastAsia"/>
                <w:b/>
                <w:bCs/>
                <w:sz w:val="22"/>
                <w:szCs w:val="22"/>
              </w:rPr>
            </w:pPr>
            <w:r>
              <w:rPr>
                <w:rFonts w:hint="eastAsia"/>
                <w:b/>
                <w:bCs/>
                <w:sz w:val="22"/>
                <w:szCs w:val="22"/>
              </w:rPr>
              <w:t>设计/满载</w:t>
            </w:r>
            <w:r>
              <w:rPr>
                <w:rFonts w:hint="eastAsia"/>
                <w:b/>
                <w:bCs/>
                <w:sz w:val="22"/>
                <w:szCs w:val="22"/>
              </w:rPr>
              <w:br w:type="textWrapping"/>
            </w:r>
            <w:r>
              <w:rPr>
                <w:rFonts w:hint="eastAsia"/>
                <w:b/>
                <w:bCs/>
                <w:sz w:val="22"/>
                <w:szCs w:val="22"/>
              </w:rPr>
              <w:t>吃水（m）</w:t>
            </w:r>
          </w:p>
        </w:tc>
        <w:tc>
          <w:tcPr>
            <w:tcW w:w="1068" w:type="dxa"/>
            <w:tcBorders>
              <w:top w:val="single" w:color="auto" w:sz="4" w:space="0"/>
              <w:left w:val="nil"/>
              <w:bottom w:val="single" w:color="auto" w:sz="4" w:space="0"/>
              <w:right w:val="single" w:color="auto" w:sz="4" w:space="0"/>
            </w:tcBorders>
            <w:shd w:val="clear" w:color="000000" w:fill="FFFFFF"/>
            <w:vAlign w:val="center"/>
          </w:tcPr>
          <w:p w14:paraId="5C02D5DF">
            <w:pPr>
              <w:jc w:val="center"/>
              <w:rPr>
                <w:rFonts w:hint="eastAsia"/>
                <w:b/>
                <w:bCs/>
                <w:sz w:val="22"/>
                <w:szCs w:val="22"/>
              </w:rPr>
            </w:pPr>
            <w:r>
              <w:rPr>
                <w:rFonts w:hint="eastAsia"/>
                <w:b/>
                <w:bCs/>
                <w:sz w:val="22"/>
                <w:szCs w:val="22"/>
              </w:rPr>
              <w:t>参考载货量（t）</w:t>
            </w:r>
          </w:p>
        </w:tc>
      </w:tr>
      <w:tr w14:paraId="3F2C3513">
        <w:tblPrEx>
          <w:tblCellMar>
            <w:top w:w="0" w:type="dxa"/>
            <w:left w:w="108" w:type="dxa"/>
            <w:bottom w:w="0" w:type="dxa"/>
            <w:right w:w="108" w:type="dxa"/>
          </w:tblCellMar>
        </w:tblPrEx>
        <w:trPr>
          <w:trHeight w:val="320" w:hRule="atLeast"/>
          <w:jc w:val="center"/>
        </w:trPr>
        <w:tc>
          <w:tcPr>
            <w:tcW w:w="933" w:type="dxa"/>
            <w:tcBorders>
              <w:top w:val="nil"/>
              <w:left w:val="single" w:color="auto" w:sz="4" w:space="0"/>
              <w:bottom w:val="single" w:color="auto" w:sz="4" w:space="0"/>
              <w:right w:val="single" w:color="auto" w:sz="4" w:space="0"/>
            </w:tcBorders>
            <w:noWrap/>
            <w:vAlign w:val="center"/>
          </w:tcPr>
          <w:p w14:paraId="1B6E7846">
            <w:pPr>
              <w:jc w:val="center"/>
              <w:rPr>
                <w:rFonts w:hint="eastAsia"/>
                <w:b/>
                <w:bCs/>
              </w:rPr>
            </w:pPr>
            <w:r>
              <w:rPr>
                <w:rFonts w:hint="eastAsia"/>
                <w:b/>
                <w:bCs/>
              </w:rPr>
              <w:t>1</w:t>
            </w:r>
          </w:p>
        </w:tc>
        <w:tc>
          <w:tcPr>
            <w:tcW w:w="2020" w:type="dxa"/>
            <w:tcBorders>
              <w:top w:val="nil"/>
              <w:left w:val="nil"/>
              <w:bottom w:val="single" w:color="auto" w:sz="4" w:space="0"/>
              <w:right w:val="single" w:color="auto" w:sz="4" w:space="0"/>
            </w:tcBorders>
            <w:noWrap/>
            <w:vAlign w:val="center"/>
          </w:tcPr>
          <w:p w14:paraId="7808CADA">
            <w:pPr>
              <w:jc w:val="center"/>
              <w:rPr>
                <w:rFonts w:hint="eastAsia"/>
              </w:rPr>
            </w:pPr>
            <w:r>
              <w:rPr>
                <w:rFonts w:hint="eastAsia"/>
              </w:rPr>
              <w:t>国澳永晟</w:t>
            </w:r>
          </w:p>
        </w:tc>
        <w:tc>
          <w:tcPr>
            <w:tcW w:w="1818" w:type="dxa"/>
            <w:tcBorders>
              <w:top w:val="nil"/>
              <w:left w:val="nil"/>
              <w:bottom w:val="single" w:color="auto" w:sz="4" w:space="0"/>
              <w:right w:val="single" w:color="auto" w:sz="4" w:space="0"/>
            </w:tcBorders>
            <w:noWrap/>
            <w:vAlign w:val="center"/>
          </w:tcPr>
          <w:p w14:paraId="045AFA98">
            <w:pPr>
              <w:jc w:val="center"/>
              <w:rPr>
                <w:rFonts w:hint="eastAsia"/>
              </w:rPr>
            </w:pPr>
            <w:r>
              <w:rPr>
                <w:rFonts w:hint="eastAsia"/>
              </w:rPr>
              <w:t>甲板船</w:t>
            </w:r>
          </w:p>
        </w:tc>
        <w:tc>
          <w:tcPr>
            <w:tcW w:w="1203" w:type="dxa"/>
            <w:tcBorders>
              <w:top w:val="nil"/>
              <w:left w:val="nil"/>
              <w:bottom w:val="single" w:color="auto" w:sz="4" w:space="0"/>
              <w:right w:val="single" w:color="auto" w:sz="4" w:space="0"/>
            </w:tcBorders>
            <w:noWrap/>
            <w:vAlign w:val="center"/>
          </w:tcPr>
          <w:p w14:paraId="314C5430">
            <w:pPr>
              <w:jc w:val="center"/>
              <w:rPr>
                <w:rFonts w:hint="eastAsia"/>
              </w:rPr>
            </w:pPr>
            <w:r>
              <w:rPr>
                <w:rFonts w:hint="eastAsia"/>
              </w:rPr>
              <w:t>14358</w:t>
            </w:r>
          </w:p>
        </w:tc>
        <w:tc>
          <w:tcPr>
            <w:tcW w:w="1203" w:type="dxa"/>
            <w:tcBorders>
              <w:top w:val="nil"/>
              <w:left w:val="nil"/>
              <w:bottom w:val="single" w:color="auto" w:sz="4" w:space="0"/>
              <w:right w:val="single" w:color="auto" w:sz="4" w:space="0"/>
            </w:tcBorders>
            <w:noWrap/>
            <w:vAlign w:val="center"/>
          </w:tcPr>
          <w:p w14:paraId="58468D67">
            <w:pPr>
              <w:jc w:val="center"/>
              <w:rPr>
                <w:rFonts w:hint="eastAsia"/>
              </w:rPr>
            </w:pPr>
            <w:r>
              <w:rPr>
                <w:rFonts w:hint="eastAsia"/>
              </w:rPr>
              <w:t>147.6</w:t>
            </w:r>
          </w:p>
        </w:tc>
        <w:tc>
          <w:tcPr>
            <w:tcW w:w="1203" w:type="dxa"/>
            <w:tcBorders>
              <w:top w:val="nil"/>
              <w:left w:val="nil"/>
              <w:bottom w:val="single" w:color="auto" w:sz="4" w:space="0"/>
              <w:right w:val="single" w:color="auto" w:sz="4" w:space="0"/>
            </w:tcBorders>
            <w:noWrap/>
            <w:vAlign w:val="center"/>
          </w:tcPr>
          <w:p w14:paraId="25AB8BB3">
            <w:pPr>
              <w:jc w:val="center"/>
              <w:rPr>
                <w:rFonts w:hint="eastAsia"/>
              </w:rPr>
            </w:pPr>
            <w:r>
              <w:rPr>
                <w:rFonts w:hint="eastAsia"/>
              </w:rPr>
              <w:t>40.2</w:t>
            </w:r>
          </w:p>
        </w:tc>
        <w:tc>
          <w:tcPr>
            <w:tcW w:w="1203" w:type="dxa"/>
            <w:tcBorders>
              <w:top w:val="nil"/>
              <w:left w:val="nil"/>
              <w:bottom w:val="single" w:color="auto" w:sz="4" w:space="0"/>
              <w:right w:val="single" w:color="auto" w:sz="4" w:space="0"/>
            </w:tcBorders>
            <w:noWrap/>
            <w:vAlign w:val="center"/>
          </w:tcPr>
          <w:p w14:paraId="411B1F5B">
            <w:pPr>
              <w:jc w:val="center"/>
              <w:rPr>
                <w:rFonts w:hint="eastAsia"/>
              </w:rPr>
            </w:pPr>
            <w:r>
              <w:rPr>
                <w:rFonts w:hint="eastAsia"/>
              </w:rPr>
              <w:t>9.2</w:t>
            </w:r>
          </w:p>
        </w:tc>
        <w:tc>
          <w:tcPr>
            <w:tcW w:w="1203" w:type="dxa"/>
            <w:tcBorders>
              <w:top w:val="nil"/>
              <w:left w:val="nil"/>
              <w:bottom w:val="single" w:color="auto" w:sz="4" w:space="0"/>
              <w:right w:val="single" w:color="auto" w:sz="4" w:space="0"/>
            </w:tcBorders>
            <w:noWrap/>
            <w:vAlign w:val="center"/>
          </w:tcPr>
          <w:p w14:paraId="488EAAEB">
            <w:pPr>
              <w:jc w:val="center"/>
              <w:rPr>
                <w:rFonts w:hint="eastAsia"/>
              </w:rPr>
            </w:pPr>
            <w:r>
              <w:rPr>
                <w:rFonts w:hint="eastAsia"/>
              </w:rPr>
              <w:t>6.4</w:t>
            </w:r>
          </w:p>
        </w:tc>
        <w:tc>
          <w:tcPr>
            <w:tcW w:w="1068" w:type="dxa"/>
            <w:tcBorders>
              <w:top w:val="nil"/>
              <w:left w:val="nil"/>
              <w:bottom w:val="single" w:color="auto" w:sz="4" w:space="0"/>
              <w:right w:val="single" w:color="auto" w:sz="4" w:space="0"/>
            </w:tcBorders>
            <w:noWrap/>
            <w:vAlign w:val="center"/>
          </w:tcPr>
          <w:p w14:paraId="243FD071">
            <w:pPr>
              <w:jc w:val="center"/>
              <w:rPr>
                <w:rFonts w:hint="eastAsia"/>
              </w:rPr>
            </w:pPr>
            <w:r>
              <w:rPr>
                <w:rFonts w:hint="eastAsia"/>
              </w:rPr>
              <w:t>22028</w:t>
            </w:r>
          </w:p>
        </w:tc>
      </w:tr>
      <w:tr w14:paraId="50DCAB97">
        <w:tblPrEx>
          <w:tblCellMar>
            <w:top w:w="0" w:type="dxa"/>
            <w:left w:w="108" w:type="dxa"/>
            <w:bottom w:w="0" w:type="dxa"/>
            <w:right w:w="108" w:type="dxa"/>
          </w:tblCellMar>
        </w:tblPrEx>
        <w:trPr>
          <w:trHeight w:val="320" w:hRule="atLeast"/>
          <w:jc w:val="center"/>
        </w:trPr>
        <w:tc>
          <w:tcPr>
            <w:tcW w:w="933" w:type="dxa"/>
            <w:tcBorders>
              <w:top w:val="nil"/>
              <w:left w:val="single" w:color="auto" w:sz="4" w:space="0"/>
              <w:bottom w:val="single" w:color="auto" w:sz="4" w:space="0"/>
              <w:right w:val="single" w:color="auto" w:sz="4" w:space="0"/>
            </w:tcBorders>
            <w:noWrap/>
            <w:vAlign w:val="center"/>
          </w:tcPr>
          <w:p w14:paraId="1DFCF252">
            <w:pPr>
              <w:jc w:val="center"/>
              <w:rPr>
                <w:rFonts w:hint="eastAsia"/>
                <w:b/>
                <w:bCs/>
              </w:rPr>
            </w:pPr>
            <w:r>
              <w:rPr>
                <w:rFonts w:hint="eastAsia"/>
                <w:b/>
                <w:bCs/>
              </w:rPr>
              <w:t>2</w:t>
            </w:r>
          </w:p>
        </w:tc>
        <w:tc>
          <w:tcPr>
            <w:tcW w:w="2020" w:type="dxa"/>
            <w:tcBorders>
              <w:top w:val="nil"/>
              <w:left w:val="nil"/>
              <w:bottom w:val="single" w:color="auto" w:sz="4" w:space="0"/>
              <w:right w:val="single" w:color="auto" w:sz="4" w:space="0"/>
            </w:tcBorders>
            <w:noWrap/>
            <w:vAlign w:val="center"/>
          </w:tcPr>
          <w:p w14:paraId="0BE8F428">
            <w:pPr>
              <w:jc w:val="center"/>
              <w:rPr>
                <w:rFonts w:hint="eastAsia"/>
              </w:rPr>
            </w:pPr>
            <w:r>
              <w:rPr>
                <w:rFonts w:hint="eastAsia"/>
              </w:rPr>
              <w:t>瀚航大件</w:t>
            </w:r>
          </w:p>
        </w:tc>
        <w:tc>
          <w:tcPr>
            <w:tcW w:w="1818" w:type="dxa"/>
            <w:tcBorders>
              <w:top w:val="nil"/>
              <w:left w:val="nil"/>
              <w:bottom w:val="single" w:color="auto" w:sz="4" w:space="0"/>
              <w:right w:val="single" w:color="auto" w:sz="4" w:space="0"/>
            </w:tcBorders>
            <w:noWrap/>
            <w:vAlign w:val="center"/>
          </w:tcPr>
          <w:p w14:paraId="02EB5723">
            <w:pPr>
              <w:jc w:val="center"/>
              <w:rPr>
                <w:rFonts w:hint="eastAsia"/>
              </w:rPr>
            </w:pPr>
            <w:r>
              <w:rPr>
                <w:rFonts w:hint="eastAsia"/>
              </w:rPr>
              <w:t>甲板船</w:t>
            </w:r>
          </w:p>
        </w:tc>
        <w:tc>
          <w:tcPr>
            <w:tcW w:w="1203" w:type="dxa"/>
            <w:tcBorders>
              <w:top w:val="nil"/>
              <w:left w:val="nil"/>
              <w:bottom w:val="single" w:color="auto" w:sz="4" w:space="0"/>
              <w:right w:val="single" w:color="auto" w:sz="4" w:space="0"/>
            </w:tcBorders>
            <w:noWrap/>
            <w:vAlign w:val="center"/>
          </w:tcPr>
          <w:p w14:paraId="197A7A76">
            <w:pPr>
              <w:jc w:val="center"/>
              <w:rPr>
                <w:rFonts w:hint="eastAsia"/>
              </w:rPr>
            </w:pPr>
            <w:r>
              <w:rPr>
                <w:rFonts w:hint="eastAsia"/>
              </w:rPr>
              <w:t>14253</w:t>
            </w:r>
          </w:p>
        </w:tc>
        <w:tc>
          <w:tcPr>
            <w:tcW w:w="1203" w:type="dxa"/>
            <w:tcBorders>
              <w:top w:val="nil"/>
              <w:left w:val="nil"/>
              <w:bottom w:val="single" w:color="auto" w:sz="4" w:space="0"/>
              <w:right w:val="single" w:color="auto" w:sz="4" w:space="0"/>
            </w:tcBorders>
            <w:noWrap/>
            <w:vAlign w:val="center"/>
          </w:tcPr>
          <w:p w14:paraId="0AB8C2CF">
            <w:pPr>
              <w:jc w:val="center"/>
              <w:rPr>
                <w:rFonts w:hint="eastAsia"/>
              </w:rPr>
            </w:pPr>
            <w:r>
              <w:rPr>
                <w:rFonts w:hint="eastAsia"/>
              </w:rPr>
              <w:t>143.48</w:t>
            </w:r>
          </w:p>
        </w:tc>
        <w:tc>
          <w:tcPr>
            <w:tcW w:w="1203" w:type="dxa"/>
            <w:tcBorders>
              <w:top w:val="nil"/>
              <w:left w:val="nil"/>
              <w:bottom w:val="single" w:color="auto" w:sz="4" w:space="0"/>
              <w:right w:val="single" w:color="auto" w:sz="4" w:space="0"/>
            </w:tcBorders>
            <w:noWrap/>
            <w:vAlign w:val="center"/>
          </w:tcPr>
          <w:p w14:paraId="6D1643AE">
            <w:pPr>
              <w:jc w:val="center"/>
              <w:rPr>
                <w:rFonts w:hint="eastAsia"/>
              </w:rPr>
            </w:pPr>
            <w:r>
              <w:rPr>
                <w:rFonts w:hint="eastAsia"/>
              </w:rPr>
              <w:t>40.2</w:t>
            </w:r>
          </w:p>
        </w:tc>
        <w:tc>
          <w:tcPr>
            <w:tcW w:w="1203" w:type="dxa"/>
            <w:tcBorders>
              <w:top w:val="nil"/>
              <w:left w:val="nil"/>
              <w:bottom w:val="single" w:color="auto" w:sz="4" w:space="0"/>
              <w:right w:val="single" w:color="auto" w:sz="4" w:space="0"/>
            </w:tcBorders>
            <w:noWrap/>
            <w:vAlign w:val="center"/>
          </w:tcPr>
          <w:p w14:paraId="0A2F6B2B">
            <w:pPr>
              <w:jc w:val="center"/>
              <w:rPr>
                <w:rFonts w:hint="eastAsia"/>
              </w:rPr>
            </w:pPr>
            <w:r>
              <w:rPr>
                <w:rFonts w:hint="eastAsia"/>
              </w:rPr>
              <w:t>9.2</w:t>
            </w:r>
          </w:p>
        </w:tc>
        <w:tc>
          <w:tcPr>
            <w:tcW w:w="1203" w:type="dxa"/>
            <w:tcBorders>
              <w:top w:val="nil"/>
              <w:left w:val="nil"/>
              <w:bottom w:val="single" w:color="auto" w:sz="4" w:space="0"/>
              <w:right w:val="single" w:color="auto" w:sz="4" w:space="0"/>
            </w:tcBorders>
            <w:noWrap/>
            <w:vAlign w:val="center"/>
          </w:tcPr>
          <w:p w14:paraId="582EF4F6">
            <w:pPr>
              <w:jc w:val="center"/>
              <w:rPr>
                <w:rFonts w:hint="eastAsia"/>
              </w:rPr>
            </w:pPr>
            <w:r>
              <w:rPr>
                <w:rFonts w:hint="eastAsia"/>
              </w:rPr>
              <w:t>6.4</w:t>
            </w:r>
          </w:p>
        </w:tc>
        <w:tc>
          <w:tcPr>
            <w:tcW w:w="1068" w:type="dxa"/>
            <w:tcBorders>
              <w:top w:val="nil"/>
              <w:left w:val="nil"/>
              <w:bottom w:val="single" w:color="auto" w:sz="4" w:space="0"/>
              <w:right w:val="single" w:color="auto" w:sz="4" w:space="0"/>
            </w:tcBorders>
            <w:noWrap/>
            <w:vAlign w:val="center"/>
          </w:tcPr>
          <w:p w14:paraId="1C785EE1">
            <w:pPr>
              <w:jc w:val="center"/>
              <w:rPr>
                <w:rFonts w:hint="eastAsia"/>
              </w:rPr>
            </w:pPr>
            <w:r>
              <w:rPr>
                <w:rFonts w:hint="eastAsia"/>
              </w:rPr>
              <w:t>22308</w:t>
            </w:r>
          </w:p>
        </w:tc>
      </w:tr>
      <w:tr w14:paraId="5880C1C2">
        <w:tblPrEx>
          <w:tblCellMar>
            <w:top w:w="0" w:type="dxa"/>
            <w:left w:w="108" w:type="dxa"/>
            <w:bottom w:w="0" w:type="dxa"/>
            <w:right w:w="108" w:type="dxa"/>
          </w:tblCellMar>
        </w:tblPrEx>
        <w:trPr>
          <w:trHeight w:val="320" w:hRule="atLeast"/>
          <w:jc w:val="center"/>
        </w:trPr>
        <w:tc>
          <w:tcPr>
            <w:tcW w:w="933" w:type="dxa"/>
            <w:tcBorders>
              <w:top w:val="nil"/>
              <w:left w:val="single" w:color="auto" w:sz="4" w:space="0"/>
              <w:bottom w:val="single" w:color="auto" w:sz="4" w:space="0"/>
              <w:right w:val="single" w:color="auto" w:sz="4" w:space="0"/>
            </w:tcBorders>
            <w:noWrap/>
            <w:vAlign w:val="center"/>
          </w:tcPr>
          <w:p w14:paraId="3CAF8F21">
            <w:pPr>
              <w:jc w:val="center"/>
              <w:rPr>
                <w:rFonts w:hint="eastAsia"/>
                <w:b/>
                <w:bCs/>
              </w:rPr>
            </w:pPr>
            <w:r>
              <w:rPr>
                <w:rFonts w:hint="eastAsia"/>
                <w:b/>
                <w:bCs/>
              </w:rPr>
              <w:t>3</w:t>
            </w:r>
          </w:p>
        </w:tc>
        <w:tc>
          <w:tcPr>
            <w:tcW w:w="2020" w:type="dxa"/>
            <w:tcBorders>
              <w:top w:val="nil"/>
              <w:left w:val="nil"/>
              <w:bottom w:val="single" w:color="auto" w:sz="4" w:space="0"/>
              <w:right w:val="single" w:color="auto" w:sz="4" w:space="0"/>
            </w:tcBorders>
            <w:noWrap/>
            <w:vAlign w:val="center"/>
          </w:tcPr>
          <w:p w14:paraId="3612C592">
            <w:pPr>
              <w:jc w:val="center"/>
              <w:rPr>
                <w:rFonts w:hint="eastAsia"/>
              </w:rPr>
            </w:pPr>
            <w:r>
              <w:rPr>
                <w:rFonts w:hint="eastAsia"/>
              </w:rPr>
              <w:t>开拓者06</w:t>
            </w:r>
          </w:p>
        </w:tc>
        <w:tc>
          <w:tcPr>
            <w:tcW w:w="1818" w:type="dxa"/>
            <w:tcBorders>
              <w:top w:val="nil"/>
              <w:left w:val="nil"/>
              <w:bottom w:val="single" w:color="auto" w:sz="4" w:space="0"/>
              <w:right w:val="single" w:color="auto" w:sz="4" w:space="0"/>
            </w:tcBorders>
            <w:noWrap/>
            <w:vAlign w:val="center"/>
          </w:tcPr>
          <w:p w14:paraId="0932510D">
            <w:pPr>
              <w:jc w:val="center"/>
              <w:rPr>
                <w:rFonts w:hint="eastAsia"/>
              </w:rPr>
            </w:pPr>
            <w:r>
              <w:rPr>
                <w:rFonts w:hint="eastAsia"/>
              </w:rPr>
              <w:t>甲板船</w:t>
            </w:r>
          </w:p>
        </w:tc>
        <w:tc>
          <w:tcPr>
            <w:tcW w:w="1203" w:type="dxa"/>
            <w:tcBorders>
              <w:top w:val="nil"/>
              <w:left w:val="nil"/>
              <w:bottom w:val="single" w:color="auto" w:sz="4" w:space="0"/>
              <w:right w:val="single" w:color="auto" w:sz="4" w:space="0"/>
            </w:tcBorders>
            <w:noWrap/>
            <w:vAlign w:val="center"/>
          </w:tcPr>
          <w:p w14:paraId="6A5C1F7C">
            <w:pPr>
              <w:jc w:val="center"/>
              <w:rPr>
                <w:rFonts w:hint="eastAsia"/>
              </w:rPr>
            </w:pPr>
            <w:r>
              <w:rPr>
                <w:rFonts w:hint="eastAsia"/>
              </w:rPr>
              <w:t>14226</w:t>
            </w:r>
          </w:p>
        </w:tc>
        <w:tc>
          <w:tcPr>
            <w:tcW w:w="1203" w:type="dxa"/>
            <w:tcBorders>
              <w:top w:val="nil"/>
              <w:left w:val="nil"/>
              <w:bottom w:val="single" w:color="auto" w:sz="4" w:space="0"/>
              <w:right w:val="single" w:color="auto" w:sz="4" w:space="0"/>
            </w:tcBorders>
            <w:noWrap/>
            <w:vAlign w:val="center"/>
          </w:tcPr>
          <w:p w14:paraId="6B30C7FD">
            <w:pPr>
              <w:jc w:val="center"/>
              <w:rPr>
                <w:rFonts w:hint="eastAsia"/>
              </w:rPr>
            </w:pPr>
            <w:r>
              <w:rPr>
                <w:rFonts w:hint="eastAsia"/>
              </w:rPr>
              <w:t>143.48</w:t>
            </w:r>
          </w:p>
        </w:tc>
        <w:tc>
          <w:tcPr>
            <w:tcW w:w="1203" w:type="dxa"/>
            <w:tcBorders>
              <w:top w:val="nil"/>
              <w:left w:val="nil"/>
              <w:bottom w:val="single" w:color="auto" w:sz="4" w:space="0"/>
              <w:right w:val="single" w:color="auto" w:sz="4" w:space="0"/>
            </w:tcBorders>
            <w:noWrap/>
            <w:vAlign w:val="center"/>
          </w:tcPr>
          <w:p w14:paraId="49751CFC">
            <w:pPr>
              <w:jc w:val="center"/>
              <w:rPr>
                <w:rFonts w:hint="eastAsia"/>
              </w:rPr>
            </w:pPr>
            <w:r>
              <w:rPr>
                <w:rFonts w:hint="eastAsia"/>
              </w:rPr>
              <w:t>40.2</w:t>
            </w:r>
          </w:p>
        </w:tc>
        <w:tc>
          <w:tcPr>
            <w:tcW w:w="1203" w:type="dxa"/>
            <w:tcBorders>
              <w:top w:val="nil"/>
              <w:left w:val="nil"/>
              <w:bottom w:val="single" w:color="auto" w:sz="4" w:space="0"/>
              <w:right w:val="single" w:color="auto" w:sz="4" w:space="0"/>
            </w:tcBorders>
            <w:noWrap/>
            <w:vAlign w:val="center"/>
          </w:tcPr>
          <w:p w14:paraId="2CE5D4ED">
            <w:pPr>
              <w:jc w:val="center"/>
              <w:rPr>
                <w:rFonts w:hint="eastAsia"/>
              </w:rPr>
            </w:pPr>
            <w:r>
              <w:rPr>
                <w:rFonts w:hint="eastAsia"/>
              </w:rPr>
              <w:t>9.2</w:t>
            </w:r>
          </w:p>
        </w:tc>
        <w:tc>
          <w:tcPr>
            <w:tcW w:w="1203" w:type="dxa"/>
            <w:tcBorders>
              <w:top w:val="nil"/>
              <w:left w:val="nil"/>
              <w:bottom w:val="single" w:color="auto" w:sz="4" w:space="0"/>
              <w:right w:val="single" w:color="auto" w:sz="4" w:space="0"/>
            </w:tcBorders>
            <w:noWrap/>
            <w:vAlign w:val="center"/>
          </w:tcPr>
          <w:p w14:paraId="082658B9">
            <w:pPr>
              <w:jc w:val="center"/>
              <w:rPr>
                <w:rFonts w:hint="eastAsia"/>
              </w:rPr>
            </w:pPr>
            <w:r>
              <w:rPr>
                <w:rFonts w:hint="eastAsia"/>
              </w:rPr>
              <w:t>6.4</w:t>
            </w:r>
          </w:p>
        </w:tc>
        <w:tc>
          <w:tcPr>
            <w:tcW w:w="1068" w:type="dxa"/>
            <w:tcBorders>
              <w:top w:val="nil"/>
              <w:left w:val="nil"/>
              <w:bottom w:val="single" w:color="auto" w:sz="4" w:space="0"/>
              <w:right w:val="single" w:color="auto" w:sz="4" w:space="0"/>
            </w:tcBorders>
            <w:noWrap/>
            <w:vAlign w:val="center"/>
          </w:tcPr>
          <w:p w14:paraId="422675C4">
            <w:pPr>
              <w:jc w:val="center"/>
              <w:rPr>
                <w:rFonts w:hint="eastAsia"/>
              </w:rPr>
            </w:pPr>
            <w:r>
              <w:rPr>
                <w:rFonts w:hint="eastAsia"/>
              </w:rPr>
              <w:t>22308</w:t>
            </w:r>
          </w:p>
        </w:tc>
      </w:tr>
      <w:tr w14:paraId="7338D9FA">
        <w:tblPrEx>
          <w:tblCellMar>
            <w:top w:w="0" w:type="dxa"/>
            <w:left w:w="108" w:type="dxa"/>
            <w:bottom w:w="0" w:type="dxa"/>
            <w:right w:w="108" w:type="dxa"/>
          </w:tblCellMar>
        </w:tblPrEx>
        <w:trPr>
          <w:trHeight w:val="320" w:hRule="atLeast"/>
          <w:jc w:val="center"/>
        </w:trPr>
        <w:tc>
          <w:tcPr>
            <w:tcW w:w="933" w:type="dxa"/>
            <w:tcBorders>
              <w:top w:val="nil"/>
              <w:left w:val="single" w:color="auto" w:sz="4" w:space="0"/>
              <w:bottom w:val="single" w:color="auto" w:sz="4" w:space="0"/>
              <w:right w:val="single" w:color="auto" w:sz="4" w:space="0"/>
            </w:tcBorders>
            <w:noWrap/>
            <w:vAlign w:val="center"/>
          </w:tcPr>
          <w:p w14:paraId="5E961C59">
            <w:pPr>
              <w:jc w:val="center"/>
              <w:rPr>
                <w:rFonts w:hint="eastAsia"/>
                <w:b/>
                <w:bCs/>
              </w:rPr>
            </w:pPr>
            <w:r>
              <w:rPr>
                <w:rFonts w:hint="eastAsia"/>
                <w:b/>
                <w:bCs/>
              </w:rPr>
              <w:t>4</w:t>
            </w:r>
          </w:p>
        </w:tc>
        <w:tc>
          <w:tcPr>
            <w:tcW w:w="2020" w:type="dxa"/>
            <w:tcBorders>
              <w:top w:val="nil"/>
              <w:left w:val="nil"/>
              <w:bottom w:val="single" w:color="auto" w:sz="4" w:space="0"/>
              <w:right w:val="single" w:color="auto" w:sz="4" w:space="0"/>
            </w:tcBorders>
            <w:noWrap/>
            <w:vAlign w:val="center"/>
          </w:tcPr>
          <w:p w14:paraId="3FCA5940">
            <w:pPr>
              <w:jc w:val="center"/>
              <w:rPr>
                <w:rFonts w:hint="eastAsia"/>
              </w:rPr>
            </w:pPr>
            <w:r>
              <w:rPr>
                <w:rFonts w:hint="eastAsia"/>
              </w:rPr>
              <w:t>恺隆帆</w:t>
            </w:r>
          </w:p>
        </w:tc>
        <w:tc>
          <w:tcPr>
            <w:tcW w:w="1818" w:type="dxa"/>
            <w:tcBorders>
              <w:top w:val="nil"/>
              <w:left w:val="nil"/>
              <w:bottom w:val="single" w:color="auto" w:sz="4" w:space="0"/>
              <w:right w:val="single" w:color="auto" w:sz="4" w:space="0"/>
            </w:tcBorders>
            <w:noWrap/>
            <w:vAlign w:val="center"/>
          </w:tcPr>
          <w:p w14:paraId="50CEBAB3">
            <w:pPr>
              <w:jc w:val="center"/>
              <w:rPr>
                <w:rFonts w:hint="eastAsia"/>
              </w:rPr>
            </w:pPr>
            <w:r>
              <w:rPr>
                <w:rFonts w:hint="eastAsia"/>
              </w:rPr>
              <w:t>甲板船</w:t>
            </w:r>
          </w:p>
        </w:tc>
        <w:tc>
          <w:tcPr>
            <w:tcW w:w="1203" w:type="dxa"/>
            <w:tcBorders>
              <w:top w:val="nil"/>
              <w:left w:val="nil"/>
              <w:bottom w:val="single" w:color="auto" w:sz="4" w:space="0"/>
              <w:right w:val="single" w:color="auto" w:sz="4" w:space="0"/>
            </w:tcBorders>
            <w:noWrap/>
            <w:vAlign w:val="center"/>
          </w:tcPr>
          <w:p w14:paraId="25DD45B0">
            <w:pPr>
              <w:jc w:val="center"/>
              <w:rPr>
                <w:rFonts w:hint="eastAsia"/>
              </w:rPr>
            </w:pPr>
            <w:r>
              <w:rPr>
                <w:rFonts w:hint="eastAsia"/>
              </w:rPr>
              <w:t>15524</w:t>
            </w:r>
          </w:p>
        </w:tc>
        <w:tc>
          <w:tcPr>
            <w:tcW w:w="1203" w:type="dxa"/>
            <w:tcBorders>
              <w:top w:val="nil"/>
              <w:left w:val="nil"/>
              <w:bottom w:val="single" w:color="auto" w:sz="4" w:space="0"/>
              <w:right w:val="single" w:color="auto" w:sz="4" w:space="0"/>
            </w:tcBorders>
            <w:noWrap/>
            <w:vAlign w:val="center"/>
          </w:tcPr>
          <w:p w14:paraId="34C7308D">
            <w:pPr>
              <w:jc w:val="center"/>
              <w:rPr>
                <w:rFonts w:hint="eastAsia"/>
              </w:rPr>
            </w:pPr>
            <w:r>
              <w:rPr>
                <w:rFonts w:hint="eastAsia"/>
              </w:rPr>
              <w:t>149.88</w:t>
            </w:r>
          </w:p>
        </w:tc>
        <w:tc>
          <w:tcPr>
            <w:tcW w:w="1203" w:type="dxa"/>
            <w:tcBorders>
              <w:top w:val="nil"/>
              <w:left w:val="nil"/>
              <w:bottom w:val="single" w:color="auto" w:sz="4" w:space="0"/>
              <w:right w:val="single" w:color="auto" w:sz="4" w:space="0"/>
            </w:tcBorders>
            <w:noWrap/>
            <w:vAlign w:val="center"/>
          </w:tcPr>
          <w:p w14:paraId="589E733A">
            <w:pPr>
              <w:jc w:val="center"/>
              <w:rPr>
                <w:rFonts w:hint="eastAsia"/>
              </w:rPr>
            </w:pPr>
            <w:r>
              <w:rPr>
                <w:rFonts w:hint="eastAsia"/>
              </w:rPr>
              <w:t>40</w:t>
            </w:r>
          </w:p>
        </w:tc>
        <w:tc>
          <w:tcPr>
            <w:tcW w:w="1203" w:type="dxa"/>
            <w:tcBorders>
              <w:top w:val="nil"/>
              <w:left w:val="nil"/>
              <w:bottom w:val="single" w:color="auto" w:sz="4" w:space="0"/>
              <w:right w:val="single" w:color="auto" w:sz="4" w:space="0"/>
            </w:tcBorders>
            <w:noWrap/>
            <w:vAlign w:val="center"/>
          </w:tcPr>
          <w:p w14:paraId="51B76863">
            <w:pPr>
              <w:jc w:val="center"/>
              <w:rPr>
                <w:rFonts w:hint="eastAsia"/>
              </w:rPr>
            </w:pPr>
            <w:r>
              <w:rPr>
                <w:rFonts w:hint="eastAsia"/>
              </w:rPr>
              <w:t>9</w:t>
            </w:r>
          </w:p>
        </w:tc>
        <w:tc>
          <w:tcPr>
            <w:tcW w:w="1203" w:type="dxa"/>
            <w:tcBorders>
              <w:top w:val="nil"/>
              <w:left w:val="nil"/>
              <w:bottom w:val="single" w:color="auto" w:sz="4" w:space="0"/>
              <w:right w:val="single" w:color="auto" w:sz="4" w:space="0"/>
            </w:tcBorders>
            <w:noWrap/>
            <w:vAlign w:val="center"/>
          </w:tcPr>
          <w:p w14:paraId="042C8286">
            <w:pPr>
              <w:jc w:val="center"/>
              <w:rPr>
                <w:rFonts w:hint="eastAsia"/>
              </w:rPr>
            </w:pPr>
            <w:r>
              <w:rPr>
                <w:rFonts w:hint="eastAsia"/>
              </w:rPr>
              <w:t>6</w:t>
            </w:r>
          </w:p>
        </w:tc>
        <w:tc>
          <w:tcPr>
            <w:tcW w:w="1068" w:type="dxa"/>
            <w:tcBorders>
              <w:top w:val="nil"/>
              <w:left w:val="nil"/>
              <w:bottom w:val="single" w:color="auto" w:sz="4" w:space="0"/>
              <w:right w:val="single" w:color="auto" w:sz="4" w:space="0"/>
            </w:tcBorders>
            <w:noWrap/>
            <w:vAlign w:val="center"/>
          </w:tcPr>
          <w:p w14:paraId="3A97F904">
            <w:pPr>
              <w:jc w:val="center"/>
              <w:rPr>
                <w:rFonts w:hint="eastAsia"/>
              </w:rPr>
            </w:pPr>
            <w:r>
              <w:rPr>
                <w:rFonts w:hint="eastAsia"/>
              </w:rPr>
              <w:t>21920</w:t>
            </w:r>
          </w:p>
        </w:tc>
      </w:tr>
      <w:tr w14:paraId="060F403A">
        <w:tblPrEx>
          <w:tblCellMar>
            <w:top w:w="0" w:type="dxa"/>
            <w:left w:w="108" w:type="dxa"/>
            <w:bottom w:w="0" w:type="dxa"/>
            <w:right w:w="108" w:type="dxa"/>
          </w:tblCellMar>
        </w:tblPrEx>
        <w:trPr>
          <w:trHeight w:val="320" w:hRule="atLeast"/>
          <w:jc w:val="center"/>
        </w:trPr>
        <w:tc>
          <w:tcPr>
            <w:tcW w:w="933" w:type="dxa"/>
            <w:tcBorders>
              <w:top w:val="nil"/>
              <w:left w:val="single" w:color="auto" w:sz="4" w:space="0"/>
              <w:bottom w:val="single" w:color="auto" w:sz="4" w:space="0"/>
              <w:right w:val="single" w:color="auto" w:sz="4" w:space="0"/>
            </w:tcBorders>
            <w:noWrap/>
            <w:vAlign w:val="center"/>
          </w:tcPr>
          <w:p w14:paraId="670F4F9E">
            <w:pPr>
              <w:jc w:val="center"/>
              <w:rPr>
                <w:rFonts w:hint="eastAsia"/>
                <w:b/>
                <w:bCs/>
              </w:rPr>
            </w:pPr>
            <w:r>
              <w:rPr>
                <w:rFonts w:hint="eastAsia"/>
                <w:b/>
                <w:bCs/>
              </w:rPr>
              <w:t>5</w:t>
            </w:r>
          </w:p>
        </w:tc>
        <w:tc>
          <w:tcPr>
            <w:tcW w:w="2020" w:type="dxa"/>
            <w:tcBorders>
              <w:top w:val="nil"/>
              <w:left w:val="nil"/>
              <w:bottom w:val="single" w:color="auto" w:sz="4" w:space="0"/>
              <w:right w:val="single" w:color="auto" w:sz="4" w:space="0"/>
            </w:tcBorders>
            <w:noWrap/>
            <w:vAlign w:val="center"/>
          </w:tcPr>
          <w:p w14:paraId="516E4DB8">
            <w:pPr>
              <w:jc w:val="center"/>
              <w:rPr>
                <w:rFonts w:hint="eastAsia"/>
              </w:rPr>
            </w:pPr>
            <w:r>
              <w:rPr>
                <w:rFonts w:hint="eastAsia"/>
              </w:rPr>
              <w:t>开拓者01</w:t>
            </w:r>
          </w:p>
        </w:tc>
        <w:tc>
          <w:tcPr>
            <w:tcW w:w="1818" w:type="dxa"/>
            <w:tcBorders>
              <w:top w:val="nil"/>
              <w:left w:val="nil"/>
              <w:bottom w:val="single" w:color="auto" w:sz="4" w:space="0"/>
              <w:right w:val="single" w:color="auto" w:sz="4" w:space="0"/>
            </w:tcBorders>
            <w:noWrap/>
            <w:vAlign w:val="center"/>
          </w:tcPr>
          <w:p w14:paraId="0FA86636">
            <w:pPr>
              <w:jc w:val="center"/>
              <w:rPr>
                <w:rFonts w:hint="eastAsia"/>
              </w:rPr>
            </w:pPr>
            <w:r>
              <w:rPr>
                <w:rFonts w:hint="eastAsia"/>
              </w:rPr>
              <w:t>甲板船</w:t>
            </w:r>
          </w:p>
        </w:tc>
        <w:tc>
          <w:tcPr>
            <w:tcW w:w="1203" w:type="dxa"/>
            <w:tcBorders>
              <w:top w:val="nil"/>
              <w:left w:val="nil"/>
              <w:bottom w:val="single" w:color="auto" w:sz="4" w:space="0"/>
              <w:right w:val="single" w:color="auto" w:sz="4" w:space="0"/>
            </w:tcBorders>
            <w:noWrap/>
            <w:vAlign w:val="center"/>
          </w:tcPr>
          <w:p w14:paraId="4A65DB57">
            <w:pPr>
              <w:jc w:val="center"/>
              <w:rPr>
                <w:rFonts w:hint="eastAsia"/>
              </w:rPr>
            </w:pPr>
            <w:r>
              <w:rPr>
                <w:rFonts w:hint="eastAsia"/>
              </w:rPr>
              <w:t>14221</w:t>
            </w:r>
          </w:p>
        </w:tc>
        <w:tc>
          <w:tcPr>
            <w:tcW w:w="1203" w:type="dxa"/>
            <w:tcBorders>
              <w:top w:val="nil"/>
              <w:left w:val="nil"/>
              <w:bottom w:val="single" w:color="auto" w:sz="4" w:space="0"/>
              <w:right w:val="single" w:color="auto" w:sz="4" w:space="0"/>
            </w:tcBorders>
            <w:noWrap/>
            <w:vAlign w:val="center"/>
          </w:tcPr>
          <w:p w14:paraId="409C7B83">
            <w:pPr>
              <w:jc w:val="center"/>
              <w:rPr>
                <w:rFonts w:hint="eastAsia"/>
              </w:rPr>
            </w:pPr>
            <w:r>
              <w:rPr>
                <w:rFonts w:hint="eastAsia"/>
              </w:rPr>
              <w:t>143.48</w:t>
            </w:r>
          </w:p>
        </w:tc>
        <w:tc>
          <w:tcPr>
            <w:tcW w:w="1203" w:type="dxa"/>
            <w:tcBorders>
              <w:top w:val="nil"/>
              <w:left w:val="nil"/>
              <w:bottom w:val="single" w:color="auto" w:sz="4" w:space="0"/>
              <w:right w:val="single" w:color="auto" w:sz="4" w:space="0"/>
            </w:tcBorders>
            <w:noWrap/>
            <w:vAlign w:val="center"/>
          </w:tcPr>
          <w:p w14:paraId="4E3B2170">
            <w:pPr>
              <w:jc w:val="center"/>
              <w:rPr>
                <w:rFonts w:hint="eastAsia"/>
              </w:rPr>
            </w:pPr>
            <w:r>
              <w:rPr>
                <w:rFonts w:hint="eastAsia"/>
              </w:rPr>
              <w:t>40.2</w:t>
            </w:r>
          </w:p>
        </w:tc>
        <w:tc>
          <w:tcPr>
            <w:tcW w:w="1203" w:type="dxa"/>
            <w:tcBorders>
              <w:top w:val="nil"/>
              <w:left w:val="nil"/>
              <w:bottom w:val="single" w:color="auto" w:sz="4" w:space="0"/>
              <w:right w:val="single" w:color="auto" w:sz="4" w:space="0"/>
            </w:tcBorders>
            <w:noWrap/>
            <w:vAlign w:val="center"/>
          </w:tcPr>
          <w:p w14:paraId="4D7E9F27">
            <w:pPr>
              <w:jc w:val="center"/>
              <w:rPr>
                <w:rFonts w:hint="eastAsia"/>
              </w:rPr>
            </w:pPr>
            <w:r>
              <w:rPr>
                <w:rFonts w:hint="eastAsia"/>
              </w:rPr>
              <w:t>9.2</w:t>
            </w:r>
          </w:p>
        </w:tc>
        <w:tc>
          <w:tcPr>
            <w:tcW w:w="1203" w:type="dxa"/>
            <w:tcBorders>
              <w:top w:val="nil"/>
              <w:left w:val="nil"/>
              <w:bottom w:val="single" w:color="auto" w:sz="4" w:space="0"/>
              <w:right w:val="single" w:color="auto" w:sz="4" w:space="0"/>
            </w:tcBorders>
            <w:noWrap/>
            <w:vAlign w:val="center"/>
          </w:tcPr>
          <w:p w14:paraId="0DAC705D">
            <w:pPr>
              <w:jc w:val="center"/>
              <w:rPr>
                <w:rFonts w:hint="eastAsia"/>
              </w:rPr>
            </w:pPr>
            <w:r>
              <w:rPr>
                <w:rFonts w:hint="eastAsia"/>
              </w:rPr>
              <w:t>6.4</w:t>
            </w:r>
          </w:p>
        </w:tc>
        <w:tc>
          <w:tcPr>
            <w:tcW w:w="1068" w:type="dxa"/>
            <w:tcBorders>
              <w:top w:val="nil"/>
              <w:left w:val="nil"/>
              <w:bottom w:val="single" w:color="auto" w:sz="4" w:space="0"/>
              <w:right w:val="single" w:color="auto" w:sz="4" w:space="0"/>
            </w:tcBorders>
            <w:noWrap/>
            <w:vAlign w:val="center"/>
          </w:tcPr>
          <w:p w14:paraId="2B5F676B">
            <w:pPr>
              <w:jc w:val="center"/>
              <w:rPr>
                <w:rFonts w:hint="eastAsia"/>
              </w:rPr>
            </w:pPr>
            <w:r>
              <w:rPr>
                <w:rFonts w:hint="eastAsia"/>
              </w:rPr>
              <w:t>21803</w:t>
            </w:r>
          </w:p>
        </w:tc>
      </w:tr>
      <w:tr w14:paraId="0DA35762">
        <w:tblPrEx>
          <w:tblCellMar>
            <w:top w:w="0" w:type="dxa"/>
            <w:left w:w="108" w:type="dxa"/>
            <w:bottom w:w="0" w:type="dxa"/>
            <w:right w:w="108" w:type="dxa"/>
          </w:tblCellMar>
        </w:tblPrEx>
        <w:trPr>
          <w:trHeight w:val="320" w:hRule="atLeast"/>
          <w:jc w:val="center"/>
        </w:trPr>
        <w:tc>
          <w:tcPr>
            <w:tcW w:w="933" w:type="dxa"/>
            <w:tcBorders>
              <w:top w:val="nil"/>
              <w:left w:val="single" w:color="auto" w:sz="4" w:space="0"/>
              <w:bottom w:val="single" w:color="auto" w:sz="4" w:space="0"/>
              <w:right w:val="single" w:color="auto" w:sz="4" w:space="0"/>
            </w:tcBorders>
            <w:noWrap/>
            <w:vAlign w:val="center"/>
          </w:tcPr>
          <w:p w14:paraId="121FA812">
            <w:pPr>
              <w:jc w:val="center"/>
              <w:rPr>
                <w:rFonts w:hint="eastAsia"/>
                <w:b/>
                <w:bCs/>
              </w:rPr>
            </w:pPr>
            <w:r>
              <w:rPr>
                <w:rFonts w:hint="eastAsia"/>
                <w:b/>
                <w:bCs/>
              </w:rPr>
              <w:t>6</w:t>
            </w:r>
          </w:p>
        </w:tc>
        <w:tc>
          <w:tcPr>
            <w:tcW w:w="2020" w:type="dxa"/>
            <w:tcBorders>
              <w:top w:val="nil"/>
              <w:left w:val="nil"/>
              <w:bottom w:val="single" w:color="auto" w:sz="4" w:space="0"/>
              <w:right w:val="single" w:color="auto" w:sz="4" w:space="0"/>
            </w:tcBorders>
            <w:noWrap/>
            <w:vAlign w:val="center"/>
          </w:tcPr>
          <w:p w14:paraId="637F7A73">
            <w:pPr>
              <w:jc w:val="center"/>
              <w:rPr>
                <w:rFonts w:hint="eastAsia"/>
              </w:rPr>
            </w:pPr>
            <w:r>
              <w:rPr>
                <w:rFonts w:hint="eastAsia"/>
              </w:rPr>
              <w:t>新环球16</w:t>
            </w:r>
          </w:p>
        </w:tc>
        <w:tc>
          <w:tcPr>
            <w:tcW w:w="1818" w:type="dxa"/>
            <w:tcBorders>
              <w:top w:val="nil"/>
              <w:left w:val="nil"/>
              <w:bottom w:val="single" w:color="auto" w:sz="4" w:space="0"/>
              <w:right w:val="single" w:color="auto" w:sz="4" w:space="0"/>
            </w:tcBorders>
            <w:noWrap/>
            <w:vAlign w:val="center"/>
          </w:tcPr>
          <w:p w14:paraId="2C898BA9">
            <w:pPr>
              <w:jc w:val="center"/>
              <w:rPr>
                <w:rFonts w:hint="eastAsia"/>
              </w:rPr>
            </w:pPr>
            <w:r>
              <w:rPr>
                <w:rFonts w:hint="eastAsia"/>
              </w:rPr>
              <w:t>甲板船</w:t>
            </w:r>
          </w:p>
        </w:tc>
        <w:tc>
          <w:tcPr>
            <w:tcW w:w="1203" w:type="dxa"/>
            <w:tcBorders>
              <w:top w:val="nil"/>
              <w:left w:val="nil"/>
              <w:bottom w:val="single" w:color="auto" w:sz="4" w:space="0"/>
              <w:right w:val="single" w:color="auto" w:sz="4" w:space="0"/>
            </w:tcBorders>
            <w:noWrap/>
            <w:vAlign w:val="center"/>
          </w:tcPr>
          <w:p w14:paraId="33BF8BDE">
            <w:pPr>
              <w:jc w:val="center"/>
              <w:rPr>
                <w:rFonts w:hint="eastAsia"/>
              </w:rPr>
            </w:pPr>
            <w:r>
              <w:rPr>
                <w:rFonts w:hint="eastAsia"/>
              </w:rPr>
              <w:t>12071</w:t>
            </w:r>
          </w:p>
        </w:tc>
        <w:tc>
          <w:tcPr>
            <w:tcW w:w="1203" w:type="dxa"/>
            <w:tcBorders>
              <w:top w:val="nil"/>
              <w:left w:val="nil"/>
              <w:bottom w:val="single" w:color="auto" w:sz="4" w:space="0"/>
              <w:right w:val="single" w:color="auto" w:sz="4" w:space="0"/>
            </w:tcBorders>
            <w:noWrap/>
            <w:vAlign w:val="center"/>
          </w:tcPr>
          <w:p w14:paraId="56658356">
            <w:pPr>
              <w:jc w:val="center"/>
              <w:rPr>
                <w:rFonts w:hint="eastAsia"/>
              </w:rPr>
            </w:pPr>
            <w:r>
              <w:rPr>
                <w:rFonts w:hint="eastAsia"/>
              </w:rPr>
              <w:t>137</w:t>
            </w:r>
          </w:p>
        </w:tc>
        <w:tc>
          <w:tcPr>
            <w:tcW w:w="1203" w:type="dxa"/>
            <w:tcBorders>
              <w:top w:val="nil"/>
              <w:left w:val="nil"/>
              <w:bottom w:val="single" w:color="auto" w:sz="4" w:space="0"/>
              <w:right w:val="single" w:color="auto" w:sz="4" w:space="0"/>
            </w:tcBorders>
            <w:noWrap/>
            <w:vAlign w:val="center"/>
          </w:tcPr>
          <w:p w14:paraId="0F6C6338">
            <w:pPr>
              <w:jc w:val="center"/>
              <w:rPr>
                <w:rFonts w:hint="eastAsia"/>
              </w:rPr>
            </w:pPr>
            <w:r>
              <w:rPr>
                <w:rFonts w:hint="eastAsia"/>
              </w:rPr>
              <w:t>42</w:t>
            </w:r>
          </w:p>
        </w:tc>
        <w:tc>
          <w:tcPr>
            <w:tcW w:w="1203" w:type="dxa"/>
            <w:tcBorders>
              <w:top w:val="nil"/>
              <w:left w:val="nil"/>
              <w:bottom w:val="single" w:color="auto" w:sz="4" w:space="0"/>
              <w:right w:val="single" w:color="auto" w:sz="4" w:space="0"/>
            </w:tcBorders>
            <w:noWrap/>
            <w:vAlign w:val="center"/>
          </w:tcPr>
          <w:p w14:paraId="4C27212D">
            <w:pPr>
              <w:jc w:val="center"/>
              <w:rPr>
                <w:rFonts w:hint="eastAsia"/>
              </w:rPr>
            </w:pPr>
            <w:r>
              <w:rPr>
                <w:rFonts w:hint="eastAsia"/>
              </w:rPr>
              <w:t>8.6</w:t>
            </w:r>
          </w:p>
        </w:tc>
        <w:tc>
          <w:tcPr>
            <w:tcW w:w="1203" w:type="dxa"/>
            <w:tcBorders>
              <w:top w:val="nil"/>
              <w:left w:val="nil"/>
              <w:bottom w:val="single" w:color="auto" w:sz="4" w:space="0"/>
              <w:right w:val="single" w:color="auto" w:sz="4" w:space="0"/>
            </w:tcBorders>
            <w:noWrap/>
            <w:vAlign w:val="center"/>
          </w:tcPr>
          <w:p w14:paraId="1430A047">
            <w:pPr>
              <w:jc w:val="center"/>
              <w:rPr>
                <w:rFonts w:hint="eastAsia"/>
              </w:rPr>
            </w:pPr>
            <w:r>
              <w:rPr>
                <w:rFonts w:hint="eastAsia"/>
              </w:rPr>
              <w:t>6</w:t>
            </w:r>
          </w:p>
        </w:tc>
        <w:tc>
          <w:tcPr>
            <w:tcW w:w="1068" w:type="dxa"/>
            <w:tcBorders>
              <w:top w:val="nil"/>
              <w:left w:val="nil"/>
              <w:bottom w:val="single" w:color="auto" w:sz="4" w:space="0"/>
              <w:right w:val="single" w:color="auto" w:sz="4" w:space="0"/>
            </w:tcBorders>
            <w:noWrap/>
            <w:vAlign w:val="center"/>
          </w:tcPr>
          <w:p w14:paraId="288190F9">
            <w:pPr>
              <w:jc w:val="center"/>
              <w:rPr>
                <w:rFonts w:hint="eastAsia"/>
              </w:rPr>
            </w:pPr>
            <w:r>
              <w:rPr>
                <w:rFonts w:hint="eastAsia"/>
              </w:rPr>
              <w:t>18313</w:t>
            </w:r>
          </w:p>
        </w:tc>
      </w:tr>
      <w:tr w14:paraId="376E9326">
        <w:tblPrEx>
          <w:tblCellMar>
            <w:top w:w="0" w:type="dxa"/>
            <w:left w:w="108" w:type="dxa"/>
            <w:bottom w:w="0" w:type="dxa"/>
            <w:right w:w="108" w:type="dxa"/>
          </w:tblCellMar>
        </w:tblPrEx>
        <w:trPr>
          <w:trHeight w:val="320" w:hRule="atLeast"/>
          <w:jc w:val="center"/>
        </w:trPr>
        <w:tc>
          <w:tcPr>
            <w:tcW w:w="933" w:type="dxa"/>
            <w:tcBorders>
              <w:top w:val="nil"/>
              <w:left w:val="single" w:color="auto" w:sz="4" w:space="0"/>
              <w:bottom w:val="single" w:color="auto" w:sz="4" w:space="0"/>
              <w:right w:val="single" w:color="auto" w:sz="4" w:space="0"/>
            </w:tcBorders>
            <w:noWrap/>
            <w:vAlign w:val="center"/>
          </w:tcPr>
          <w:p w14:paraId="4E5C038C">
            <w:pPr>
              <w:jc w:val="center"/>
              <w:rPr>
                <w:rFonts w:hint="eastAsia"/>
                <w:b/>
                <w:bCs/>
              </w:rPr>
            </w:pPr>
            <w:r>
              <w:rPr>
                <w:rFonts w:hint="eastAsia"/>
                <w:b/>
                <w:bCs/>
              </w:rPr>
              <w:t>7</w:t>
            </w:r>
          </w:p>
        </w:tc>
        <w:tc>
          <w:tcPr>
            <w:tcW w:w="2020" w:type="dxa"/>
            <w:tcBorders>
              <w:top w:val="nil"/>
              <w:left w:val="nil"/>
              <w:bottom w:val="single" w:color="auto" w:sz="4" w:space="0"/>
              <w:right w:val="single" w:color="auto" w:sz="4" w:space="0"/>
            </w:tcBorders>
            <w:noWrap/>
            <w:vAlign w:val="center"/>
          </w:tcPr>
          <w:p w14:paraId="3B00ED7F">
            <w:pPr>
              <w:jc w:val="center"/>
              <w:rPr>
                <w:rFonts w:hint="eastAsia"/>
              </w:rPr>
            </w:pPr>
            <w:r>
              <w:rPr>
                <w:rFonts w:hint="eastAsia"/>
              </w:rPr>
              <w:t>亚庆之星</w:t>
            </w:r>
          </w:p>
        </w:tc>
        <w:tc>
          <w:tcPr>
            <w:tcW w:w="1818" w:type="dxa"/>
            <w:tcBorders>
              <w:top w:val="nil"/>
              <w:left w:val="nil"/>
              <w:bottom w:val="single" w:color="auto" w:sz="4" w:space="0"/>
              <w:right w:val="single" w:color="auto" w:sz="4" w:space="0"/>
            </w:tcBorders>
            <w:noWrap/>
            <w:vAlign w:val="center"/>
          </w:tcPr>
          <w:p w14:paraId="2DA40099">
            <w:pPr>
              <w:jc w:val="center"/>
              <w:rPr>
                <w:rFonts w:hint="eastAsia"/>
              </w:rPr>
            </w:pPr>
            <w:r>
              <w:rPr>
                <w:rFonts w:hint="eastAsia"/>
              </w:rPr>
              <w:t>甲板船</w:t>
            </w:r>
          </w:p>
        </w:tc>
        <w:tc>
          <w:tcPr>
            <w:tcW w:w="1203" w:type="dxa"/>
            <w:tcBorders>
              <w:top w:val="nil"/>
              <w:left w:val="nil"/>
              <w:bottom w:val="single" w:color="auto" w:sz="4" w:space="0"/>
              <w:right w:val="single" w:color="auto" w:sz="4" w:space="0"/>
            </w:tcBorders>
            <w:noWrap/>
            <w:vAlign w:val="center"/>
          </w:tcPr>
          <w:p w14:paraId="07B7B0CC">
            <w:pPr>
              <w:jc w:val="center"/>
              <w:rPr>
                <w:rFonts w:hint="eastAsia"/>
              </w:rPr>
            </w:pPr>
            <w:r>
              <w:rPr>
                <w:rFonts w:hint="eastAsia"/>
              </w:rPr>
              <w:t>16786</w:t>
            </w:r>
          </w:p>
        </w:tc>
        <w:tc>
          <w:tcPr>
            <w:tcW w:w="1203" w:type="dxa"/>
            <w:tcBorders>
              <w:top w:val="nil"/>
              <w:left w:val="nil"/>
              <w:bottom w:val="single" w:color="auto" w:sz="4" w:space="0"/>
              <w:right w:val="single" w:color="auto" w:sz="4" w:space="0"/>
            </w:tcBorders>
            <w:noWrap/>
            <w:vAlign w:val="center"/>
          </w:tcPr>
          <w:p w14:paraId="2D0632F7">
            <w:pPr>
              <w:jc w:val="center"/>
              <w:rPr>
                <w:rFonts w:hint="eastAsia"/>
              </w:rPr>
            </w:pPr>
            <w:r>
              <w:rPr>
                <w:rFonts w:hint="eastAsia"/>
              </w:rPr>
              <w:t>149.88</w:t>
            </w:r>
          </w:p>
        </w:tc>
        <w:tc>
          <w:tcPr>
            <w:tcW w:w="1203" w:type="dxa"/>
            <w:tcBorders>
              <w:top w:val="nil"/>
              <w:left w:val="nil"/>
              <w:bottom w:val="single" w:color="auto" w:sz="4" w:space="0"/>
              <w:right w:val="single" w:color="auto" w:sz="4" w:space="0"/>
            </w:tcBorders>
            <w:noWrap/>
            <w:vAlign w:val="center"/>
          </w:tcPr>
          <w:p w14:paraId="61DDF1B0">
            <w:pPr>
              <w:jc w:val="center"/>
              <w:rPr>
                <w:rFonts w:hint="eastAsia"/>
              </w:rPr>
            </w:pPr>
            <w:r>
              <w:rPr>
                <w:rFonts w:hint="eastAsia"/>
              </w:rPr>
              <w:t>42</w:t>
            </w:r>
          </w:p>
        </w:tc>
        <w:tc>
          <w:tcPr>
            <w:tcW w:w="1203" w:type="dxa"/>
            <w:tcBorders>
              <w:top w:val="nil"/>
              <w:left w:val="nil"/>
              <w:bottom w:val="single" w:color="auto" w:sz="4" w:space="0"/>
              <w:right w:val="single" w:color="auto" w:sz="4" w:space="0"/>
            </w:tcBorders>
            <w:noWrap/>
            <w:vAlign w:val="center"/>
          </w:tcPr>
          <w:p w14:paraId="1A8DE37A">
            <w:pPr>
              <w:jc w:val="center"/>
              <w:rPr>
                <w:rFonts w:hint="eastAsia"/>
              </w:rPr>
            </w:pPr>
            <w:r>
              <w:rPr>
                <w:rFonts w:hint="eastAsia"/>
              </w:rPr>
              <w:t>9</w:t>
            </w:r>
          </w:p>
        </w:tc>
        <w:tc>
          <w:tcPr>
            <w:tcW w:w="1203" w:type="dxa"/>
            <w:tcBorders>
              <w:top w:val="nil"/>
              <w:left w:val="nil"/>
              <w:bottom w:val="single" w:color="auto" w:sz="4" w:space="0"/>
              <w:right w:val="single" w:color="auto" w:sz="4" w:space="0"/>
            </w:tcBorders>
            <w:noWrap/>
            <w:vAlign w:val="center"/>
          </w:tcPr>
          <w:p w14:paraId="505C806F">
            <w:pPr>
              <w:jc w:val="center"/>
              <w:rPr>
                <w:rFonts w:hint="eastAsia"/>
              </w:rPr>
            </w:pPr>
            <w:r>
              <w:rPr>
                <w:rFonts w:hint="eastAsia"/>
              </w:rPr>
              <w:t>6</w:t>
            </w:r>
          </w:p>
        </w:tc>
        <w:tc>
          <w:tcPr>
            <w:tcW w:w="1068" w:type="dxa"/>
            <w:tcBorders>
              <w:top w:val="nil"/>
              <w:left w:val="nil"/>
              <w:bottom w:val="single" w:color="auto" w:sz="4" w:space="0"/>
              <w:right w:val="single" w:color="auto" w:sz="4" w:space="0"/>
            </w:tcBorders>
            <w:noWrap/>
            <w:vAlign w:val="center"/>
          </w:tcPr>
          <w:p w14:paraId="07B7F63F">
            <w:pPr>
              <w:jc w:val="center"/>
              <w:rPr>
                <w:rFonts w:hint="eastAsia"/>
              </w:rPr>
            </w:pPr>
            <w:r>
              <w:rPr>
                <w:rFonts w:hint="eastAsia"/>
              </w:rPr>
              <w:t>24623</w:t>
            </w:r>
          </w:p>
        </w:tc>
      </w:tr>
      <w:tr w14:paraId="76412E56">
        <w:tblPrEx>
          <w:tblCellMar>
            <w:top w:w="0" w:type="dxa"/>
            <w:left w:w="108" w:type="dxa"/>
            <w:bottom w:w="0" w:type="dxa"/>
            <w:right w:w="108" w:type="dxa"/>
          </w:tblCellMar>
        </w:tblPrEx>
        <w:trPr>
          <w:trHeight w:val="320" w:hRule="atLeast"/>
          <w:jc w:val="center"/>
        </w:trPr>
        <w:tc>
          <w:tcPr>
            <w:tcW w:w="933" w:type="dxa"/>
            <w:tcBorders>
              <w:top w:val="nil"/>
              <w:left w:val="single" w:color="auto" w:sz="4" w:space="0"/>
              <w:bottom w:val="single" w:color="auto" w:sz="4" w:space="0"/>
              <w:right w:val="single" w:color="auto" w:sz="4" w:space="0"/>
            </w:tcBorders>
            <w:noWrap/>
            <w:vAlign w:val="center"/>
          </w:tcPr>
          <w:p w14:paraId="280FDE7D">
            <w:pPr>
              <w:jc w:val="center"/>
              <w:rPr>
                <w:rFonts w:hint="eastAsia"/>
                <w:b/>
                <w:bCs/>
              </w:rPr>
            </w:pPr>
            <w:r>
              <w:rPr>
                <w:rFonts w:hint="eastAsia"/>
                <w:b/>
                <w:bCs/>
              </w:rPr>
              <w:t>8</w:t>
            </w:r>
          </w:p>
        </w:tc>
        <w:tc>
          <w:tcPr>
            <w:tcW w:w="2020" w:type="dxa"/>
            <w:tcBorders>
              <w:top w:val="nil"/>
              <w:left w:val="nil"/>
              <w:bottom w:val="single" w:color="auto" w:sz="4" w:space="0"/>
              <w:right w:val="single" w:color="auto" w:sz="4" w:space="0"/>
            </w:tcBorders>
            <w:noWrap/>
            <w:vAlign w:val="center"/>
          </w:tcPr>
          <w:p w14:paraId="03D73868">
            <w:pPr>
              <w:jc w:val="center"/>
              <w:rPr>
                <w:rFonts w:hint="eastAsia"/>
              </w:rPr>
            </w:pPr>
            <w:r>
              <w:rPr>
                <w:rFonts w:hint="eastAsia"/>
              </w:rPr>
              <w:t>凯强189</w:t>
            </w:r>
          </w:p>
        </w:tc>
        <w:tc>
          <w:tcPr>
            <w:tcW w:w="1818" w:type="dxa"/>
            <w:tcBorders>
              <w:top w:val="nil"/>
              <w:left w:val="nil"/>
              <w:bottom w:val="single" w:color="auto" w:sz="4" w:space="0"/>
              <w:right w:val="single" w:color="auto" w:sz="4" w:space="0"/>
            </w:tcBorders>
            <w:noWrap/>
            <w:vAlign w:val="center"/>
          </w:tcPr>
          <w:p w14:paraId="729B9CD5">
            <w:pPr>
              <w:jc w:val="center"/>
              <w:rPr>
                <w:rFonts w:hint="eastAsia"/>
              </w:rPr>
            </w:pPr>
            <w:r>
              <w:rPr>
                <w:rFonts w:hint="eastAsia"/>
              </w:rPr>
              <w:t>甲板船</w:t>
            </w:r>
          </w:p>
        </w:tc>
        <w:tc>
          <w:tcPr>
            <w:tcW w:w="1203" w:type="dxa"/>
            <w:tcBorders>
              <w:top w:val="nil"/>
              <w:left w:val="nil"/>
              <w:bottom w:val="single" w:color="auto" w:sz="4" w:space="0"/>
              <w:right w:val="single" w:color="auto" w:sz="4" w:space="0"/>
            </w:tcBorders>
            <w:noWrap/>
            <w:vAlign w:val="center"/>
          </w:tcPr>
          <w:p w14:paraId="56DC9A47">
            <w:pPr>
              <w:jc w:val="center"/>
              <w:rPr>
                <w:rFonts w:hint="eastAsia"/>
              </w:rPr>
            </w:pPr>
            <w:r>
              <w:rPr>
                <w:rFonts w:hint="eastAsia"/>
              </w:rPr>
              <w:t>13690</w:t>
            </w:r>
          </w:p>
        </w:tc>
        <w:tc>
          <w:tcPr>
            <w:tcW w:w="1203" w:type="dxa"/>
            <w:tcBorders>
              <w:top w:val="nil"/>
              <w:left w:val="nil"/>
              <w:bottom w:val="single" w:color="auto" w:sz="4" w:space="0"/>
              <w:right w:val="single" w:color="auto" w:sz="4" w:space="0"/>
            </w:tcBorders>
            <w:noWrap/>
            <w:vAlign w:val="center"/>
          </w:tcPr>
          <w:p w14:paraId="68177C38">
            <w:pPr>
              <w:jc w:val="center"/>
              <w:rPr>
                <w:rFonts w:hint="eastAsia"/>
              </w:rPr>
            </w:pPr>
            <w:r>
              <w:rPr>
                <w:rFonts w:hint="eastAsia"/>
              </w:rPr>
              <w:t>143</w:t>
            </w:r>
          </w:p>
        </w:tc>
        <w:tc>
          <w:tcPr>
            <w:tcW w:w="1203" w:type="dxa"/>
            <w:tcBorders>
              <w:top w:val="nil"/>
              <w:left w:val="nil"/>
              <w:bottom w:val="single" w:color="auto" w:sz="4" w:space="0"/>
              <w:right w:val="single" w:color="auto" w:sz="4" w:space="0"/>
            </w:tcBorders>
            <w:noWrap/>
            <w:vAlign w:val="center"/>
          </w:tcPr>
          <w:p w14:paraId="680555CB">
            <w:pPr>
              <w:jc w:val="center"/>
              <w:rPr>
                <w:rFonts w:hint="eastAsia"/>
              </w:rPr>
            </w:pPr>
            <w:r>
              <w:rPr>
                <w:rFonts w:hint="eastAsia"/>
              </w:rPr>
              <w:t>39.8</w:t>
            </w:r>
          </w:p>
        </w:tc>
        <w:tc>
          <w:tcPr>
            <w:tcW w:w="1203" w:type="dxa"/>
            <w:tcBorders>
              <w:top w:val="nil"/>
              <w:left w:val="nil"/>
              <w:bottom w:val="single" w:color="auto" w:sz="4" w:space="0"/>
              <w:right w:val="single" w:color="auto" w:sz="4" w:space="0"/>
            </w:tcBorders>
            <w:noWrap/>
            <w:vAlign w:val="center"/>
          </w:tcPr>
          <w:p w14:paraId="2FB94AB4">
            <w:pPr>
              <w:jc w:val="center"/>
              <w:rPr>
                <w:rFonts w:hint="eastAsia"/>
              </w:rPr>
            </w:pPr>
            <w:r>
              <w:rPr>
                <w:rFonts w:hint="eastAsia"/>
              </w:rPr>
              <w:t>9.25</w:t>
            </w:r>
          </w:p>
        </w:tc>
        <w:tc>
          <w:tcPr>
            <w:tcW w:w="1203" w:type="dxa"/>
            <w:tcBorders>
              <w:top w:val="nil"/>
              <w:left w:val="nil"/>
              <w:bottom w:val="single" w:color="auto" w:sz="4" w:space="0"/>
              <w:right w:val="single" w:color="auto" w:sz="4" w:space="0"/>
            </w:tcBorders>
            <w:noWrap/>
            <w:vAlign w:val="center"/>
          </w:tcPr>
          <w:p w14:paraId="72739BD4">
            <w:pPr>
              <w:jc w:val="center"/>
              <w:rPr>
                <w:rFonts w:hint="eastAsia"/>
              </w:rPr>
            </w:pPr>
            <w:r>
              <w:rPr>
                <w:rFonts w:hint="eastAsia"/>
              </w:rPr>
              <w:t>6.35</w:t>
            </w:r>
          </w:p>
        </w:tc>
        <w:tc>
          <w:tcPr>
            <w:tcW w:w="1068" w:type="dxa"/>
            <w:tcBorders>
              <w:top w:val="nil"/>
              <w:left w:val="nil"/>
              <w:bottom w:val="single" w:color="auto" w:sz="4" w:space="0"/>
              <w:right w:val="single" w:color="auto" w:sz="4" w:space="0"/>
            </w:tcBorders>
            <w:noWrap/>
            <w:vAlign w:val="center"/>
          </w:tcPr>
          <w:p w14:paraId="582DF5F2">
            <w:pPr>
              <w:jc w:val="center"/>
              <w:rPr>
                <w:rFonts w:hint="eastAsia"/>
              </w:rPr>
            </w:pPr>
            <w:r>
              <w:rPr>
                <w:rFonts w:hint="eastAsia"/>
              </w:rPr>
              <w:t>20565</w:t>
            </w:r>
          </w:p>
        </w:tc>
      </w:tr>
      <w:tr w14:paraId="6329D1D5">
        <w:tblPrEx>
          <w:tblCellMar>
            <w:top w:w="0" w:type="dxa"/>
            <w:left w:w="108" w:type="dxa"/>
            <w:bottom w:w="0" w:type="dxa"/>
            <w:right w:w="108" w:type="dxa"/>
          </w:tblCellMar>
        </w:tblPrEx>
        <w:trPr>
          <w:trHeight w:val="320" w:hRule="atLeast"/>
          <w:jc w:val="center"/>
        </w:trPr>
        <w:tc>
          <w:tcPr>
            <w:tcW w:w="933" w:type="dxa"/>
            <w:tcBorders>
              <w:top w:val="nil"/>
              <w:left w:val="single" w:color="auto" w:sz="4" w:space="0"/>
              <w:bottom w:val="single" w:color="auto" w:sz="4" w:space="0"/>
              <w:right w:val="single" w:color="auto" w:sz="4" w:space="0"/>
            </w:tcBorders>
            <w:noWrap/>
            <w:vAlign w:val="center"/>
          </w:tcPr>
          <w:p w14:paraId="3D9B88E3">
            <w:pPr>
              <w:jc w:val="center"/>
              <w:rPr>
                <w:rFonts w:hint="eastAsia"/>
                <w:b/>
                <w:bCs/>
              </w:rPr>
            </w:pPr>
            <w:r>
              <w:rPr>
                <w:rFonts w:hint="eastAsia"/>
                <w:b/>
                <w:bCs/>
              </w:rPr>
              <w:t>9</w:t>
            </w:r>
          </w:p>
        </w:tc>
        <w:tc>
          <w:tcPr>
            <w:tcW w:w="2020" w:type="dxa"/>
            <w:tcBorders>
              <w:top w:val="nil"/>
              <w:left w:val="nil"/>
              <w:bottom w:val="single" w:color="auto" w:sz="4" w:space="0"/>
              <w:right w:val="single" w:color="auto" w:sz="4" w:space="0"/>
            </w:tcBorders>
            <w:noWrap/>
            <w:vAlign w:val="center"/>
          </w:tcPr>
          <w:p w14:paraId="12DF38D2">
            <w:pPr>
              <w:jc w:val="center"/>
              <w:rPr>
                <w:rFonts w:hint="eastAsia"/>
              </w:rPr>
            </w:pPr>
            <w:r>
              <w:rPr>
                <w:rFonts w:hint="eastAsia"/>
              </w:rPr>
              <w:t>康琦富华</w:t>
            </w:r>
          </w:p>
        </w:tc>
        <w:tc>
          <w:tcPr>
            <w:tcW w:w="1818" w:type="dxa"/>
            <w:tcBorders>
              <w:top w:val="nil"/>
              <w:left w:val="nil"/>
              <w:bottom w:val="single" w:color="auto" w:sz="4" w:space="0"/>
              <w:right w:val="single" w:color="auto" w:sz="4" w:space="0"/>
            </w:tcBorders>
            <w:noWrap/>
            <w:vAlign w:val="center"/>
          </w:tcPr>
          <w:p w14:paraId="1893874A">
            <w:pPr>
              <w:jc w:val="center"/>
              <w:rPr>
                <w:rFonts w:hint="eastAsia"/>
              </w:rPr>
            </w:pPr>
            <w:r>
              <w:rPr>
                <w:rFonts w:hint="eastAsia"/>
              </w:rPr>
              <w:t>甲板船</w:t>
            </w:r>
          </w:p>
        </w:tc>
        <w:tc>
          <w:tcPr>
            <w:tcW w:w="1203" w:type="dxa"/>
            <w:tcBorders>
              <w:top w:val="nil"/>
              <w:left w:val="nil"/>
              <w:bottom w:val="single" w:color="auto" w:sz="4" w:space="0"/>
              <w:right w:val="single" w:color="auto" w:sz="4" w:space="0"/>
            </w:tcBorders>
            <w:noWrap/>
            <w:vAlign w:val="center"/>
          </w:tcPr>
          <w:p w14:paraId="6EB9E1CB">
            <w:pPr>
              <w:jc w:val="center"/>
              <w:rPr>
                <w:rFonts w:hint="eastAsia"/>
              </w:rPr>
            </w:pPr>
            <w:r>
              <w:rPr>
                <w:rFonts w:hint="eastAsia"/>
              </w:rPr>
              <w:t>16394</w:t>
            </w:r>
          </w:p>
        </w:tc>
        <w:tc>
          <w:tcPr>
            <w:tcW w:w="1203" w:type="dxa"/>
            <w:tcBorders>
              <w:top w:val="nil"/>
              <w:left w:val="nil"/>
              <w:bottom w:val="single" w:color="auto" w:sz="4" w:space="0"/>
              <w:right w:val="single" w:color="auto" w:sz="4" w:space="0"/>
            </w:tcBorders>
            <w:noWrap/>
            <w:vAlign w:val="center"/>
          </w:tcPr>
          <w:p w14:paraId="6C1826A0">
            <w:pPr>
              <w:jc w:val="center"/>
              <w:rPr>
                <w:rFonts w:hint="eastAsia"/>
              </w:rPr>
            </w:pPr>
            <w:r>
              <w:rPr>
                <w:rFonts w:hint="eastAsia"/>
              </w:rPr>
              <w:t>149.8</w:t>
            </w:r>
          </w:p>
        </w:tc>
        <w:tc>
          <w:tcPr>
            <w:tcW w:w="1203" w:type="dxa"/>
            <w:tcBorders>
              <w:top w:val="nil"/>
              <w:left w:val="nil"/>
              <w:bottom w:val="single" w:color="auto" w:sz="4" w:space="0"/>
              <w:right w:val="single" w:color="auto" w:sz="4" w:space="0"/>
            </w:tcBorders>
            <w:noWrap/>
            <w:vAlign w:val="center"/>
          </w:tcPr>
          <w:p w14:paraId="758EA7F5">
            <w:pPr>
              <w:jc w:val="center"/>
              <w:rPr>
                <w:rFonts w:hint="eastAsia"/>
              </w:rPr>
            </w:pPr>
            <w:r>
              <w:rPr>
                <w:rFonts w:hint="eastAsia"/>
              </w:rPr>
              <w:t>42</w:t>
            </w:r>
          </w:p>
        </w:tc>
        <w:tc>
          <w:tcPr>
            <w:tcW w:w="1203" w:type="dxa"/>
            <w:tcBorders>
              <w:top w:val="nil"/>
              <w:left w:val="nil"/>
              <w:bottom w:val="single" w:color="auto" w:sz="4" w:space="0"/>
              <w:right w:val="single" w:color="auto" w:sz="4" w:space="0"/>
            </w:tcBorders>
            <w:noWrap/>
            <w:vAlign w:val="center"/>
          </w:tcPr>
          <w:p w14:paraId="7CCE4821">
            <w:pPr>
              <w:jc w:val="center"/>
              <w:rPr>
                <w:rFonts w:hint="eastAsia"/>
              </w:rPr>
            </w:pPr>
            <w:r>
              <w:rPr>
                <w:rFonts w:hint="eastAsia"/>
              </w:rPr>
              <w:t>9</w:t>
            </w:r>
          </w:p>
        </w:tc>
        <w:tc>
          <w:tcPr>
            <w:tcW w:w="1203" w:type="dxa"/>
            <w:tcBorders>
              <w:top w:val="nil"/>
              <w:left w:val="nil"/>
              <w:bottom w:val="single" w:color="auto" w:sz="4" w:space="0"/>
              <w:right w:val="single" w:color="auto" w:sz="4" w:space="0"/>
            </w:tcBorders>
            <w:noWrap/>
            <w:vAlign w:val="center"/>
          </w:tcPr>
          <w:p w14:paraId="10B20A02">
            <w:pPr>
              <w:jc w:val="center"/>
              <w:rPr>
                <w:rFonts w:hint="eastAsia"/>
              </w:rPr>
            </w:pPr>
            <w:r>
              <w:rPr>
                <w:rFonts w:hint="eastAsia"/>
              </w:rPr>
              <w:t>6</w:t>
            </w:r>
          </w:p>
        </w:tc>
        <w:tc>
          <w:tcPr>
            <w:tcW w:w="1068" w:type="dxa"/>
            <w:tcBorders>
              <w:top w:val="nil"/>
              <w:left w:val="nil"/>
              <w:bottom w:val="single" w:color="auto" w:sz="4" w:space="0"/>
              <w:right w:val="single" w:color="auto" w:sz="4" w:space="0"/>
            </w:tcBorders>
            <w:noWrap/>
            <w:vAlign w:val="center"/>
          </w:tcPr>
          <w:p w14:paraId="1936B77C">
            <w:pPr>
              <w:jc w:val="center"/>
              <w:rPr>
                <w:rFonts w:hint="eastAsia"/>
              </w:rPr>
            </w:pPr>
            <w:r>
              <w:rPr>
                <w:rFonts w:hint="eastAsia"/>
              </w:rPr>
              <w:t>25005</w:t>
            </w:r>
          </w:p>
        </w:tc>
      </w:tr>
      <w:tr w14:paraId="3C8280DD">
        <w:tblPrEx>
          <w:tblCellMar>
            <w:top w:w="0" w:type="dxa"/>
            <w:left w:w="108" w:type="dxa"/>
            <w:bottom w:w="0" w:type="dxa"/>
            <w:right w:w="108" w:type="dxa"/>
          </w:tblCellMar>
        </w:tblPrEx>
        <w:trPr>
          <w:trHeight w:val="320" w:hRule="atLeast"/>
          <w:jc w:val="center"/>
        </w:trPr>
        <w:tc>
          <w:tcPr>
            <w:tcW w:w="933" w:type="dxa"/>
            <w:tcBorders>
              <w:top w:val="nil"/>
              <w:left w:val="single" w:color="auto" w:sz="4" w:space="0"/>
              <w:bottom w:val="single" w:color="auto" w:sz="4" w:space="0"/>
              <w:right w:val="single" w:color="auto" w:sz="4" w:space="0"/>
            </w:tcBorders>
            <w:noWrap/>
            <w:vAlign w:val="center"/>
          </w:tcPr>
          <w:p w14:paraId="5663C4A6">
            <w:pPr>
              <w:jc w:val="center"/>
              <w:rPr>
                <w:rFonts w:hint="eastAsia"/>
                <w:b/>
                <w:bCs/>
              </w:rPr>
            </w:pPr>
            <w:r>
              <w:rPr>
                <w:rFonts w:hint="eastAsia"/>
                <w:b/>
                <w:bCs/>
              </w:rPr>
              <w:t>10</w:t>
            </w:r>
          </w:p>
        </w:tc>
        <w:tc>
          <w:tcPr>
            <w:tcW w:w="2020" w:type="dxa"/>
            <w:tcBorders>
              <w:top w:val="nil"/>
              <w:left w:val="nil"/>
              <w:bottom w:val="single" w:color="auto" w:sz="4" w:space="0"/>
              <w:right w:val="single" w:color="auto" w:sz="4" w:space="0"/>
            </w:tcBorders>
            <w:noWrap/>
            <w:vAlign w:val="center"/>
          </w:tcPr>
          <w:p w14:paraId="4C7C0033">
            <w:pPr>
              <w:jc w:val="center"/>
              <w:rPr>
                <w:rFonts w:hint="eastAsia"/>
              </w:rPr>
            </w:pPr>
            <w:r>
              <w:rPr>
                <w:rFonts w:hint="eastAsia"/>
              </w:rPr>
              <w:t>浙龙辉001</w:t>
            </w:r>
          </w:p>
        </w:tc>
        <w:tc>
          <w:tcPr>
            <w:tcW w:w="1818" w:type="dxa"/>
            <w:tcBorders>
              <w:top w:val="nil"/>
              <w:left w:val="nil"/>
              <w:bottom w:val="single" w:color="auto" w:sz="4" w:space="0"/>
              <w:right w:val="single" w:color="auto" w:sz="4" w:space="0"/>
            </w:tcBorders>
            <w:noWrap/>
            <w:vAlign w:val="center"/>
          </w:tcPr>
          <w:p w14:paraId="4C2093F2">
            <w:pPr>
              <w:jc w:val="center"/>
              <w:rPr>
                <w:rFonts w:hint="eastAsia"/>
              </w:rPr>
            </w:pPr>
            <w:r>
              <w:rPr>
                <w:rFonts w:hint="eastAsia"/>
              </w:rPr>
              <w:t>甲板船</w:t>
            </w:r>
          </w:p>
        </w:tc>
        <w:tc>
          <w:tcPr>
            <w:tcW w:w="1203" w:type="dxa"/>
            <w:tcBorders>
              <w:top w:val="nil"/>
              <w:left w:val="nil"/>
              <w:bottom w:val="single" w:color="auto" w:sz="4" w:space="0"/>
              <w:right w:val="single" w:color="auto" w:sz="4" w:space="0"/>
            </w:tcBorders>
            <w:noWrap/>
            <w:vAlign w:val="center"/>
          </w:tcPr>
          <w:p w14:paraId="18D88894">
            <w:pPr>
              <w:jc w:val="center"/>
              <w:rPr>
                <w:rFonts w:hint="eastAsia"/>
              </w:rPr>
            </w:pPr>
            <w:r>
              <w:rPr>
                <w:rFonts w:hint="eastAsia"/>
              </w:rPr>
              <w:t>16881</w:t>
            </w:r>
          </w:p>
        </w:tc>
        <w:tc>
          <w:tcPr>
            <w:tcW w:w="1203" w:type="dxa"/>
            <w:tcBorders>
              <w:top w:val="nil"/>
              <w:left w:val="nil"/>
              <w:bottom w:val="single" w:color="auto" w:sz="4" w:space="0"/>
              <w:right w:val="single" w:color="auto" w:sz="4" w:space="0"/>
            </w:tcBorders>
            <w:noWrap/>
            <w:vAlign w:val="center"/>
          </w:tcPr>
          <w:p w14:paraId="45FC4B31">
            <w:pPr>
              <w:jc w:val="center"/>
              <w:rPr>
                <w:rFonts w:hint="eastAsia"/>
              </w:rPr>
            </w:pPr>
            <w:r>
              <w:rPr>
                <w:rFonts w:hint="eastAsia"/>
              </w:rPr>
              <w:t>149.8</w:t>
            </w:r>
          </w:p>
        </w:tc>
        <w:tc>
          <w:tcPr>
            <w:tcW w:w="1203" w:type="dxa"/>
            <w:tcBorders>
              <w:top w:val="nil"/>
              <w:left w:val="nil"/>
              <w:bottom w:val="single" w:color="auto" w:sz="4" w:space="0"/>
              <w:right w:val="single" w:color="auto" w:sz="4" w:space="0"/>
            </w:tcBorders>
            <w:noWrap/>
            <w:vAlign w:val="center"/>
          </w:tcPr>
          <w:p w14:paraId="7ADD5DD4">
            <w:pPr>
              <w:jc w:val="center"/>
              <w:rPr>
                <w:rFonts w:hint="eastAsia"/>
              </w:rPr>
            </w:pPr>
            <w:r>
              <w:rPr>
                <w:rFonts w:hint="eastAsia"/>
              </w:rPr>
              <w:t>45</w:t>
            </w:r>
          </w:p>
        </w:tc>
        <w:tc>
          <w:tcPr>
            <w:tcW w:w="1203" w:type="dxa"/>
            <w:tcBorders>
              <w:top w:val="nil"/>
              <w:left w:val="nil"/>
              <w:bottom w:val="single" w:color="auto" w:sz="4" w:space="0"/>
              <w:right w:val="single" w:color="auto" w:sz="4" w:space="0"/>
            </w:tcBorders>
            <w:noWrap/>
            <w:vAlign w:val="center"/>
          </w:tcPr>
          <w:p w14:paraId="196595B7">
            <w:pPr>
              <w:jc w:val="center"/>
              <w:rPr>
                <w:rFonts w:hint="eastAsia"/>
              </w:rPr>
            </w:pPr>
            <w:r>
              <w:rPr>
                <w:rFonts w:hint="eastAsia"/>
              </w:rPr>
              <w:t>9</w:t>
            </w:r>
          </w:p>
        </w:tc>
        <w:tc>
          <w:tcPr>
            <w:tcW w:w="1203" w:type="dxa"/>
            <w:tcBorders>
              <w:top w:val="nil"/>
              <w:left w:val="nil"/>
              <w:bottom w:val="single" w:color="auto" w:sz="4" w:space="0"/>
              <w:right w:val="single" w:color="auto" w:sz="4" w:space="0"/>
            </w:tcBorders>
            <w:noWrap/>
            <w:vAlign w:val="center"/>
          </w:tcPr>
          <w:p w14:paraId="692D3F28">
            <w:pPr>
              <w:jc w:val="center"/>
              <w:rPr>
                <w:rFonts w:hint="eastAsia"/>
              </w:rPr>
            </w:pPr>
            <w:r>
              <w:rPr>
                <w:rFonts w:hint="eastAsia"/>
              </w:rPr>
              <w:t>6</w:t>
            </w:r>
          </w:p>
        </w:tc>
        <w:tc>
          <w:tcPr>
            <w:tcW w:w="1068" w:type="dxa"/>
            <w:tcBorders>
              <w:top w:val="nil"/>
              <w:left w:val="nil"/>
              <w:bottom w:val="single" w:color="auto" w:sz="4" w:space="0"/>
              <w:right w:val="single" w:color="auto" w:sz="4" w:space="0"/>
            </w:tcBorders>
            <w:noWrap/>
            <w:vAlign w:val="center"/>
          </w:tcPr>
          <w:p w14:paraId="07DCCBC9">
            <w:pPr>
              <w:jc w:val="center"/>
              <w:rPr>
                <w:rFonts w:hint="eastAsia"/>
              </w:rPr>
            </w:pPr>
            <w:r>
              <w:rPr>
                <w:rFonts w:hint="eastAsia"/>
              </w:rPr>
              <w:t>23000</w:t>
            </w:r>
          </w:p>
        </w:tc>
      </w:tr>
      <w:tr w14:paraId="173D027D">
        <w:tblPrEx>
          <w:tblCellMar>
            <w:top w:w="0" w:type="dxa"/>
            <w:left w:w="108" w:type="dxa"/>
            <w:bottom w:w="0" w:type="dxa"/>
            <w:right w:w="108" w:type="dxa"/>
          </w:tblCellMar>
        </w:tblPrEx>
        <w:trPr>
          <w:trHeight w:val="320" w:hRule="atLeast"/>
          <w:jc w:val="center"/>
        </w:trPr>
        <w:tc>
          <w:tcPr>
            <w:tcW w:w="933" w:type="dxa"/>
            <w:tcBorders>
              <w:top w:val="nil"/>
              <w:left w:val="single" w:color="auto" w:sz="4" w:space="0"/>
              <w:bottom w:val="single" w:color="auto" w:sz="4" w:space="0"/>
              <w:right w:val="single" w:color="auto" w:sz="4" w:space="0"/>
            </w:tcBorders>
            <w:noWrap/>
            <w:vAlign w:val="center"/>
          </w:tcPr>
          <w:p w14:paraId="75966384">
            <w:pPr>
              <w:jc w:val="center"/>
              <w:rPr>
                <w:rFonts w:hint="eastAsia"/>
                <w:b/>
                <w:bCs/>
              </w:rPr>
            </w:pPr>
            <w:r>
              <w:rPr>
                <w:rFonts w:hint="eastAsia"/>
                <w:b/>
                <w:bCs/>
              </w:rPr>
              <w:t>11</w:t>
            </w:r>
          </w:p>
        </w:tc>
        <w:tc>
          <w:tcPr>
            <w:tcW w:w="2020" w:type="dxa"/>
            <w:tcBorders>
              <w:top w:val="nil"/>
              <w:left w:val="nil"/>
              <w:bottom w:val="single" w:color="auto" w:sz="4" w:space="0"/>
              <w:right w:val="single" w:color="auto" w:sz="4" w:space="0"/>
            </w:tcBorders>
            <w:noWrap/>
            <w:vAlign w:val="center"/>
          </w:tcPr>
          <w:p w14:paraId="2574B8DD">
            <w:pPr>
              <w:jc w:val="center"/>
              <w:rPr>
                <w:rFonts w:hint="eastAsia"/>
              </w:rPr>
            </w:pPr>
            <w:r>
              <w:rPr>
                <w:rFonts w:hint="eastAsia"/>
              </w:rPr>
              <w:t>厚德198</w:t>
            </w:r>
          </w:p>
        </w:tc>
        <w:tc>
          <w:tcPr>
            <w:tcW w:w="1818" w:type="dxa"/>
            <w:tcBorders>
              <w:top w:val="nil"/>
              <w:left w:val="nil"/>
              <w:bottom w:val="single" w:color="auto" w:sz="4" w:space="0"/>
              <w:right w:val="single" w:color="auto" w:sz="4" w:space="0"/>
            </w:tcBorders>
            <w:noWrap/>
            <w:vAlign w:val="center"/>
          </w:tcPr>
          <w:p w14:paraId="09E4BE25">
            <w:pPr>
              <w:jc w:val="center"/>
              <w:rPr>
                <w:rFonts w:hint="eastAsia"/>
              </w:rPr>
            </w:pPr>
            <w:r>
              <w:rPr>
                <w:rFonts w:hint="eastAsia"/>
              </w:rPr>
              <w:t>甲板船</w:t>
            </w:r>
          </w:p>
        </w:tc>
        <w:tc>
          <w:tcPr>
            <w:tcW w:w="1203" w:type="dxa"/>
            <w:tcBorders>
              <w:top w:val="nil"/>
              <w:left w:val="nil"/>
              <w:bottom w:val="single" w:color="auto" w:sz="4" w:space="0"/>
              <w:right w:val="single" w:color="auto" w:sz="4" w:space="0"/>
            </w:tcBorders>
            <w:noWrap/>
            <w:vAlign w:val="center"/>
          </w:tcPr>
          <w:p w14:paraId="275F4C56">
            <w:pPr>
              <w:jc w:val="center"/>
              <w:rPr>
                <w:rFonts w:hint="eastAsia"/>
              </w:rPr>
            </w:pPr>
            <w:r>
              <w:rPr>
                <w:rFonts w:hint="eastAsia"/>
              </w:rPr>
              <w:t>16412</w:t>
            </w:r>
          </w:p>
        </w:tc>
        <w:tc>
          <w:tcPr>
            <w:tcW w:w="1203" w:type="dxa"/>
            <w:tcBorders>
              <w:top w:val="nil"/>
              <w:left w:val="nil"/>
              <w:bottom w:val="single" w:color="auto" w:sz="4" w:space="0"/>
              <w:right w:val="single" w:color="auto" w:sz="4" w:space="0"/>
            </w:tcBorders>
            <w:noWrap/>
            <w:vAlign w:val="center"/>
          </w:tcPr>
          <w:p w14:paraId="0E00503E">
            <w:pPr>
              <w:jc w:val="center"/>
              <w:rPr>
                <w:rFonts w:hint="eastAsia"/>
              </w:rPr>
            </w:pPr>
            <w:r>
              <w:rPr>
                <w:rFonts w:hint="eastAsia"/>
              </w:rPr>
              <w:t>149.88</w:t>
            </w:r>
          </w:p>
        </w:tc>
        <w:tc>
          <w:tcPr>
            <w:tcW w:w="1203" w:type="dxa"/>
            <w:tcBorders>
              <w:top w:val="nil"/>
              <w:left w:val="nil"/>
              <w:bottom w:val="single" w:color="auto" w:sz="4" w:space="0"/>
              <w:right w:val="single" w:color="auto" w:sz="4" w:space="0"/>
            </w:tcBorders>
            <w:noWrap/>
            <w:vAlign w:val="center"/>
          </w:tcPr>
          <w:p w14:paraId="3D131B90">
            <w:pPr>
              <w:jc w:val="center"/>
              <w:rPr>
                <w:rFonts w:hint="eastAsia"/>
              </w:rPr>
            </w:pPr>
            <w:r>
              <w:rPr>
                <w:rFonts w:hint="eastAsia"/>
              </w:rPr>
              <w:t>42</w:t>
            </w:r>
          </w:p>
        </w:tc>
        <w:tc>
          <w:tcPr>
            <w:tcW w:w="1203" w:type="dxa"/>
            <w:tcBorders>
              <w:top w:val="nil"/>
              <w:left w:val="nil"/>
              <w:bottom w:val="single" w:color="auto" w:sz="4" w:space="0"/>
              <w:right w:val="single" w:color="auto" w:sz="4" w:space="0"/>
            </w:tcBorders>
            <w:noWrap/>
            <w:vAlign w:val="center"/>
          </w:tcPr>
          <w:p w14:paraId="21153044">
            <w:pPr>
              <w:jc w:val="center"/>
              <w:rPr>
                <w:rFonts w:hint="eastAsia"/>
              </w:rPr>
            </w:pPr>
            <w:r>
              <w:rPr>
                <w:rFonts w:hint="eastAsia"/>
              </w:rPr>
              <w:t>9</w:t>
            </w:r>
          </w:p>
        </w:tc>
        <w:tc>
          <w:tcPr>
            <w:tcW w:w="1203" w:type="dxa"/>
            <w:tcBorders>
              <w:top w:val="nil"/>
              <w:left w:val="nil"/>
              <w:bottom w:val="single" w:color="auto" w:sz="4" w:space="0"/>
              <w:right w:val="single" w:color="auto" w:sz="4" w:space="0"/>
            </w:tcBorders>
            <w:noWrap/>
            <w:vAlign w:val="center"/>
          </w:tcPr>
          <w:p w14:paraId="44E96915">
            <w:pPr>
              <w:jc w:val="center"/>
              <w:rPr>
                <w:rFonts w:hint="eastAsia"/>
              </w:rPr>
            </w:pPr>
            <w:r>
              <w:rPr>
                <w:rFonts w:hint="eastAsia"/>
              </w:rPr>
              <w:t>6</w:t>
            </w:r>
          </w:p>
        </w:tc>
        <w:tc>
          <w:tcPr>
            <w:tcW w:w="1068" w:type="dxa"/>
            <w:tcBorders>
              <w:top w:val="nil"/>
              <w:left w:val="nil"/>
              <w:bottom w:val="single" w:color="auto" w:sz="4" w:space="0"/>
              <w:right w:val="single" w:color="auto" w:sz="4" w:space="0"/>
            </w:tcBorders>
            <w:noWrap/>
            <w:vAlign w:val="center"/>
          </w:tcPr>
          <w:p w14:paraId="4971364D">
            <w:pPr>
              <w:jc w:val="center"/>
              <w:rPr>
                <w:rFonts w:hint="eastAsia"/>
              </w:rPr>
            </w:pPr>
            <w:r>
              <w:rPr>
                <w:rFonts w:hint="eastAsia"/>
              </w:rPr>
              <w:t>24620</w:t>
            </w:r>
          </w:p>
        </w:tc>
      </w:tr>
      <w:tr w14:paraId="6636A853">
        <w:tblPrEx>
          <w:tblCellMar>
            <w:top w:w="0" w:type="dxa"/>
            <w:left w:w="108" w:type="dxa"/>
            <w:bottom w:w="0" w:type="dxa"/>
            <w:right w:w="108" w:type="dxa"/>
          </w:tblCellMar>
        </w:tblPrEx>
        <w:trPr>
          <w:trHeight w:val="320" w:hRule="atLeast"/>
          <w:jc w:val="center"/>
        </w:trPr>
        <w:tc>
          <w:tcPr>
            <w:tcW w:w="933" w:type="dxa"/>
            <w:tcBorders>
              <w:top w:val="nil"/>
              <w:left w:val="single" w:color="auto" w:sz="4" w:space="0"/>
              <w:bottom w:val="single" w:color="auto" w:sz="4" w:space="0"/>
              <w:right w:val="single" w:color="auto" w:sz="4" w:space="0"/>
            </w:tcBorders>
            <w:noWrap/>
            <w:vAlign w:val="center"/>
          </w:tcPr>
          <w:p w14:paraId="1A953913">
            <w:pPr>
              <w:jc w:val="center"/>
              <w:rPr>
                <w:rFonts w:hint="eastAsia"/>
                <w:b/>
                <w:bCs/>
              </w:rPr>
            </w:pPr>
            <w:r>
              <w:rPr>
                <w:rFonts w:hint="eastAsia"/>
                <w:b/>
                <w:bCs/>
              </w:rPr>
              <w:t>12</w:t>
            </w:r>
          </w:p>
        </w:tc>
        <w:tc>
          <w:tcPr>
            <w:tcW w:w="2020" w:type="dxa"/>
            <w:tcBorders>
              <w:top w:val="nil"/>
              <w:left w:val="nil"/>
              <w:bottom w:val="single" w:color="auto" w:sz="4" w:space="0"/>
              <w:right w:val="single" w:color="auto" w:sz="4" w:space="0"/>
            </w:tcBorders>
            <w:noWrap/>
            <w:vAlign w:val="center"/>
          </w:tcPr>
          <w:p w14:paraId="69BB4233">
            <w:pPr>
              <w:jc w:val="center"/>
              <w:rPr>
                <w:rFonts w:hint="eastAsia"/>
              </w:rPr>
            </w:pPr>
            <w:r>
              <w:rPr>
                <w:rFonts w:hint="eastAsia"/>
              </w:rPr>
              <w:t>顺福和谐</w:t>
            </w:r>
          </w:p>
        </w:tc>
        <w:tc>
          <w:tcPr>
            <w:tcW w:w="1818" w:type="dxa"/>
            <w:tcBorders>
              <w:top w:val="nil"/>
              <w:left w:val="nil"/>
              <w:bottom w:val="single" w:color="auto" w:sz="4" w:space="0"/>
              <w:right w:val="single" w:color="auto" w:sz="4" w:space="0"/>
            </w:tcBorders>
            <w:noWrap/>
            <w:vAlign w:val="center"/>
          </w:tcPr>
          <w:p w14:paraId="4FE7967D">
            <w:pPr>
              <w:jc w:val="center"/>
              <w:rPr>
                <w:rFonts w:hint="eastAsia"/>
              </w:rPr>
            </w:pPr>
            <w:r>
              <w:rPr>
                <w:rFonts w:hint="eastAsia"/>
              </w:rPr>
              <w:t>甲板船</w:t>
            </w:r>
          </w:p>
        </w:tc>
        <w:tc>
          <w:tcPr>
            <w:tcW w:w="1203" w:type="dxa"/>
            <w:tcBorders>
              <w:top w:val="nil"/>
              <w:left w:val="nil"/>
              <w:bottom w:val="single" w:color="auto" w:sz="4" w:space="0"/>
              <w:right w:val="single" w:color="auto" w:sz="4" w:space="0"/>
            </w:tcBorders>
            <w:noWrap/>
            <w:vAlign w:val="center"/>
          </w:tcPr>
          <w:p w14:paraId="02850BD6">
            <w:pPr>
              <w:jc w:val="center"/>
              <w:rPr>
                <w:rFonts w:hint="eastAsia"/>
              </w:rPr>
            </w:pPr>
            <w:r>
              <w:rPr>
                <w:rFonts w:hint="eastAsia"/>
              </w:rPr>
              <w:t>14371</w:t>
            </w:r>
          </w:p>
        </w:tc>
        <w:tc>
          <w:tcPr>
            <w:tcW w:w="1203" w:type="dxa"/>
            <w:tcBorders>
              <w:top w:val="nil"/>
              <w:left w:val="nil"/>
              <w:bottom w:val="single" w:color="auto" w:sz="4" w:space="0"/>
              <w:right w:val="single" w:color="auto" w:sz="4" w:space="0"/>
            </w:tcBorders>
            <w:noWrap/>
            <w:vAlign w:val="center"/>
          </w:tcPr>
          <w:p w14:paraId="4523BCBA">
            <w:pPr>
              <w:jc w:val="center"/>
              <w:rPr>
                <w:rFonts w:hint="eastAsia"/>
              </w:rPr>
            </w:pPr>
            <w:r>
              <w:rPr>
                <w:rFonts w:hint="eastAsia"/>
              </w:rPr>
              <w:t>143.48</w:t>
            </w:r>
          </w:p>
        </w:tc>
        <w:tc>
          <w:tcPr>
            <w:tcW w:w="1203" w:type="dxa"/>
            <w:tcBorders>
              <w:top w:val="nil"/>
              <w:left w:val="nil"/>
              <w:bottom w:val="single" w:color="auto" w:sz="4" w:space="0"/>
              <w:right w:val="single" w:color="auto" w:sz="4" w:space="0"/>
            </w:tcBorders>
            <w:noWrap/>
            <w:vAlign w:val="center"/>
          </w:tcPr>
          <w:p w14:paraId="070BF6F4">
            <w:pPr>
              <w:jc w:val="center"/>
              <w:rPr>
                <w:rFonts w:hint="eastAsia"/>
              </w:rPr>
            </w:pPr>
            <w:r>
              <w:rPr>
                <w:rFonts w:hint="eastAsia"/>
              </w:rPr>
              <w:t>40.2</w:t>
            </w:r>
          </w:p>
        </w:tc>
        <w:tc>
          <w:tcPr>
            <w:tcW w:w="1203" w:type="dxa"/>
            <w:tcBorders>
              <w:top w:val="nil"/>
              <w:left w:val="nil"/>
              <w:bottom w:val="single" w:color="auto" w:sz="4" w:space="0"/>
              <w:right w:val="single" w:color="auto" w:sz="4" w:space="0"/>
            </w:tcBorders>
            <w:noWrap/>
            <w:vAlign w:val="center"/>
          </w:tcPr>
          <w:p w14:paraId="710DAEC7">
            <w:pPr>
              <w:jc w:val="center"/>
              <w:rPr>
                <w:rFonts w:hint="eastAsia"/>
              </w:rPr>
            </w:pPr>
            <w:r>
              <w:rPr>
                <w:rFonts w:hint="eastAsia"/>
              </w:rPr>
              <w:t>9.2</w:t>
            </w:r>
          </w:p>
        </w:tc>
        <w:tc>
          <w:tcPr>
            <w:tcW w:w="1203" w:type="dxa"/>
            <w:tcBorders>
              <w:top w:val="nil"/>
              <w:left w:val="nil"/>
              <w:bottom w:val="single" w:color="auto" w:sz="4" w:space="0"/>
              <w:right w:val="single" w:color="auto" w:sz="4" w:space="0"/>
            </w:tcBorders>
            <w:noWrap/>
            <w:vAlign w:val="center"/>
          </w:tcPr>
          <w:p w14:paraId="34F6F4B7">
            <w:pPr>
              <w:jc w:val="center"/>
              <w:rPr>
                <w:rFonts w:hint="eastAsia"/>
              </w:rPr>
            </w:pPr>
            <w:r>
              <w:rPr>
                <w:rFonts w:hint="eastAsia"/>
              </w:rPr>
              <w:t>6.4</w:t>
            </w:r>
          </w:p>
        </w:tc>
        <w:tc>
          <w:tcPr>
            <w:tcW w:w="1068" w:type="dxa"/>
            <w:tcBorders>
              <w:top w:val="nil"/>
              <w:left w:val="nil"/>
              <w:bottom w:val="single" w:color="auto" w:sz="4" w:space="0"/>
              <w:right w:val="single" w:color="auto" w:sz="4" w:space="0"/>
            </w:tcBorders>
            <w:noWrap/>
            <w:vAlign w:val="center"/>
          </w:tcPr>
          <w:p w14:paraId="0116E408">
            <w:pPr>
              <w:jc w:val="center"/>
              <w:rPr>
                <w:rFonts w:hint="eastAsia"/>
              </w:rPr>
            </w:pPr>
            <w:r>
              <w:rPr>
                <w:rFonts w:hint="eastAsia"/>
              </w:rPr>
              <w:t>21934</w:t>
            </w:r>
          </w:p>
        </w:tc>
      </w:tr>
    </w:tbl>
    <w:p w14:paraId="43B88684">
      <w:pPr>
        <w:rPr>
          <w:rFonts w:hint="eastAsia"/>
        </w:rPr>
      </w:pPr>
    </w:p>
    <w:p w14:paraId="1615929B">
      <w:pPr>
        <w:jc w:val="both"/>
        <w:rPr>
          <w:rFonts w:hint="eastAsia" w:ascii="宋体" w:hAnsi="宋体" w:eastAsia="宋体" w:cs="宋体"/>
          <w:b/>
          <w:bCs/>
          <w:color w:val="000000"/>
          <w:sz w:val="28"/>
          <w:szCs w:val="28"/>
        </w:rPr>
        <w:sectPr>
          <w:pgSz w:w="16838" w:h="11906" w:orient="landscape"/>
          <w:pgMar w:top="1800" w:right="1440" w:bottom="1800" w:left="1440" w:header="851" w:footer="992" w:gutter="0"/>
          <w:cols w:space="425" w:num="1"/>
          <w:docGrid w:type="lines" w:linePitch="312" w:charSpace="0"/>
        </w:sectPr>
      </w:pPr>
    </w:p>
    <w:p w14:paraId="5DB3BE73">
      <w:pPr>
        <w:rPr>
          <w:rFonts w:hint="eastAsia"/>
        </w:rPr>
      </w:pPr>
    </w:p>
    <w:p w14:paraId="52AEE5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8"/>
          <w:szCs w:val="28"/>
        </w:rPr>
      </w:pPr>
      <w:r>
        <w:rPr>
          <w:rFonts w:hint="eastAsia" w:ascii="宋体" w:hAnsi="宋体" w:eastAsia="宋体" w:cs="宋体"/>
          <w:color w:val="000000"/>
          <w:sz w:val="28"/>
          <w:szCs w:val="28"/>
        </w:rPr>
        <w:t>附录</w:t>
      </w:r>
      <w:r>
        <w:rPr>
          <w:rFonts w:hint="eastAsia" w:cs="宋体"/>
          <w:color w:val="000000"/>
          <w:sz w:val="28"/>
          <w:szCs w:val="28"/>
          <w:lang w:val="en-US" w:eastAsia="zh-CN"/>
        </w:rPr>
        <w:t>C</w:t>
      </w:r>
      <w:r>
        <w:rPr>
          <w:rFonts w:hint="eastAsia" w:ascii="宋体" w:hAnsi="宋体" w:eastAsia="宋体" w:cs="宋体"/>
          <w:color w:val="000000"/>
          <w:sz w:val="28"/>
          <w:szCs w:val="28"/>
        </w:rPr>
        <w:t xml:space="preserve"> 深远海施工环境条件限值参考</w:t>
      </w:r>
    </w:p>
    <w:p w14:paraId="30030048">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B.1 范围</w:t>
      </w:r>
    </w:p>
    <w:p w14:paraId="70B2CC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本附录适用于深远海风电工程基础、上部组块等海上施工阶段环境限制条件。</w:t>
      </w:r>
    </w:p>
    <w:p w14:paraId="23C95FAA">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B.2 术语与定义</w:t>
      </w:r>
    </w:p>
    <w:p w14:paraId="5C4F4E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eastAsia="zh-CN"/>
        </w:rPr>
      </w:pPr>
      <w:r>
        <w:rPr>
          <w:rFonts w:hint="eastAsia" w:ascii="宋体" w:hAnsi="宋体" w:eastAsia="宋体" w:cs="宋体"/>
          <w:b w:val="0"/>
          <w:bCs w:val="0"/>
          <w:highlight w:val="none"/>
        </w:rPr>
        <w:t>环境条件参数包括风速风向、 流速流向（表面流、 底部流</w:t>
      </w:r>
      <w:r>
        <w:rPr>
          <w:rFonts w:hint="eastAsia" w:ascii="宋体" w:hAnsi="宋体" w:eastAsia="宋体" w:cs="宋体"/>
          <w:b w:val="0"/>
          <w:bCs w:val="0"/>
          <w:highlight w:val="none"/>
          <w:lang w:eastAsia="zh-CN"/>
        </w:rPr>
        <w:t>）、潮汐、波高、波浪周期、环境温度、冰层厚度等。</w:t>
      </w:r>
    </w:p>
    <w:p w14:paraId="3CFDFE50">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B.3 海上作业环境限制条件</w:t>
      </w:r>
    </w:p>
    <w:p w14:paraId="4B42C5F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r>
        <w:rPr>
          <w:rFonts w:hint="eastAsia" w:ascii="宋体" w:hAnsi="宋体" w:eastAsia="宋体" w:cs="宋体"/>
          <w:b w:val="0"/>
          <w:bCs w:val="0"/>
          <w:highlight w:val="none"/>
          <w:lang w:val="en-US" w:eastAsia="zh-CN"/>
        </w:rPr>
        <w:t>导管架平台海上作业环境限制条件见表B.3.1</w:t>
      </w:r>
    </w:p>
    <w:tbl>
      <w:tblPr>
        <w:tblStyle w:val="1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745"/>
        <w:gridCol w:w="2166"/>
        <w:gridCol w:w="1988"/>
        <w:gridCol w:w="2644"/>
      </w:tblGrid>
      <w:tr w14:paraId="6E29E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trPr>
        <w:tc>
          <w:tcPr>
            <w:tcW w:w="102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DBDA07F">
            <w:pPr>
              <w:keepNext w:val="0"/>
              <w:keepLines w:val="0"/>
              <w:widowControl/>
              <w:suppressLineNumbers w:val="0"/>
              <w:jc w:val="center"/>
              <w:rPr>
                <w:b w:val="0"/>
                <w:bCs w:val="0"/>
                <w:caps w:val="0"/>
                <w:spacing w:val="0"/>
                <w:sz w:val="21"/>
                <w:szCs w:val="21"/>
                <w:highlight w:val="none"/>
              </w:rPr>
            </w:pPr>
            <w:r>
              <w:rPr>
                <w:rFonts w:ascii="宋体" w:hAnsi="宋体" w:eastAsia="宋体" w:cs="宋体"/>
                <w:b w:val="0"/>
                <w:bCs w:val="0"/>
                <w:caps w:val="0"/>
                <w:spacing w:val="0"/>
                <w:kern w:val="0"/>
                <w:sz w:val="21"/>
                <w:szCs w:val="21"/>
                <w:highlight w:val="none"/>
                <w:lang w:val="en-US" w:eastAsia="zh-CN" w:bidi="ar"/>
              </w:rPr>
              <w:t>作业类型</w:t>
            </w:r>
          </w:p>
        </w:tc>
        <w:tc>
          <w:tcPr>
            <w:tcW w:w="126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28B2185">
            <w:pPr>
              <w:keepNext w:val="0"/>
              <w:keepLines w:val="0"/>
              <w:widowControl/>
              <w:suppressLineNumbers w:val="0"/>
              <w:jc w:val="center"/>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风速</w:t>
            </w:r>
            <w:r>
              <w:rPr>
                <w:rFonts w:ascii="宋体" w:hAnsi="宋体" w:eastAsia="宋体" w:cs="宋体"/>
                <w:b w:val="0"/>
                <w:bCs w:val="0"/>
                <w:caps w:val="0"/>
                <w:spacing w:val="0"/>
                <w:kern w:val="0"/>
                <w:sz w:val="21"/>
                <w:szCs w:val="21"/>
                <w:highlight w:val="none"/>
                <w:lang w:val="en-US" w:eastAsia="zh-CN" w:bidi="ar"/>
              </w:rPr>
              <w:t>（m/s）</w:t>
            </w:r>
          </w:p>
        </w:tc>
        <w:tc>
          <w:tcPr>
            <w:tcW w:w="116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25F6965">
            <w:pPr>
              <w:keepNext w:val="0"/>
              <w:keepLines w:val="0"/>
              <w:widowControl/>
              <w:suppressLineNumbers w:val="0"/>
              <w:jc w:val="center"/>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有义波高</w:t>
            </w:r>
            <w:r>
              <w:rPr>
                <w:rFonts w:ascii="宋体" w:hAnsi="宋体" w:eastAsia="宋体" w:cs="宋体"/>
                <w:b w:val="0"/>
                <w:bCs w:val="0"/>
                <w:caps w:val="0"/>
                <w:spacing w:val="0"/>
                <w:kern w:val="0"/>
                <w:sz w:val="21"/>
                <w:szCs w:val="21"/>
                <w:highlight w:val="none"/>
                <w:lang w:val="en-US" w:eastAsia="zh-CN" w:bidi="ar"/>
              </w:rPr>
              <w:t>（m）</w:t>
            </w:r>
          </w:p>
        </w:tc>
        <w:tc>
          <w:tcPr>
            <w:tcW w:w="154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FED1872">
            <w:pPr>
              <w:keepNext w:val="0"/>
              <w:keepLines w:val="0"/>
              <w:widowControl/>
              <w:suppressLineNumbers w:val="0"/>
              <w:jc w:val="center"/>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备注</w:t>
            </w:r>
          </w:p>
        </w:tc>
      </w:tr>
      <w:tr w14:paraId="15675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102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1068EDE">
            <w:pPr>
              <w:keepNext w:val="0"/>
              <w:keepLines w:val="0"/>
              <w:widowControl/>
              <w:suppressLineNumbers w:val="0"/>
              <w:jc w:val="center"/>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装船</w:t>
            </w:r>
          </w:p>
        </w:tc>
        <w:tc>
          <w:tcPr>
            <w:tcW w:w="126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CCE64DA">
            <w:pPr>
              <w:keepNext w:val="0"/>
              <w:keepLines w:val="0"/>
              <w:widowControl/>
              <w:suppressLineNumbers w:val="0"/>
              <w:jc w:val="center"/>
              <w:rPr>
                <w:b w:val="0"/>
                <w:bCs w:val="0"/>
                <w:caps w:val="0"/>
                <w:spacing w:val="0"/>
                <w:sz w:val="21"/>
                <w:szCs w:val="21"/>
                <w:highlight w:val="none"/>
              </w:rPr>
            </w:pPr>
            <w:r>
              <w:rPr>
                <w:rFonts w:ascii="宋体" w:hAnsi="宋体" w:eastAsia="宋体" w:cs="宋体"/>
                <w:b w:val="0"/>
                <w:bCs w:val="0"/>
                <w:caps w:val="0"/>
                <w:spacing w:val="0"/>
                <w:kern w:val="0"/>
                <w:sz w:val="21"/>
                <w:szCs w:val="21"/>
                <w:highlight w:val="none"/>
                <w:lang w:val="en-US" w:eastAsia="zh-CN" w:bidi="ar"/>
              </w:rPr>
              <w:t>≤1</w:t>
            </w:r>
            <w:r>
              <w:rPr>
                <w:rFonts w:hint="eastAsia" w:ascii="宋体" w:hAnsi="宋体" w:eastAsia="宋体" w:cs="宋体"/>
                <w:b w:val="0"/>
                <w:bCs w:val="0"/>
                <w:caps w:val="0"/>
                <w:spacing w:val="0"/>
                <w:kern w:val="0"/>
                <w:sz w:val="21"/>
                <w:szCs w:val="21"/>
                <w:highlight w:val="none"/>
                <w:lang w:val="en-US" w:eastAsia="zh-CN" w:bidi="ar"/>
              </w:rPr>
              <w:t>0</w:t>
            </w:r>
          </w:p>
        </w:tc>
        <w:tc>
          <w:tcPr>
            <w:tcW w:w="116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3FA1AED">
            <w:pPr>
              <w:keepNext w:val="0"/>
              <w:keepLines w:val="0"/>
              <w:widowControl/>
              <w:suppressLineNumbers w:val="0"/>
              <w:jc w:val="center"/>
              <w:rPr>
                <w:rFonts w:hint="default"/>
                <w:b w:val="0"/>
                <w:bCs w:val="0"/>
                <w:caps w:val="0"/>
                <w:spacing w:val="0"/>
                <w:sz w:val="21"/>
                <w:szCs w:val="21"/>
                <w:highlight w:val="none"/>
                <w:lang w:val="en-US"/>
              </w:rPr>
            </w:pPr>
            <w:r>
              <w:rPr>
                <w:rFonts w:ascii="宋体" w:hAnsi="宋体" w:eastAsia="宋体" w:cs="宋体"/>
                <w:b w:val="0"/>
                <w:bCs w:val="0"/>
                <w:caps w:val="0"/>
                <w:spacing w:val="0"/>
                <w:kern w:val="0"/>
                <w:sz w:val="21"/>
                <w:szCs w:val="21"/>
                <w:highlight w:val="none"/>
                <w:lang w:val="en-US" w:eastAsia="zh-CN" w:bidi="ar"/>
              </w:rPr>
              <w:t>≤</w:t>
            </w:r>
            <w:r>
              <w:rPr>
                <w:rFonts w:hint="eastAsia" w:ascii="宋体" w:hAnsi="宋体" w:eastAsia="宋体" w:cs="宋体"/>
                <w:b w:val="0"/>
                <w:bCs w:val="0"/>
                <w:caps w:val="0"/>
                <w:spacing w:val="0"/>
                <w:kern w:val="0"/>
                <w:sz w:val="21"/>
                <w:szCs w:val="21"/>
                <w:highlight w:val="none"/>
                <w:lang w:val="en-US" w:eastAsia="zh-CN" w:bidi="ar"/>
              </w:rPr>
              <w:t>1.5</w:t>
            </w:r>
          </w:p>
        </w:tc>
        <w:tc>
          <w:tcPr>
            <w:tcW w:w="154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C0CAF3F">
            <w:pPr>
              <w:keepNext w:val="0"/>
              <w:keepLines w:val="0"/>
              <w:widowControl/>
              <w:suppressLineNumbers w:val="0"/>
              <w:jc w:val="center"/>
              <w:rPr>
                <w:rFonts w:hint="default" w:eastAsiaTheme="minorEastAsia"/>
                <w:b w:val="0"/>
                <w:bCs w:val="0"/>
                <w:caps w:val="0"/>
                <w:spacing w:val="0"/>
                <w:sz w:val="21"/>
                <w:szCs w:val="21"/>
                <w:highlight w:val="none"/>
                <w:lang w:val="en-US" w:eastAsia="zh-CN"/>
              </w:rPr>
            </w:pPr>
            <w:r>
              <w:rPr>
                <w:rFonts w:hint="eastAsia"/>
                <w:b w:val="0"/>
                <w:bCs w:val="0"/>
                <w:caps w:val="0"/>
                <w:spacing w:val="0"/>
                <w:sz w:val="21"/>
                <w:szCs w:val="21"/>
                <w:highlight w:val="none"/>
                <w:lang w:val="en-US" w:eastAsia="zh-CN"/>
              </w:rPr>
              <w:t>-</w:t>
            </w:r>
          </w:p>
        </w:tc>
      </w:tr>
      <w:tr w14:paraId="3FA2E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27" w:hRule="atLeast"/>
        </w:trPr>
        <w:tc>
          <w:tcPr>
            <w:tcW w:w="102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02B73F4">
            <w:pPr>
              <w:keepNext w:val="0"/>
              <w:keepLines w:val="0"/>
              <w:widowControl/>
              <w:suppressLineNumbers w:val="0"/>
              <w:jc w:val="center"/>
              <w:rPr>
                <w:rFonts w:hint="default" w:eastAsiaTheme="minorEastAsia"/>
                <w:b w:val="0"/>
                <w:bCs w:val="0"/>
                <w:caps w:val="0"/>
                <w:spacing w:val="0"/>
                <w:sz w:val="21"/>
                <w:szCs w:val="21"/>
                <w:highlight w:val="none"/>
                <w:lang w:val="en-US" w:eastAsia="zh-CN"/>
              </w:rPr>
            </w:pPr>
            <w:r>
              <w:rPr>
                <w:rFonts w:hint="eastAsia"/>
                <w:b w:val="0"/>
                <w:bCs w:val="0"/>
                <w:caps w:val="0"/>
                <w:spacing w:val="0"/>
                <w:sz w:val="21"/>
                <w:szCs w:val="21"/>
                <w:highlight w:val="none"/>
                <w:lang w:eastAsia="zh-CN"/>
              </w:rPr>
              <w:t>海上</w:t>
            </w:r>
            <w:r>
              <w:rPr>
                <w:rFonts w:hint="eastAsia"/>
                <w:b w:val="0"/>
                <w:bCs w:val="0"/>
                <w:caps w:val="0"/>
                <w:spacing w:val="0"/>
                <w:sz w:val="21"/>
                <w:szCs w:val="21"/>
                <w:highlight w:val="none"/>
                <w:lang w:val="en-US" w:eastAsia="zh-CN"/>
              </w:rPr>
              <w:t>吊</w:t>
            </w:r>
            <w:r>
              <w:rPr>
                <w:rFonts w:hint="eastAsia"/>
                <w:b w:val="0"/>
                <w:bCs w:val="0"/>
                <w:caps w:val="0"/>
                <w:spacing w:val="0"/>
                <w:sz w:val="21"/>
                <w:szCs w:val="21"/>
                <w:highlight w:val="none"/>
                <w:lang w:eastAsia="zh-CN"/>
              </w:rPr>
              <w:t>装</w:t>
            </w:r>
            <w:r>
              <w:rPr>
                <w:rFonts w:hint="eastAsia"/>
                <w:b w:val="0"/>
                <w:bCs w:val="0"/>
                <w:caps w:val="0"/>
                <w:spacing w:val="0"/>
                <w:sz w:val="21"/>
                <w:szCs w:val="21"/>
                <w:highlight w:val="none"/>
                <w:lang w:val="en-US" w:eastAsia="zh-CN"/>
              </w:rPr>
              <w:t>作业</w:t>
            </w:r>
          </w:p>
        </w:tc>
        <w:tc>
          <w:tcPr>
            <w:tcW w:w="126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EDB999B">
            <w:pPr>
              <w:keepNext w:val="0"/>
              <w:keepLines w:val="0"/>
              <w:widowControl/>
              <w:suppressLineNumbers w:val="0"/>
              <w:jc w:val="center"/>
              <w:rPr>
                <w:b w:val="0"/>
                <w:bCs w:val="0"/>
                <w:caps w:val="0"/>
                <w:spacing w:val="0"/>
                <w:sz w:val="21"/>
                <w:szCs w:val="21"/>
                <w:highlight w:val="none"/>
              </w:rPr>
            </w:pPr>
            <w:r>
              <w:rPr>
                <w:rFonts w:ascii="宋体" w:hAnsi="宋体" w:eastAsia="宋体" w:cs="宋体"/>
                <w:b w:val="0"/>
                <w:bCs w:val="0"/>
                <w:caps w:val="0"/>
                <w:spacing w:val="0"/>
                <w:kern w:val="0"/>
                <w:sz w:val="21"/>
                <w:szCs w:val="21"/>
                <w:highlight w:val="none"/>
                <w:lang w:val="en-US" w:eastAsia="zh-CN" w:bidi="ar"/>
              </w:rPr>
              <w:t>≤1</w:t>
            </w:r>
            <w:r>
              <w:rPr>
                <w:rFonts w:hint="eastAsia" w:ascii="宋体" w:hAnsi="宋体" w:eastAsia="宋体" w:cs="宋体"/>
                <w:b w:val="0"/>
                <w:bCs w:val="0"/>
                <w:caps w:val="0"/>
                <w:spacing w:val="0"/>
                <w:kern w:val="0"/>
                <w:sz w:val="21"/>
                <w:szCs w:val="21"/>
                <w:highlight w:val="none"/>
                <w:lang w:val="en-US" w:eastAsia="zh-CN" w:bidi="ar"/>
              </w:rPr>
              <w:t>0</w:t>
            </w:r>
          </w:p>
        </w:tc>
        <w:tc>
          <w:tcPr>
            <w:tcW w:w="116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8927A4C">
            <w:pPr>
              <w:keepNext w:val="0"/>
              <w:keepLines w:val="0"/>
              <w:widowControl/>
              <w:suppressLineNumbers w:val="0"/>
              <w:jc w:val="center"/>
              <w:rPr>
                <w:rFonts w:hint="default"/>
                <w:b w:val="0"/>
                <w:bCs w:val="0"/>
                <w:caps w:val="0"/>
                <w:spacing w:val="0"/>
                <w:sz w:val="21"/>
                <w:szCs w:val="21"/>
                <w:highlight w:val="none"/>
                <w:lang w:val="en-US"/>
              </w:rPr>
            </w:pPr>
            <w:r>
              <w:rPr>
                <w:rFonts w:ascii="宋体" w:hAnsi="宋体" w:eastAsia="宋体" w:cs="宋体"/>
                <w:b w:val="0"/>
                <w:bCs w:val="0"/>
                <w:caps w:val="0"/>
                <w:spacing w:val="0"/>
                <w:kern w:val="0"/>
                <w:sz w:val="21"/>
                <w:szCs w:val="21"/>
                <w:highlight w:val="none"/>
                <w:lang w:val="en-US" w:eastAsia="zh-CN" w:bidi="ar"/>
              </w:rPr>
              <w:t>≤</w:t>
            </w:r>
            <w:r>
              <w:rPr>
                <w:rFonts w:hint="eastAsia" w:ascii="宋体" w:hAnsi="宋体" w:eastAsia="宋体" w:cs="宋体"/>
                <w:b w:val="0"/>
                <w:bCs w:val="0"/>
                <w:caps w:val="0"/>
                <w:spacing w:val="0"/>
                <w:kern w:val="0"/>
                <w:sz w:val="21"/>
                <w:szCs w:val="21"/>
                <w:highlight w:val="none"/>
                <w:lang w:val="en-US" w:eastAsia="zh-CN" w:bidi="ar"/>
              </w:rPr>
              <w:t>2.0</w:t>
            </w:r>
          </w:p>
        </w:tc>
        <w:tc>
          <w:tcPr>
            <w:tcW w:w="154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D0039CB">
            <w:pPr>
              <w:keepNext w:val="0"/>
              <w:keepLines w:val="0"/>
              <w:widowControl/>
              <w:suppressLineNumbers w:val="0"/>
              <w:jc w:val="center"/>
              <w:rPr>
                <w:rFonts w:hint="eastAsia" w:eastAsiaTheme="minorEastAsia"/>
                <w:b w:val="0"/>
                <w:bCs w:val="0"/>
                <w:caps w:val="0"/>
                <w:spacing w:val="0"/>
                <w:sz w:val="21"/>
                <w:szCs w:val="21"/>
                <w:highlight w:val="none"/>
                <w:lang w:val="en-US" w:eastAsia="zh-CN"/>
              </w:rPr>
            </w:pPr>
            <w:r>
              <w:rPr>
                <w:rFonts w:hint="eastAsia"/>
                <w:b w:val="0"/>
                <w:bCs w:val="0"/>
                <w:caps w:val="0"/>
                <w:spacing w:val="0"/>
                <w:sz w:val="21"/>
                <w:szCs w:val="21"/>
                <w:highlight w:val="none"/>
                <w:lang w:val="en-US" w:eastAsia="zh-CN"/>
              </w:rPr>
              <w:t>-</w:t>
            </w:r>
          </w:p>
        </w:tc>
      </w:tr>
    </w:tbl>
    <w:p w14:paraId="3AE0F3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1 </w:t>
      </w:r>
      <w:r>
        <w:rPr>
          <w:rFonts w:hint="eastAsia" w:ascii="宋体" w:hAnsi="宋体" w:eastAsia="宋体" w:cs="宋体"/>
          <w:highlight w:val="none"/>
        </w:rPr>
        <w:t>天气预报中符合吊装要求的天气窗口不小于 72h。</w:t>
      </w:r>
    </w:p>
    <w:p w14:paraId="16E4BF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2 </w:t>
      </w:r>
      <w:r>
        <w:rPr>
          <w:rFonts w:hint="eastAsia" w:ascii="宋体" w:hAnsi="宋体" w:eastAsia="宋体" w:cs="宋体"/>
          <w:highlight w:val="none"/>
        </w:rPr>
        <w:t>对于施工海域无法满足以上海况条件的特殊情况，可根据准备情况、船舶操作规格书和船舶 实际运动情况进行评估。</w:t>
      </w:r>
    </w:p>
    <w:p w14:paraId="7016C3DF">
      <w:pPr>
        <w:keepNext w:val="0"/>
        <w:keepLines w:val="0"/>
        <w:widowControl/>
        <w:suppressLineNumbers w:val="0"/>
        <w:jc w:val="left"/>
        <w:rPr>
          <w:rFonts w:hint="eastAsia" w:ascii="宋体" w:hAnsi="宋体" w:eastAsia="宋体" w:cs="宋体"/>
          <w:b/>
          <w:bCs/>
          <w:color w:val="000000"/>
          <w:kern w:val="0"/>
          <w:sz w:val="21"/>
          <w:szCs w:val="21"/>
          <w:highlight w:val="none"/>
          <w:lang w:val="en-US" w:eastAsia="zh-CN" w:bidi="ar"/>
        </w:rPr>
      </w:pPr>
      <w:r>
        <w:rPr>
          <w:rFonts w:hint="eastAsia" w:ascii="黑体" w:hAnsi="黑体" w:eastAsia="黑体"/>
          <w:highlight w:val="none"/>
          <w:lang w:val="en-US" w:eastAsia="zh-CN"/>
        </w:rPr>
        <w:t>B.4</w:t>
      </w:r>
      <w:r>
        <w:rPr>
          <w:rFonts w:hint="eastAsia" w:ascii="宋体" w:hAnsi="宋体" w:eastAsia="宋体" w:cs="宋体"/>
          <w:b/>
          <w:bCs/>
          <w:color w:val="000000"/>
          <w:kern w:val="0"/>
          <w:sz w:val="21"/>
          <w:szCs w:val="21"/>
          <w:highlight w:val="none"/>
          <w:lang w:val="en-US" w:eastAsia="zh-CN" w:bidi="ar"/>
        </w:rPr>
        <w:t>浮托安装限制环境条件</w:t>
      </w:r>
    </w:p>
    <w:p w14:paraId="40C020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rPr>
      </w:pPr>
      <w:r>
        <w:rPr>
          <w:rFonts w:hint="eastAsia" w:ascii="宋体" w:hAnsi="宋体" w:eastAsia="宋体" w:cs="宋体"/>
          <w:highlight w:val="none"/>
          <w:lang w:val="en-US" w:eastAsia="zh-CN"/>
        </w:rPr>
        <w:t>1浮托安装一般要求在较为平静的海况下进行；为了提高可操作性，通常在不同浪向下限定不同的浪高。</w:t>
      </w:r>
    </w:p>
    <w:p w14:paraId="139BB6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rPr>
      </w:pPr>
      <w:r>
        <w:rPr>
          <w:rFonts w:hint="eastAsia" w:ascii="宋体" w:hAnsi="宋体" w:eastAsia="宋体" w:cs="宋体"/>
          <w:highlight w:val="none"/>
          <w:lang w:val="en-US" w:eastAsia="zh-CN"/>
        </w:rPr>
        <w:t>2确定限制作业的有义波高等环境参数是确保浮托安装顺利进行的关键因素。</w:t>
      </w:r>
    </w:p>
    <w:p w14:paraId="1796925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highlight w:val="none"/>
          <w:lang w:val="en-US"/>
        </w:rPr>
      </w:pPr>
      <w:r>
        <w:rPr>
          <w:rFonts w:hint="eastAsia" w:ascii="宋体" w:hAnsi="宋体" w:eastAsia="宋体" w:cs="宋体"/>
          <w:highlight w:val="none"/>
          <w:lang w:val="en-US" w:eastAsia="zh-CN"/>
        </w:rPr>
        <w:t>3浮托安装可假定在低潮位情况下进行；如果在低潮位的压载能力或稳性不足，一般可以按照平均潮位或平均海平面进行设计。</w:t>
      </w:r>
    </w:p>
    <w:p w14:paraId="11AAF25B">
      <w:pPr>
        <w:keepNext w:val="0"/>
        <w:keepLines w:val="0"/>
        <w:widowControl/>
        <w:suppressLineNumbers w:val="0"/>
        <w:jc w:val="left"/>
        <w:rPr>
          <w:rFonts w:hint="default" w:ascii="宋体" w:hAnsi="宋体" w:eastAsia="宋体" w:cs="宋体"/>
          <w:b/>
          <w:bCs/>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浮托安装环境条件见附表</w:t>
      </w:r>
      <w:r>
        <w:rPr>
          <w:rFonts w:hint="eastAsia" w:ascii="Times New Roman" w:hAnsi="Times New Roman" w:eastAsia="宋体" w:cs="Times New Roman"/>
          <w:color w:val="000000"/>
          <w:kern w:val="0"/>
          <w:sz w:val="21"/>
          <w:szCs w:val="21"/>
          <w:highlight w:val="none"/>
          <w:lang w:val="en-US" w:eastAsia="zh-CN" w:bidi="ar"/>
        </w:rPr>
        <w:t>B.4.1</w:t>
      </w:r>
    </w:p>
    <w:tbl>
      <w:tblPr>
        <w:tblStyle w:val="1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745"/>
        <w:gridCol w:w="2166"/>
        <w:gridCol w:w="1988"/>
        <w:gridCol w:w="2644"/>
      </w:tblGrid>
      <w:tr w14:paraId="25ABC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102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393C725">
            <w:pPr>
              <w:keepNext w:val="0"/>
              <w:keepLines w:val="0"/>
              <w:widowControl/>
              <w:suppressLineNumbers w:val="0"/>
              <w:jc w:val="center"/>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方向</w:t>
            </w:r>
          </w:p>
        </w:tc>
        <w:tc>
          <w:tcPr>
            <w:tcW w:w="126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38A6F18">
            <w:pPr>
              <w:keepNext w:val="0"/>
              <w:keepLines w:val="0"/>
              <w:widowControl/>
              <w:suppressLineNumbers w:val="0"/>
              <w:jc w:val="center"/>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风速</w:t>
            </w:r>
            <w:r>
              <w:rPr>
                <w:rFonts w:ascii="宋体" w:hAnsi="宋体" w:eastAsia="宋体" w:cs="宋体"/>
                <w:b w:val="0"/>
                <w:bCs w:val="0"/>
                <w:caps w:val="0"/>
                <w:spacing w:val="0"/>
                <w:kern w:val="0"/>
                <w:sz w:val="21"/>
                <w:szCs w:val="21"/>
                <w:highlight w:val="none"/>
                <w:lang w:val="en-US" w:eastAsia="zh-CN" w:bidi="ar"/>
              </w:rPr>
              <w:t>（m/s）</w:t>
            </w:r>
          </w:p>
        </w:tc>
        <w:tc>
          <w:tcPr>
            <w:tcW w:w="116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0617F53">
            <w:pPr>
              <w:keepNext w:val="0"/>
              <w:keepLines w:val="0"/>
              <w:widowControl/>
              <w:suppressLineNumbers w:val="0"/>
              <w:jc w:val="center"/>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有义波高</w:t>
            </w:r>
            <w:r>
              <w:rPr>
                <w:rFonts w:ascii="宋体" w:hAnsi="宋体" w:eastAsia="宋体" w:cs="宋体"/>
                <w:b w:val="0"/>
                <w:bCs w:val="0"/>
                <w:caps w:val="0"/>
                <w:spacing w:val="0"/>
                <w:kern w:val="0"/>
                <w:sz w:val="21"/>
                <w:szCs w:val="21"/>
                <w:highlight w:val="none"/>
                <w:lang w:val="en-US" w:eastAsia="zh-CN" w:bidi="ar"/>
              </w:rPr>
              <w:t>（m）</w:t>
            </w:r>
          </w:p>
        </w:tc>
        <w:tc>
          <w:tcPr>
            <w:tcW w:w="154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9556AD5">
            <w:pPr>
              <w:keepNext w:val="0"/>
              <w:keepLines w:val="0"/>
              <w:widowControl/>
              <w:suppressLineNumbers w:val="0"/>
              <w:jc w:val="center"/>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流速</w:t>
            </w:r>
            <w:r>
              <w:rPr>
                <w:rFonts w:ascii="宋体" w:hAnsi="宋体" w:eastAsia="宋体" w:cs="宋体"/>
                <w:b w:val="0"/>
                <w:bCs w:val="0"/>
                <w:caps w:val="0"/>
                <w:spacing w:val="0"/>
                <w:kern w:val="0"/>
                <w:sz w:val="21"/>
                <w:szCs w:val="21"/>
                <w:highlight w:val="none"/>
                <w:lang w:val="en-US" w:eastAsia="zh-CN" w:bidi="ar"/>
              </w:rPr>
              <w:t>（m/s）</w:t>
            </w:r>
          </w:p>
        </w:tc>
      </w:tr>
      <w:tr w14:paraId="6FE26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102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D3E6A10">
            <w:pPr>
              <w:keepNext w:val="0"/>
              <w:keepLines w:val="0"/>
              <w:widowControl/>
              <w:suppressLineNumbers w:val="0"/>
              <w:jc w:val="center"/>
              <w:rPr>
                <w:rFonts w:hint="default"/>
                <w:b w:val="0"/>
                <w:bCs w:val="0"/>
                <w:caps w:val="0"/>
                <w:spacing w:val="0"/>
                <w:sz w:val="21"/>
                <w:szCs w:val="21"/>
                <w:highlight w:val="none"/>
                <w:lang w:val="en-US"/>
              </w:rPr>
            </w:pPr>
            <w:r>
              <w:rPr>
                <w:rFonts w:hint="eastAsia" w:ascii="宋体" w:hAnsi="宋体" w:eastAsia="宋体" w:cs="宋体"/>
                <w:b w:val="0"/>
                <w:bCs w:val="0"/>
                <w:caps w:val="0"/>
                <w:spacing w:val="0"/>
                <w:kern w:val="0"/>
                <w:sz w:val="21"/>
                <w:szCs w:val="21"/>
                <w:highlight w:val="none"/>
                <w:lang w:val="en-US" w:eastAsia="zh-CN" w:bidi="ar"/>
              </w:rPr>
              <w:t>迎/随浪</w:t>
            </w:r>
          </w:p>
        </w:tc>
        <w:tc>
          <w:tcPr>
            <w:tcW w:w="126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D233DD8">
            <w:pPr>
              <w:keepNext w:val="0"/>
              <w:keepLines w:val="0"/>
              <w:widowControl/>
              <w:suppressLineNumbers w:val="0"/>
              <w:jc w:val="center"/>
              <w:rPr>
                <w:rFonts w:hint="default"/>
                <w:b w:val="0"/>
                <w:bCs w:val="0"/>
                <w:caps w:val="0"/>
                <w:spacing w:val="0"/>
                <w:sz w:val="21"/>
                <w:szCs w:val="21"/>
                <w:highlight w:val="none"/>
                <w:lang w:val="en-US"/>
              </w:rPr>
            </w:pPr>
            <w:r>
              <w:rPr>
                <w:rFonts w:hint="eastAsia" w:ascii="宋体" w:hAnsi="宋体" w:eastAsia="宋体" w:cs="宋体"/>
                <w:b w:val="0"/>
                <w:bCs w:val="0"/>
                <w:caps w:val="0"/>
                <w:spacing w:val="0"/>
                <w:kern w:val="0"/>
                <w:sz w:val="21"/>
                <w:szCs w:val="21"/>
                <w:highlight w:val="none"/>
                <w:lang w:val="en-US" w:eastAsia="zh-CN" w:bidi="ar"/>
              </w:rPr>
              <w:t>10</w:t>
            </w:r>
          </w:p>
        </w:tc>
        <w:tc>
          <w:tcPr>
            <w:tcW w:w="116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F2BD751">
            <w:pPr>
              <w:keepNext w:val="0"/>
              <w:keepLines w:val="0"/>
              <w:widowControl/>
              <w:suppressLineNumbers w:val="0"/>
              <w:jc w:val="center"/>
              <w:rPr>
                <w:rFonts w:hint="default"/>
                <w:b w:val="0"/>
                <w:bCs w:val="0"/>
                <w:caps w:val="0"/>
                <w:spacing w:val="0"/>
                <w:sz w:val="21"/>
                <w:szCs w:val="21"/>
                <w:highlight w:val="none"/>
                <w:lang w:val="en-US"/>
              </w:rPr>
            </w:pPr>
            <w:r>
              <w:rPr>
                <w:rFonts w:hint="eastAsia" w:ascii="宋体" w:hAnsi="宋体" w:eastAsia="宋体" w:cs="宋体"/>
                <w:b w:val="0"/>
                <w:bCs w:val="0"/>
                <w:caps w:val="0"/>
                <w:spacing w:val="0"/>
                <w:kern w:val="0"/>
                <w:sz w:val="21"/>
                <w:szCs w:val="21"/>
                <w:highlight w:val="none"/>
                <w:lang w:val="en-US" w:eastAsia="zh-CN" w:bidi="ar"/>
              </w:rPr>
              <w:t>1.5</w:t>
            </w:r>
          </w:p>
        </w:tc>
        <w:tc>
          <w:tcPr>
            <w:tcW w:w="154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5B332CD">
            <w:pPr>
              <w:keepNext w:val="0"/>
              <w:keepLines w:val="0"/>
              <w:widowControl/>
              <w:suppressLineNumbers w:val="0"/>
              <w:jc w:val="center"/>
              <w:rPr>
                <w:rFonts w:hint="default" w:ascii="宋体" w:hAnsi="宋体" w:eastAsia="宋体" w:cs="宋体"/>
                <w:b w:val="0"/>
                <w:bCs w:val="0"/>
                <w:caps w:val="0"/>
                <w:spacing w:val="0"/>
                <w:kern w:val="0"/>
                <w:sz w:val="21"/>
                <w:szCs w:val="21"/>
                <w:highlight w:val="none"/>
                <w:lang w:val="en-US" w:eastAsia="zh-CN" w:bidi="ar"/>
              </w:rPr>
            </w:pPr>
            <w:r>
              <w:rPr>
                <w:rFonts w:hint="eastAsia" w:ascii="宋体" w:hAnsi="宋体" w:eastAsia="宋体" w:cs="宋体"/>
                <w:b w:val="0"/>
                <w:bCs w:val="0"/>
                <w:caps w:val="0"/>
                <w:spacing w:val="0"/>
                <w:kern w:val="0"/>
                <w:sz w:val="21"/>
                <w:szCs w:val="21"/>
                <w:highlight w:val="none"/>
                <w:lang w:val="en-US" w:eastAsia="zh-CN" w:bidi="ar"/>
              </w:rPr>
              <w:t>0.5</w:t>
            </w:r>
          </w:p>
        </w:tc>
      </w:tr>
      <w:tr w14:paraId="2273F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27" w:hRule="atLeast"/>
        </w:trPr>
        <w:tc>
          <w:tcPr>
            <w:tcW w:w="102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5C4DD32">
            <w:pPr>
              <w:keepNext w:val="0"/>
              <w:keepLines w:val="0"/>
              <w:widowControl/>
              <w:suppressLineNumbers w:val="0"/>
              <w:jc w:val="center"/>
              <w:rPr>
                <w:rFonts w:hint="default" w:eastAsiaTheme="minorEastAsia"/>
                <w:b w:val="0"/>
                <w:bCs w:val="0"/>
                <w:caps w:val="0"/>
                <w:spacing w:val="0"/>
                <w:sz w:val="21"/>
                <w:szCs w:val="21"/>
                <w:highlight w:val="none"/>
                <w:lang w:val="en-US" w:eastAsia="zh-CN"/>
              </w:rPr>
            </w:pPr>
            <w:r>
              <w:rPr>
                <w:rFonts w:hint="eastAsia"/>
                <w:b w:val="0"/>
                <w:bCs w:val="0"/>
                <w:caps w:val="0"/>
                <w:spacing w:val="0"/>
                <w:sz w:val="21"/>
                <w:szCs w:val="21"/>
                <w:highlight w:val="none"/>
                <w:lang w:val="en-US" w:eastAsia="zh-CN"/>
              </w:rPr>
              <w:t>斜浪</w:t>
            </w:r>
          </w:p>
        </w:tc>
        <w:tc>
          <w:tcPr>
            <w:tcW w:w="126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6FF7A69">
            <w:pPr>
              <w:keepNext w:val="0"/>
              <w:keepLines w:val="0"/>
              <w:widowControl/>
              <w:suppressLineNumbers w:val="0"/>
              <w:jc w:val="center"/>
              <w:rPr>
                <w:rFonts w:hint="default"/>
                <w:b w:val="0"/>
                <w:bCs w:val="0"/>
                <w:caps w:val="0"/>
                <w:spacing w:val="0"/>
                <w:sz w:val="21"/>
                <w:szCs w:val="21"/>
                <w:highlight w:val="none"/>
                <w:lang w:val="en-US"/>
              </w:rPr>
            </w:pPr>
            <w:r>
              <w:rPr>
                <w:rFonts w:hint="eastAsia" w:ascii="宋体" w:hAnsi="宋体" w:eastAsia="宋体" w:cs="宋体"/>
                <w:b w:val="0"/>
                <w:bCs w:val="0"/>
                <w:caps w:val="0"/>
                <w:spacing w:val="0"/>
                <w:kern w:val="0"/>
                <w:sz w:val="21"/>
                <w:szCs w:val="21"/>
                <w:highlight w:val="none"/>
                <w:lang w:val="en-US" w:eastAsia="zh-CN" w:bidi="ar"/>
              </w:rPr>
              <w:t>10</w:t>
            </w:r>
          </w:p>
        </w:tc>
        <w:tc>
          <w:tcPr>
            <w:tcW w:w="116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6A2522C">
            <w:pPr>
              <w:keepNext w:val="0"/>
              <w:keepLines w:val="0"/>
              <w:widowControl/>
              <w:suppressLineNumbers w:val="0"/>
              <w:jc w:val="center"/>
              <w:rPr>
                <w:rFonts w:hint="default"/>
                <w:b w:val="0"/>
                <w:bCs w:val="0"/>
                <w:caps w:val="0"/>
                <w:spacing w:val="0"/>
                <w:sz w:val="21"/>
                <w:szCs w:val="21"/>
                <w:highlight w:val="none"/>
                <w:lang w:val="en-US"/>
              </w:rPr>
            </w:pPr>
            <w:r>
              <w:rPr>
                <w:rFonts w:hint="eastAsia" w:ascii="宋体" w:hAnsi="宋体" w:eastAsia="宋体" w:cs="宋体"/>
                <w:b w:val="0"/>
                <w:bCs w:val="0"/>
                <w:caps w:val="0"/>
                <w:spacing w:val="0"/>
                <w:kern w:val="0"/>
                <w:sz w:val="21"/>
                <w:szCs w:val="21"/>
                <w:highlight w:val="none"/>
                <w:lang w:val="en-US" w:eastAsia="zh-CN" w:bidi="ar"/>
              </w:rPr>
              <w:t>1.0</w:t>
            </w:r>
          </w:p>
        </w:tc>
        <w:tc>
          <w:tcPr>
            <w:tcW w:w="154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1545956">
            <w:pPr>
              <w:keepNext w:val="0"/>
              <w:keepLines w:val="0"/>
              <w:widowControl/>
              <w:suppressLineNumbers w:val="0"/>
              <w:jc w:val="center"/>
              <w:rPr>
                <w:rFonts w:hint="eastAsia" w:ascii="宋体" w:hAnsi="宋体" w:eastAsia="宋体" w:cs="宋体"/>
                <w:b w:val="0"/>
                <w:bCs w:val="0"/>
                <w:caps w:val="0"/>
                <w:spacing w:val="0"/>
                <w:kern w:val="0"/>
                <w:sz w:val="21"/>
                <w:szCs w:val="21"/>
                <w:highlight w:val="none"/>
                <w:lang w:val="en-US" w:eastAsia="zh-CN" w:bidi="ar"/>
              </w:rPr>
            </w:pPr>
            <w:r>
              <w:rPr>
                <w:rFonts w:hint="eastAsia" w:ascii="宋体" w:hAnsi="宋体" w:eastAsia="宋体" w:cs="宋体"/>
                <w:b w:val="0"/>
                <w:bCs w:val="0"/>
                <w:caps w:val="0"/>
                <w:spacing w:val="0"/>
                <w:kern w:val="0"/>
                <w:sz w:val="21"/>
                <w:szCs w:val="21"/>
                <w:highlight w:val="none"/>
                <w:lang w:val="en-US" w:eastAsia="zh-CN" w:bidi="ar"/>
              </w:rPr>
              <w:t>0.5</w:t>
            </w:r>
          </w:p>
        </w:tc>
      </w:tr>
      <w:tr w14:paraId="4E43C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27" w:hRule="atLeast"/>
        </w:trPr>
        <w:tc>
          <w:tcPr>
            <w:tcW w:w="102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7CAC444">
            <w:pPr>
              <w:keepNext w:val="0"/>
              <w:keepLines w:val="0"/>
              <w:widowControl/>
              <w:suppressLineNumbers w:val="0"/>
              <w:jc w:val="center"/>
              <w:rPr>
                <w:rFonts w:hint="default"/>
                <w:b w:val="0"/>
                <w:bCs w:val="0"/>
                <w:caps w:val="0"/>
                <w:spacing w:val="0"/>
                <w:sz w:val="21"/>
                <w:szCs w:val="21"/>
                <w:highlight w:val="none"/>
                <w:lang w:val="en-US" w:eastAsia="zh-CN"/>
              </w:rPr>
            </w:pPr>
            <w:r>
              <w:rPr>
                <w:rFonts w:hint="eastAsia"/>
                <w:b w:val="0"/>
                <w:bCs w:val="0"/>
                <w:caps w:val="0"/>
                <w:spacing w:val="0"/>
                <w:sz w:val="21"/>
                <w:szCs w:val="21"/>
                <w:highlight w:val="none"/>
                <w:lang w:val="en-US" w:eastAsia="zh-CN"/>
              </w:rPr>
              <w:t>横浪</w:t>
            </w:r>
          </w:p>
        </w:tc>
        <w:tc>
          <w:tcPr>
            <w:tcW w:w="126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FB6A4D8">
            <w:pPr>
              <w:keepNext w:val="0"/>
              <w:keepLines w:val="0"/>
              <w:widowControl/>
              <w:suppressLineNumbers w:val="0"/>
              <w:jc w:val="center"/>
              <w:rPr>
                <w:rFonts w:hint="default" w:ascii="宋体" w:hAnsi="宋体" w:eastAsia="宋体" w:cs="宋体"/>
                <w:b w:val="0"/>
                <w:bCs w:val="0"/>
                <w:caps w:val="0"/>
                <w:spacing w:val="0"/>
                <w:kern w:val="0"/>
                <w:sz w:val="21"/>
                <w:szCs w:val="21"/>
                <w:highlight w:val="none"/>
                <w:lang w:val="en-US" w:eastAsia="zh-CN" w:bidi="ar"/>
              </w:rPr>
            </w:pPr>
            <w:r>
              <w:rPr>
                <w:rFonts w:hint="eastAsia" w:ascii="宋体" w:hAnsi="宋体" w:eastAsia="宋体" w:cs="宋体"/>
                <w:b w:val="0"/>
                <w:bCs w:val="0"/>
                <w:caps w:val="0"/>
                <w:spacing w:val="0"/>
                <w:kern w:val="0"/>
                <w:sz w:val="21"/>
                <w:szCs w:val="21"/>
                <w:highlight w:val="none"/>
                <w:lang w:val="en-US" w:eastAsia="zh-CN" w:bidi="ar"/>
              </w:rPr>
              <w:t>10</w:t>
            </w:r>
          </w:p>
        </w:tc>
        <w:tc>
          <w:tcPr>
            <w:tcW w:w="116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06945CB">
            <w:pPr>
              <w:keepNext w:val="0"/>
              <w:keepLines w:val="0"/>
              <w:widowControl/>
              <w:suppressLineNumbers w:val="0"/>
              <w:jc w:val="center"/>
              <w:rPr>
                <w:rFonts w:hint="default" w:ascii="宋体" w:hAnsi="宋体" w:eastAsia="宋体" w:cs="宋体"/>
                <w:b w:val="0"/>
                <w:bCs w:val="0"/>
                <w:caps w:val="0"/>
                <w:spacing w:val="0"/>
                <w:kern w:val="0"/>
                <w:sz w:val="21"/>
                <w:szCs w:val="21"/>
                <w:highlight w:val="none"/>
                <w:lang w:val="en-US" w:eastAsia="zh-CN" w:bidi="ar"/>
              </w:rPr>
            </w:pPr>
            <w:r>
              <w:rPr>
                <w:rFonts w:hint="eastAsia" w:ascii="宋体" w:hAnsi="宋体" w:eastAsia="宋体" w:cs="宋体"/>
                <w:b w:val="0"/>
                <w:bCs w:val="0"/>
                <w:caps w:val="0"/>
                <w:spacing w:val="0"/>
                <w:kern w:val="0"/>
                <w:sz w:val="21"/>
                <w:szCs w:val="21"/>
                <w:highlight w:val="none"/>
                <w:lang w:val="en-US" w:eastAsia="zh-CN" w:bidi="ar"/>
              </w:rPr>
              <w:t>0.5</w:t>
            </w:r>
          </w:p>
        </w:tc>
        <w:tc>
          <w:tcPr>
            <w:tcW w:w="154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80A45D8">
            <w:pPr>
              <w:keepNext w:val="0"/>
              <w:keepLines w:val="0"/>
              <w:widowControl/>
              <w:suppressLineNumbers w:val="0"/>
              <w:jc w:val="center"/>
              <w:rPr>
                <w:rFonts w:hint="eastAsia" w:ascii="宋体" w:hAnsi="宋体" w:eastAsia="宋体" w:cs="宋体"/>
                <w:b w:val="0"/>
                <w:bCs w:val="0"/>
                <w:caps w:val="0"/>
                <w:spacing w:val="0"/>
                <w:kern w:val="0"/>
                <w:sz w:val="21"/>
                <w:szCs w:val="21"/>
                <w:highlight w:val="none"/>
                <w:lang w:val="en-US" w:eastAsia="zh-CN" w:bidi="ar"/>
              </w:rPr>
            </w:pPr>
            <w:r>
              <w:rPr>
                <w:rFonts w:hint="eastAsia" w:ascii="宋体" w:hAnsi="宋体" w:eastAsia="宋体" w:cs="宋体"/>
                <w:b w:val="0"/>
                <w:bCs w:val="0"/>
                <w:caps w:val="0"/>
                <w:spacing w:val="0"/>
                <w:kern w:val="0"/>
                <w:sz w:val="21"/>
                <w:szCs w:val="21"/>
                <w:highlight w:val="none"/>
                <w:lang w:val="en-US" w:eastAsia="zh-CN" w:bidi="ar"/>
              </w:rPr>
              <w:t>0.5</w:t>
            </w:r>
          </w:p>
        </w:tc>
      </w:tr>
    </w:tbl>
    <w:p w14:paraId="41044100">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B.5 浮体作业条件</w:t>
      </w:r>
    </w:p>
    <w:p w14:paraId="79F51B0C">
      <w:pPr>
        <w:keepNext w:val="0"/>
        <w:keepLines w:val="0"/>
        <w:widowControl/>
        <w:suppressLineNumbers w:val="0"/>
        <w:jc w:val="left"/>
        <w:rPr>
          <w:rFonts w:hint="default" w:ascii="宋体" w:hAnsi="宋体" w:eastAsia="宋体" w:cs="宋体"/>
          <w:b/>
          <w:bCs/>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浮体作业环境条件见附表</w:t>
      </w:r>
      <w:r>
        <w:rPr>
          <w:rFonts w:hint="eastAsia" w:ascii="Times New Roman" w:hAnsi="Times New Roman" w:eastAsia="宋体" w:cs="Times New Roman"/>
          <w:color w:val="000000"/>
          <w:kern w:val="0"/>
          <w:sz w:val="21"/>
          <w:szCs w:val="21"/>
          <w:highlight w:val="none"/>
          <w:lang w:val="en-US" w:eastAsia="zh-CN" w:bidi="ar"/>
        </w:rPr>
        <w:t>B.5.1</w:t>
      </w:r>
    </w:p>
    <w:p w14:paraId="0645AB82">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黑体" w:hAnsi="黑体" w:eastAsia="黑体"/>
          <w:highlight w:val="none"/>
          <w:lang w:val="en-US" w:eastAsia="zh-CN"/>
        </w:rPr>
      </w:pPr>
    </w:p>
    <w:tbl>
      <w:tblPr>
        <w:tblStyle w:val="1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332"/>
        <w:gridCol w:w="1655"/>
        <w:gridCol w:w="1518"/>
        <w:gridCol w:w="2019"/>
        <w:gridCol w:w="2019"/>
      </w:tblGrid>
      <w:tr w14:paraId="526B8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trPr>
        <w:tc>
          <w:tcPr>
            <w:tcW w:w="779"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412090A">
            <w:pPr>
              <w:keepNext w:val="0"/>
              <w:keepLines w:val="0"/>
              <w:widowControl/>
              <w:suppressLineNumbers w:val="0"/>
              <w:jc w:val="center"/>
              <w:rPr>
                <w:rFonts w:hint="default"/>
                <w:b w:val="0"/>
                <w:bCs w:val="0"/>
                <w:caps w:val="0"/>
                <w:spacing w:val="0"/>
                <w:sz w:val="21"/>
                <w:szCs w:val="21"/>
                <w:highlight w:val="none"/>
                <w:lang w:val="en-US"/>
              </w:rPr>
            </w:pPr>
            <w:r>
              <w:rPr>
                <w:rFonts w:hint="eastAsia" w:ascii="宋体" w:hAnsi="宋体" w:eastAsia="宋体" w:cs="宋体"/>
                <w:b w:val="0"/>
                <w:bCs w:val="0"/>
                <w:caps w:val="0"/>
                <w:spacing w:val="0"/>
                <w:kern w:val="0"/>
                <w:sz w:val="21"/>
                <w:szCs w:val="21"/>
                <w:highlight w:val="none"/>
                <w:lang w:val="en-US" w:eastAsia="zh-CN" w:bidi="ar"/>
              </w:rPr>
              <w:t>作业方式</w:t>
            </w:r>
          </w:p>
        </w:tc>
        <w:tc>
          <w:tcPr>
            <w:tcW w:w="96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AD7B023">
            <w:pPr>
              <w:keepNext w:val="0"/>
              <w:keepLines w:val="0"/>
              <w:widowControl/>
              <w:suppressLineNumbers w:val="0"/>
              <w:jc w:val="center"/>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风速</w:t>
            </w:r>
            <w:r>
              <w:rPr>
                <w:rFonts w:ascii="宋体" w:hAnsi="宋体" w:eastAsia="宋体" w:cs="宋体"/>
                <w:b w:val="0"/>
                <w:bCs w:val="0"/>
                <w:caps w:val="0"/>
                <w:spacing w:val="0"/>
                <w:kern w:val="0"/>
                <w:sz w:val="21"/>
                <w:szCs w:val="21"/>
                <w:highlight w:val="none"/>
                <w:lang w:val="en-US" w:eastAsia="zh-CN" w:bidi="ar"/>
              </w:rPr>
              <w:t>（m/s）</w:t>
            </w:r>
          </w:p>
        </w:tc>
        <w:tc>
          <w:tcPr>
            <w:tcW w:w="88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508E9E5">
            <w:pPr>
              <w:keepNext w:val="0"/>
              <w:keepLines w:val="0"/>
              <w:widowControl/>
              <w:suppressLineNumbers w:val="0"/>
              <w:jc w:val="center"/>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有义波高</w:t>
            </w:r>
            <w:r>
              <w:rPr>
                <w:rFonts w:ascii="宋体" w:hAnsi="宋体" w:eastAsia="宋体" w:cs="宋体"/>
                <w:b w:val="0"/>
                <w:bCs w:val="0"/>
                <w:caps w:val="0"/>
                <w:spacing w:val="0"/>
                <w:kern w:val="0"/>
                <w:sz w:val="21"/>
                <w:szCs w:val="21"/>
                <w:highlight w:val="none"/>
                <w:lang w:val="en-US" w:eastAsia="zh-CN" w:bidi="ar"/>
              </w:rPr>
              <w:t>（m）</w:t>
            </w:r>
          </w:p>
        </w:tc>
        <w:tc>
          <w:tcPr>
            <w:tcW w:w="118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6170DFE">
            <w:pPr>
              <w:keepNext w:val="0"/>
              <w:keepLines w:val="0"/>
              <w:widowControl/>
              <w:suppressLineNumbers w:val="0"/>
              <w:jc w:val="center"/>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流速</w:t>
            </w:r>
            <w:r>
              <w:rPr>
                <w:rFonts w:ascii="宋体" w:hAnsi="宋体" w:eastAsia="宋体" w:cs="宋体"/>
                <w:b w:val="0"/>
                <w:bCs w:val="0"/>
                <w:caps w:val="0"/>
                <w:spacing w:val="0"/>
                <w:kern w:val="0"/>
                <w:sz w:val="21"/>
                <w:szCs w:val="21"/>
                <w:highlight w:val="none"/>
                <w:lang w:val="en-US" w:eastAsia="zh-CN" w:bidi="ar"/>
              </w:rPr>
              <w:t>（m/s）</w:t>
            </w:r>
          </w:p>
        </w:tc>
        <w:tc>
          <w:tcPr>
            <w:tcW w:w="118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717537A">
            <w:pPr>
              <w:keepNext w:val="0"/>
              <w:keepLines w:val="0"/>
              <w:widowControl/>
              <w:suppressLineNumbers w:val="0"/>
              <w:jc w:val="center"/>
              <w:rPr>
                <w:rFonts w:hint="default" w:ascii="宋体" w:hAnsi="宋体" w:eastAsia="宋体" w:cs="宋体"/>
                <w:b w:val="0"/>
                <w:bCs w:val="0"/>
                <w:caps w:val="0"/>
                <w:spacing w:val="0"/>
                <w:kern w:val="0"/>
                <w:sz w:val="21"/>
                <w:szCs w:val="21"/>
                <w:highlight w:val="none"/>
                <w:lang w:val="en-US" w:eastAsia="zh-CN" w:bidi="ar"/>
              </w:rPr>
            </w:pPr>
            <w:r>
              <w:rPr>
                <w:rFonts w:hint="eastAsia" w:ascii="宋体" w:hAnsi="宋体" w:eastAsia="宋体" w:cs="宋体"/>
                <w:b w:val="0"/>
                <w:bCs w:val="0"/>
                <w:caps w:val="0"/>
                <w:spacing w:val="0"/>
                <w:kern w:val="0"/>
                <w:sz w:val="21"/>
                <w:szCs w:val="21"/>
                <w:highlight w:val="none"/>
                <w:lang w:val="en-US" w:eastAsia="zh-CN" w:bidi="ar"/>
              </w:rPr>
              <w:t>能见度（m）</w:t>
            </w:r>
          </w:p>
        </w:tc>
      </w:tr>
      <w:tr w14:paraId="0B215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779"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A6D99D0">
            <w:pPr>
              <w:keepNext w:val="0"/>
              <w:keepLines w:val="0"/>
              <w:widowControl/>
              <w:suppressLineNumbers w:val="0"/>
              <w:jc w:val="center"/>
              <w:rPr>
                <w:rFonts w:hint="default" w:eastAsiaTheme="minorEastAsia"/>
                <w:b w:val="0"/>
                <w:bCs w:val="0"/>
                <w:caps w:val="0"/>
                <w:spacing w:val="0"/>
                <w:sz w:val="21"/>
                <w:szCs w:val="21"/>
                <w:highlight w:val="none"/>
                <w:lang w:val="en-US" w:eastAsia="zh-CN"/>
              </w:rPr>
            </w:pPr>
            <w:r>
              <w:rPr>
                <w:rFonts w:hint="eastAsia"/>
                <w:b w:val="0"/>
                <w:bCs w:val="0"/>
                <w:caps w:val="0"/>
                <w:spacing w:val="0"/>
                <w:sz w:val="21"/>
                <w:szCs w:val="21"/>
                <w:highlight w:val="none"/>
                <w:lang w:val="en-US" w:eastAsia="zh-CN"/>
              </w:rPr>
              <w:t>出港</w:t>
            </w:r>
          </w:p>
        </w:tc>
        <w:tc>
          <w:tcPr>
            <w:tcW w:w="96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45EB977">
            <w:pPr>
              <w:keepNext w:val="0"/>
              <w:keepLines w:val="0"/>
              <w:widowControl/>
              <w:suppressLineNumbers w:val="0"/>
              <w:jc w:val="center"/>
              <w:rPr>
                <w:rFonts w:hint="default"/>
                <w:b w:val="0"/>
                <w:bCs w:val="0"/>
                <w:caps w:val="0"/>
                <w:spacing w:val="0"/>
                <w:sz w:val="21"/>
                <w:szCs w:val="21"/>
                <w:highlight w:val="none"/>
                <w:lang w:val="en-US"/>
              </w:rPr>
            </w:pPr>
            <w:r>
              <w:rPr>
                <w:rFonts w:ascii="宋体" w:hAnsi="宋体" w:eastAsia="宋体" w:cs="宋体"/>
                <w:b w:val="0"/>
                <w:bCs w:val="0"/>
                <w:caps w:val="0"/>
                <w:spacing w:val="0"/>
                <w:kern w:val="0"/>
                <w:sz w:val="21"/>
                <w:szCs w:val="21"/>
                <w:highlight w:val="none"/>
                <w:lang w:val="en-US" w:eastAsia="zh-CN" w:bidi="ar"/>
              </w:rPr>
              <w:t>≤</w:t>
            </w:r>
            <w:r>
              <w:rPr>
                <w:rFonts w:hint="eastAsia" w:ascii="宋体" w:hAnsi="宋体" w:eastAsia="宋体" w:cs="宋体"/>
                <w:b w:val="0"/>
                <w:bCs w:val="0"/>
                <w:caps w:val="0"/>
                <w:spacing w:val="0"/>
                <w:kern w:val="0"/>
                <w:sz w:val="21"/>
                <w:szCs w:val="21"/>
                <w:highlight w:val="none"/>
                <w:lang w:val="en-US" w:eastAsia="zh-CN" w:bidi="ar"/>
              </w:rPr>
              <w:t>7.9</w:t>
            </w:r>
          </w:p>
        </w:tc>
        <w:tc>
          <w:tcPr>
            <w:tcW w:w="88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CFC99A7">
            <w:pPr>
              <w:keepNext w:val="0"/>
              <w:keepLines w:val="0"/>
              <w:widowControl/>
              <w:suppressLineNumbers w:val="0"/>
              <w:jc w:val="center"/>
              <w:rPr>
                <w:rFonts w:hint="default"/>
                <w:b w:val="0"/>
                <w:bCs w:val="0"/>
                <w:caps w:val="0"/>
                <w:spacing w:val="0"/>
                <w:sz w:val="21"/>
                <w:szCs w:val="21"/>
                <w:highlight w:val="none"/>
                <w:lang w:val="en-US"/>
              </w:rPr>
            </w:pPr>
            <w:r>
              <w:rPr>
                <w:rFonts w:ascii="宋体" w:hAnsi="宋体" w:eastAsia="宋体" w:cs="宋体"/>
                <w:b w:val="0"/>
                <w:bCs w:val="0"/>
                <w:caps w:val="0"/>
                <w:spacing w:val="0"/>
                <w:kern w:val="0"/>
                <w:sz w:val="21"/>
                <w:szCs w:val="21"/>
                <w:highlight w:val="none"/>
                <w:lang w:val="en-US" w:eastAsia="zh-CN" w:bidi="ar"/>
              </w:rPr>
              <w:t>≤</w:t>
            </w:r>
            <w:r>
              <w:rPr>
                <w:rFonts w:hint="eastAsia" w:ascii="宋体" w:hAnsi="宋体" w:eastAsia="宋体" w:cs="宋体"/>
                <w:b w:val="0"/>
                <w:bCs w:val="0"/>
                <w:caps w:val="0"/>
                <w:spacing w:val="0"/>
                <w:kern w:val="0"/>
                <w:sz w:val="21"/>
                <w:szCs w:val="21"/>
                <w:highlight w:val="none"/>
                <w:lang w:val="en-US" w:eastAsia="zh-CN" w:bidi="ar"/>
              </w:rPr>
              <w:t>0.5</w:t>
            </w:r>
          </w:p>
        </w:tc>
        <w:tc>
          <w:tcPr>
            <w:tcW w:w="118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D403310">
            <w:pPr>
              <w:keepNext w:val="0"/>
              <w:keepLines w:val="0"/>
              <w:widowControl/>
              <w:suppressLineNumbers w:val="0"/>
              <w:jc w:val="center"/>
              <w:rPr>
                <w:rFonts w:hint="default" w:ascii="宋体" w:hAnsi="宋体" w:eastAsia="宋体" w:cs="宋体"/>
                <w:b w:val="0"/>
                <w:bCs w:val="0"/>
                <w:caps w:val="0"/>
                <w:spacing w:val="0"/>
                <w:kern w:val="0"/>
                <w:sz w:val="21"/>
                <w:szCs w:val="21"/>
                <w:highlight w:val="none"/>
                <w:lang w:val="en-US" w:eastAsia="zh-CN" w:bidi="ar"/>
              </w:rPr>
            </w:pPr>
            <w:r>
              <w:rPr>
                <w:rFonts w:ascii="宋体" w:hAnsi="宋体" w:eastAsia="宋体" w:cs="宋体"/>
                <w:b w:val="0"/>
                <w:bCs w:val="0"/>
                <w:caps w:val="0"/>
                <w:spacing w:val="0"/>
                <w:kern w:val="0"/>
                <w:sz w:val="21"/>
                <w:szCs w:val="21"/>
                <w:highlight w:val="none"/>
                <w:lang w:val="en-US" w:eastAsia="zh-CN" w:bidi="ar"/>
              </w:rPr>
              <w:t>≤</w:t>
            </w:r>
            <w:r>
              <w:rPr>
                <w:rFonts w:hint="eastAsia" w:ascii="宋体" w:hAnsi="宋体" w:eastAsia="宋体" w:cs="宋体"/>
                <w:b w:val="0"/>
                <w:bCs w:val="0"/>
                <w:caps w:val="0"/>
                <w:spacing w:val="0"/>
                <w:kern w:val="0"/>
                <w:sz w:val="21"/>
                <w:szCs w:val="21"/>
                <w:highlight w:val="none"/>
                <w:lang w:val="en-US" w:eastAsia="zh-CN" w:bidi="ar"/>
              </w:rPr>
              <w:t>0.5</w:t>
            </w:r>
          </w:p>
        </w:tc>
        <w:tc>
          <w:tcPr>
            <w:tcW w:w="118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21A05EF">
            <w:pPr>
              <w:keepNext w:val="0"/>
              <w:keepLines w:val="0"/>
              <w:widowControl/>
              <w:suppressLineNumbers w:val="0"/>
              <w:jc w:val="center"/>
              <w:rPr>
                <w:rFonts w:hint="default" w:ascii="宋体" w:hAnsi="宋体" w:eastAsia="宋体" w:cs="宋体"/>
                <w:b w:val="0"/>
                <w:bCs w:val="0"/>
                <w:caps w:val="0"/>
                <w:spacing w:val="0"/>
                <w:kern w:val="0"/>
                <w:sz w:val="21"/>
                <w:szCs w:val="21"/>
                <w:highlight w:val="none"/>
                <w:lang w:val="en-US" w:eastAsia="zh-CN" w:bidi="ar"/>
              </w:rPr>
            </w:pPr>
            <w:r>
              <w:rPr>
                <w:rFonts w:hint="eastAsia" w:ascii="宋体" w:hAnsi="宋体" w:eastAsia="宋体" w:cs="宋体"/>
                <w:b w:val="0"/>
                <w:bCs w:val="0"/>
                <w:caps w:val="0"/>
                <w:spacing w:val="0"/>
                <w:kern w:val="0"/>
                <w:sz w:val="21"/>
                <w:szCs w:val="21"/>
                <w:highlight w:val="none"/>
                <w:lang w:val="en-US" w:eastAsia="zh-CN" w:bidi="ar"/>
              </w:rPr>
              <w:t>&gt;1000</w:t>
            </w:r>
          </w:p>
        </w:tc>
      </w:tr>
      <w:tr w14:paraId="54F5E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27" w:hRule="atLeast"/>
        </w:trPr>
        <w:tc>
          <w:tcPr>
            <w:tcW w:w="779"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2FE3D5F">
            <w:pPr>
              <w:keepNext w:val="0"/>
              <w:keepLines w:val="0"/>
              <w:widowControl/>
              <w:suppressLineNumbers w:val="0"/>
              <w:jc w:val="center"/>
              <w:rPr>
                <w:rFonts w:hint="default" w:eastAsiaTheme="minorEastAsia"/>
                <w:b w:val="0"/>
                <w:bCs w:val="0"/>
                <w:caps w:val="0"/>
                <w:spacing w:val="0"/>
                <w:sz w:val="21"/>
                <w:szCs w:val="21"/>
                <w:highlight w:val="none"/>
                <w:lang w:val="en-US" w:eastAsia="zh-CN"/>
              </w:rPr>
            </w:pPr>
            <w:r>
              <w:rPr>
                <w:rFonts w:hint="eastAsia"/>
                <w:b w:val="0"/>
                <w:bCs w:val="0"/>
                <w:caps w:val="0"/>
                <w:spacing w:val="0"/>
                <w:sz w:val="21"/>
                <w:szCs w:val="21"/>
                <w:highlight w:val="none"/>
                <w:lang w:val="en-US" w:eastAsia="zh-CN"/>
              </w:rPr>
              <w:t>海上拖航</w:t>
            </w:r>
          </w:p>
        </w:tc>
        <w:tc>
          <w:tcPr>
            <w:tcW w:w="96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3C48353">
            <w:pPr>
              <w:keepNext w:val="0"/>
              <w:keepLines w:val="0"/>
              <w:widowControl/>
              <w:suppressLineNumbers w:val="0"/>
              <w:jc w:val="center"/>
              <w:rPr>
                <w:rFonts w:hint="default"/>
                <w:b w:val="0"/>
                <w:bCs w:val="0"/>
                <w:caps w:val="0"/>
                <w:spacing w:val="0"/>
                <w:sz w:val="21"/>
                <w:szCs w:val="21"/>
                <w:highlight w:val="none"/>
                <w:lang w:val="en-US"/>
              </w:rPr>
            </w:pPr>
            <w:r>
              <w:rPr>
                <w:rFonts w:ascii="宋体" w:hAnsi="宋体" w:eastAsia="宋体" w:cs="宋体"/>
                <w:b w:val="0"/>
                <w:bCs w:val="0"/>
                <w:caps w:val="0"/>
                <w:spacing w:val="0"/>
                <w:kern w:val="0"/>
                <w:sz w:val="21"/>
                <w:szCs w:val="21"/>
                <w:highlight w:val="none"/>
                <w:lang w:val="en-US" w:eastAsia="zh-CN" w:bidi="ar"/>
              </w:rPr>
              <w:t>≤</w:t>
            </w:r>
            <w:r>
              <w:rPr>
                <w:rFonts w:hint="eastAsia" w:ascii="宋体" w:hAnsi="宋体" w:eastAsia="宋体" w:cs="宋体"/>
                <w:b w:val="0"/>
                <w:bCs w:val="0"/>
                <w:caps w:val="0"/>
                <w:spacing w:val="0"/>
                <w:kern w:val="0"/>
                <w:sz w:val="21"/>
                <w:szCs w:val="21"/>
                <w:highlight w:val="none"/>
                <w:lang w:val="en-US" w:eastAsia="zh-CN" w:bidi="ar"/>
              </w:rPr>
              <w:t>13.8</w:t>
            </w:r>
          </w:p>
        </w:tc>
        <w:tc>
          <w:tcPr>
            <w:tcW w:w="88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8F64A11">
            <w:pPr>
              <w:keepNext w:val="0"/>
              <w:keepLines w:val="0"/>
              <w:widowControl/>
              <w:suppressLineNumbers w:val="0"/>
              <w:jc w:val="center"/>
              <w:rPr>
                <w:rFonts w:hint="default"/>
                <w:b w:val="0"/>
                <w:bCs w:val="0"/>
                <w:caps w:val="0"/>
                <w:spacing w:val="0"/>
                <w:sz w:val="21"/>
                <w:szCs w:val="21"/>
                <w:highlight w:val="none"/>
                <w:lang w:val="en-US"/>
              </w:rPr>
            </w:pPr>
            <w:r>
              <w:rPr>
                <w:rFonts w:ascii="宋体" w:hAnsi="宋体" w:eastAsia="宋体" w:cs="宋体"/>
                <w:b w:val="0"/>
                <w:bCs w:val="0"/>
                <w:caps w:val="0"/>
                <w:spacing w:val="0"/>
                <w:kern w:val="0"/>
                <w:sz w:val="21"/>
                <w:szCs w:val="21"/>
                <w:highlight w:val="none"/>
                <w:lang w:val="en-US" w:eastAsia="zh-CN" w:bidi="ar"/>
              </w:rPr>
              <w:t>≤</w:t>
            </w:r>
            <w:r>
              <w:rPr>
                <w:rFonts w:hint="eastAsia" w:ascii="宋体" w:hAnsi="宋体" w:eastAsia="宋体" w:cs="宋体"/>
                <w:b w:val="0"/>
                <w:bCs w:val="0"/>
                <w:caps w:val="0"/>
                <w:spacing w:val="0"/>
                <w:kern w:val="0"/>
                <w:sz w:val="21"/>
                <w:szCs w:val="21"/>
                <w:highlight w:val="none"/>
                <w:lang w:val="en-US" w:eastAsia="zh-CN" w:bidi="ar"/>
              </w:rPr>
              <w:t>2</w:t>
            </w:r>
          </w:p>
        </w:tc>
        <w:tc>
          <w:tcPr>
            <w:tcW w:w="118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2CA9F2C">
            <w:pPr>
              <w:keepNext w:val="0"/>
              <w:keepLines w:val="0"/>
              <w:widowControl/>
              <w:suppressLineNumbers w:val="0"/>
              <w:jc w:val="center"/>
              <w:rPr>
                <w:rFonts w:hint="eastAsia" w:ascii="宋体" w:hAnsi="宋体" w:eastAsia="宋体" w:cs="宋体"/>
                <w:b w:val="0"/>
                <w:bCs w:val="0"/>
                <w:caps w:val="0"/>
                <w:spacing w:val="0"/>
                <w:kern w:val="0"/>
                <w:sz w:val="21"/>
                <w:szCs w:val="21"/>
                <w:highlight w:val="none"/>
                <w:lang w:val="en-US" w:eastAsia="zh-CN" w:bidi="ar"/>
              </w:rPr>
            </w:pPr>
            <w:r>
              <w:rPr>
                <w:rFonts w:hint="eastAsia" w:ascii="宋体" w:hAnsi="宋体" w:eastAsia="宋体" w:cs="宋体"/>
                <w:b w:val="0"/>
                <w:bCs w:val="0"/>
                <w:caps w:val="0"/>
                <w:spacing w:val="0"/>
                <w:kern w:val="0"/>
                <w:sz w:val="21"/>
                <w:szCs w:val="21"/>
                <w:highlight w:val="none"/>
                <w:lang w:val="en-US" w:eastAsia="zh-CN" w:bidi="ar"/>
              </w:rPr>
              <w:t>-</w:t>
            </w:r>
          </w:p>
        </w:tc>
        <w:tc>
          <w:tcPr>
            <w:tcW w:w="118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739AC9C">
            <w:pPr>
              <w:keepNext w:val="0"/>
              <w:keepLines w:val="0"/>
              <w:widowControl/>
              <w:suppressLineNumbers w:val="0"/>
              <w:jc w:val="center"/>
              <w:rPr>
                <w:rFonts w:hint="default" w:ascii="宋体" w:hAnsi="宋体" w:eastAsia="宋体" w:cs="宋体"/>
                <w:b w:val="0"/>
                <w:bCs w:val="0"/>
                <w:caps w:val="0"/>
                <w:spacing w:val="0"/>
                <w:kern w:val="0"/>
                <w:sz w:val="21"/>
                <w:szCs w:val="21"/>
                <w:highlight w:val="none"/>
                <w:lang w:val="en-US" w:eastAsia="zh-CN" w:bidi="ar"/>
              </w:rPr>
            </w:pPr>
            <w:r>
              <w:rPr>
                <w:rFonts w:hint="eastAsia" w:ascii="宋体" w:hAnsi="宋体" w:eastAsia="宋体" w:cs="宋体"/>
                <w:b w:val="0"/>
                <w:bCs w:val="0"/>
                <w:caps w:val="0"/>
                <w:spacing w:val="0"/>
                <w:kern w:val="0"/>
                <w:sz w:val="21"/>
                <w:szCs w:val="21"/>
                <w:highlight w:val="none"/>
                <w:lang w:val="en-US" w:eastAsia="zh-CN" w:bidi="ar"/>
              </w:rPr>
              <w:t>-</w:t>
            </w:r>
          </w:p>
        </w:tc>
      </w:tr>
    </w:tbl>
    <w:p w14:paraId="09057323">
      <w:pPr>
        <w:pStyle w:val="22"/>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黑体" w:hAnsi="黑体" w:eastAsia="黑体"/>
          <w:highlight w:val="none"/>
          <w:lang w:val="en-US" w:eastAsia="zh-CN"/>
        </w:rPr>
      </w:pPr>
      <w:r>
        <w:rPr>
          <w:rFonts w:hint="eastAsia" w:ascii="黑体" w:hAnsi="黑体" w:eastAsia="黑体"/>
          <w:highlight w:val="none"/>
          <w:lang w:val="en-US" w:eastAsia="zh-CN"/>
        </w:rPr>
        <w:t>B.6 风机安装船作业环境条件</w:t>
      </w:r>
    </w:p>
    <w:p w14:paraId="1DB5BD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1作业时环境条件应符合船舶的设计极限工况要求。</w:t>
      </w:r>
    </w:p>
    <w:p w14:paraId="1FE00BD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2风机安装船作业环境条件要求见表B.6.1</w:t>
      </w:r>
    </w:p>
    <w:tbl>
      <w:tblPr>
        <w:tblStyle w:val="1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991"/>
        <w:gridCol w:w="2224"/>
        <w:gridCol w:w="2224"/>
        <w:gridCol w:w="2104"/>
      </w:tblGrid>
      <w:tr w14:paraId="21C0A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1165"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44CB0AB">
            <w:pPr>
              <w:keepNext w:val="0"/>
              <w:keepLines w:val="0"/>
              <w:widowControl/>
              <w:suppressLineNumbers w:val="0"/>
              <w:jc w:val="left"/>
              <w:rPr>
                <w:b w:val="0"/>
                <w:bCs w:val="0"/>
                <w:caps w:val="0"/>
                <w:spacing w:val="0"/>
                <w:sz w:val="21"/>
                <w:szCs w:val="21"/>
                <w:highlight w:val="none"/>
              </w:rPr>
            </w:pPr>
            <w:r>
              <w:rPr>
                <w:rFonts w:ascii="宋体" w:hAnsi="宋体" w:eastAsia="宋体" w:cs="宋体"/>
                <w:b w:val="0"/>
                <w:bCs w:val="0"/>
                <w:caps w:val="0"/>
                <w:spacing w:val="0"/>
                <w:kern w:val="0"/>
                <w:sz w:val="21"/>
                <w:szCs w:val="21"/>
                <w:highlight w:val="none"/>
                <w:lang w:val="en-US" w:eastAsia="zh-CN" w:bidi="ar"/>
              </w:rPr>
              <w:t>作业类型</w:t>
            </w:r>
          </w:p>
        </w:tc>
        <w:tc>
          <w:tcPr>
            <w:tcW w:w="130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C3A3DF5">
            <w:pPr>
              <w:keepNext w:val="0"/>
              <w:keepLines w:val="0"/>
              <w:widowControl/>
              <w:suppressLineNumbers w:val="0"/>
              <w:jc w:val="left"/>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风速</w:t>
            </w:r>
            <w:r>
              <w:rPr>
                <w:rFonts w:ascii="宋体" w:hAnsi="宋体" w:eastAsia="宋体" w:cs="宋体"/>
                <w:b w:val="0"/>
                <w:bCs w:val="0"/>
                <w:caps w:val="0"/>
                <w:spacing w:val="0"/>
                <w:kern w:val="0"/>
                <w:sz w:val="21"/>
                <w:szCs w:val="21"/>
                <w:highlight w:val="none"/>
                <w:lang w:val="en-US" w:eastAsia="zh-CN" w:bidi="ar"/>
              </w:rPr>
              <w:t>（m/s）</w:t>
            </w:r>
          </w:p>
        </w:tc>
        <w:tc>
          <w:tcPr>
            <w:tcW w:w="130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D30D7FD">
            <w:pPr>
              <w:keepNext w:val="0"/>
              <w:keepLines w:val="0"/>
              <w:widowControl/>
              <w:suppressLineNumbers w:val="0"/>
              <w:jc w:val="left"/>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有效波高</w:t>
            </w:r>
            <w:r>
              <w:rPr>
                <w:rFonts w:ascii="宋体" w:hAnsi="宋体" w:eastAsia="宋体" w:cs="宋体"/>
                <w:b w:val="0"/>
                <w:bCs w:val="0"/>
                <w:caps w:val="0"/>
                <w:spacing w:val="0"/>
                <w:kern w:val="0"/>
                <w:sz w:val="21"/>
                <w:szCs w:val="21"/>
                <w:highlight w:val="none"/>
                <w:lang w:val="en-US" w:eastAsia="zh-CN" w:bidi="ar"/>
              </w:rPr>
              <w:t>（m）</w:t>
            </w:r>
          </w:p>
        </w:tc>
        <w:tc>
          <w:tcPr>
            <w:tcW w:w="123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50E13D7">
            <w:pPr>
              <w:keepNext w:val="0"/>
              <w:keepLines w:val="0"/>
              <w:widowControl/>
              <w:suppressLineNumbers w:val="0"/>
              <w:jc w:val="left"/>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备注</w:t>
            </w:r>
          </w:p>
        </w:tc>
      </w:tr>
      <w:tr w14:paraId="3E0A3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165"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93FFF00">
            <w:pPr>
              <w:keepNext w:val="0"/>
              <w:keepLines w:val="0"/>
              <w:widowControl/>
              <w:suppressLineNumbers w:val="0"/>
              <w:jc w:val="center"/>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布锚、就位、起重作业</w:t>
            </w:r>
          </w:p>
        </w:tc>
        <w:tc>
          <w:tcPr>
            <w:tcW w:w="130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3D1FC8D">
            <w:pPr>
              <w:keepNext w:val="0"/>
              <w:keepLines w:val="0"/>
              <w:widowControl/>
              <w:suppressLineNumbers w:val="0"/>
              <w:jc w:val="center"/>
              <w:rPr>
                <w:rFonts w:hint="default"/>
                <w:b w:val="0"/>
                <w:bCs w:val="0"/>
                <w:caps w:val="0"/>
                <w:spacing w:val="0"/>
                <w:sz w:val="21"/>
                <w:szCs w:val="21"/>
                <w:highlight w:val="none"/>
                <w:lang w:val="en-US"/>
              </w:rPr>
            </w:pPr>
            <w:r>
              <w:rPr>
                <w:rFonts w:ascii="宋体" w:hAnsi="宋体" w:eastAsia="宋体" w:cs="宋体"/>
                <w:b w:val="0"/>
                <w:bCs w:val="0"/>
                <w:caps w:val="0"/>
                <w:spacing w:val="0"/>
                <w:kern w:val="0"/>
                <w:sz w:val="21"/>
                <w:szCs w:val="21"/>
                <w:highlight w:val="none"/>
                <w:lang w:val="en-US" w:eastAsia="zh-CN" w:bidi="ar"/>
              </w:rPr>
              <w:t>≤</w:t>
            </w:r>
            <w:r>
              <w:rPr>
                <w:rFonts w:hint="eastAsia" w:ascii="宋体" w:hAnsi="宋体" w:eastAsia="宋体" w:cs="宋体"/>
                <w:b w:val="0"/>
                <w:bCs w:val="0"/>
                <w:caps w:val="0"/>
                <w:spacing w:val="0"/>
                <w:kern w:val="0"/>
                <w:sz w:val="21"/>
                <w:szCs w:val="21"/>
                <w:highlight w:val="none"/>
                <w:lang w:val="en-US" w:eastAsia="zh-CN" w:bidi="ar"/>
              </w:rPr>
              <w:t>15</w:t>
            </w:r>
          </w:p>
        </w:tc>
        <w:tc>
          <w:tcPr>
            <w:tcW w:w="130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FABFFFB">
            <w:pPr>
              <w:keepNext w:val="0"/>
              <w:keepLines w:val="0"/>
              <w:widowControl/>
              <w:suppressLineNumbers w:val="0"/>
              <w:jc w:val="center"/>
              <w:rPr>
                <w:rFonts w:hint="default"/>
                <w:b w:val="0"/>
                <w:bCs w:val="0"/>
                <w:caps w:val="0"/>
                <w:spacing w:val="0"/>
                <w:sz w:val="21"/>
                <w:szCs w:val="21"/>
                <w:highlight w:val="none"/>
                <w:lang w:val="en-US"/>
              </w:rPr>
            </w:pPr>
            <w:r>
              <w:rPr>
                <w:rFonts w:ascii="宋体" w:hAnsi="宋体" w:eastAsia="宋体" w:cs="宋体"/>
                <w:b w:val="0"/>
                <w:bCs w:val="0"/>
                <w:caps w:val="0"/>
                <w:spacing w:val="0"/>
                <w:kern w:val="0"/>
                <w:sz w:val="21"/>
                <w:szCs w:val="21"/>
                <w:highlight w:val="none"/>
                <w:lang w:val="en-US" w:eastAsia="zh-CN" w:bidi="ar"/>
              </w:rPr>
              <w:t>≤</w:t>
            </w:r>
            <w:r>
              <w:rPr>
                <w:rFonts w:hint="eastAsia" w:ascii="宋体" w:hAnsi="宋体" w:eastAsia="宋体" w:cs="宋体"/>
                <w:b w:val="0"/>
                <w:bCs w:val="0"/>
                <w:caps w:val="0"/>
                <w:spacing w:val="0"/>
                <w:kern w:val="0"/>
                <w:sz w:val="21"/>
                <w:szCs w:val="21"/>
                <w:highlight w:val="none"/>
                <w:lang w:val="en-US" w:eastAsia="zh-CN" w:bidi="ar"/>
              </w:rPr>
              <w:t>2</w:t>
            </w:r>
          </w:p>
        </w:tc>
        <w:tc>
          <w:tcPr>
            <w:tcW w:w="123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75D2D2E">
            <w:pPr>
              <w:keepNext w:val="0"/>
              <w:keepLines w:val="0"/>
              <w:widowControl/>
              <w:suppressLineNumbers w:val="0"/>
              <w:jc w:val="center"/>
              <w:rPr>
                <w:b w:val="0"/>
                <w:bCs w:val="0"/>
                <w:caps w:val="0"/>
                <w:spacing w:val="0"/>
                <w:sz w:val="21"/>
                <w:szCs w:val="21"/>
                <w:highlight w:val="none"/>
              </w:rPr>
            </w:pPr>
          </w:p>
        </w:tc>
      </w:tr>
      <w:tr w14:paraId="0F4FA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165"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DAB4820">
            <w:pPr>
              <w:keepNext w:val="0"/>
              <w:keepLines w:val="0"/>
              <w:widowControl/>
              <w:suppressLineNumbers w:val="0"/>
              <w:jc w:val="center"/>
              <w:rPr>
                <w:rFonts w:hint="eastAsia" w:eastAsiaTheme="minorEastAsia"/>
                <w:b w:val="0"/>
                <w:bCs w:val="0"/>
                <w:caps w:val="0"/>
                <w:spacing w:val="0"/>
                <w:sz w:val="21"/>
                <w:szCs w:val="21"/>
                <w:highlight w:val="none"/>
                <w:lang w:val="en-US" w:eastAsia="zh-CN"/>
              </w:rPr>
            </w:pPr>
            <w:r>
              <w:rPr>
                <w:rFonts w:hint="eastAsia"/>
                <w:b w:val="0"/>
                <w:bCs w:val="0"/>
                <w:caps w:val="0"/>
                <w:spacing w:val="0"/>
                <w:sz w:val="21"/>
                <w:szCs w:val="21"/>
                <w:highlight w:val="none"/>
                <w:lang w:val="en-US" w:eastAsia="zh-CN"/>
              </w:rPr>
              <w:t>升降作业</w:t>
            </w:r>
          </w:p>
        </w:tc>
        <w:tc>
          <w:tcPr>
            <w:tcW w:w="130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746A885">
            <w:pPr>
              <w:keepNext w:val="0"/>
              <w:keepLines w:val="0"/>
              <w:widowControl/>
              <w:suppressLineNumbers w:val="0"/>
              <w:jc w:val="center"/>
              <w:rPr>
                <w:b w:val="0"/>
                <w:bCs w:val="0"/>
                <w:caps w:val="0"/>
                <w:spacing w:val="0"/>
                <w:sz w:val="21"/>
                <w:szCs w:val="21"/>
                <w:highlight w:val="none"/>
              </w:rPr>
            </w:pPr>
            <w:r>
              <w:rPr>
                <w:rFonts w:hint="eastAsia" w:ascii="宋体" w:hAnsi="宋体" w:eastAsia="宋体" w:cs="宋体"/>
                <w:b w:val="0"/>
                <w:bCs w:val="0"/>
                <w:caps w:val="0"/>
                <w:spacing w:val="0"/>
                <w:kern w:val="0"/>
                <w:sz w:val="21"/>
                <w:szCs w:val="21"/>
                <w:highlight w:val="none"/>
                <w:lang w:val="en-US" w:eastAsia="zh-CN" w:bidi="ar"/>
              </w:rPr>
              <w:t>-</w:t>
            </w:r>
          </w:p>
        </w:tc>
        <w:tc>
          <w:tcPr>
            <w:tcW w:w="130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AC25AE5">
            <w:pPr>
              <w:keepNext w:val="0"/>
              <w:keepLines w:val="0"/>
              <w:widowControl/>
              <w:suppressLineNumbers w:val="0"/>
              <w:jc w:val="center"/>
              <w:rPr>
                <w:b w:val="0"/>
                <w:bCs w:val="0"/>
                <w:caps w:val="0"/>
                <w:spacing w:val="0"/>
                <w:sz w:val="21"/>
                <w:szCs w:val="21"/>
                <w:highlight w:val="none"/>
              </w:rPr>
            </w:pPr>
            <w:r>
              <w:rPr>
                <w:rFonts w:ascii="宋体" w:hAnsi="宋体" w:eastAsia="宋体" w:cs="宋体"/>
                <w:b w:val="0"/>
                <w:bCs w:val="0"/>
                <w:caps w:val="0"/>
                <w:spacing w:val="0"/>
                <w:kern w:val="0"/>
                <w:sz w:val="21"/>
                <w:szCs w:val="21"/>
                <w:highlight w:val="none"/>
                <w:lang w:val="en-US" w:eastAsia="zh-CN" w:bidi="ar"/>
              </w:rPr>
              <w:t>≤</w:t>
            </w:r>
            <w:r>
              <w:rPr>
                <w:rFonts w:hint="eastAsia" w:ascii="宋体" w:hAnsi="宋体" w:eastAsia="宋体" w:cs="宋体"/>
                <w:b w:val="0"/>
                <w:bCs w:val="0"/>
                <w:caps w:val="0"/>
                <w:spacing w:val="0"/>
                <w:kern w:val="0"/>
                <w:sz w:val="21"/>
                <w:szCs w:val="21"/>
                <w:highlight w:val="none"/>
                <w:lang w:val="en-US" w:eastAsia="zh-CN" w:bidi="ar"/>
              </w:rPr>
              <w:t>2</w:t>
            </w:r>
          </w:p>
        </w:tc>
        <w:tc>
          <w:tcPr>
            <w:tcW w:w="123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841FFCD">
            <w:pPr>
              <w:keepNext w:val="0"/>
              <w:keepLines w:val="0"/>
              <w:widowControl/>
              <w:suppressLineNumbers w:val="0"/>
              <w:jc w:val="center"/>
              <w:rPr>
                <w:b w:val="0"/>
                <w:bCs w:val="0"/>
                <w:caps w:val="0"/>
                <w:spacing w:val="0"/>
                <w:sz w:val="21"/>
                <w:szCs w:val="21"/>
                <w:highlight w:val="none"/>
              </w:rPr>
            </w:pPr>
          </w:p>
        </w:tc>
      </w:tr>
    </w:tbl>
    <w:p w14:paraId="701933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254F702C">
      <w:pPr>
        <w:rPr>
          <w:rFonts w:hint="eastAsia" w:ascii="宋体" w:hAnsi="宋体" w:eastAsia="宋体" w:cs="宋体"/>
          <w:sz w:val="21"/>
          <w:szCs w:val="21"/>
          <w:highlight w:val="none"/>
        </w:rPr>
      </w:pPr>
    </w:p>
    <w:p w14:paraId="590BDD01">
      <w:pPr>
        <w:rPr>
          <w:rFonts w:hint="eastAsia"/>
          <w:highlight w:val="none"/>
        </w:rPr>
      </w:pPr>
    </w:p>
    <w:p w14:paraId="5E727798">
      <w:pPr>
        <w:rPr>
          <w:rFonts w:hint="eastAsia" w:ascii="宋体" w:hAnsi="宋体" w:eastAsia="宋体" w:cs="宋体"/>
          <w:sz w:val="21"/>
          <w:szCs w:val="21"/>
          <w:highlight w:val="none"/>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陈文盛" w:date="2026-05-18T10:37:54Z" w:initials="">
    <w:p w14:paraId="30DCC732">
      <w:pPr>
        <w:pStyle w:val="7"/>
        <w:rPr>
          <w:rFonts w:hint="default" w:eastAsiaTheme="minorEastAsia"/>
          <w:lang w:val="en-US" w:eastAsia="zh-CN"/>
        </w:rPr>
      </w:pPr>
      <w:r>
        <w:rPr>
          <w:rFonts w:hint="eastAsia"/>
          <w:lang w:val="en-US" w:eastAsia="zh-CN"/>
        </w:rPr>
        <w:t>自编，组装场地若出现沉降，对组装质量的影响较大，因此组装场地应要求有足够的承载力</w:t>
      </w:r>
    </w:p>
  </w:comment>
  <w:comment w:id="1" w:author="陈文盛" w:date="2026-05-18T10:14:46Z" w:initials="">
    <w:p w14:paraId="61AE2892">
      <w:pPr>
        <w:pStyle w:val="7"/>
        <w:rPr>
          <w:rFonts w:hint="default" w:eastAsiaTheme="minorEastAsia"/>
          <w:lang w:val="en-US" w:eastAsia="zh-CN"/>
        </w:rPr>
      </w:pPr>
      <w:r>
        <w:rPr>
          <w:rFonts w:hint="eastAsia"/>
          <w:lang w:val="en-US" w:eastAsia="zh-CN"/>
        </w:rPr>
        <w:t>自编，深海基础结构长度或高度较大，组拼接口的微小偏差可能导致整体尺寸的大偏差，例如桩式导管架的主立柱组拼角度若出现偏差，可能导致底部插尖平面位置偏差，从而影响插尖与钢管桩的对位连接。因此，在构件的焊接前、中、后均应重点对构件的整体尺寸和线形进行观测，形成竣工报告。</w:t>
      </w:r>
    </w:p>
  </w:comment>
  <w:comment w:id="2" w:author="陈文盛" w:date="2026-05-18T10:29:35Z" w:initials="">
    <w:p w14:paraId="6A83AD59">
      <w:pPr>
        <w:pStyle w:val="7"/>
        <w:rPr>
          <w:rFonts w:hint="default" w:eastAsiaTheme="minorEastAsia"/>
          <w:lang w:val="en-US" w:eastAsia="zh-CN"/>
        </w:rPr>
      </w:pPr>
      <w:r>
        <w:rPr>
          <w:rFonts w:hint="eastAsia"/>
          <w:lang w:val="en-US" w:eastAsia="zh-CN"/>
        </w:rPr>
        <w:t>分段节点位置的涂装多在外场，受环境影响大，人工喷涂质量参差不齐，容易形成防腐的薄弱点。因此应加强该处的涂装质量控制和抽检比例。</w:t>
      </w:r>
    </w:p>
  </w:comment>
  <w:comment w:id="3" w:author="天津港航七分公司" w:date="2026-05-15T19:28:24Z" w:initials="">
    <w:p w14:paraId="3B90BA1D">
      <w:pPr>
        <w:rPr>
          <w:rFonts w:hint="eastAsia"/>
          <w:lang w:eastAsia="zh-CN"/>
        </w:rPr>
      </w:pPr>
      <w:r>
        <w:rPr>
          <w:rFonts w:hint="eastAsia"/>
          <w:lang w:eastAsia="zh-CN"/>
        </w:rPr>
        <w:t>依据：GB/T 50571-2010 第4.2.6条及灌浆施工通则</w:t>
      </w:r>
    </w:p>
    <w:p w14:paraId="2270D605">
      <w:pPr>
        <w:pStyle w:val="7"/>
      </w:pPr>
    </w:p>
  </w:comment>
  <w:comment w:id="4" w:author="天津港航七分公司" w:date="2026-05-15T19:30:14Z" w:initials="">
    <w:p w14:paraId="7A77A846">
      <w:pPr>
        <w:pStyle w:val="7"/>
      </w:pPr>
      <w:r>
        <w:rPr>
          <w:rFonts w:hint="eastAsia"/>
          <w:lang w:eastAsia="zh-CN"/>
        </w:rPr>
        <w:t>依据：NB/T 11655-2024 第3.1.3条</w:t>
      </w:r>
    </w:p>
  </w:comment>
  <w:comment w:id="5" w:author="天津港航七分公司" w:date="2026-05-15T19:34:43Z" w:initials="">
    <w:p w14:paraId="64371575">
      <w:pPr>
        <w:pStyle w:val="7"/>
      </w:pPr>
      <w:r>
        <w:rPr>
          <w:rFonts w:hint="eastAsia"/>
          <w:lang w:eastAsia="zh-CN"/>
        </w:rPr>
        <w:t>依据：NB/T 11655-2024 第8.2.6条</w:t>
      </w:r>
    </w:p>
  </w:comment>
  <w:comment w:id="6" w:author="天津港航七分公司" w:date="2026-05-15T19:38:19Z" w:initials="">
    <w:p w14:paraId="047591CE">
      <w:pPr>
        <w:pStyle w:val="7"/>
      </w:pPr>
      <w:r>
        <w:rPr>
          <w:rFonts w:hint="eastAsia"/>
          <w:lang w:eastAsia="zh-CN"/>
        </w:rPr>
        <w:t>NB/T 11655-2024 第9章、第10章</w:t>
      </w:r>
    </w:p>
  </w:comment>
  <w:comment w:id="7" w:author="天津港航七分公司" w:date="2026-05-15T19:38:41Z" w:initials="">
    <w:p w14:paraId="29CFF554">
      <w:pPr>
        <w:pStyle w:val="7"/>
      </w:pPr>
      <w:r>
        <w:rPr>
          <w:rFonts w:hint="eastAsia"/>
          <w:lang w:eastAsia="zh-CN"/>
        </w:rPr>
        <w:t>NB/T 11655-2024 第8.2.11条</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0DCC732" w15:done="0"/>
  <w15:commentEx w15:paraId="61AE2892" w15:done="0"/>
  <w15:commentEx w15:paraId="6A83AD59" w15:done="0"/>
  <w15:commentEx w15:paraId="2270D605" w15:done="0"/>
  <w15:commentEx w15:paraId="7A77A846" w15:done="0"/>
  <w15:commentEx w15:paraId="64371575" w15:done="0"/>
  <w15:commentEx w15:paraId="047591CE" w15:done="0"/>
  <w15:commentEx w15:paraId="29CFF55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4505C86-55A3-4A41-A19A-D034AB8B6648}"/>
  </w:font>
  <w:font w:name="黑体">
    <w:panose1 w:val="02010609060101010101"/>
    <w:charset w:val="86"/>
    <w:family w:val="auto"/>
    <w:pitch w:val="default"/>
    <w:sig w:usb0="800002BF" w:usb1="38CF7CFA" w:usb2="00000016" w:usb3="00000000" w:csb0="00040001" w:csb1="00000000"/>
    <w:embedRegular r:id="rId2" w:fontKey="{BE135AC8-4F82-4FF6-96E6-23DFBD2B65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embedRegular r:id="rId3" w:fontKey="{EDF70AAB-5AFC-403E-A685-27F21D60274E}"/>
  </w:font>
  <w:font w:name="方正公文小标宋">
    <w:panose1 w:val="02000500000000000000"/>
    <w:charset w:val="86"/>
    <w:family w:val="auto"/>
    <w:pitch w:val="default"/>
    <w:sig w:usb0="A00002BF" w:usb1="38CF7CFA" w:usb2="00000016" w:usb3="00000000" w:csb0="00040001" w:csb1="00000000"/>
    <w:embedRegular r:id="rId4" w:fontKey="{A7C15DF9-5559-4D28-9D10-A00707CDC443}"/>
  </w:font>
  <w:font w:name="方正小标宋_GBK">
    <w:altName w:val="微软雅黑"/>
    <w:panose1 w:val="03000509000000000000"/>
    <w:charset w:val="86"/>
    <w:family w:val="auto"/>
    <w:pitch w:val="default"/>
    <w:sig w:usb0="00000000" w:usb1="00000000" w:usb2="00000000" w:usb3="00000000" w:csb0="00040000" w:csb1="00000000"/>
    <w:embedRegular r:id="rId5" w:fontKey="{7C964010-9D3D-4091-A0DD-D31DBD0F9F8F}"/>
  </w:font>
  <w:font w:name="CIDFont">
    <w:altName w:val="Segoe Print"/>
    <w:panose1 w:val="00000000000000000000"/>
    <w:charset w:val="00"/>
    <w:family w:val="auto"/>
    <w:pitch w:val="default"/>
    <w:sig w:usb0="00000000" w:usb1="00000000" w:usb2="00000000" w:usb3="00000000" w:csb0="00000000" w:csb1="00000000"/>
    <w:embedRegular r:id="rId6" w:fontKey="{D699572A-F44B-438E-A8DF-C315621ED9DC}"/>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3AAE3">
    <w:pPr>
      <w:pStyle w:val="9"/>
      <w:jc w:val="right"/>
    </w:pPr>
  </w:p>
  <w:p w14:paraId="53D9603E">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311C3">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C13AF">
    <w:pPr>
      <w:pStyle w:val="9"/>
      <w:jc w:val="right"/>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53670" cy="1390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53670" cy="139065"/>
                      </a:xfrm>
                      <a:prstGeom prst="rect">
                        <a:avLst/>
                      </a:prstGeom>
                      <a:noFill/>
                      <a:ln>
                        <a:noFill/>
                      </a:ln>
                    </wps:spPr>
                    <wps:txbx>
                      <w:txbxContent>
                        <w:p w14:paraId="6A97CB27">
                          <w:pPr>
                            <w:pStyle w:val="9"/>
                            <w:jc w:val="right"/>
                          </w:pPr>
                          <w:r>
                            <w:rPr>
                              <w:lang w:val="zh-CN"/>
                            </w:rPr>
                            <w:fldChar w:fldCharType="begin"/>
                          </w:r>
                          <w:r>
                            <w:rPr>
                              <w:lang w:val="zh-CN"/>
                            </w:rPr>
                            <w:instrText xml:space="preserve"> PAGE   \* MERGEFORMAT </w:instrText>
                          </w:r>
                          <w:r>
                            <w:rPr>
                              <w:lang w:val="zh-CN"/>
                            </w:rPr>
                            <w:fldChar w:fldCharType="separate"/>
                          </w:r>
                          <w:r>
                            <w:rPr>
                              <w:lang w:val="zh-CN"/>
                            </w:rPr>
                            <w:t>III</w:t>
                          </w:r>
                          <w:r>
                            <w:rPr>
                              <w:lang w:val="zh-CN"/>
                            </w:rPr>
                            <w:fldChar w:fldCharType="end"/>
                          </w:r>
                        </w:p>
                      </w:txbxContent>
                    </wps:txbx>
                    <wps:bodyPr wrap="square" lIns="0" tIns="0" rIns="0" bIns="0" upright="1">
                      <a:noAutofit/>
                    </wps:bodyPr>
                  </wps:wsp>
                </a:graphicData>
              </a:graphic>
            </wp:anchor>
          </w:drawing>
        </mc:Choice>
        <mc:Fallback>
          <w:pict>
            <v:shape id="_x0000_s1026" o:spid="_x0000_s1026" o:spt="202" type="#_x0000_t202" style="position:absolute;left:0pt;margin-top:0pt;height:10.95pt;width:12.1pt;mso-position-horizontal:outside;mso-position-horizontal-relative:margin;z-index:251660288;mso-width-relative:page;mso-height-relative:page;" filled="f" stroked="f" coordsize="21600,21600" o:gfxdata="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K+DJ00wAAAAMBAAAPAAAAAAAAAAEAIAAAACIAAABkcnMv&#10;ZG93bnJldi54bWxQSwECFAAUAAAACACHTuJA2esX788BAACZAwAADgAAAAAAAAABACAAAAAiAQAA&#10;ZHJzL2Uyb0RvYy54bWxQSwUGAAAAAAYABgBZAQAAYwUAAAAA&#10;">
              <v:fill on="f" focussize="0,0"/>
              <v:stroke on="f"/>
              <v:imagedata o:title=""/>
              <o:lock v:ext="edit" aspectratio="f"/>
              <v:textbox inset="0mm,0mm,0mm,0mm">
                <w:txbxContent>
                  <w:p w14:paraId="6A97CB27">
                    <w:pPr>
                      <w:pStyle w:val="9"/>
                      <w:jc w:val="right"/>
                    </w:pPr>
                    <w:r>
                      <w:rPr>
                        <w:lang w:val="zh-CN"/>
                      </w:rPr>
                      <w:fldChar w:fldCharType="begin"/>
                    </w:r>
                    <w:r>
                      <w:rPr>
                        <w:lang w:val="zh-CN"/>
                      </w:rPr>
                      <w:instrText xml:space="preserve"> PAGE   \* MERGEFORMAT </w:instrText>
                    </w:r>
                    <w:r>
                      <w:rPr>
                        <w:lang w:val="zh-CN"/>
                      </w:rPr>
                      <w:fldChar w:fldCharType="separate"/>
                    </w:r>
                    <w:r>
                      <w:rPr>
                        <w:lang w:val="zh-CN"/>
                      </w:rPr>
                      <w:t>III</w:t>
                    </w:r>
                    <w:r>
                      <w:rPr>
                        <w:lang w:val="zh-CN"/>
                      </w:rPr>
                      <w:fldChar w:fldCharType="end"/>
                    </w:r>
                  </w:p>
                </w:txbxContent>
              </v:textbox>
            </v:shape>
          </w:pict>
        </mc:Fallback>
      </mc:AlternateContent>
    </w:r>
  </w:p>
  <w:p w14:paraId="0CD933B9">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2305C">
    <w:pPr>
      <w:pStyle w:val="9"/>
      <w:rPr>
        <w:rFonts w:ascii="宋体" w:hAnsi="宋体" w:eastAsia="宋体" w:cs="宋体"/>
      </w:rPr>
    </w:pPr>
    <w:r>
      <w:rPr>
        <w:rFonts w:ascii="宋体" w:hAnsi="宋体" w:eastAsia="宋体" w:cs="宋体"/>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B70038">
                          <w:pPr>
                            <w:pStyle w:val="9"/>
                          </w:pPr>
                          <w:r>
                            <w:fldChar w:fldCharType="begin"/>
                          </w:r>
                          <w:r>
                            <w:instrText xml:space="preserve"> PAGE  \* MERGEFORMAT </w:instrText>
                          </w:r>
                          <w:r>
                            <w:fldChar w:fldCharType="separate"/>
                          </w:r>
                          <w:r>
                            <w:t>II</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3DB70038">
                    <w:pPr>
                      <w:pStyle w:val="9"/>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8F251">
    <w:pPr>
      <w:pStyle w:val="9"/>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F28599">
                          <w:pPr>
                            <w:pStyle w:val="9"/>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42</w:t>
                          </w:r>
                          <w:r>
                            <w:rPr>
                              <w:rFonts w:hint="eastAsia" w:ascii="宋体" w:hAnsi="宋体" w:eastAsia="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14:paraId="40F28599">
                    <w:pPr>
                      <w:pStyle w:val="9"/>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42</w:t>
                    </w:r>
                    <w:r>
                      <w:rPr>
                        <w:rFonts w:hint="eastAsia" w:ascii="宋体" w:hAnsi="宋体" w:eastAsia="宋体" w:cs="宋体"/>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64C8E">
    <w:pPr>
      <w:widowControl/>
      <w:spacing w:before="357" w:line="280" w:lineRule="exact"/>
      <w:jc w:val="right"/>
      <w:rPr>
        <w:rFonts w:hint="eastAsia" w:ascii="黑体" w:hAnsi="黑体" w:eastAsia="黑体" w:cs="黑体"/>
        <w:szCs w:val="21"/>
      </w:rPr>
    </w:pPr>
    <w:r>
      <w:rPr>
        <w:rFonts w:hint="eastAsia" w:ascii="黑体" w:hAnsi="黑体" w:eastAsia="黑体" w:cs="黑体"/>
        <w:szCs w:val="21"/>
      </w:rPr>
      <w:t>T/CEPCA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92876">
    <w:pPr>
      <w:widowControl/>
      <w:spacing w:before="357" w:line="280" w:lineRule="exact"/>
      <w:jc w:val="right"/>
      <w:rPr>
        <w:rFonts w:hint="eastAsia" w:ascii="黑体" w:hAnsi="黑体" w:eastAsia="黑体" w:cs="黑体"/>
        <w:szCs w:val="21"/>
      </w:rPr>
    </w:pPr>
    <w:r>
      <w:rPr>
        <w:rFonts w:hint="eastAsia" w:ascii="黑体" w:hAnsi="黑体" w:eastAsia="黑体" w:cs="黑体"/>
        <w:szCs w:val="21"/>
      </w:rPr>
      <w:t>T/CEPCA XXXX—XXXX</w:t>
    </w:r>
  </w:p>
  <w:p w14:paraId="2593A486">
    <w:pPr>
      <w:pStyle w:val="10"/>
      <w:pBdr>
        <w:bottom w:val="none" w:color="auto" w:sz="0" w:space="1"/>
      </w:pBdr>
      <w:tabs>
        <w:tab w:val="left" w:pos="2442"/>
      </w:tabs>
      <w:jc w:val="both"/>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9E77A">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7B7B8">
    <w:pPr>
      <w:widowControl/>
      <w:spacing w:before="357" w:line="280" w:lineRule="exact"/>
      <w:jc w:val="right"/>
      <w:rPr>
        <w:rFonts w:hint="eastAsia" w:ascii="黑体" w:hAnsi="黑体" w:eastAsia="黑体" w:cs="黑体"/>
        <w:szCs w:val="21"/>
      </w:rPr>
    </w:pPr>
    <w:r>
      <w:rPr>
        <w:rFonts w:hint="eastAsia" w:ascii="黑体" w:hAnsi="黑体" w:eastAsia="黑体" w:cs="黑体"/>
        <w:szCs w:val="21"/>
      </w:rPr>
      <w:t>T/CEPCA XXXX—XXXX</w:t>
    </w:r>
  </w:p>
  <w:p w14:paraId="15184401">
    <w:pPr>
      <w:widowControl/>
      <w:spacing w:before="357" w:line="280" w:lineRule="exact"/>
      <w:jc w:val="right"/>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文盛">
    <w15:presenceInfo w15:providerId="WPS Office" w15:userId="77977604"/>
  </w15:person>
  <w15:person w15:author="天津港航七分公司">
    <w15:presenceInfo w15:providerId="WPS Office" w15:userId="3022987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375BC"/>
    <w:rsid w:val="0069252B"/>
    <w:rsid w:val="00E85CF7"/>
    <w:rsid w:val="00EC0C6B"/>
    <w:rsid w:val="011A6E6B"/>
    <w:rsid w:val="0134026B"/>
    <w:rsid w:val="013B065E"/>
    <w:rsid w:val="01A22DAB"/>
    <w:rsid w:val="06071298"/>
    <w:rsid w:val="072356EE"/>
    <w:rsid w:val="07703E47"/>
    <w:rsid w:val="08352586"/>
    <w:rsid w:val="089F1C5C"/>
    <w:rsid w:val="0961254F"/>
    <w:rsid w:val="098938C0"/>
    <w:rsid w:val="09D379D0"/>
    <w:rsid w:val="09DD4F0E"/>
    <w:rsid w:val="09F527F8"/>
    <w:rsid w:val="0A090F92"/>
    <w:rsid w:val="0AD81455"/>
    <w:rsid w:val="0B125344"/>
    <w:rsid w:val="0B9029AF"/>
    <w:rsid w:val="0BAF2B56"/>
    <w:rsid w:val="0C027308"/>
    <w:rsid w:val="0C0452F3"/>
    <w:rsid w:val="0C940F5F"/>
    <w:rsid w:val="0CD10852"/>
    <w:rsid w:val="0D42705A"/>
    <w:rsid w:val="0D9F1A6C"/>
    <w:rsid w:val="0DDA42B2"/>
    <w:rsid w:val="0E6D1801"/>
    <w:rsid w:val="0E8A6F0A"/>
    <w:rsid w:val="0EF0574F"/>
    <w:rsid w:val="0FC1070A"/>
    <w:rsid w:val="0FD26A7E"/>
    <w:rsid w:val="1035445F"/>
    <w:rsid w:val="10576876"/>
    <w:rsid w:val="10642703"/>
    <w:rsid w:val="110475F6"/>
    <w:rsid w:val="11A93B4C"/>
    <w:rsid w:val="11D706B9"/>
    <w:rsid w:val="11DD4FCB"/>
    <w:rsid w:val="127970A7"/>
    <w:rsid w:val="13AB181B"/>
    <w:rsid w:val="146627BC"/>
    <w:rsid w:val="148A7C64"/>
    <w:rsid w:val="14CD7F81"/>
    <w:rsid w:val="162163A6"/>
    <w:rsid w:val="16CB51C7"/>
    <w:rsid w:val="17B172B6"/>
    <w:rsid w:val="17F31A63"/>
    <w:rsid w:val="18471012"/>
    <w:rsid w:val="18523A58"/>
    <w:rsid w:val="18E02571"/>
    <w:rsid w:val="19BA510D"/>
    <w:rsid w:val="1AA41F49"/>
    <w:rsid w:val="1AD0039B"/>
    <w:rsid w:val="1B8C0049"/>
    <w:rsid w:val="1C363ACE"/>
    <w:rsid w:val="1C534F2C"/>
    <w:rsid w:val="1D3A5FA0"/>
    <w:rsid w:val="1E9F01C1"/>
    <w:rsid w:val="1EA35AC9"/>
    <w:rsid w:val="1FC87893"/>
    <w:rsid w:val="1FD74821"/>
    <w:rsid w:val="1FE30BF5"/>
    <w:rsid w:val="20753485"/>
    <w:rsid w:val="20831405"/>
    <w:rsid w:val="208A4B48"/>
    <w:rsid w:val="209E6CDE"/>
    <w:rsid w:val="21406E7B"/>
    <w:rsid w:val="21476AAF"/>
    <w:rsid w:val="218717AC"/>
    <w:rsid w:val="222543FC"/>
    <w:rsid w:val="228D4F49"/>
    <w:rsid w:val="23AD57A5"/>
    <w:rsid w:val="23AE6EB8"/>
    <w:rsid w:val="23D13433"/>
    <w:rsid w:val="24F222E1"/>
    <w:rsid w:val="251E67A2"/>
    <w:rsid w:val="26192BF6"/>
    <w:rsid w:val="269229A8"/>
    <w:rsid w:val="275F0477"/>
    <w:rsid w:val="275F6D2E"/>
    <w:rsid w:val="286E49C5"/>
    <w:rsid w:val="289976AE"/>
    <w:rsid w:val="290F02E0"/>
    <w:rsid w:val="29DF26E4"/>
    <w:rsid w:val="29E375BC"/>
    <w:rsid w:val="2A6F540C"/>
    <w:rsid w:val="2A8505D9"/>
    <w:rsid w:val="2B0866CA"/>
    <w:rsid w:val="2CBA276F"/>
    <w:rsid w:val="2CC01793"/>
    <w:rsid w:val="2CC73659"/>
    <w:rsid w:val="2D9576D5"/>
    <w:rsid w:val="2D99286E"/>
    <w:rsid w:val="2E7438E5"/>
    <w:rsid w:val="2ECE5D86"/>
    <w:rsid w:val="2EEE721D"/>
    <w:rsid w:val="2FA95435"/>
    <w:rsid w:val="2FB50764"/>
    <w:rsid w:val="2FD01989"/>
    <w:rsid w:val="301E28E0"/>
    <w:rsid w:val="320C15E1"/>
    <w:rsid w:val="32345AB5"/>
    <w:rsid w:val="32411C94"/>
    <w:rsid w:val="32AA1A33"/>
    <w:rsid w:val="332C1F6D"/>
    <w:rsid w:val="33631ED9"/>
    <w:rsid w:val="33B3059A"/>
    <w:rsid w:val="33B466E1"/>
    <w:rsid w:val="344057F2"/>
    <w:rsid w:val="34783AD5"/>
    <w:rsid w:val="35366BF5"/>
    <w:rsid w:val="355E05DE"/>
    <w:rsid w:val="36B220BB"/>
    <w:rsid w:val="36E4118C"/>
    <w:rsid w:val="36EE194C"/>
    <w:rsid w:val="373C4658"/>
    <w:rsid w:val="37F33DFF"/>
    <w:rsid w:val="386A72E1"/>
    <w:rsid w:val="397A17A6"/>
    <w:rsid w:val="3A1E65D5"/>
    <w:rsid w:val="3A2F00C6"/>
    <w:rsid w:val="3AC96C64"/>
    <w:rsid w:val="3B4A7102"/>
    <w:rsid w:val="3BA07FB9"/>
    <w:rsid w:val="3BE64ED1"/>
    <w:rsid w:val="3CCE3EC5"/>
    <w:rsid w:val="3D522AA2"/>
    <w:rsid w:val="3DB2489D"/>
    <w:rsid w:val="3E652762"/>
    <w:rsid w:val="3EA47EEF"/>
    <w:rsid w:val="3FD83FBB"/>
    <w:rsid w:val="3FE02450"/>
    <w:rsid w:val="3FFB6A7B"/>
    <w:rsid w:val="409D0377"/>
    <w:rsid w:val="416C2F57"/>
    <w:rsid w:val="41FD4D22"/>
    <w:rsid w:val="428E6F7D"/>
    <w:rsid w:val="42CF5397"/>
    <w:rsid w:val="43812B14"/>
    <w:rsid w:val="43E02B4D"/>
    <w:rsid w:val="44404846"/>
    <w:rsid w:val="44854747"/>
    <w:rsid w:val="44F62DD0"/>
    <w:rsid w:val="45896E2E"/>
    <w:rsid w:val="45C13AB8"/>
    <w:rsid w:val="46C71790"/>
    <w:rsid w:val="47BF15D3"/>
    <w:rsid w:val="480E5054"/>
    <w:rsid w:val="4841559F"/>
    <w:rsid w:val="4864578E"/>
    <w:rsid w:val="496658A3"/>
    <w:rsid w:val="498C2C60"/>
    <w:rsid w:val="49CF6305"/>
    <w:rsid w:val="4B4C2876"/>
    <w:rsid w:val="4C00311F"/>
    <w:rsid w:val="4C067D7A"/>
    <w:rsid w:val="4CC254E6"/>
    <w:rsid w:val="4CED0867"/>
    <w:rsid w:val="4EDE7063"/>
    <w:rsid w:val="4EF332F3"/>
    <w:rsid w:val="4F6D6780"/>
    <w:rsid w:val="512D762C"/>
    <w:rsid w:val="52405CA4"/>
    <w:rsid w:val="527837E7"/>
    <w:rsid w:val="530F48B5"/>
    <w:rsid w:val="53B942DA"/>
    <w:rsid w:val="540E1011"/>
    <w:rsid w:val="54A3410C"/>
    <w:rsid w:val="559A560E"/>
    <w:rsid w:val="55D75763"/>
    <w:rsid w:val="571670D4"/>
    <w:rsid w:val="57947A7F"/>
    <w:rsid w:val="585F5F77"/>
    <w:rsid w:val="58BA680D"/>
    <w:rsid w:val="599D70BF"/>
    <w:rsid w:val="5A5B3D45"/>
    <w:rsid w:val="5A7871E4"/>
    <w:rsid w:val="5B002643"/>
    <w:rsid w:val="5B444B65"/>
    <w:rsid w:val="5B667C96"/>
    <w:rsid w:val="5C926217"/>
    <w:rsid w:val="5CB85E7F"/>
    <w:rsid w:val="5DBF7A8B"/>
    <w:rsid w:val="5E59607E"/>
    <w:rsid w:val="5EE84E8F"/>
    <w:rsid w:val="5F78561C"/>
    <w:rsid w:val="5F932114"/>
    <w:rsid w:val="5FB82D5C"/>
    <w:rsid w:val="610038E5"/>
    <w:rsid w:val="6117523F"/>
    <w:rsid w:val="618D3D70"/>
    <w:rsid w:val="61D36F4B"/>
    <w:rsid w:val="623A1AF2"/>
    <w:rsid w:val="62A72B0A"/>
    <w:rsid w:val="63D27965"/>
    <w:rsid w:val="63D97872"/>
    <w:rsid w:val="63DA31A3"/>
    <w:rsid w:val="641F6C60"/>
    <w:rsid w:val="6455528F"/>
    <w:rsid w:val="65285AD1"/>
    <w:rsid w:val="65937454"/>
    <w:rsid w:val="667C1971"/>
    <w:rsid w:val="667F5FAC"/>
    <w:rsid w:val="674B53E7"/>
    <w:rsid w:val="6758134B"/>
    <w:rsid w:val="677E60F3"/>
    <w:rsid w:val="68C63DCB"/>
    <w:rsid w:val="693C3D8C"/>
    <w:rsid w:val="696E0130"/>
    <w:rsid w:val="69DF6B20"/>
    <w:rsid w:val="6A1E77F7"/>
    <w:rsid w:val="6AD635FE"/>
    <w:rsid w:val="6AF85C22"/>
    <w:rsid w:val="6B5F4013"/>
    <w:rsid w:val="6B8712B0"/>
    <w:rsid w:val="6BC20DD2"/>
    <w:rsid w:val="6C156700"/>
    <w:rsid w:val="6C1D5E3D"/>
    <w:rsid w:val="6C2E266C"/>
    <w:rsid w:val="6CD4115D"/>
    <w:rsid w:val="6D205184"/>
    <w:rsid w:val="6D3B73AF"/>
    <w:rsid w:val="6D7165A7"/>
    <w:rsid w:val="6DBD6520"/>
    <w:rsid w:val="6E1B3F71"/>
    <w:rsid w:val="6E3B25AB"/>
    <w:rsid w:val="6ECF15E4"/>
    <w:rsid w:val="6EDD7F9E"/>
    <w:rsid w:val="6F5F3876"/>
    <w:rsid w:val="6F6D252C"/>
    <w:rsid w:val="6FDB5DF3"/>
    <w:rsid w:val="70151E4C"/>
    <w:rsid w:val="70352FD5"/>
    <w:rsid w:val="72A53A09"/>
    <w:rsid w:val="74090C9D"/>
    <w:rsid w:val="745D771F"/>
    <w:rsid w:val="74C72137"/>
    <w:rsid w:val="753B44D2"/>
    <w:rsid w:val="76313C2D"/>
    <w:rsid w:val="7633768C"/>
    <w:rsid w:val="76E41A31"/>
    <w:rsid w:val="77703850"/>
    <w:rsid w:val="78A84CE1"/>
    <w:rsid w:val="78C907D2"/>
    <w:rsid w:val="799F60E4"/>
    <w:rsid w:val="7A043A64"/>
    <w:rsid w:val="7A187C44"/>
    <w:rsid w:val="7A2D1941"/>
    <w:rsid w:val="7A6F5AB6"/>
    <w:rsid w:val="7A772725"/>
    <w:rsid w:val="7A9B6485"/>
    <w:rsid w:val="7AF10BC1"/>
    <w:rsid w:val="7B7535A0"/>
    <w:rsid w:val="7B791304"/>
    <w:rsid w:val="7C034A55"/>
    <w:rsid w:val="7C492CC0"/>
    <w:rsid w:val="7C790E6E"/>
    <w:rsid w:val="7D28516F"/>
    <w:rsid w:val="7DF74148"/>
    <w:rsid w:val="7E787F2F"/>
    <w:rsid w:val="7ECB34D7"/>
    <w:rsid w:val="7EEE129B"/>
    <w:rsid w:val="7FB72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line="252" w:lineRule="auto"/>
      <w:ind w:firstLine="640"/>
    </w:pPr>
    <w:rPr>
      <w:rFonts w:ascii="Arial" w:hAnsi="Arial"/>
    </w:rPr>
  </w:style>
  <w:style w:type="paragraph" w:styleId="7">
    <w:name w:val="annotation text"/>
    <w:basedOn w:val="1"/>
    <w:qFormat/>
    <w:uiPriority w:val="0"/>
    <w:pPr>
      <w:jc w:val="left"/>
    </w:pPr>
  </w:style>
  <w:style w:type="paragraph" w:styleId="8">
    <w:name w:val="Body Text"/>
    <w:basedOn w:val="1"/>
    <w:semiHidden/>
    <w:qFormat/>
    <w:uiPriority w:val="0"/>
    <w:rPr>
      <w:rFonts w:ascii="Arial" w:hAnsi="Arial" w:eastAsia="Arial" w:cs="Arial"/>
      <w:sz w:val="21"/>
      <w:szCs w:val="21"/>
      <w:lang w:val="en-US" w:eastAsia="en-US" w:bidi="ar-SA"/>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right" w:leader="dot" w:pos="9345"/>
      </w:tabs>
      <w:spacing w:line="360" w:lineRule="auto"/>
    </w:pPr>
    <w:rPr>
      <w:rFonts w:ascii="Times New Roman" w:hAnsi="Times New Roman"/>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w:basedOn w:val="1"/>
    <w:qFormat/>
    <w:uiPriority w:val="0"/>
    <w:pPr>
      <w:topLinePunct/>
      <w:adjustRightInd w:val="0"/>
      <w:snapToGrid w:val="0"/>
      <w:spacing w:line="360" w:lineRule="auto"/>
      <w:ind w:firstLine="480" w:firstLineChars="200"/>
      <w:jc w:val="left"/>
    </w:pPr>
    <w:rPr>
      <w:sz w:val="24"/>
      <w:lang w:val="zh-CN"/>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0"/>
    <w:rPr>
      <w:i/>
    </w:rPr>
  </w:style>
  <w:style w:type="character" w:styleId="19">
    <w:name w:val="Hyperlink"/>
    <w:basedOn w:val="16"/>
    <w:qFormat/>
    <w:uiPriority w:val="0"/>
    <w:rPr>
      <w:color w:val="0000FF"/>
      <w:u w:val="single"/>
    </w:rPr>
  </w:style>
  <w:style w:type="character" w:styleId="20">
    <w:name w:val="HTML Code"/>
    <w:basedOn w:val="16"/>
    <w:qFormat/>
    <w:uiPriority w:val="0"/>
    <w:rPr>
      <w:rFonts w:ascii="Courier New" w:hAnsi="Courier New"/>
      <w:sz w:val="20"/>
    </w:rPr>
  </w:style>
  <w:style w:type="paragraph" w:customStyle="1" w:styleId="21">
    <w:name w:val="Default"/>
    <w:qFormat/>
    <w:uiPriority w:val="0"/>
    <w:pPr>
      <w:widowControl w:val="0"/>
      <w:autoSpaceDE w:val="0"/>
      <w:autoSpaceDN w:val="0"/>
      <w:adjustRightInd w:val="0"/>
      <w:spacing w:line="360" w:lineRule="exact"/>
    </w:pPr>
    <w:rPr>
      <w:rFonts w:ascii="Times New Roman" w:hAnsi="Times New Roman" w:eastAsia="宋体" w:cs="Times New Roman"/>
      <w:color w:val="000000"/>
      <w:sz w:val="24"/>
      <w:szCs w:val="24"/>
      <w:lang w:val="en-US" w:eastAsia="zh-CN" w:bidi="ar-SA"/>
    </w:rPr>
  </w:style>
  <w:style w:type="paragraph" w:styleId="22">
    <w:name w:val="List Paragraph"/>
    <w:basedOn w:val="1"/>
    <w:qFormat/>
    <w:uiPriority w:val="99"/>
    <w:pPr>
      <w:pBdr>
        <w:top w:val="none" w:color="000000" w:sz="0" w:space="0"/>
        <w:left w:val="none" w:color="000000" w:sz="0" w:space="0"/>
        <w:bottom w:val="none" w:color="000000" w:sz="0" w:space="0"/>
        <w:right w:val="none" w:color="000000" w:sz="0" w:space="0"/>
        <w:between w:val="none" w:color="000000" w:sz="0" w:space="0"/>
      </w:pBdr>
      <w:ind w:firstLine="420" w:firstLineChars="200"/>
      <w:jc w:val="left"/>
    </w:pPr>
    <w:rPr>
      <w:rFonts w:ascii="Calibri" w:hAnsi="Calibri" w:eastAsia="宋体" w:cs="黑体"/>
      <w:kern w:val="1"/>
      <w:szCs w:val="24"/>
    </w:rPr>
  </w:style>
  <w:style w:type="paragraph" w:customStyle="1" w:styleId="23">
    <w:name w:val="其他标准称谓"/>
    <w:next w:val="1"/>
    <w:qFormat/>
    <w:uiPriority w:val="99"/>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4">
    <w:name w:val="f英译"/>
    <w:basedOn w:val="1"/>
    <w:qFormat/>
    <w:uiPriority w:val="0"/>
    <w:pPr>
      <w:framePr w:w="9639" w:h="6917" w:hRule="exact" w:wrap="around" w:vAnchor="page" w:hAnchor="page" w:xAlign="center" w:y="6408" w:anchorLock="1"/>
      <w:spacing w:before="370" w:line="400" w:lineRule="exact"/>
      <w:jc w:val="center"/>
      <w:textAlignment w:val="center"/>
    </w:pPr>
    <w:rPr>
      <w:rFonts w:ascii="Times New Roman" w:hAnsi="Times New Roman" w:eastAsia="黑体" w:cs="Times New Roman"/>
      <w:kern w:val="0"/>
      <w:sz w:val="28"/>
      <w:szCs w:val="28"/>
    </w:rPr>
  </w:style>
  <w:style w:type="paragraph" w:customStyle="1" w:styleId="25">
    <w:name w:val="其他发布日期"/>
    <w:basedOn w:val="1"/>
    <w:qFormat/>
    <w:uiPriority w:val="0"/>
    <w:pPr>
      <w:framePr w:w="3997" w:h="471" w:hRule="exact" w:vSpace="181" w:wrap="around" w:vAnchor="page" w:hAnchor="page" w:x="1419" w:y="14097" w:anchorLock="1"/>
      <w:widowControl/>
      <w:jc w:val="left"/>
    </w:pPr>
    <w:rPr>
      <w:rFonts w:eastAsia="黑体"/>
      <w:kern w:val="0"/>
      <w:sz w:val="28"/>
    </w:rPr>
  </w:style>
  <w:style w:type="paragraph" w:customStyle="1" w:styleId="26">
    <w:name w:val="其他实施日期"/>
    <w:basedOn w:val="1"/>
    <w:qFormat/>
    <w:uiPriority w:val="0"/>
    <w:pPr>
      <w:framePr w:w="3997" w:h="471" w:hRule="exact" w:vSpace="181" w:wrap="around" w:vAnchor="page" w:hAnchor="page" w:x="7089" w:y="14097" w:anchorLock="1"/>
      <w:widowControl/>
      <w:jc w:val="right"/>
    </w:pPr>
    <w:rPr>
      <w:rFonts w:eastAsia="黑体"/>
      <w:kern w:val="0"/>
      <w:sz w:val="28"/>
    </w:rPr>
  </w:style>
  <w:style w:type="paragraph" w:customStyle="1" w:styleId="27">
    <w:name w:val="其他发布部门"/>
    <w:basedOn w:val="1"/>
    <w:qFormat/>
    <w:uiPriority w:val="0"/>
    <w:pPr>
      <w:framePr w:w="7938" w:h="1134" w:hRule="exact" w:hSpace="125" w:vSpace="181" w:wrap="around" w:vAnchor="page" w:hAnchor="page" w:x="2150" w:y="15310" w:anchorLock="1"/>
      <w:widowControl/>
      <w:adjustRightInd w:val="0"/>
      <w:snapToGrid w:val="0"/>
      <w:spacing w:line="0" w:lineRule="atLeast"/>
      <w:jc w:val="center"/>
    </w:pPr>
    <w:rPr>
      <w:rFonts w:ascii="黑体" w:hAnsi="Times New Roman" w:eastAsia="黑体" w:cs="Times New Roman"/>
      <w:spacing w:val="20"/>
      <w:w w:val="135"/>
      <w:kern w:val="0"/>
      <w:sz w:val="28"/>
      <w:szCs w:val="20"/>
    </w:rPr>
  </w:style>
  <w:style w:type="character" w:customStyle="1" w:styleId="28">
    <w:name w:val="发布"/>
    <w:qFormat/>
    <w:uiPriority w:val="0"/>
    <w:rPr>
      <w:rFonts w:ascii="黑体" w:eastAsia="黑体"/>
      <w:spacing w:val="85"/>
      <w:w w:val="100"/>
      <w:position w:val="3"/>
      <w:sz w:val="28"/>
      <w:szCs w:val="28"/>
    </w:rPr>
  </w:style>
  <w:style w:type="paragraph" w:customStyle="1" w:styleId="29">
    <w:name w:val="f中布"/>
    <w:basedOn w:val="1"/>
    <w:qFormat/>
    <w:uiPriority w:val="0"/>
    <w:pPr>
      <w:framePr w:w="7938" w:h="1134" w:hRule="exact" w:hSpace="125" w:vSpace="181" w:wrap="around" w:vAnchor="page" w:hAnchor="page" w:x="2150" w:y="15310" w:anchorLock="1"/>
      <w:widowControl/>
      <w:spacing w:line="0" w:lineRule="atLeast"/>
      <w:jc w:val="center"/>
    </w:pPr>
    <w:rPr>
      <w:rFonts w:hAnsi="Times New Roman" w:cs="Times New Roman"/>
      <w:spacing w:val="20"/>
      <w:w w:val="135"/>
      <w:kern w:val="0"/>
      <w:sz w:val="28"/>
      <w:szCs w:val="20"/>
    </w:rPr>
  </w:style>
  <w:style w:type="paragraph" w:customStyle="1" w:styleId="30">
    <w:name w:val="CM23"/>
    <w:basedOn w:val="21"/>
    <w:next w:val="21"/>
    <w:qFormat/>
    <w:uiPriority w:val="99"/>
    <w:rPr>
      <w:color w:val="auto"/>
    </w:rPr>
  </w:style>
  <w:style w:type="paragraph" w:customStyle="1" w:styleId="31">
    <w:name w:val="章标题"/>
    <w:next w:val="1"/>
    <w:qFormat/>
    <w:uiPriority w:val="0"/>
    <w:pPr>
      <w:spacing w:beforeLines="100" w:afterLines="100" w:line="360" w:lineRule="exact"/>
      <w:jc w:val="both"/>
      <w:outlineLvl w:val="1"/>
    </w:pPr>
    <w:rPr>
      <w:rFonts w:ascii="黑体" w:hAnsi="Times New Roman" w:eastAsia="黑体" w:cs="Times New Roman"/>
      <w:sz w:val="21"/>
      <w:lang w:val="en-US" w:eastAsia="zh-CN" w:bidi="ar-SA"/>
    </w:rPr>
  </w:style>
  <w:style w:type="table" w:customStyle="1" w:styleId="32">
    <w:name w:val="Table Normal"/>
    <w:semiHidden/>
    <w:unhideWhenUsed/>
    <w:qFormat/>
    <w:uiPriority w:val="0"/>
    <w:tblPr>
      <w:tblCellMar>
        <w:top w:w="0" w:type="dxa"/>
        <w:left w:w="0" w:type="dxa"/>
        <w:bottom w:w="0" w:type="dxa"/>
        <w:right w:w="0" w:type="dxa"/>
      </w:tblCellMar>
    </w:tblPr>
  </w:style>
  <w:style w:type="paragraph" w:customStyle="1" w:styleId="33">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8535</Words>
  <Characters>9413</Characters>
  <Lines>0</Lines>
  <Paragraphs>0</Paragraphs>
  <TotalTime>3</TotalTime>
  <ScaleCrop>false</ScaleCrop>
  <LinksUpToDate>false</LinksUpToDate>
  <CharactersWithSpaces>9591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2026-04-04T07:11:00Z</dcterms:created>
  <dc:creator>ZHUBIN</dc:creator>
  <cp:lastModifiedBy>汪广涛</cp:lastModifiedBy>
  <dcterms:modified xsi:type="dcterms:W3CDTF">2026-08-24T07:00:44Z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eyJoZGlkIjoiMjdkNjAwMjc0ZGRhMTE2ODAzODAwNTI2NDI1NzczZmUiLCJ1c2VySWQiOiIxMjEwMTI1MDE1In0=</vt:lpwstr>
  </property>
  <property fmtid="{D5CDD505-2E9C-101B-9397-08002B2CF9AE}" pid="4" name="ICV">
    <vt:lpwstr>C863797E861C4168B2D98FAA4FD1AA27_13</vt:lpwstr>
  </property>
</Properties>
</file>