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188B9">
      <w:pPr>
        <w:jc w:val="left"/>
        <w:rPr>
          <w:rFonts w:hint="eastAsia" w:ascii="黑体" w:hAnsi="黑体" w:eastAsia="黑体" w:cs="黑体"/>
          <w:sz w:val="32"/>
          <w:szCs w:val="32"/>
        </w:rPr>
      </w:pPr>
      <w:bookmarkStart w:id="1" w:name="_GoBack"/>
      <w:bookmarkEnd w:id="1"/>
      <w:r>
        <w:rPr>
          <w:rFonts w:hint="eastAsia" w:ascii="黑体" w:hAnsi="黑体" w:eastAsia="黑体" w:cs="黑体"/>
          <w:sz w:val="32"/>
          <w:szCs w:val="32"/>
        </w:rPr>
        <w:t>附件2</w:t>
      </w:r>
    </w:p>
    <w:p w14:paraId="2A8A305C">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中国电力建设企业协会团体标准《</w:t>
      </w:r>
      <w:r>
        <w:rPr>
          <w:rFonts w:hint="eastAsia" w:ascii="方正小标宋简体" w:hAnsi="方正小标宋简体" w:eastAsia="方正小标宋简体" w:cs="方正小标宋简体"/>
          <w:sz w:val="36"/>
          <w:szCs w:val="36"/>
          <w:lang w:val="en-US" w:eastAsia="zh-CN"/>
        </w:rPr>
        <w:t>深远海风电场土建工程施工技术规程</w:t>
      </w:r>
      <w:r>
        <w:rPr>
          <w:rFonts w:hint="eastAsia" w:ascii="方正小标宋简体" w:hAnsi="方正小标宋简体" w:eastAsia="方正小标宋简体" w:cs="方正小标宋简体"/>
          <w:sz w:val="36"/>
          <w:szCs w:val="36"/>
        </w:rPr>
        <w:t>》标准编制说明</w:t>
      </w:r>
    </w:p>
    <w:p w14:paraId="126DF046">
      <w:pPr>
        <w:numPr>
          <w:ilvl w:val="0"/>
          <w:numId w:val="1"/>
        </w:num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工作简况</w:t>
      </w:r>
    </w:p>
    <w:p w14:paraId="10C5458E">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1.1任务来源</w:t>
      </w:r>
    </w:p>
    <w:p w14:paraId="5808D247">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根据中国电力建设企业协会《关于印发2025年第一批中国电力建设企业协会标准制定计划的通知》（中电建协〔2025〕13</w:t>
      </w:r>
      <w:r>
        <w:rPr>
          <w:rFonts w:hint="eastAsia" w:ascii="华文仿宋" w:hAnsi="华文仿宋" w:eastAsia="华文仿宋" w:cs="华文仿宋"/>
          <w:sz w:val="32"/>
          <w:szCs w:val="32"/>
          <w:lang w:val="en-US" w:eastAsia="zh-CN"/>
        </w:rPr>
        <w:t>1</w:t>
      </w:r>
      <w:r>
        <w:rPr>
          <w:rFonts w:hint="eastAsia" w:ascii="华文仿宋" w:hAnsi="华文仿宋" w:eastAsia="华文仿宋" w:cs="华文仿宋"/>
          <w:sz w:val="32"/>
          <w:szCs w:val="32"/>
        </w:rPr>
        <w:t>号）的工作安排，《</w:t>
      </w:r>
      <w:r>
        <w:rPr>
          <w:rFonts w:hint="eastAsia" w:ascii="华文仿宋" w:hAnsi="华文仿宋" w:eastAsia="华文仿宋" w:cs="华文仿宋"/>
          <w:sz w:val="32"/>
          <w:szCs w:val="32"/>
          <w:lang w:val="en-US" w:eastAsia="zh-CN"/>
        </w:rPr>
        <w:t>深远海风电场土建工程施工技术规程</w:t>
      </w:r>
      <w:r>
        <w:rPr>
          <w:rFonts w:hint="eastAsia" w:ascii="华文仿宋" w:hAnsi="华文仿宋" w:eastAsia="华文仿宋" w:cs="华文仿宋"/>
          <w:sz w:val="32"/>
          <w:szCs w:val="32"/>
        </w:rPr>
        <w:t>》的制定任务由中国电力建设企业协会标准化管理委员会负责管辖，由</w:t>
      </w:r>
      <w:r>
        <w:rPr>
          <w:rFonts w:hint="eastAsia" w:ascii="华文仿宋" w:hAnsi="华文仿宋" w:eastAsia="华文仿宋" w:cs="华文仿宋"/>
          <w:sz w:val="32"/>
          <w:szCs w:val="32"/>
          <w:lang w:val="en-US" w:eastAsia="zh-CN"/>
        </w:rPr>
        <w:t>浙江省能源集团有限公司、浙江省电力建设有限公司、中国电建集团华东勘测设计研究院有限公司、中国能源建设集团浙江火电建设有限公司、中铁大桥局集团有限公司、中交第三航务工程局有限公司、中交第三航务工程局有限公司、广州打捞局</w:t>
      </w:r>
      <w:r>
        <w:rPr>
          <w:rFonts w:hint="eastAsia" w:ascii="华文仿宋" w:hAnsi="华文仿宋" w:eastAsia="华文仿宋" w:cs="华文仿宋"/>
          <w:sz w:val="32"/>
          <w:szCs w:val="32"/>
        </w:rPr>
        <w:t>等</w:t>
      </w:r>
      <w:r>
        <w:rPr>
          <w:rFonts w:hint="eastAsia" w:ascii="华文仿宋" w:hAnsi="华文仿宋" w:eastAsia="华文仿宋" w:cs="华文仿宋"/>
          <w:sz w:val="32"/>
          <w:szCs w:val="32"/>
          <w:lang w:val="en-US" w:eastAsia="zh-CN"/>
        </w:rPr>
        <w:t>23</w:t>
      </w:r>
      <w:r>
        <w:rPr>
          <w:rFonts w:hint="eastAsia" w:ascii="华文仿宋" w:hAnsi="华文仿宋" w:eastAsia="华文仿宋" w:cs="华文仿宋"/>
          <w:sz w:val="32"/>
          <w:szCs w:val="32"/>
        </w:rPr>
        <w:t>家单位组织完成编制。</w:t>
      </w:r>
    </w:p>
    <w:p w14:paraId="03251075">
      <w:pPr>
        <w:numPr>
          <w:ilvl w:val="255"/>
          <w:numId w:val="0"/>
        </w:numPr>
        <w:ind w:firstLine="640" w:firstLineChars="200"/>
        <w:rPr>
          <w:rFonts w:hint="default" w:ascii="华文仿宋" w:hAnsi="华文仿宋" w:eastAsia="华文仿宋" w:cs="华文仿宋"/>
          <w:sz w:val="32"/>
          <w:szCs w:val="32"/>
          <w:lang w:val="en-US" w:eastAsia="zh-CN"/>
        </w:rPr>
      </w:pPr>
      <w:r>
        <w:rPr>
          <w:rFonts w:hint="eastAsia" w:ascii="华文仿宋" w:hAnsi="华文仿宋" w:eastAsia="华文仿宋" w:cs="华文仿宋"/>
          <w:sz w:val="32"/>
          <w:szCs w:val="32"/>
        </w:rPr>
        <w:t>1.2</w:t>
      </w:r>
      <w:r>
        <w:rPr>
          <w:rFonts w:hint="eastAsia" w:ascii="华文仿宋" w:hAnsi="华文仿宋" w:eastAsia="华文仿宋" w:cs="华文仿宋"/>
          <w:sz w:val="32"/>
          <w:szCs w:val="32"/>
          <w:lang w:val="en-US" w:eastAsia="zh-CN"/>
        </w:rPr>
        <w:t>编制必要性</w:t>
      </w:r>
    </w:p>
    <w:p w14:paraId="71BE8674">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lang w:eastAsia="zh-CN"/>
        </w:rPr>
        <w:t>随着近海风电资源逐步饱和，深远海已成为海上风电开发的主战场。国家《“十四五”可再生能源发展规划》明确提出鼓励深远海风电开发，“十五五”期间全国海上风电累计并网装机规模预计将超1亿千瓦，深远海项目占比持续提升。与近海项目相比，深远海区域是离岸距离≥65km或水深≥50m的海域，海况条件更为复杂，盐雾腐蚀严重、维护窗口期短、通信及交通保障难度大，对风力发电机组</w:t>
      </w:r>
      <w:r>
        <w:rPr>
          <w:rFonts w:hint="eastAsia" w:ascii="华文仿宋" w:hAnsi="华文仿宋" w:eastAsia="华文仿宋" w:cs="华文仿宋"/>
          <w:sz w:val="32"/>
          <w:szCs w:val="32"/>
          <w:lang w:val="en-US" w:eastAsia="zh-CN"/>
        </w:rPr>
        <w:t>施工技术</w:t>
      </w:r>
      <w:r>
        <w:rPr>
          <w:rFonts w:hint="eastAsia" w:ascii="华文仿宋" w:hAnsi="华文仿宋" w:eastAsia="华文仿宋" w:cs="华文仿宋"/>
          <w:sz w:val="32"/>
          <w:szCs w:val="32"/>
          <w:lang w:eastAsia="zh-CN"/>
        </w:rPr>
        <w:t>工作提出了更高的技术要求和安全挑战。</w:t>
      </w:r>
    </w:p>
    <w:p w14:paraId="42E06E7B">
      <w:pPr>
        <w:numPr>
          <w:ilvl w:val="255"/>
          <w:numId w:val="0"/>
        </w:numPr>
        <w:ind w:firstLine="640" w:firstLineChars="200"/>
        <w:rPr>
          <w:rFonts w:hint="default" w:ascii="华文仿宋" w:hAnsi="华文仿宋" w:eastAsia="华文仿宋" w:cs="华文仿宋"/>
          <w:sz w:val="32"/>
          <w:szCs w:val="32"/>
          <w:lang w:val="en-US" w:eastAsia="zh-CN"/>
        </w:rPr>
      </w:pPr>
      <w:r>
        <w:rPr>
          <w:rFonts w:hint="eastAsia" w:ascii="华文仿宋" w:hAnsi="华文仿宋" w:eastAsia="华文仿宋" w:cs="华文仿宋"/>
          <w:sz w:val="32"/>
          <w:szCs w:val="32"/>
          <w:lang w:eastAsia="zh-CN"/>
        </w:rPr>
        <w:t>目前，国内虽有GBT50571-2010 《海上风力发电工程施工规范》</w:t>
      </w:r>
      <w:r>
        <w:rPr>
          <w:rFonts w:hint="eastAsia" w:ascii="华文仿宋" w:hAnsi="华文仿宋" w:eastAsia="华文仿宋" w:cs="华文仿宋"/>
          <w:sz w:val="32"/>
          <w:szCs w:val="32"/>
          <w:lang w:val="en-US" w:eastAsia="zh-CN"/>
        </w:rPr>
        <w:t>国家</w:t>
      </w:r>
      <w:r>
        <w:rPr>
          <w:rFonts w:hint="eastAsia" w:ascii="华文仿宋" w:hAnsi="华文仿宋" w:eastAsia="华文仿宋" w:cs="华文仿宋"/>
          <w:sz w:val="32"/>
          <w:szCs w:val="32"/>
          <w:lang w:eastAsia="zh-CN"/>
        </w:rPr>
        <w:t>标准，但主要面向</w:t>
      </w:r>
      <w:r>
        <w:rPr>
          <w:rFonts w:hint="eastAsia" w:ascii="华文仿宋" w:hAnsi="华文仿宋" w:eastAsia="华文仿宋" w:cs="华文仿宋"/>
          <w:sz w:val="32"/>
          <w:szCs w:val="32"/>
          <w:lang w:val="en-US" w:eastAsia="zh-CN"/>
        </w:rPr>
        <w:t>近海</w:t>
      </w:r>
      <w:r>
        <w:rPr>
          <w:rFonts w:hint="eastAsia" w:ascii="华文仿宋" w:hAnsi="华文仿宋" w:eastAsia="华文仿宋" w:cs="华文仿宋"/>
          <w:sz w:val="32"/>
          <w:szCs w:val="32"/>
          <w:lang w:eastAsia="zh-CN"/>
        </w:rPr>
        <w:t>海上风电项目，</w:t>
      </w:r>
      <w:r>
        <w:rPr>
          <w:rFonts w:hint="eastAsia" w:ascii="华文仿宋" w:hAnsi="华文仿宋" w:eastAsia="华文仿宋" w:cs="华文仿宋"/>
          <w:sz w:val="32"/>
          <w:szCs w:val="32"/>
          <w:lang w:val="en-US" w:eastAsia="zh-CN"/>
        </w:rPr>
        <w:t>未包含大型导管架基础、漂浮式基础等深远海新型施工技术要求。也未考虑深远海施工对</w:t>
      </w:r>
      <w:r>
        <w:rPr>
          <w:rFonts w:hint="eastAsia" w:ascii="华文仿宋" w:hAnsi="华文仿宋" w:eastAsia="华文仿宋" w:cs="华文仿宋"/>
          <w:sz w:val="32"/>
          <w:szCs w:val="32"/>
          <w:lang w:eastAsia="zh-CN"/>
        </w:rPr>
        <w:t>深远海</w:t>
      </w:r>
      <w:r>
        <w:rPr>
          <w:rFonts w:hint="eastAsia" w:ascii="华文仿宋" w:hAnsi="华文仿宋" w:eastAsia="华文仿宋" w:cs="华文仿宋"/>
          <w:sz w:val="32"/>
          <w:szCs w:val="32"/>
          <w:lang w:val="en-US" w:eastAsia="zh-CN"/>
        </w:rPr>
        <w:t>施工船舶</w:t>
      </w:r>
      <w:r>
        <w:rPr>
          <w:rFonts w:hint="eastAsia" w:ascii="华文仿宋" w:hAnsi="华文仿宋" w:eastAsia="华文仿宋" w:cs="华文仿宋"/>
          <w:sz w:val="32"/>
          <w:szCs w:val="32"/>
          <w:lang w:eastAsia="zh-CN"/>
        </w:rPr>
        <w:t>装备、远程技术支持能力、海上连续作业保障、</w:t>
      </w:r>
      <w:r>
        <w:rPr>
          <w:rFonts w:hint="eastAsia" w:ascii="华文仿宋" w:hAnsi="华文仿宋" w:eastAsia="华文仿宋" w:cs="华文仿宋"/>
          <w:sz w:val="32"/>
          <w:szCs w:val="32"/>
          <w:lang w:val="en-US" w:eastAsia="zh-CN"/>
        </w:rPr>
        <w:t>施工</w:t>
      </w:r>
      <w:r>
        <w:rPr>
          <w:rFonts w:hint="eastAsia" w:ascii="华文仿宋" w:hAnsi="华文仿宋" w:eastAsia="华文仿宋" w:cs="华文仿宋"/>
          <w:sz w:val="32"/>
          <w:szCs w:val="32"/>
          <w:lang w:eastAsia="zh-CN"/>
        </w:rPr>
        <w:t>窗口期与海况预报联动</w:t>
      </w:r>
      <w:r>
        <w:rPr>
          <w:rFonts w:hint="eastAsia" w:ascii="华文仿宋" w:hAnsi="华文仿宋" w:eastAsia="华文仿宋" w:cs="华文仿宋"/>
          <w:sz w:val="32"/>
          <w:szCs w:val="32"/>
          <w:lang w:val="en-US" w:eastAsia="zh-CN"/>
        </w:rPr>
        <w:t>等要求。</w:t>
      </w:r>
    </w:p>
    <w:p w14:paraId="77D4C537">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浙江省能源集团</w:t>
      </w:r>
      <w:r>
        <w:rPr>
          <w:rFonts w:hint="eastAsia" w:ascii="华文仿宋" w:hAnsi="华文仿宋" w:eastAsia="华文仿宋" w:cs="华文仿宋"/>
          <w:sz w:val="32"/>
          <w:szCs w:val="32"/>
        </w:rPr>
        <w:t>根据上述背景，为进一步推进</w:t>
      </w:r>
      <w:r>
        <w:rPr>
          <w:rFonts w:hint="eastAsia" w:ascii="华文仿宋" w:hAnsi="华文仿宋" w:eastAsia="华文仿宋" w:cs="华文仿宋"/>
          <w:sz w:val="32"/>
          <w:szCs w:val="32"/>
          <w:lang w:val="en-US" w:eastAsia="zh-CN"/>
        </w:rPr>
        <w:t>深远海风电场土建工程施工技术规程</w:t>
      </w:r>
      <w:r>
        <w:rPr>
          <w:rFonts w:hint="eastAsia" w:ascii="华文仿宋" w:hAnsi="华文仿宋" w:eastAsia="华文仿宋" w:cs="华文仿宋"/>
          <w:sz w:val="32"/>
          <w:szCs w:val="32"/>
        </w:rPr>
        <w:t>标准化建设，适应</w:t>
      </w:r>
      <w:r>
        <w:rPr>
          <w:rFonts w:hint="eastAsia" w:ascii="华文仿宋" w:hAnsi="华文仿宋" w:eastAsia="华文仿宋" w:cs="华文仿宋"/>
          <w:sz w:val="32"/>
          <w:szCs w:val="32"/>
          <w:lang w:val="en-US" w:eastAsia="zh-CN"/>
        </w:rPr>
        <w:t>深远海风电场土建施工技术的需求</w:t>
      </w:r>
      <w:r>
        <w:rPr>
          <w:rFonts w:hint="eastAsia" w:ascii="华文仿宋" w:hAnsi="华文仿宋" w:eastAsia="华文仿宋" w:cs="华文仿宋"/>
          <w:sz w:val="32"/>
          <w:szCs w:val="32"/>
        </w:rPr>
        <w:t>，组织开展本标准编制工作并向中国电力建设企业协会提出申请。</w:t>
      </w:r>
    </w:p>
    <w:p w14:paraId="7FB2BC97">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1.3编制单位</w:t>
      </w:r>
    </w:p>
    <w:p w14:paraId="6C161DC5">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浙江省能源集团有限公司</w:t>
      </w:r>
    </w:p>
    <w:p w14:paraId="2BC93624">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浙江省电力建设有限公司</w:t>
      </w:r>
    </w:p>
    <w:p w14:paraId="724E308D">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浙江浙能技术研究院有限公司</w:t>
      </w:r>
    </w:p>
    <w:p w14:paraId="4974DD0F">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中铁大桥局集团有限公司</w:t>
      </w:r>
    </w:p>
    <w:p w14:paraId="5DD6F412">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中国电建集团华东勘测设计研究院有限公司</w:t>
      </w:r>
    </w:p>
    <w:p w14:paraId="1D75B1AA">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中国能源建设集团浙江省电力设计院有限公司</w:t>
      </w:r>
    </w:p>
    <w:p w14:paraId="0F216B3F">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中交第三航务工程局有限公司</w:t>
      </w:r>
    </w:p>
    <w:p w14:paraId="4840CD18">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中国能源建设集团浙江火电建设有限公司</w:t>
      </w:r>
    </w:p>
    <w:p w14:paraId="5FDF6C84">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广州打捞局</w:t>
      </w:r>
    </w:p>
    <w:p w14:paraId="31F7CABB">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中国能源建设集团广东火电工程有限公司</w:t>
      </w:r>
    </w:p>
    <w:p w14:paraId="376BE569">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浙江省新能源投资集团股份有限公司</w:t>
      </w:r>
    </w:p>
    <w:p w14:paraId="1262F11F">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浙江海风新能源科技发展有限公司</w:t>
      </w:r>
    </w:p>
    <w:p w14:paraId="14390622">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中电建（温州）绿色能源开发有限公司</w:t>
      </w:r>
    </w:p>
    <w:p w14:paraId="6D0E9480">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浙江浙能嘉兴海上风力发电有限公司</w:t>
      </w:r>
    </w:p>
    <w:p w14:paraId="55F8C26F">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深能海洋能源汕尾有限公司</w:t>
      </w:r>
    </w:p>
    <w:p w14:paraId="092CD8F2">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浙江省海洋风电发展有限公司</w:t>
      </w:r>
    </w:p>
    <w:p w14:paraId="5B015C2A">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浙江舟山浙新能海上风电有限公司</w:t>
      </w:r>
    </w:p>
    <w:p w14:paraId="031A171E">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浙江象山海上风力发电有限公司</w:t>
      </w:r>
    </w:p>
    <w:p w14:paraId="29B2B9E9">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中交第二航务工程局有限公司</w:t>
      </w:r>
    </w:p>
    <w:p w14:paraId="5AF8482B">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天津海瑞兴能源科技有限责任公司</w:t>
      </w:r>
    </w:p>
    <w:p w14:paraId="79AC3B26">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海洋石油工程股份有限公司</w:t>
      </w:r>
    </w:p>
    <w:p w14:paraId="2A9991DD">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天津港航工程有限公司</w:t>
      </w:r>
    </w:p>
    <w:p w14:paraId="5067BECE">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上海市基础工程集团有限公司</w:t>
      </w:r>
    </w:p>
    <w:p w14:paraId="149318BB">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1.4主要工作过程</w:t>
      </w:r>
    </w:p>
    <w:p w14:paraId="7D8C19A7">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2025年6月，中电建协标委会对中电建协项目《深远海风电场土建工程施工技术规程》予以立项，项目以《关于印发2025年第一批中国电力建设企业协会团体标准制定计划的通知》（中电建协〔2025〕131号）文件向社会发布。</w:t>
      </w:r>
    </w:p>
    <w:p w14:paraId="3D4F7694">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202</w:t>
      </w:r>
      <w:r>
        <w:rPr>
          <w:rFonts w:hint="eastAsia" w:ascii="华文仿宋" w:hAnsi="华文仿宋" w:eastAsia="华文仿宋" w:cs="华文仿宋"/>
          <w:sz w:val="32"/>
          <w:szCs w:val="32"/>
          <w:lang w:val="en-US" w:eastAsia="zh-CN"/>
        </w:rPr>
        <w:t>6</w:t>
      </w:r>
      <w:r>
        <w:rPr>
          <w:rFonts w:hint="eastAsia" w:ascii="华文仿宋" w:hAnsi="华文仿宋" w:eastAsia="华文仿宋" w:cs="华文仿宋"/>
          <w:sz w:val="32"/>
          <w:szCs w:val="32"/>
        </w:rPr>
        <w:t>年</w:t>
      </w:r>
      <w:r>
        <w:rPr>
          <w:rFonts w:hint="eastAsia" w:ascii="华文仿宋" w:hAnsi="华文仿宋" w:eastAsia="华文仿宋" w:cs="华文仿宋"/>
          <w:sz w:val="32"/>
          <w:szCs w:val="32"/>
          <w:lang w:val="en-US" w:eastAsia="zh-CN"/>
        </w:rPr>
        <w:t>4</w:t>
      </w:r>
      <w:r>
        <w:rPr>
          <w:rFonts w:hint="eastAsia" w:ascii="华文仿宋" w:hAnsi="华文仿宋" w:eastAsia="华文仿宋" w:cs="华文仿宋"/>
          <w:sz w:val="32"/>
          <w:szCs w:val="32"/>
        </w:rPr>
        <w:t>月，主编单位组织编写《深远海风电场土建工程施工技术规程》大纲，并细化制定时间节点和各个参编单位的任务分工。</w:t>
      </w:r>
    </w:p>
    <w:p w14:paraId="135BA948">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202</w:t>
      </w:r>
      <w:r>
        <w:rPr>
          <w:rFonts w:hint="eastAsia" w:ascii="华文仿宋" w:hAnsi="华文仿宋" w:eastAsia="华文仿宋" w:cs="华文仿宋"/>
          <w:sz w:val="32"/>
          <w:szCs w:val="32"/>
          <w:lang w:val="en-US" w:eastAsia="zh-CN"/>
        </w:rPr>
        <w:t>6</w:t>
      </w:r>
      <w:r>
        <w:rPr>
          <w:rFonts w:hint="eastAsia" w:ascii="华文仿宋" w:hAnsi="华文仿宋" w:eastAsia="华文仿宋" w:cs="华文仿宋"/>
          <w:sz w:val="32"/>
          <w:szCs w:val="32"/>
        </w:rPr>
        <w:t>年</w:t>
      </w:r>
      <w:r>
        <w:rPr>
          <w:rFonts w:hint="eastAsia" w:ascii="华文仿宋" w:hAnsi="华文仿宋" w:eastAsia="华文仿宋" w:cs="华文仿宋"/>
          <w:sz w:val="32"/>
          <w:szCs w:val="32"/>
          <w:lang w:val="en-US" w:eastAsia="zh-CN"/>
        </w:rPr>
        <w:t>4</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月，各参编单位按任务分工编写《深远海风电场土建工程施工技术规程》标准初稿。</w:t>
      </w:r>
    </w:p>
    <w:p w14:paraId="1D6CF916">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202</w:t>
      </w:r>
      <w:r>
        <w:rPr>
          <w:rFonts w:hint="eastAsia" w:ascii="华文仿宋" w:hAnsi="华文仿宋" w:eastAsia="华文仿宋" w:cs="华文仿宋"/>
          <w:sz w:val="32"/>
          <w:szCs w:val="32"/>
          <w:lang w:val="en-US" w:eastAsia="zh-CN"/>
        </w:rPr>
        <w:t>6</w:t>
      </w:r>
      <w:r>
        <w:rPr>
          <w:rFonts w:hint="eastAsia" w:ascii="华文仿宋" w:hAnsi="华文仿宋" w:eastAsia="华文仿宋" w:cs="华文仿宋"/>
          <w:sz w:val="32"/>
          <w:szCs w:val="32"/>
        </w:rPr>
        <w:t>年</w:t>
      </w: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月，在</w:t>
      </w:r>
      <w:r>
        <w:rPr>
          <w:rFonts w:hint="eastAsia" w:ascii="华文仿宋" w:hAnsi="华文仿宋" w:eastAsia="华文仿宋" w:cs="华文仿宋"/>
          <w:sz w:val="32"/>
          <w:szCs w:val="32"/>
          <w:lang w:val="en-US" w:eastAsia="zh-CN"/>
        </w:rPr>
        <w:t>宁波</w:t>
      </w:r>
      <w:r>
        <w:rPr>
          <w:rFonts w:hint="eastAsia" w:ascii="华文仿宋" w:hAnsi="华文仿宋" w:eastAsia="华文仿宋" w:cs="华文仿宋"/>
          <w:sz w:val="32"/>
          <w:szCs w:val="32"/>
        </w:rPr>
        <w:t>召开《深远海风电场土建工程施工技术规程》中电建协团体标准初稿讨论会，主编单位、参编单位对标准编制大纲、标准初稿内容进行了研究和讨论，并制定下一步工作计划。</w:t>
      </w:r>
    </w:p>
    <w:p w14:paraId="11983B9C">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2026年</w:t>
      </w:r>
      <w:r>
        <w:rPr>
          <w:rFonts w:hint="eastAsia" w:ascii="华文仿宋" w:hAnsi="华文仿宋" w:eastAsia="华文仿宋" w:cs="华文仿宋"/>
          <w:sz w:val="32"/>
          <w:szCs w:val="32"/>
          <w:lang w:val="en-US" w:eastAsia="zh-CN"/>
        </w:rPr>
        <w:t>6</w:t>
      </w:r>
      <w:r>
        <w:rPr>
          <w:rFonts w:hint="eastAsia" w:ascii="华文仿宋" w:hAnsi="华文仿宋" w:eastAsia="华文仿宋" w:cs="华文仿宋"/>
          <w:sz w:val="32"/>
          <w:szCs w:val="32"/>
        </w:rPr>
        <w:t>月，在</w:t>
      </w:r>
      <w:r>
        <w:rPr>
          <w:rFonts w:hint="eastAsia" w:ascii="华文仿宋" w:hAnsi="华文仿宋" w:eastAsia="华文仿宋" w:cs="华文仿宋"/>
          <w:sz w:val="32"/>
          <w:szCs w:val="32"/>
          <w:lang w:val="en-US" w:eastAsia="zh-CN"/>
        </w:rPr>
        <w:t>杭州</w:t>
      </w:r>
      <w:r>
        <w:rPr>
          <w:rFonts w:hint="eastAsia" w:ascii="华文仿宋" w:hAnsi="华文仿宋" w:eastAsia="华文仿宋" w:cs="华文仿宋"/>
          <w:sz w:val="32"/>
          <w:szCs w:val="32"/>
        </w:rPr>
        <w:t>召开</w:t>
      </w:r>
      <w:bookmarkStart w:id="0" w:name="OLE_LINK2"/>
      <w:r>
        <w:rPr>
          <w:rFonts w:hint="eastAsia" w:ascii="华文仿宋" w:hAnsi="华文仿宋" w:eastAsia="华文仿宋" w:cs="华文仿宋"/>
          <w:sz w:val="32"/>
          <w:szCs w:val="32"/>
        </w:rPr>
        <w:t>《深远海风电场土建工程施工技术规程》</w:t>
      </w:r>
      <w:bookmarkEnd w:id="0"/>
      <w:r>
        <w:rPr>
          <w:rFonts w:hint="eastAsia" w:ascii="华文仿宋" w:hAnsi="华文仿宋" w:eastAsia="华文仿宋" w:cs="华文仿宋"/>
          <w:sz w:val="32"/>
          <w:szCs w:val="32"/>
        </w:rPr>
        <w:t>中电建协团体标准的二稿讨论会，会上主编单位介绍了初稿讨论会提出的意见修改情况，主编单位、参编单位、以及该领域专家学者对本标准的二稿进行讨论，</w:t>
      </w:r>
      <w:r>
        <w:rPr>
          <w:rFonts w:hint="eastAsia" w:ascii="华文仿宋" w:hAnsi="华文仿宋" w:eastAsia="华文仿宋" w:cs="华文仿宋"/>
          <w:sz w:val="32"/>
          <w:szCs w:val="32"/>
          <w:lang w:eastAsia="zh-CN"/>
        </w:rPr>
        <w:t>并在</w:t>
      </w:r>
      <w:r>
        <w:rPr>
          <w:rFonts w:hint="eastAsia" w:ascii="华文仿宋" w:hAnsi="华文仿宋" w:eastAsia="华文仿宋" w:cs="华文仿宋"/>
          <w:sz w:val="32"/>
          <w:szCs w:val="32"/>
        </w:rPr>
        <w:t>会后完成本标准的修改工作，形成征求意见稿讨论稿。</w:t>
      </w:r>
    </w:p>
    <w:p w14:paraId="031C0FDB">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2026年</w:t>
      </w:r>
      <w:r>
        <w:rPr>
          <w:rFonts w:hint="eastAsia" w:ascii="华文仿宋" w:hAnsi="华文仿宋" w:eastAsia="华文仿宋" w:cs="华文仿宋"/>
          <w:sz w:val="32"/>
          <w:szCs w:val="32"/>
          <w:lang w:val="en-US" w:eastAsia="zh-CN"/>
        </w:rPr>
        <w:t>7</w:t>
      </w:r>
      <w:r>
        <w:rPr>
          <w:rFonts w:hint="eastAsia" w:ascii="华文仿宋" w:hAnsi="华文仿宋" w:eastAsia="华文仿宋" w:cs="华文仿宋"/>
          <w:sz w:val="32"/>
          <w:szCs w:val="32"/>
        </w:rPr>
        <w:t>月，在</w:t>
      </w:r>
      <w:r>
        <w:rPr>
          <w:rFonts w:hint="eastAsia" w:ascii="华文仿宋" w:hAnsi="华文仿宋" w:eastAsia="华文仿宋" w:cs="华文仿宋"/>
          <w:sz w:val="32"/>
          <w:szCs w:val="32"/>
          <w:lang w:val="en-US" w:eastAsia="zh-CN"/>
        </w:rPr>
        <w:t>厦门</w:t>
      </w:r>
      <w:r>
        <w:rPr>
          <w:rFonts w:hint="eastAsia" w:ascii="华文仿宋" w:hAnsi="华文仿宋" w:eastAsia="华文仿宋" w:cs="华文仿宋"/>
          <w:sz w:val="32"/>
          <w:szCs w:val="32"/>
        </w:rPr>
        <w:t>召开《深远海风电场土建工程施工技术规程》中电建协团体标准的征求意见稿定稿会，会上主编单位介绍了二稿讨论会提出的意见修改情况，主编单位、参编单位</w:t>
      </w:r>
      <w:r>
        <w:rPr>
          <w:rFonts w:hint="eastAsia" w:ascii="华文仿宋" w:hAnsi="华文仿宋" w:eastAsia="华文仿宋" w:cs="华文仿宋"/>
          <w:sz w:val="32"/>
          <w:szCs w:val="32"/>
          <w:lang w:eastAsia="zh-CN"/>
        </w:rPr>
        <w:t>，以及</w:t>
      </w:r>
      <w:r>
        <w:rPr>
          <w:rFonts w:hint="eastAsia" w:ascii="华文仿宋" w:hAnsi="华文仿宋" w:eastAsia="华文仿宋" w:cs="华文仿宋"/>
          <w:sz w:val="32"/>
          <w:szCs w:val="32"/>
        </w:rPr>
        <w:t>该领域专家学者对本标准的征求意见稿进行讨论，</w:t>
      </w:r>
      <w:r>
        <w:rPr>
          <w:rFonts w:hint="eastAsia" w:ascii="华文仿宋" w:hAnsi="华文仿宋" w:eastAsia="华文仿宋" w:cs="华文仿宋"/>
          <w:sz w:val="32"/>
          <w:szCs w:val="32"/>
          <w:lang w:eastAsia="zh-CN"/>
        </w:rPr>
        <w:t>并</w:t>
      </w:r>
      <w:r>
        <w:rPr>
          <w:rFonts w:hint="eastAsia" w:ascii="华文仿宋" w:hAnsi="华文仿宋" w:eastAsia="华文仿宋" w:cs="华文仿宋"/>
          <w:sz w:val="32"/>
          <w:szCs w:val="32"/>
          <w:lang w:val="en-US" w:eastAsia="zh-CN"/>
        </w:rPr>
        <w:t>在</w:t>
      </w:r>
      <w:r>
        <w:rPr>
          <w:rFonts w:hint="eastAsia" w:ascii="华文仿宋" w:hAnsi="华文仿宋" w:eastAsia="华文仿宋" w:cs="华文仿宋"/>
          <w:sz w:val="32"/>
          <w:szCs w:val="32"/>
        </w:rPr>
        <w:t>会后完成本标准的修改工作，形成征求意见稿。</w:t>
      </w:r>
    </w:p>
    <w:p w14:paraId="30691C14">
      <w:pPr>
        <w:numPr>
          <w:ilvl w:val="0"/>
          <w:numId w:val="1"/>
        </w:num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团体标准编制原则、主要内容及其确定依据</w:t>
      </w:r>
    </w:p>
    <w:p w14:paraId="17A414B4">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2.1 编制原则</w:t>
      </w:r>
    </w:p>
    <w:p w14:paraId="11728D2E">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本次编制的总体原</w:t>
      </w:r>
      <w:r>
        <w:rPr>
          <w:rFonts w:hint="eastAsia" w:ascii="华文仿宋" w:hAnsi="华文仿宋" w:eastAsia="华文仿宋" w:cs="华文仿宋"/>
          <w:sz w:val="32"/>
          <w:szCs w:val="32"/>
          <w:highlight w:val="none"/>
        </w:rPr>
        <w:t>则是结合当前</w:t>
      </w:r>
      <w:r>
        <w:rPr>
          <w:rFonts w:hint="eastAsia" w:ascii="华文仿宋" w:hAnsi="华文仿宋" w:eastAsia="华文仿宋" w:cs="华文仿宋"/>
          <w:sz w:val="32"/>
          <w:szCs w:val="32"/>
          <w:highlight w:val="none"/>
          <w:lang w:val="en-US" w:eastAsia="zh-CN"/>
        </w:rPr>
        <w:t>海上风电场土建工程施工技术</w:t>
      </w:r>
      <w:r>
        <w:rPr>
          <w:rFonts w:hint="eastAsia" w:ascii="华文仿宋" w:hAnsi="华文仿宋" w:eastAsia="华文仿宋" w:cs="华文仿宋"/>
          <w:sz w:val="32"/>
          <w:szCs w:val="32"/>
          <w:highlight w:val="none"/>
        </w:rPr>
        <w:t>现状，指导工</w:t>
      </w:r>
      <w:r>
        <w:rPr>
          <w:rFonts w:hint="eastAsia" w:ascii="华文仿宋" w:hAnsi="华文仿宋" w:eastAsia="华文仿宋" w:cs="华文仿宋"/>
          <w:sz w:val="32"/>
          <w:szCs w:val="32"/>
        </w:rPr>
        <w:t>程建设各方提升</w:t>
      </w:r>
      <w:r>
        <w:rPr>
          <w:rFonts w:hint="eastAsia" w:ascii="华文仿宋" w:hAnsi="华文仿宋" w:eastAsia="华文仿宋" w:cs="华文仿宋"/>
          <w:sz w:val="32"/>
          <w:szCs w:val="32"/>
          <w:lang w:val="en-US" w:eastAsia="zh-CN"/>
        </w:rPr>
        <w:t>质量验收</w:t>
      </w:r>
      <w:r>
        <w:rPr>
          <w:rFonts w:hint="eastAsia" w:ascii="华文仿宋" w:hAnsi="华文仿宋" w:eastAsia="华文仿宋" w:cs="华文仿宋"/>
          <w:sz w:val="32"/>
          <w:szCs w:val="32"/>
        </w:rPr>
        <w:t>管理水平，具体包括：</w:t>
      </w:r>
    </w:p>
    <w:p w14:paraId="02C89974">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（1）贯彻执行国家及行业现行政策、法律法规和标准规范。</w:t>
      </w:r>
    </w:p>
    <w:p w14:paraId="2D7BFE3B">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（2）规范应满足</w:t>
      </w:r>
      <w:r>
        <w:rPr>
          <w:rFonts w:hint="eastAsia" w:ascii="华文仿宋" w:hAnsi="华文仿宋" w:eastAsia="华文仿宋" w:cs="华文仿宋"/>
          <w:sz w:val="32"/>
          <w:szCs w:val="32"/>
          <w:lang w:val="en-US" w:eastAsia="zh-CN"/>
        </w:rPr>
        <w:t>深远海风电场土建工程施工技术规程</w:t>
      </w:r>
      <w:r>
        <w:rPr>
          <w:rFonts w:hint="eastAsia" w:ascii="华文仿宋" w:hAnsi="华文仿宋" w:eastAsia="华文仿宋" w:cs="华文仿宋"/>
          <w:sz w:val="32"/>
          <w:szCs w:val="32"/>
        </w:rPr>
        <w:t>的基本要求，有利于提升现场</w:t>
      </w:r>
      <w:r>
        <w:rPr>
          <w:rFonts w:hint="eastAsia" w:ascii="华文仿宋" w:hAnsi="华文仿宋" w:eastAsia="华文仿宋" w:cs="华文仿宋"/>
          <w:sz w:val="32"/>
          <w:szCs w:val="32"/>
          <w:lang w:val="en-US" w:eastAsia="zh-CN"/>
        </w:rPr>
        <w:t>土建工程施工技术水平</w:t>
      </w:r>
      <w:r>
        <w:rPr>
          <w:rFonts w:hint="eastAsia" w:ascii="华文仿宋" w:hAnsi="华文仿宋" w:eastAsia="华文仿宋" w:cs="华文仿宋"/>
          <w:sz w:val="32"/>
          <w:szCs w:val="32"/>
        </w:rPr>
        <w:t>。</w:t>
      </w:r>
    </w:p>
    <w:p w14:paraId="1C4DCBEA">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（3</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标准应具备实用性、可操作性和先进性，满足</w:t>
      </w:r>
      <w:r>
        <w:rPr>
          <w:rFonts w:hint="eastAsia" w:ascii="华文仿宋" w:hAnsi="华文仿宋" w:eastAsia="华文仿宋" w:cs="华文仿宋"/>
          <w:sz w:val="32"/>
          <w:szCs w:val="32"/>
          <w:lang w:val="en-US" w:eastAsia="zh-CN"/>
        </w:rPr>
        <w:t>工程建设过程施工技术的需要。</w:t>
      </w:r>
    </w:p>
    <w:p w14:paraId="08965F50">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w:t>
      </w:r>
      <w:r>
        <w:rPr>
          <w:rFonts w:hint="eastAsia" w:ascii="华文仿宋" w:hAnsi="华文仿宋" w:eastAsia="华文仿宋" w:cs="华文仿宋"/>
          <w:sz w:val="32"/>
          <w:szCs w:val="32"/>
          <w:lang w:val="en-US" w:eastAsia="zh-CN"/>
        </w:rPr>
        <w:t>4</w:t>
      </w:r>
      <w:r>
        <w:rPr>
          <w:rFonts w:hint="eastAsia" w:ascii="华文仿宋" w:hAnsi="华文仿宋" w:eastAsia="华文仿宋" w:cs="华文仿宋"/>
          <w:sz w:val="32"/>
          <w:szCs w:val="32"/>
        </w:rPr>
        <w:t>）符合《标准化工作导则第1部分:标准化文件的结构和起草规则》（GB/T1.1-2020）和《标准编写规则》（GB/T20001）要求，确保标准的规范性和科学性。</w:t>
      </w:r>
    </w:p>
    <w:p w14:paraId="6D69B283">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2.2 编制依据</w:t>
      </w:r>
    </w:p>
    <w:p w14:paraId="196643B5">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本标准参照现行国家有关电力建设的法律、法规、管理标准、技术标准、电力行业有关标准和相关行业标准。主要有：</w:t>
      </w:r>
    </w:p>
    <w:p w14:paraId="1C5717F0">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GB/T 50571 海上风力发电工程施工规范</w:t>
      </w:r>
    </w:p>
    <w:p w14:paraId="1696435A">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10393  海上风电场工程施工安全技术规范</w:t>
      </w:r>
    </w:p>
    <w:p w14:paraId="4C24261B">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 50661 钢结构焊接规范</w:t>
      </w:r>
    </w:p>
    <w:p w14:paraId="11F39B60">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 55001 工程结构通用规范</w:t>
      </w:r>
    </w:p>
    <w:p w14:paraId="531A9D6C">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 50755 钢结构工程施工规范</w:t>
      </w:r>
    </w:p>
    <w:p w14:paraId="41B98880">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 55006  钢结构通用规范</w:t>
      </w:r>
    </w:p>
    <w:p w14:paraId="71E46D5F">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GB50010 混凝土结构设计规范</w:t>
      </w:r>
    </w:p>
    <w:p w14:paraId="38F391E8">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 50164 混凝土质量控制标准</w:t>
      </w:r>
    </w:p>
    <w:p w14:paraId="7B033F3D">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GB∕T 47273 海上组块浮托安装的设计与施工规范</w:t>
      </w:r>
    </w:p>
    <w:p w14:paraId="396F4F87">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11600 风电场工程抗震设计规范</w:t>
      </w:r>
    </w:p>
    <w:p w14:paraId="31D6B36D">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11084 海上风电场工程建（构）筑物荷载规范</w:t>
      </w:r>
    </w:p>
    <w:p w14:paraId="305BB27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640" w:firstLineChars="200"/>
        <w:jc w:val="left"/>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11655 海上风电场土建工程施工质量检验与评定标准</w:t>
      </w:r>
    </w:p>
    <w:p w14:paraId="6087ECDE">
      <w:pPr>
        <w:pStyle w:val="31"/>
        <w:keepNext w:val="0"/>
        <w:keepLines w:val="0"/>
        <w:widowControl/>
        <w:suppressLineNumbers w:val="0"/>
        <w:pBdr>
          <w:top w:val="none" w:color="auto" w:sz="0" w:space="0"/>
          <w:left w:val="none" w:color="auto" w:sz="0" w:space="0"/>
          <w:right w:val="none" w:color="auto" w:sz="0" w:space="0"/>
        </w:pBdr>
        <w:spacing w:before="0" w:beforeAutospacing="0" w:after="0" w:afterAutospacing="0" w:line="360" w:lineRule="auto"/>
        <w:ind w:left="0" w:leftChars="0" w:right="112" w:rightChars="0"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10105  海上风电场工程风电机组基础设计规范</w:t>
      </w:r>
    </w:p>
    <w:p w14:paraId="74B4139A">
      <w:pPr>
        <w:pStyle w:val="31"/>
        <w:keepNext w:val="0"/>
        <w:keepLines w:val="0"/>
        <w:widowControl/>
        <w:suppressLineNumbers w:val="0"/>
        <w:pBdr>
          <w:top w:val="none" w:color="auto" w:sz="0" w:space="0"/>
          <w:left w:val="none" w:color="auto" w:sz="0" w:space="0"/>
          <w:right w:val="none" w:color="auto" w:sz="0" w:space="0"/>
        </w:pBdr>
        <w:spacing w:before="0" w:beforeAutospacing="0" w:after="0" w:afterAutospacing="0" w:line="360" w:lineRule="auto"/>
        <w:ind w:left="0" w:leftChars="0" w:right="112" w:rightChars="0"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11602 海上风电机组地基基础防冲刷设计导则</w:t>
      </w:r>
    </w:p>
    <w:p w14:paraId="63202F99">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10626 海上风电场工程防腐蚀设计规范</w:t>
      </w:r>
    </w:p>
    <w:p w14:paraId="0C19036F">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31006 海上风电场钢结构防腐蚀技术标准</w:t>
      </w:r>
    </w:p>
    <w:p w14:paraId="172EE4E2">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11372  风电场工程施工质量检验与评定规程</w:t>
      </w:r>
    </w:p>
    <w:p w14:paraId="6BDD95CD">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10684  风电场工程质量管理规程</w:t>
      </w:r>
    </w:p>
    <w:p w14:paraId="5DEBBC5B">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11727  海上风电场工程基础结构灌浆连接技术规程</w:t>
      </w:r>
    </w:p>
    <w:p w14:paraId="0B1D6F3F">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10628  风电场工程材料试验检测技术规范</w:t>
      </w:r>
    </w:p>
    <w:p w14:paraId="2EFED0C9">
      <w:pPr>
        <w:pStyle w:val="31"/>
        <w:spacing w:line="360" w:lineRule="auto"/>
        <w:ind w:right="112" w:firstLine="640" w:firstLineChars="200"/>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10626  海上风电场工程防腐蚀设计规范</w:t>
      </w:r>
    </w:p>
    <w:p w14:paraId="7954F38B">
      <w:pPr>
        <w:pStyle w:val="31"/>
        <w:spacing w:line="360" w:lineRule="auto"/>
        <w:ind w:right="112" w:firstLine="640" w:firstLineChars="200"/>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31006 海上风电场钢结构防腐蚀技术标准</w:t>
      </w:r>
    </w:p>
    <w:p w14:paraId="55878810">
      <w:pPr>
        <w:pStyle w:val="31"/>
        <w:spacing w:line="360" w:lineRule="auto"/>
        <w:ind w:right="112" w:firstLine="640" w:firstLineChars="200"/>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10104 海上风电场工程测量规程</w:t>
      </w:r>
    </w:p>
    <w:p w14:paraId="0FA78937">
      <w:pPr>
        <w:pStyle w:val="31"/>
        <w:spacing w:line="360" w:lineRule="auto"/>
        <w:ind w:right="112" w:firstLine="640" w:firstLineChars="200"/>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10988 海上风力发电机组 基础附属构件设计要求</w:t>
      </w:r>
    </w:p>
    <w:p w14:paraId="3FF25C34">
      <w:pPr>
        <w:pStyle w:val="31"/>
        <w:spacing w:line="360" w:lineRule="auto"/>
        <w:ind w:right="112" w:firstLine="640" w:firstLineChars="200"/>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11378  漂浮式海上风电机组基础及系泊系统设计导则</w:t>
      </w:r>
    </w:p>
    <w:p w14:paraId="001A587D">
      <w:pPr>
        <w:pStyle w:val="31"/>
        <w:spacing w:line="360" w:lineRule="auto"/>
        <w:ind w:right="112" w:firstLine="640" w:firstLineChars="200"/>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10994 海上风力发电机组 外平台起重设备规范</w:t>
      </w:r>
    </w:p>
    <w:p w14:paraId="35C83EA0">
      <w:pPr>
        <w:pStyle w:val="31"/>
        <w:spacing w:line="360" w:lineRule="auto"/>
        <w:ind w:right="112" w:firstLine="640" w:firstLineChars="200"/>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NB/T 10910 海上风电场工程安全标识设置设计规范</w:t>
      </w:r>
    </w:p>
    <w:p w14:paraId="7B7708B5">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GB/T 712  船舶及海洋工程用结构钢</w:t>
      </w:r>
    </w:p>
    <w:p w14:paraId="58858CC1">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GB/T 1591 低合金高强度结构钢</w:t>
      </w:r>
    </w:p>
    <w:p w14:paraId="684A223E">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GB/T 700 碳素结构钢</w:t>
      </w:r>
    </w:p>
    <w:p w14:paraId="7027EE1A">
      <w:pPr>
        <w:pStyle w:val="31"/>
        <w:spacing w:line="360" w:lineRule="auto"/>
        <w:ind w:right="112" w:firstLine="640" w:firstLineChars="200"/>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 xml:space="preserve">GB/T 31817 风力发电设施防护涂装技术规范 </w:t>
      </w:r>
    </w:p>
    <w:p w14:paraId="3239416E">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GB/T 1231 钢结构用高强度大六角头螺栓连接副</w:t>
      </w:r>
    </w:p>
    <w:p w14:paraId="18D83A8F">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GB/T 26952 焊缝无损检测 磁粉检测 验收等级</w:t>
      </w:r>
    </w:p>
    <w:p w14:paraId="4B41140F">
      <w:pPr>
        <w:pStyle w:val="31"/>
        <w:adjustRightInd/>
        <w:spacing w:line="360" w:lineRule="auto"/>
        <w:ind w:right="112" w:firstLine="640" w:firstLineChars="200"/>
        <w:jc w:val="both"/>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GB/T 26953 焊缝无损检测 渗透检测 验收等级</w:t>
      </w:r>
    </w:p>
    <w:p w14:paraId="006F5376">
      <w:pPr>
        <w:pStyle w:val="31"/>
        <w:spacing w:line="360" w:lineRule="auto"/>
        <w:ind w:right="112" w:firstLine="640" w:firstLineChars="200"/>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GBT 4950-2021锌合金牺牲阳极</w:t>
      </w:r>
    </w:p>
    <w:p w14:paraId="6334F30D">
      <w:pPr>
        <w:pStyle w:val="31"/>
        <w:spacing w:line="360" w:lineRule="auto"/>
        <w:ind w:right="112" w:firstLine="640" w:firstLineChars="200"/>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 xml:space="preserve">GBT 4948-2025 铝合金牺牲阳极 </w:t>
      </w:r>
    </w:p>
    <w:p w14:paraId="5592F9EA">
      <w:pPr>
        <w:pStyle w:val="31"/>
        <w:spacing w:line="360" w:lineRule="auto"/>
        <w:ind w:right="112" w:firstLine="640" w:firstLineChars="200"/>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GBT 4949-2026 铝-锌-铟系合金牺牲阳极化学分析方法</w:t>
      </w:r>
    </w:p>
    <w:p w14:paraId="1CA08FA6">
      <w:pPr>
        <w:pStyle w:val="31"/>
        <w:spacing w:line="360" w:lineRule="auto"/>
        <w:ind w:right="112" w:firstLine="640" w:firstLineChars="200"/>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GB/T 8923.1 涂覆涂料前钢材表面处理表面清洁度的目视评定第1部分：未涂覆过的钢材表面和全面清除原有涂层后的钢材表面的锈蚀等级和处理等级</w:t>
      </w:r>
    </w:p>
    <w:p w14:paraId="04C6862C">
      <w:pPr>
        <w:pStyle w:val="31"/>
        <w:spacing w:line="360" w:lineRule="auto"/>
        <w:ind w:right="112" w:firstLine="640" w:firstLineChars="200"/>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GB/T 11374 热喷涂涂层厚度的无损测量方法</w:t>
      </w:r>
    </w:p>
    <w:p w14:paraId="30207876">
      <w:pPr>
        <w:pStyle w:val="31"/>
        <w:spacing w:line="360" w:lineRule="auto"/>
        <w:ind w:right="112" w:firstLine="640" w:firstLineChars="200"/>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GB/T 13452.2 色漆和清漆 漆膜厚度的测定</w:t>
      </w:r>
    </w:p>
    <w:p w14:paraId="3A85DD9B">
      <w:pPr>
        <w:pStyle w:val="31"/>
        <w:spacing w:line="360" w:lineRule="auto"/>
        <w:ind w:right="112" w:firstLine="640" w:firstLineChars="200"/>
        <w:rPr>
          <w:rFonts w:hint="eastAsia" w:ascii="华文仿宋" w:hAnsi="华文仿宋" w:eastAsia="华文仿宋" w:cs="华文仿宋"/>
          <w:color w:val="auto"/>
          <w:kern w:val="2"/>
          <w:sz w:val="32"/>
          <w:szCs w:val="32"/>
          <w:lang w:val="en-US" w:eastAsia="zh-CN" w:bidi="ar-SA"/>
        </w:rPr>
      </w:pPr>
      <w:r>
        <w:rPr>
          <w:rFonts w:hint="eastAsia" w:ascii="华文仿宋" w:hAnsi="华文仿宋" w:eastAsia="华文仿宋" w:cs="华文仿宋"/>
          <w:color w:val="auto"/>
          <w:kern w:val="2"/>
          <w:sz w:val="32"/>
          <w:szCs w:val="32"/>
          <w:lang w:val="en-US" w:eastAsia="zh-CN" w:bidi="ar-SA"/>
        </w:rPr>
        <w:t>GB/T 13912 金属覆盖层 钢铁制件热浸镀锌层 技术要求及试验方法</w:t>
      </w:r>
    </w:p>
    <w:p w14:paraId="4ACD0364">
      <w:pPr>
        <w:pStyle w:val="31"/>
        <w:spacing w:line="360" w:lineRule="auto"/>
        <w:ind w:right="112" w:firstLine="640" w:firstLineChars="200"/>
        <w:rPr>
          <w:rFonts w:hint="default" w:ascii="华文仿宋" w:hAnsi="华文仿宋" w:eastAsia="华文仿宋" w:cs="华文仿宋"/>
          <w:sz w:val="32"/>
          <w:szCs w:val="32"/>
          <w:lang w:val="en-US" w:eastAsia="zh-CN"/>
        </w:rPr>
      </w:pPr>
      <w:r>
        <w:rPr>
          <w:rFonts w:hint="eastAsia" w:ascii="华文仿宋" w:hAnsi="华文仿宋" w:eastAsia="华文仿宋" w:cs="华文仿宋"/>
          <w:color w:val="auto"/>
          <w:kern w:val="2"/>
          <w:sz w:val="32"/>
          <w:szCs w:val="32"/>
          <w:lang w:val="en-US" w:eastAsia="zh-CN" w:bidi="ar-SA"/>
        </w:rPr>
        <w:t>GB/T 17848 牺牲阳极电化学性能试验方法</w:t>
      </w:r>
    </w:p>
    <w:p w14:paraId="0DD88509">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w:t>
      </w:r>
      <w:r>
        <w:rPr>
          <w:rFonts w:hint="eastAsia" w:ascii="华文仿宋" w:hAnsi="华文仿宋" w:eastAsia="华文仿宋" w:cs="华文仿宋"/>
          <w:sz w:val="32"/>
          <w:szCs w:val="32"/>
          <w:lang w:val="en-US" w:eastAsia="zh-CN"/>
        </w:rPr>
        <w:t>3</w:t>
      </w:r>
      <w:r>
        <w:rPr>
          <w:rFonts w:hint="eastAsia" w:ascii="华文仿宋" w:hAnsi="华文仿宋" w:eastAsia="华文仿宋" w:cs="华文仿宋"/>
          <w:sz w:val="32"/>
          <w:szCs w:val="32"/>
        </w:rPr>
        <w:t xml:space="preserve"> 主要内容</w:t>
      </w:r>
    </w:p>
    <w:p w14:paraId="48A2BF16">
      <w:pPr>
        <w:ind w:firstLine="640" w:firstLineChars="200"/>
        <w:rPr>
          <w:rFonts w:hint="eastAsia" w:ascii="华文仿宋" w:hAnsi="华文仿宋" w:eastAsia="华文仿宋" w:cs="华文仿宋"/>
          <w:sz w:val="32"/>
          <w:szCs w:val="32"/>
          <w:highlight w:val="yellow"/>
        </w:rPr>
      </w:pPr>
      <w:r>
        <w:rPr>
          <w:rFonts w:hint="eastAsia" w:ascii="华文仿宋" w:hAnsi="华文仿宋" w:eastAsia="华文仿宋" w:cs="华文仿宋"/>
          <w:sz w:val="32"/>
          <w:szCs w:val="32"/>
        </w:rPr>
        <w:t>本标准《</w:t>
      </w:r>
      <w:r>
        <w:rPr>
          <w:rFonts w:hint="eastAsia" w:ascii="华文仿宋" w:hAnsi="华文仿宋" w:eastAsia="华文仿宋" w:cs="华文仿宋"/>
          <w:color w:val="auto"/>
          <w:sz w:val="32"/>
          <w:szCs w:val="32"/>
          <w:lang w:val="en-US" w:eastAsia="zh-CN"/>
        </w:rPr>
        <w:t>深远海风电场土建工程施工技术规程</w:t>
      </w:r>
      <w:r>
        <w:rPr>
          <w:rFonts w:hint="eastAsia" w:ascii="华文仿宋" w:hAnsi="华文仿宋" w:eastAsia="华文仿宋" w:cs="华文仿宋"/>
          <w:sz w:val="32"/>
          <w:szCs w:val="32"/>
        </w:rPr>
        <w:t>》共</w:t>
      </w:r>
      <w:r>
        <w:rPr>
          <w:rFonts w:hint="eastAsia" w:ascii="华文仿宋" w:hAnsi="华文仿宋" w:eastAsia="华文仿宋" w:cs="华文仿宋"/>
          <w:sz w:val="32"/>
          <w:szCs w:val="32"/>
          <w:lang w:val="en-US" w:eastAsia="zh-CN"/>
        </w:rPr>
        <w:t>11</w:t>
      </w:r>
      <w:r>
        <w:rPr>
          <w:rFonts w:hint="eastAsia" w:ascii="华文仿宋" w:hAnsi="华文仿宋" w:eastAsia="华文仿宋" w:cs="华文仿宋"/>
          <w:sz w:val="32"/>
          <w:szCs w:val="32"/>
        </w:rPr>
        <w:t>章和</w:t>
      </w:r>
      <w:r>
        <w:rPr>
          <w:rFonts w:hint="eastAsia" w:ascii="华文仿宋" w:hAnsi="华文仿宋" w:eastAsia="华文仿宋" w:cs="华文仿宋"/>
          <w:sz w:val="32"/>
          <w:szCs w:val="32"/>
          <w:lang w:val="en-US" w:eastAsia="zh-CN"/>
        </w:rPr>
        <w:t>3</w:t>
      </w:r>
      <w:r>
        <w:rPr>
          <w:rFonts w:hint="eastAsia" w:ascii="华文仿宋" w:hAnsi="华文仿宋" w:eastAsia="华文仿宋" w:cs="华文仿宋"/>
          <w:sz w:val="32"/>
          <w:szCs w:val="32"/>
        </w:rPr>
        <w:t>个附录</w:t>
      </w:r>
      <w:r>
        <w:rPr>
          <w:rFonts w:hint="eastAsia" w:ascii="华文仿宋" w:hAnsi="华文仿宋" w:eastAsia="华文仿宋" w:cs="华文仿宋"/>
          <w:sz w:val="32"/>
          <w:szCs w:val="32"/>
          <w:lang w:eastAsia="zh-CN"/>
        </w:rPr>
        <w:t>，主要内容包括：</w:t>
      </w:r>
      <w:r>
        <w:rPr>
          <w:rFonts w:hint="eastAsia" w:ascii="华文仿宋" w:hAnsi="华文仿宋" w:eastAsia="华文仿宋" w:cs="华文仿宋"/>
          <w:sz w:val="32"/>
          <w:szCs w:val="32"/>
          <w:lang w:val="en-US" w:eastAsia="zh-CN"/>
        </w:rPr>
        <w:t>总则、术语和符号、基本规定、施工交通运输、钢结构工程、舾装工程、桩基工程、基础与上部组块安装、防腐工程、防冲刷保护、附属构件制作与安装</w:t>
      </w:r>
      <w:r>
        <w:rPr>
          <w:rFonts w:hint="eastAsia" w:ascii="华文仿宋" w:hAnsi="华文仿宋" w:eastAsia="华文仿宋" w:cs="华文仿宋"/>
          <w:sz w:val="32"/>
          <w:szCs w:val="32"/>
          <w:lang w:eastAsia="zh-CN"/>
        </w:rPr>
        <w:t>；附录等。</w:t>
      </w:r>
    </w:p>
    <w:p w14:paraId="1350755E">
      <w:pPr>
        <w:rPr>
          <w:rFonts w:hint="eastAsia" w:ascii="华文仿宋" w:hAnsi="华文仿宋" w:eastAsia="华文仿宋" w:cs="华文仿宋"/>
          <w:sz w:val="32"/>
          <w:szCs w:val="32"/>
          <w:lang w:eastAsia="zh-CN"/>
        </w:rPr>
      </w:pPr>
      <w:r>
        <w:rPr>
          <w:rFonts w:hint="eastAsia" w:ascii="华文仿宋" w:hAnsi="华文仿宋" w:eastAsia="华文仿宋" w:cs="华文仿宋"/>
          <w:b/>
          <w:bCs/>
          <w:sz w:val="32"/>
          <w:szCs w:val="32"/>
        </w:rPr>
        <w:t>3.试验验证的分析、综述报告，技术经济论证，预期的经济效益、社会效益和生态效益</w:t>
      </w:r>
    </w:p>
    <w:p w14:paraId="2F43EC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本标准将明确深远海风电场土建工程施工技术规程的工作内容，适用于深远海风电场的建设。明确了土建工程施工的各项技术规程，避免因设计标准不统一导致的施工技术标准差异，为深远海风电场土建工程施工技术规程提供可操作的技术指南与技术支撑。</w:t>
      </w:r>
    </w:p>
    <w:p w14:paraId="4D12D55F">
      <w:p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4.与国际、国外、国内同类标准技术内容的对比情况，或者与测试的样品、样机的有关数据对比情况</w:t>
      </w:r>
    </w:p>
    <w:p w14:paraId="35D998DC">
      <w:pPr>
        <w:numPr>
          <w:ilvl w:val="255"/>
          <w:numId w:val="0"/>
        </w:num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目前国内相关标准主要有GBT50571-2010 </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海上风力发电工程施工规范</w:t>
      </w:r>
      <w:r>
        <w:rPr>
          <w:rFonts w:hint="eastAsia" w:ascii="华文仿宋" w:hAnsi="华文仿宋" w:eastAsia="华文仿宋" w:cs="华文仿宋"/>
          <w:sz w:val="32"/>
          <w:szCs w:val="32"/>
          <w:lang w:eastAsia="zh-CN"/>
        </w:rPr>
        <w:t>》。</w:t>
      </w:r>
    </w:p>
    <w:p w14:paraId="2241D6A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GBT50571-2010 </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海上风力发电工程施工规范</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综合了海上风电的土建施工、风电安装、电缆敷设、调试与运行、施工管理等方面的内容，土建工程施工技术章节篇幅及内容占比不高，桩基础主要为重力式基础、单桩及多桩基础，施工技术主要为近海施工方面，未涉及到导管架基础、漂浮式基础、换流站、升压站等深远海施工的技术要求。</w:t>
      </w:r>
    </w:p>
    <w:p w14:paraId="66907B2C">
      <w:p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5.以国际、国内标准为基础的起草情况，以及是否合规引用或者采用相关标准，并说明未采用相关标准的原因</w:t>
      </w:r>
    </w:p>
    <w:p w14:paraId="561DD83B">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无</w:t>
      </w:r>
    </w:p>
    <w:p w14:paraId="4FD222C5">
      <w:p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6.与有关法律、行政法规及相关标准的关系</w:t>
      </w:r>
    </w:p>
    <w:p w14:paraId="37D6187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无</w:t>
      </w:r>
    </w:p>
    <w:p w14:paraId="4B8CCCF6">
      <w:pPr>
        <w:keepNext w:val="0"/>
        <w:keepLines w:val="0"/>
        <w:pageBreakBefore w:val="0"/>
        <w:widowControl w:val="0"/>
        <w:kinsoku/>
        <w:wordWrap/>
        <w:overflowPunct/>
        <w:topLinePunct w:val="0"/>
        <w:autoSpaceDE/>
        <w:autoSpaceDN/>
        <w:bidi w:val="0"/>
        <w:adjustRightInd/>
        <w:snapToGrid/>
        <w:textAlignment w:val="auto"/>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7.重大分歧意见的处理经过和依据</w:t>
      </w:r>
    </w:p>
    <w:p w14:paraId="611EAAA2">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本标准编制过程中，未出现重大分歧意见。</w:t>
      </w:r>
    </w:p>
    <w:p w14:paraId="739FDAB2">
      <w:pPr>
        <w:numPr>
          <w:ilvl w:val="0"/>
          <w:numId w:val="2"/>
        </w:num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涉及专利的有关说明</w:t>
      </w:r>
    </w:p>
    <w:p w14:paraId="3C9EA3B3">
      <w:pPr>
        <w:numPr>
          <w:ilvl w:val="0"/>
          <w:numId w:val="0"/>
        </w:numPr>
        <w:ind w:firstLine="640" w:firstLineChars="200"/>
        <w:rPr>
          <w:rFonts w:hint="eastAsia" w:ascii="华文仿宋" w:hAnsi="华文仿宋" w:eastAsia="华文仿宋" w:cs="华文仿宋"/>
          <w:b/>
          <w:bCs/>
          <w:sz w:val="32"/>
          <w:szCs w:val="32"/>
        </w:rPr>
      </w:pPr>
      <w:r>
        <w:rPr>
          <w:rFonts w:hint="eastAsia" w:ascii="华文仿宋" w:hAnsi="华文仿宋" w:eastAsia="华文仿宋" w:cs="华文仿宋"/>
          <w:sz w:val="32"/>
          <w:szCs w:val="32"/>
        </w:rPr>
        <w:t>本标准不涉及专利处置情况。</w:t>
      </w:r>
    </w:p>
    <w:p w14:paraId="5695DCFE">
      <w:p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9.实施团体标准的要求，以及组织措施、技术措施、过渡期和实施日期的建议等措施建议</w:t>
      </w:r>
    </w:p>
    <w:p w14:paraId="2A28F62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本标准不涉及代替或废止现行有关标准的情况。</w:t>
      </w:r>
    </w:p>
    <w:p w14:paraId="4E4BDFB4">
      <w:pPr>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10.其他应当说明的事项</w:t>
      </w:r>
      <w:r>
        <w:rPr>
          <w:rFonts w:hint="eastAsia" w:ascii="华文仿宋" w:hAnsi="华文仿宋" w:eastAsia="华文仿宋" w:cs="华文仿宋"/>
          <w:sz w:val="32"/>
          <w:szCs w:val="32"/>
        </w:rPr>
        <w:t>（包括标准名称、主要内容、主编单位、参编单位及主要起草人等发生变更或存在无法克服困难需撤销申请情况，标准征求意见情况，报批阶段应补充专家审查会情况。）</w:t>
      </w:r>
    </w:p>
    <w:p w14:paraId="5A8CEBA4">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1" w:fontKey="{F8A93294-FEB4-4613-8813-F9DCBFDF38E6}"/>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embedRegular r:id="rId2" w:fontKey="{42463913-CEF3-430D-B4CE-43607B38C520}"/>
  </w:font>
  <w:font w:name="KSOF0B79BE30">
    <w:panose1 w:val="02010609060101010101"/>
    <w:charset w:val="86"/>
    <w:family w:val="auto"/>
    <w:pitch w:val="default"/>
    <w:sig w:usb0="00000001" w:usb1="00000000" w:usb2="00000000" w:usb3="00000000" w:csb0="00040001" w:csb1="00000000"/>
  </w:font>
  <w:font w:name="KSOF0B7949D1">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6F5106"/>
    <w:multiLevelType w:val="singleLevel"/>
    <w:tmpl w:val="E26F5106"/>
    <w:lvl w:ilvl="0" w:tentative="0">
      <w:start w:val="1"/>
      <w:numFmt w:val="decimal"/>
      <w:lvlText w:val="%1."/>
      <w:lvlJc w:val="left"/>
      <w:pPr>
        <w:tabs>
          <w:tab w:val="left" w:pos="312"/>
        </w:tabs>
      </w:pPr>
    </w:lvl>
  </w:abstractNum>
  <w:abstractNum w:abstractNumId="1">
    <w:nsid w:val="686DBD6D"/>
    <w:multiLevelType w:val="singleLevel"/>
    <w:tmpl w:val="686DBD6D"/>
    <w:lvl w:ilvl="0" w:tentative="0">
      <w:start w:val="8"/>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jMTdkYjc2MWFkYWZjMjgzNWU2Y2UwY2E3OWRiODAifQ=="/>
  </w:docVars>
  <w:rsids>
    <w:rsidRoot w:val="00172A27"/>
    <w:rsid w:val="000069D7"/>
    <w:rsid w:val="001A54A8"/>
    <w:rsid w:val="001D4206"/>
    <w:rsid w:val="002D2929"/>
    <w:rsid w:val="003B1A5D"/>
    <w:rsid w:val="003E222E"/>
    <w:rsid w:val="003F52FD"/>
    <w:rsid w:val="004B2645"/>
    <w:rsid w:val="00505A9F"/>
    <w:rsid w:val="005468B7"/>
    <w:rsid w:val="0060723C"/>
    <w:rsid w:val="00634B5D"/>
    <w:rsid w:val="006B4844"/>
    <w:rsid w:val="00702EBC"/>
    <w:rsid w:val="00760722"/>
    <w:rsid w:val="008A1279"/>
    <w:rsid w:val="00935788"/>
    <w:rsid w:val="009576EF"/>
    <w:rsid w:val="009650E5"/>
    <w:rsid w:val="00A01A07"/>
    <w:rsid w:val="00AC4623"/>
    <w:rsid w:val="00B07DA8"/>
    <w:rsid w:val="00BB15B4"/>
    <w:rsid w:val="00CA5AD7"/>
    <w:rsid w:val="00CE501A"/>
    <w:rsid w:val="00D4778B"/>
    <w:rsid w:val="00E56993"/>
    <w:rsid w:val="00E67FB7"/>
    <w:rsid w:val="00F54690"/>
    <w:rsid w:val="00F9002A"/>
    <w:rsid w:val="00F918CA"/>
    <w:rsid w:val="00FC3709"/>
    <w:rsid w:val="016025FC"/>
    <w:rsid w:val="01B841E6"/>
    <w:rsid w:val="01E043FE"/>
    <w:rsid w:val="02766859"/>
    <w:rsid w:val="04142E23"/>
    <w:rsid w:val="064029FC"/>
    <w:rsid w:val="07041C7C"/>
    <w:rsid w:val="071F0864"/>
    <w:rsid w:val="07B60678"/>
    <w:rsid w:val="08FD6983"/>
    <w:rsid w:val="094E3682"/>
    <w:rsid w:val="0955045F"/>
    <w:rsid w:val="09DB07B0"/>
    <w:rsid w:val="0BC65752"/>
    <w:rsid w:val="0CEE6D0E"/>
    <w:rsid w:val="0D132C19"/>
    <w:rsid w:val="0D8713A0"/>
    <w:rsid w:val="0F422EEB"/>
    <w:rsid w:val="0F5A3229"/>
    <w:rsid w:val="0FBF0E36"/>
    <w:rsid w:val="0FF26B15"/>
    <w:rsid w:val="0FFF7484"/>
    <w:rsid w:val="120E7E53"/>
    <w:rsid w:val="12260CF8"/>
    <w:rsid w:val="12593627"/>
    <w:rsid w:val="13A56982"/>
    <w:rsid w:val="13D80718"/>
    <w:rsid w:val="142D3CA5"/>
    <w:rsid w:val="144933C4"/>
    <w:rsid w:val="14C34F24"/>
    <w:rsid w:val="14CF43E0"/>
    <w:rsid w:val="14D07641"/>
    <w:rsid w:val="14D26F15"/>
    <w:rsid w:val="15075231"/>
    <w:rsid w:val="1573694A"/>
    <w:rsid w:val="15916DD0"/>
    <w:rsid w:val="15993A76"/>
    <w:rsid w:val="16E16D46"/>
    <w:rsid w:val="17575DF8"/>
    <w:rsid w:val="183F12CE"/>
    <w:rsid w:val="1896773C"/>
    <w:rsid w:val="18B35F28"/>
    <w:rsid w:val="193463F1"/>
    <w:rsid w:val="1A93205A"/>
    <w:rsid w:val="1C163B8C"/>
    <w:rsid w:val="1CED6FE2"/>
    <w:rsid w:val="1E256308"/>
    <w:rsid w:val="1EE47F71"/>
    <w:rsid w:val="1FCC231E"/>
    <w:rsid w:val="1FE673DA"/>
    <w:rsid w:val="200C3C23"/>
    <w:rsid w:val="204607B7"/>
    <w:rsid w:val="213571AA"/>
    <w:rsid w:val="2164183D"/>
    <w:rsid w:val="221943D6"/>
    <w:rsid w:val="22432B4E"/>
    <w:rsid w:val="230E380E"/>
    <w:rsid w:val="23654DD1"/>
    <w:rsid w:val="23957A8C"/>
    <w:rsid w:val="23B720F8"/>
    <w:rsid w:val="23C12F77"/>
    <w:rsid w:val="2403362A"/>
    <w:rsid w:val="242637CE"/>
    <w:rsid w:val="260B672B"/>
    <w:rsid w:val="26B648E9"/>
    <w:rsid w:val="26DB434F"/>
    <w:rsid w:val="27194E78"/>
    <w:rsid w:val="27D36DD5"/>
    <w:rsid w:val="2835183D"/>
    <w:rsid w:val="28B430AA"/>
    <w:rsid w:val="294D2BB7"/>
    <w:rsid w:val="297A3E18"/>
    <w:rsid w:val="2A3224D8"/>
    <w:rsid w:val="2A41271B"/>
    <w:rsid w:val="2A4D0323"/>
    <w:rsid w:val="2AF711EA"/>
    <w:rsid w:val="2BB86A0D"/>
    <w:rsid w:val="2BC058C2"/>
    <w:rsid w:val="2C0927B9"/>
    <w:rsid w:val="2CE101E6"/>
    <w:rsid w:val="2E156399"/>
    <w:rsid w:val="2EE6563F"/>
    <w:rsid w:val="30110DE2"/>
    <w:rsid w:val="30F46739"/>
    <w:rsid w:val="3126266B"/>
    <w:rsid w:val="317B29B7"/>
    <w:rsid w:val="31B9528D"/>
    <w:rsid w:val="31D10829"/>
    <w:rsid w:val="32316565"/>
    <w:rsid w:val="32586854"/>
    <w:rsid w:val="326A47D9"/>
    <w:rsid w:val="326C2300"/>
    <w:rsid w:val="32D63C1D"/>
    <w:rsid w:val="33022C64"/>
    <w:rsid w:val="336D3543"/>
    <w:rsid w:val="339A10EE"/>
    <w:rsid w:val="37531CE0"/>
    <w:rsid w:val="37D03331"/>
    <w:rsid w:val="38595180"/>
    <w:rsid w:val="385B709E"/>
    <w:rsid w:val="39160DB7"/>
    <w:rsid w:val="39396773"/>
    <w:rsid w:val="394C69E7"/>
    <w:rsid w:val="3AE931EA"/>
    <w:rsid w:val="3C5A58BF"/>
    <w:rsid w:val="3D127F47"/>
    <w:rsid w:val="3DBF3A9D"/>
    <w:rsid w:val="3E171CB9"/>
    <w:rsid w:val="3E57617D"/>
    <w:rsid w:val="3E965F19"/>
    <w:rsid w:val="3F676329"/>
    <w:rsid w:val="3FA24034"/>
    <w:rsid w:val="3FDB17EE"/>
    <w:rsid w:val="41412BA9"/>
    <w:rsid w:val="41727207"/>
    <w:rsid w:val="433D6BDD"/>
    <w:rsid w:val="43AA0EDA"/>
    <w:rsid w:val="44775260"/>
    <w:rsid w:val="45E958C2"/>
    <w:rsid w:val="46625A9C"/>
    <w:rsid w:val="48142DC6"/>
    <w:rsid w:val="48CE11C6"/>
    <w:rsid w:val="48F873C3"/>
    <w:rsid w:val="495E03EC"/>
    <w:rsid w:val="4A140E14"/>
    <w:rsid w:val="4A1B043B"/>
    <w:rsid w:val="4A282B58"/>
    <w:rsid w:val="4A83494B"/>
    <w:rsid w:val="4B4340EE"/>
    <w:rsid w:val="4B555BCF"/>
    <w:rsid w:val="4BC66D8F"/>
    <w:rsid w:val="4CDB0356"/>
    <w:rsid w:val="4D4B45BC"/>
    <w:rsid w:val="4DB12E65"/>
    <w:rsid w:val="4E115480"/>
    <w:rsid w:val="4E523723"/>
    <w:rsid w:val="4E5540CC"/>
    <w:rsid w:val="4E7B76FB"/>
    <w:rsid w:val="4ED25642"/>
    <w:rsid w:val="4F0B02F1"/>
    <w:rsid w:val="4F416B96"/>
    <w:rsid w:val="4FEC63D6"/>
    <w:rsid w:val="50A3118B"/>
    <w:rsid w:val="50B769E4"/>
    <w:rsid w:val="50C51101"/>
    <w:rsid w:val="50E61077"/>
    <w:rsid w:val="516A3A56"/>
    <w:rsid w:val="51AF017D"/>
    <w:rsid w:val="52974D1F"/>
    <w:rsid w:val="52A80CDA"/>
    <w:rsid w:val="535B75CD"/>
    <w:rsid w:val="53F73CC7"/>
    <w:rsid w:val="544B4013"/>
    <w:rsid w:val="544B7BAF"/>
    <w:rsid w:val="55AD6B1D"/>
    <w:rsid w:val="561072C2"/>
    <w:rsid w:val="563167DC"/>
    <w:rsid w:val="56A65531"/>
    <w:rsid w:val="56B440F1"/>
    <w:rsid w:val="56D848CE"/>
    <w:rsid w:val="56DF518E"/>
    <w:rsid w:val="57805D82"/>
    <w:rsid w:val="58044C05"/>
    <w:rsid w:val="58615BB3"/>
    <w:rsid w:val="58CE384C"/>
    <w:rsid w:val="58E97957"/>
    <w:rsid w:val="58F72073"/>
    <w:rsid w:val="590B3D71"/>
    <w:rsid w:val="5921524A"/>
    <w:rsid w:val="596D2336"/>
    <w:rsid w:val="5A184997"/>
    <w:rsid w:val="5A2443F3"/>
    <w:rsid w:val="5A4968FF"/>
    <w:rsid w:val="5AA004E9"/>
    <w:rsid w:val="5AB368DA"/>
    <w:rsid w:val="5B841BB9"/>
    <w:rsid w:val="5CAC5DFD"/>
    <w:rsid w:val="5CD1089B"/>
    <w:rsid w:val="5E6F08FE"/>
    <w:rsid w:val="5E6F4DA2"/>
    <w:rsid w:val="5E9A37EC"/>
    <w:rsid w:val="5E9B16F3"/>
    <w:rsid w:val="5EAB402C"/>
    <w:rsid w:val="5EE543DC"/>
    <w:rsid w:val="5F0B302D"/>
    <w:rsid w:val="5FEB66AA"/>
    <w:rsid w:val="60275934"/>
    <w:rsid w:val="60716BAF"/>
    <w:rsid w:val="60D96503"/>
    <w:rsid w:val="60E2116F"/>
    <w:rsid w:val="61774699"/>
    <w:rsid w:val="620036D7"/>
    <w:rsid w:val="62C05BCC"/>
    <w:rsid w:val="634467FD"/>
    <w:rsid w:val="63A4104A"/>
    <w:rsid w:val="63AE1EC8"/>
    <w:rsid w:val="63FE2D80"/>
    <w:rsid w:val="64713622"/>
    <w:rsid w:val="64C5396E"/>
    <w:rsid w:val="657E1D96"/>
    <w:rsid w:val="65BD394B"/>
    <w:rsid w:val="661204ED"/>
    <w:rsid w:val="664A36FF"/>
    <w:rsid w:val="66F70DFE"/>
    <w:rsid w:val="67087B42"/>
    <w:rsid w:val="677C3D6C"/>
    <w:rsid w:val="67AD0D27"/>
    <w:rsid w:val="67D0240D"/>
    <w:rsid w:val="690F71C7"/>
    <w:rsid w:val="69EC72A7"/>
    <w:rsid w:val="6A113E14"/>
    <w:rsid w:val="6A714E92"/>
    <w:rsid w:val="6AFE4BC5"/>
    <w:rsid w:val="6B297183"/>
    <w:rsid w:val="6B673A76"/>
    <w:rsid w:val="6C7531FE"/>
    <w:rsid w:val="6C9205D9"/>
    <w:rsid w:val="6D0A4613"/>
    <w:rsid w:val="6D5B09CB"/>
    <w:rsid w:val="6D761CA9"/>
    <w:rsid w:val="6D9E2FAE"/>
    <w:rsid w:val="6DFB3F5C"/>
    <w:rsid w:val="6E5B49FB"/>
    <w:rsid w:val="6EF56BFD"/>
    <w:rsid w:val="6F1654F2"/>
    <w:rsid w:val="6F6E431D"/>
    <w:rsid w:val="6F8710DE"/>
    <w:rsid w:val="6FBB7E47"/>
    <w:rsid w:val="72DF3E4C"/>
    <w:rsid w:val="73CD639B"/>
    <w:rsid w:val="746A1E3C"/>
    <w:rsid w:val="75BA46FD"/>
    <w:rsid w:val="779C40BA"/>
    <w:rsid w:val="77DA2E34"/>
    <w:rsid w:val="782A5B6A"/>
    <w:rsid w:val="7849788F"/>
    <w:rsid w:val="787768D5"/>
    <w:rsid w:val="78A3770E"/>
    <w:rsid w:val="78D87374"/>
    <w:rsid w:val="79101DAE"/>
    <w:rsid w:val="79E41D48"/>
    <w:rsid w:val="7A9750AD"/>
    <w:rsid w:val="7AD85D51"/>
    <w:rsid w:val="7BA75723"/>
    <w:rsid w:val="7BD5403F"/>
    <w:rsid w:val="7CD673E6"/>
    <w:rsid w:val="7D943A85"/>
    <w:rsid w:val="7DAC5273"/>
    <w:rsid w:val="7E7502B2"/>
    <w:rsid w:val="7EF40C80"/>
    <w:rsid w:val="7FB34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semiHidden/>
    <w:unhideWhenUsed/>
    <w:qFormat/>
    <w:uiPriority w:val="0"/>
    <w:pPr>
      <w:keepNext/>
      <w:keepLines/>
      <w:spacing w:before="120" w:after="120"/>
      <w:outlineLvl w:val="1"/>
    </w:pPr>
    <w:rPr>
      <w:rFonts w:ascii="Arial" w:hAnsi="Arial" w:eastAsia="仿宋"/>
      <w:b/>
      <w:sz w:val="28"/>
    </w:rPr>
  </w:style>
  <w:style w:type="paragraph" w:styleId="4">
    <w:name w:val="heading 3"/>
    <w:basedOn w:val="1"/>
    <w:next w:val="1"/>
    <w:semiHidden/>
    <w:unhideWhenUsed/>
    <w:qFormat/>
    <w:uiPriority w:val="0"/>
    <w:pPr>
      <w:keepNext/>
      <w:keepLines/>
      <w:spacing w:before="260" w:after="260" w:line="413" w:lineRule="auto"/>
      <w:outlineLvl w:val="2"/>
    </w:pPr>
    <w:rPr>
      <w:rFonts w:cs="宋体"/>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a heading"/>
    <w:basedOn w:val="1"/>
    <w:next w:val="1"/>
    <w:qFormat/>
    <w:uiPriority w:val="99"/>
    <w:pPr>
      <w:spacing w:before="120" w:line="252" w:lineRule="auto"/>
      <w:ind w:firstLine="640"/>
    </w:pPr>
    <w:rPr>
      <w:rFonts w:ascii="Arial" w:hAnsi="Arial"/>
    </w:rPr>
  </w:style>
  <w:style w:type="paragraph" w:styleId="6">
    <w:name w:val="Body Text"/>
    <w:basedOn w:val="1"/>
    <w:next w:val="7"/>
    <w:qFormat/>
    <w:uiPriority w:val="99"/>
  </w:style>
  <w:style w:type="paragraph" w:styleId="7">
    <w:name w:val="Intense Quote"/>
    <w:next w:val="1"/>
    <w:qFormat/>
    <w:uiPriority w:val="0"/>
    <w:pPr>
      <w:wordWrap w:val="0"/>
      <w:spacing w:before="360" w:after="360"/>
      <w:ind w:left="950" w:right="950"/>
      <w:jc w:val="center"/>
    </w:pPr>
    <w:rPr>
      <w:rFonts w:ascii="宋体" w:hAnsi="宋体" w:eastAsia="Times New Roman" w:cs="Times New Roman"/>
      <w:i/>
      <w:sz w:val="21"/>
      <w:lang w:val="en-US" w:eastAsia="zh-CN" w:bidi="ar-SA"/>
    </w:rPr>
  </w:style>
  <w:style w:type="paragraph" w:styleId="8">
    <w:name w:val="toc 3"/>
    <w:basedOn w:val="1"/>
    <w:next w:val="1"/>
    <w:qFormat/>
    <w:uiPriority w:val="0"/>
    <w:pPr>
      <w:ind w:left="840" w:leftChars="400"/>
    </w:pPr>
  </w:style>
  <w:style w:type="paragraph" w:styleId="9">
    <w:name w:val="footer"/>
    <w:basedOn w:val="1"/>
    <w:link w:val="29"/>
    <w:qFormat/>
    <w:uiPriority w:val="0"/>
    <w:pPr>
      <w:tabs>
        <w:tab w:val="center" w:pos="4153"/>
        <w:tab w:val="right" w:pos="8306"/>
      </w:tabs>
      <w:snapToGrid w:val="0"/>
      <w:jc w:val="left"/>
    </w:pPr>
    <w:rPr>
      <w:sz w:val="18"/>
      <w:szCs w:val="18"/>
    </w:rPr>
  </w:style>
  <w:style w:type="paragraph" w:styleId="10">
    <w:name w:val="header"/>
    <w:basedOn w:val="1"/>
    <w:link w:val="28"/>
    <w:qFormat/>
    <w:uiPriority w:val="0"/>
    <w:pPr>
      <w:tabs>
        <w:tab w:val="center" w:pos="4153"/>
        <w:tab w:val="right" w:pos="8306"/>
      </w:tabs>
      <w:snapToGrid w:val="0"/>
      <w:jc w:val="center"/>
    </w:pPr>
    <w:rPr>
      <w:sz w:val="18"/>
      <w:szCs w:val="18"/>
    </w:rPr>
  </w:style>
  <w:style w:type="paragraph" w:styleId="11">
    <w:name w:val="Title"/>
    <w:basedOn w:val="1"/>
    <w:qFormat/>
    <w:uiPriority w:val="0"/>
    <w:pPr>
      <w:spacing w:before="240" w:after="60"/>
      <w:jc w:val="center"/>
      <w:outlineLvl w:val="0"/>
    </w:pPr>
    <w:rPr>
      <w:rFonts w:ascii="Arial" w:hAnsi="Arial"/>
      <w:b/>
      <w:sz w:val="32"/>
    </w:rPr>
  </w:style>
  <w:style w:type="paragraph" w:customStyle="1" w:styleId="14">
    <w:name w:val="标题1"/>
    <w:basedOn w:val="2"/>
    <w:qFormat/>
    <w:uiPriority w:val="0"/>
    <w:rPr>
      <w:rFonts w:hint="eastAsia" w:ascii="黑体" w:hAnsi="黑体" w:eastAsia="黑体" w:cs="黑体"/>
      <w:kern w:val="2"/>
      <w:sz w:val="32"/>
      <w:szCs w:val="32"/>
    </w:rPr>
  </w:style>
  <w:style w:type="paragraph" w:customStyle="1" w:styleId="15">
    <w:name w:val="2标题"/>
    <w:basedOn w:val="11"/>
    <w:qFormat/>
    <w:uiPriority w:val="0"/>
    <w:pPr>
      <w:keepNext/>
      <w:keepLines/>
      <w:spacing w:after="240" w:line="500" w:lineRule="exact"/>
      <w:outlineLvl w:val="1"/>
    </w:pPr>
    <w:rPr>
      <w:rFonts w:hint="eastAsia" w:ascii="仿宋" w:hAnsi="仿宋" w:eastAsia="仿宋" w:cs="Arial"/>
      <w:bCs/>
      <w:color w:val="FF0000"/>
      <w:kern w:val="0"/>
      <w:szCs w:val="32"/>
    </w:rPr>
  </w:style>
  <w:style w:type="paragraph" w:customStyle="1" w:styleId="16">
    <w:name w:val="3标题"/>
    <w:basedOn w:val="11"/>
    <w:qFormat/>
    <w:uiPriority w:val="0"/>
    <w:pPr>
      <w:adjustRightInd w:val="0"/>
      <w:snapToGrid w:val="0"/>
      <w:spacing w:line="360" w:lineRule="auto"/>
      <w:ind w:firstLine="560" w:firstLineChars="200"/>
      <w:jc w:val="left"/>
      <w:outlineLvl w:val="2"/>
    </w:pPr>
    <w:rPr>
      <w:rFonts w:hint="eastAsia" w:ascii="仿宋" w:hAnsi="仿宋" w:eastAsia="仿宋" w:cs="楷体"/>
      <w:bCs/>
      <w:kern w:val="0"/>
      <w:szCs w:val="32"/>
    </w:rPr>
  </w:style>
  <w:style w:type="paragraph" w:customStyle="1" w:styleId="17">
    <w:name w:val="正文表格表头"/>
    <w:basedOn w:val="1"/>
    <w:qFormat/>
    <w:uiPriority w:val="0"/>
    <w:pPr>
      <w:snapToGrid w:val="0"/>
      <w:jc w:val="center"/>
    </w:pPr>
    <w:rPr>
      <w:rFonts w:hint="eastAsia" w:ascii="仿宋" w:hAnsi="仿宋" w:eastAsia="仿宋" w:cs="仿宋"/>
      <w:b/>
      <w:bCs/>
      <w:color w:val="000000" w:themeColor="text1"/>
      <w:kern w:val="0"/>
      <w:szCs w:val="21"/>
      <w14:textFill>
        <w14:solidFill>
          <w14:schemeClr w14:val="tx1"/>
        </w14:solidFill>
      </w14:textFill>
    </w:rPr>
  </w:style>
  <w:style w:type="paragraph" w:customStyle="1" w:styleId="18">
    <w:name w:val="正文表格"/>
    <w:basedOn w:val="1"/>
    <w:qFormat/>
    <w:uiPriority w:val="0"/>
    <w:pPr>
      <w:snapToGrid w:val="0"/>
      <w:jc w:val="left"/>
    </w:pPr>
    <w:rPr>
      <w:rFonts w:hint="eastAsia" w:ascii="仿宋" w:hAnsi="仿宋" w:eastAsia="仿宋" w:cs="仿宋"/>
      <w:szCs w:val="21"/>
    </w:rPr>
  </w:style>
  <w:style w:type="paragraph" w:customStyle="1" w:styleId="19">
    <w:name w:val="样式1"/>
    <w:basedOn w:val="1"/>
    <w:next w:val="1"/>
    <w:qFormat/>
    <w:uiPriority w:val="0"/>
    <w:pPr>
      <w:keepNext/>
      <w:keepLines/>
      <w:ind w:firstLine="482"/>
      <w:outlineLvl w:val="2"/>
    </w:pPr>
    <w:rPr>
      <w:rFonts w:eastAsia="仿宋"/>
      <w:b/>
      <w:sz w:val="28"/>
    </w:rPr>
  </w:style>
  <w:style w:type="paragraph" w:customStyle="1" w:styleId="20">
    <w:name w:val="三（三）标题"/>
    <w:basedOn w:val="1"/>
    <w:next w:val="1"/>
    <w:qFormat/>
    <w:uiPriority w:val="0"/>
    <w:pPr>
      <w:keepNext/>
      <w:keepLines/>
      <w:ind w:firstLine="482"/>
      <w:outlineLvl w:val="2"/>
    </w:pPr>
    <w:rPr>
      <w:rFonts w:eastAsia="仿宋"/>
      <w:b/>
      <w:sz w:val="28"/>
    </w:rPr>
  </w:style>
  <w:style w:type="paragraph" w:customStyle="1" w:styleId="21">
    <w:name w:val="表格3"/>
    <w:basedOn w:val="1"/>
    <w:qFormat/>
    <w:uiPriority w:val="0"/>
    <w:pPr>
      <w:keepNext/>
      <w:keepLines/>
      <w:snapToGrid w:val="0"/>
      <w:outlineLvl w:val="2"/>
    </w:pPr>
    <w:rPr>
      <w:rFonts w:hint="eastAsia" w:ascii="微软雅黑" w:hAnsi="微软雅黑" w:eastAsia="微软雅黑" w:cs="微软雅黑"/>
      <w:sz w:val="28"/>
      <w:szCs w:val="28"/>
    </w:rPr>
  </w:style>
  <w:style w:type="paragraph" w:customStyle="1" w:styleId="22">
    <w:name w:val="表格1"/>
    <w:basedOn w:val="1"/>
    <w:qFormat/>
    <w:uiPriority w:val="0"/>
    <w:pPr>
      <w:keepNext/>
      <w:keepLines/>
      <w:outlineLvl w:val="2"/>
    </w:pPr>
    <w:rPr>
      <w:rFonts w:hint="eastAsia" w:ascii="黑体" w:hAnsi="黑体" w:eastAsia="黑体" w:cs="黑体"/>
      <w:b/>
      <w:bCs/>
      <w:sz w:val="32"/>
      <w:szCs w:val="32"/>
    </w:rPr>
  </w:style>
  <w:style w:type="paragraph" w:customStyle="1" w:styleId="23">
    <w:name w:val="表格2"/>
    <w:basedOn w:val="1"/>
    <w:qFormat/>
    <w:uiPriority w:val="0"/>
    <w:pPr>
      <w:keepNext/>
      <w:keepLines/>
      <w:outlineLvl w:val="2"/>
    </w:pPr>
    <w:rPr>
      <w:rFonts w:hint="eastAsia" w:ascii="宋体" w:hAnsi="宋体" w:eastAsia="宋体" w:cs="Times New Roman"/>
      <w:b/>
      <w:bCs/>
      <w:sz w:val="32"/>
      <w:szCs w:val="32"/>
    </w:rPr>
  </w:style>
  <w:style w:type="paragraph" w:customStyle="1" w:styleId="24">
    <w:name w:val="表正文"/>
    <w:basedOn w:val="1"/>
    <w:qFormat/>
    <w:uiPriority w:val="0"/>
    <w:pPr>
      <w:snapToGrid w:val="0"/>
      <w:jc w:val="left"/>
    </w:pPr>
    <w:rPr>
      <w:rFonts w:hint="eastAsia" w:ascii="仿宋" w:hAnsi="仿宋" w:eastAsia="宋体" w:cs="仿宋"/>
      <w:sz w:val="24"/>
      <w:szCs w:val="21"/>
    </w:rPr>
  </w:style>
  <w:style w:type="paragraph" w:customStyle="1" w:styleId="25">
    <w:name w:val="1.1.1"/>
    <w:basedOn w:val="8"/>
    <w:qFormat/>
    <w:uiPriority w:val="0"/>
    <w:pPr>
      <w:widowControl/>
      <w:ind w:firstLine="640" w:firstLineChars="200"/>
      <w:jc w:val="left"/>
    </w:pPr>
    <w:rPr>
      <w:rFonts w:hint="eastAsia" w:ascii="仿宋" w:hAnsi="仿宋" w:eastAsia="仿宋" w:cs="仿宋"/>
      <w:color w:val="191919"/>
      <w:kern w:val="0"/>
      <w:sz w:val="32"/>
      <w:szCs w:val="32"/>
      <w:shd w:val="clear" w:color="auto" w:fill="FFFFFF"/>
    </w:rPr>
  </w:style>
  <w:style w:type="paragraph" w:customStyle="1" w:styleId="26">
    <w:name w:val="标题一"/>
    <w:basedOn w:val="1"/>
    <w:qFormat/>
    <w:uiPriority w:val="0"/>
    <w:pPr>
      <w:jc w:val="left"/>
      <w:outlineLvl w:val="0"/>
    </w:pPr>
    <w:rPr>
      <w:rFonts w:ascii="黑体" w:hAnsi="黑体" w:eastAsia="黑体" w:cs="黑体"/>
      <w:sz w:val="32"/>
      <w:szCs w:val="32"/>
    </w:rPr>
  </w:style>
  <w:style w:type="paragraph" w:styleId="27">
    <w:name w:val="List Paragraph"/>
    <w:basedOn w:val="1"/>
    <w:unhideWhenUsed/>
    <w:qFormat/>
    <w:uiPriority w:val="99"/>
    <w:pPr>
      <w:ind w:firstLine="420" w:firstLineChars="200"/>
    </w:pPr>
  </w:style>
  <w:style w:type="character" w:customStyle="1" w:styleId="28">
    <w:name w:val="页眉 字符"/>
    <w:basedOn w:val="13"/>
    <w:link w:val="10"/>
    <w:qFormat/>
    <w:uiPriority w:val="0"/>
    <w:rPr>
      <w:kern w:val="2"/>
      <w:sz w:val="18"/>
      <w:szCs w:val="18"/>
    </w:rPr>
  </w:style>
  <w:style w:type="character" w:customStyle="1" w:styleId="29">
    <w:name w:val="页脚 字符"/>
    <w:basedOn w:val="13"/>
    <w:link w:val="9"/>
    <w:qFormat/>
    <w:uiPriority w:val="0"/>
    <w:rPr>
      <w:kern w:val="2"/>
      <w:sz w:val="18"/>
      <w:szCs w:val="18"/>
    </w:rPr>
  </w:style>
  <w:style w:type="paragraph" w:customStyle="1" w:styleId="30">
    <w:name w:val="Revision"/>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31">
    <w:name w:val="Default"/>
    <w:qFormat/>
    <w:uiPriority w:val="0"/>
    <w:pPr>
      <w:widowControl w:val="0"/>
      <w:autoSpaceDE w:val="0"/>
      <w:autoSpaceDN w:val="0"/>
      <w:adjustRightInd w:val="0"/>
      <w:spacing w:line="360" w:lineRule="exact"/>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3313</Words>
  <Characters>3719</Characters>
  <Lines>110</Lines>
  <Paragraphs>78</Paragraphs>
  <TotalTime>1</TotalTime>
  <ScaleCrop>false</ScaleCrop>
  <LinksUpToDate>false</LinksUpToDate>
  <CharactersWithSpaces>3828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2026-01-08T03:46:00Z</dcterms:created>
  <dc:creator>会员部</dc:creator>
  <cp:lastModifiedBy>汪广涛</cp:lastModifiedBy>
  <dcterms:modified xsi:type="dcterms:W3CDTF">2026-08-24T07:01:20Z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8EDF9F4E4A9C4190A9CA688F6A2196D5_13</vt:lpwstr>
  </property>
  <property fmtid="{D5CDD505-2E9C-101B-9397-08002B2CF9AE}" pid="4" name="KSOTemplateDocerSaveRecord">
    <vt:lpwstr>eyJoZGlkIjoiMjdkNjAwMjc0ZGRhMTE2ODAzODAwNTI2NDI1NzczZmUiLCJ1c2VySWQiOiIxMjEwMTI1MDE1In0=</vt:lpwstr>
  </property>
</Properties>
</file>