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ADA66">
      <w:pPr>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207F647A">
      <w:pPr>
        <w:widowControl/>
        <w:jc w:val="center"/>
        <w:rPr>
          <w:rFonts w:hint="eastAsia" w:ascii="方正小标宋简体" w:hAnsi="方正小标宋简体" w:eastAsia="方正小标宋简体" w:cs="方正小标宋简体"/>
          <w:b w:val="0"/>
          <w:bCs w:val="0"/>
          <w:color w:val="000000"/>
          <w:kern w:val="0"/>
          <w:sz w:val="44"/>
          <w:szCs w:val="44"/>
          <w:lang w:val="en-US" w:eastAsia="zh-CN" w:bidi="ar"/>
        </w:rPr>
      </w:pPr>
    </w:p>
    <w:p w14:paraId="2D385398">
      <w:pPr>
        <w:widowControl/>
        <w:jc w:val="center"/>
        <w:rPr>
          <w:rFonts w:hint="eastAsia" w:ascii="方正小标宋简体" w:hAnsi="方正小标宋简体" w:eastAsia="方正小标宋简体" w:cs="方正小标宋简体"/>
          <w:b w:val="0"/>
          <w:bCs w:val="0"/>
          <w:color w:val="000000"/>
          <w:kern w:val="0"/>
          <w:sz w:val="44"/>
          <w:szCs w:val="44"/>
          <w:lang w:val="en-US" w:eastAsia="zh-CN" w:bidi="ar"/>
        </w:rPr>
      </w:pPr>
    </w:p>
    <w:p w14:paraId="238C93A2">
      <w:pPr>
        <w:widowControl/>
        <w:jc w:val="center"/>
        <w:rPr>
          <w:rFonts w:hint="eastAsia" w:ascii="方正小标宋简体" w:hAnsi="方正小标宋简体" w:eastAsia="方正小标宋简体" w:cs="方正小标宋简体"/>
          <w:b w:val="0"/>
          <w:bCs w:val="0"/>
          <w:color w:val="000000"/>
          <w:kern w:val="0"/>
          <w:sz w:val="44"/>
          <w:szCs w:val="44"/>
          <w:lang w:val="en-US" w:eastAsia="zh-CN" w:bidi="ar"/>
        </w:rPr>
      </w:pPr>
      <w:r>
        <w:rPr>
          <w:rFonts w:hint="eastAsia" w:ascii="方正小标宋简体" w:hAnsi="方正小标宋简体" w:eastAsia="方正小标宋简体" w:cs="方正小标宋简体"/>
          <w:b w:val="0"/>
          <w:bCs w:val="0"/>
          <w:color w:val="000000"/>
          <w:kern w:val="0"/>
          <w:sz w:val="44"/>
          <w:szCs w:val="44"/>
          <w:lang w:val="en-US" w:eastAsia="zh-CN" w:bidi="ar"/>
        </w:rPr>
        <w:t>中国电力建设企业协会</w:t>
      </w:r>
      <w:r>
        <w:rPr>
          <w:rFonts w:hint="eastAsia" w:ascii="方正小标宋简体" w:hAnsi="方正小标宋简体" w:eastAsia="方正小标宋简体" w:cs="方正小标宋简体"/>
          <w:color w:val="000000"/>
          <w:kern w:val="0"/>
          <w:sz w:val="44"/>
          <w:szCs w:val="44"/>
          <w:lang w:bidi="ar"/>
        </w:rPr>
        <w:t>《</w:t>
      </w:r>
      <w:r>
        <w:rPr>
          <w:rFonts w:hint="eastAsia" w:ascii="方正小标宋简体" w:hAnsi="方正小标宋简体" w:eastAsia="方正小标宋简体" w:cs="方正小标宋简体"/>
          <w:b w:val="0"/>
          <w:bCs w:val="0"/>
          <w:color w:val="000000"/>
          <w:kern w:val="0"/>
          <w:sz w:val="44"/>
          <w:szCs w:val="44"/>
          <w:lang w:val="en-US" w:eastAsia="zh-CN" w:bidi="ar"/>
        </w:rPr>
        <w:t>调相机安装及验收规范</w:t>
      </w:r>
      <w:r>
        <w:rPr>
          <w:rFonts w:hint="eastAsia" w:ascii="方正小标宋简体" w:hAnsi="方正小标宋简体" w:eastAsia="方正小标宋简体" w:cs="方正小标宋简体"/>
          <w:color w:val="000000"/>
          <w:kern w:val="0"/>
          <w:sz w:val="44"/>
          <w:szCs w:val="44"/>
          <w:lang w:bidi="ar"/>
        </w:rPr>
        <w:t>》</w:t>
      </w:r>
      <w:r>
        <w:rPr>
          <w:rFonts w:hint="eastAsia" w:ascii="方正小标宋简体" w:hAnsi="方正小标宋简体" w:eastAsia="方正小标宋简体" w:cs="方正小标宋简体"/>
          <w:b w:val="0"/>
          <w:bCs w:val="0"/>
          <w:color w:val="000000"/>
          <w:kern w:val="0"/>
          <w:sz w:val="44"/>
          <w:szCs w:val="44"/>
          <w:lang w:val="en-US" w:eastAsia="zh-CN" w:bidi="ar"/>
        </w:rPr>
        <w:t>标准编制说明</w:t>
      </w:r>
    </w:p>
    <w:p w14:paraId="04F90B92">
      <w:pPr>
        <w:ind w:firstLine="0" w:firstLineChars="0"/>
        <w:outlineLvl w:val="9"/>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br w:type="page"/>
      </w:r>
    </w:p>
    <w:sdt>
      <w:sdtPr>
        <w:rPr>
          <w:rFonts w:hint="default" w:ascii="宋体" w:hAnsi="宋体" w:eastAsia="宋体" w:cstheme="minorBidi"/>
          <w:kern w:val="2"/>
          <w:sz w:val="21"/>
          <w:szCs w:val="24"/>
          <w:lang w:val="en-US" w:eastAsia="zh-CN" w:bidi="ar-SA"/>
        </w:rPr>
        <w:id w:val="147461872"/>
        <w15:color w:val="DBDBDB"/>
        <w:docPartObj>
          <w:docPartGallery w:val="Table of Contents"/>
          <w:docPartUnique/>
        </w:docPartObj>
      </w:sdtPr>
      <w:sdtEndPr>
        <w:rPr>
          <w:rFonts w:hint="default" w:ascii="仿宋_GB2312" w:hAnsi="仿宋_GB2312" w:eastAsia="仿宋_GB2312" w:cs="仿宋_GB2312"/>
          <w:kern w:val="2"/>
          <w:sz w:val="32"/>
          <w:szCs w:val="32"/>
          <w:lang w:val="en-US" w:eastAsia="zh-CN" w:bidi="ar-SA"/>
        </w:rPr>
      </w:sdtEndPr>
      <w:sdtContent>
        <w:p w14:paraId="3518671B">
          <w:pPr>
            <w:spacing w:before="0" w:beforeLines="0" w:after="0" w:afterLines="0" w:line="240" w:lineRule="auto"/>
            <w:ind w:left="0" w:leftChars="0" w:right="0" w:rightChars="0" w:firstLine="0" w:firstLineChars="0"/>
            <w:jc w:val="center"/>
            <w:rPr>
              <w:rFonts w:hint="eastAsia" w:ascii="仿宋_GB2312" w:hAnsi="宋体" w:eastAsia="仿宋_GB2312" w:cs="Times New Roman"/>
              <w:b/>
              <w:bCs/>
              <w:sz w:val="32"/>
              <w:szCs w:val="32"/>
              <w:lang w:val="en-US"/>
            </w:rPr>
          </w:pPr>
          <w:r>
            <w:rPr>
              <w:rFonts w:hint="eastAsia" w:ascii="仿宋_GB2312" w:hAnsi="宋体" w:eastAsia="仿宋_GB2312" w:cs="Times New Roman"/>
              <w:b/>
              <w:bCs/>
              <w:kern w:val="2"/>
              <w:sz w:val="32"/>
              <w:szCs w:val="32"/>
              <w:lang w:val="en-US" w:eastAsia="zh-CN" w:bidi="ar-SA"/>
            </w:rPr>
            <w:t>目  次</w:t>
          </w:r>
        </w:p>
        <w:p w14:paraId="73F4C824">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TOC \o "1-2" \h \u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_Toc16781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1.</w:t>
          </w:r>
          <w:r>
            <w:rPr>
              <w:rFonts w:hint="default" w:ascii="仿宋_GB2312" w:hAnsi="仿宋_GB2312" w:eastAsia="仿宋_GB2312" w:cs="仿宋_GB2312"/>
              <w:bCs w:val="0"/>
              <w:sz w:val="32"/>
              <w:szCs w:val="32"/>
            </w:rPr>
            <w:t>工作简况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_Toc16781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4CAC3E1B">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_Toc15632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1.1</w:t>
          </w:r>
          <w:r>
            <w:rPr>
              <w:rFonts w:hint="default" w:ascii="仿宋_GB2312" w:hAnsi="仿宋_GB2312" w:eastAsia="仿宋_GB2312" w:cs="仿宋_GB2312"/>
              <w:sz w:val="32"/>
              <w:szCs w:val="32"/>
            </w:rPr>
            <w:t>任务来源</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_Toc15632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1131869F">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_Toc31680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1.2起草主体和起草分工</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_Toc31680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4BE93F17">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_Toc29175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1.3起草过程</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_Toc29175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2</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33CD35BC">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_Toc26287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2.立项的必要性</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_Toc26287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2</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36A11F2B">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_Toc30684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3.</w:t>
          </w:r>
          <w:r>
            <w:rPr>
              <w:rFonts w:hint="default" w:ascii="仿宋_GB2312" w:hAnsi="仿宋_GB2312" w:eastAsia="仿宋_GB2312" w:cs="仿宋_GB2312"/>
              <w:bCs w:val="0"/>
              <w:sz w:val="32"/>
              <w:szCs w:val="32"/>
            </w:rPr>
            <w:t>编制原则、主要内容及其确定依据</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_Toc30684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4</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4F88C264">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_Toc22023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3.1标准编制原则</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_Toc22023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4</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2B8367B8">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_Toc10076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3.2标准的主要内容</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_Toc10076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5</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60FF5EAA">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_Toc19726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3.3编制依据</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_Toc19726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6</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5E3076AD">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_Toc14170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4.与有关法律、行政法规及相关标准的关系</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_Toc14170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7</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0DC17882">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_Toc11518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5.</w:t>
          </w:r>
          <w:r>
            <w:rPr>
              <w:rFonts w:hint="default" w:ascii="仿宋_GB2312" w:hAnsi="仿宋_GB2312" w:eastAsia="仿宋_GB2312" w:cs="仿宋_GB2312"/>
              <w:bCs w:val="0"/>
              <w:sz w:val="32"/>
              <w:szCs w:val="32"/>
            </w:rPr>
            <w:t>标准的先进性与特色性</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_Toc11518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7</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33950A20">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_Toc6756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5.1先进性体现</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_Toc6756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7</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55C573E0">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_Toc25455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5.2经济合理</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_Toc25455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8</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27AFF7E1">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_Toc8200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5.3特色性体现</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_Toc8200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8</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4D56A55D">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_Toc186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6.标</w:t>
          </w:r>
          <w:r>
            <w:rPr>
              <w:rFonts w:hint="default" w:ascii="仿宋_GB2312" w:hAnsi="仿宋_GB2312" w:eastAsia="仿宋_GB2312" w:cs="仿宋_GB2312"/>
              <w:bCs w:val="0"/>
              <w:sz w:val="32"/>
              <w:szCs w:val="32"/>
            </w:rPr>
            <w:t>准调研、研讨及征求意见情况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_Toc186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9</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5D056359">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_Toc16926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eastAsia="zh-CN"/>
            </w:rPr>
            <w:t>6</w:t>
          </w:r>
          <w:r>
            <w:rPr>
              <w:rFonts w:hint="default"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rPr>
            <w:t>调研阶段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_Toc16926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9</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248EB0C6">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_Toc7862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6.2</w:t>
          </w:r>
          <w:r>
            <w:rPr>
              <w:rFonts w:hint="default" w:ascii="仿宋_GB2312" w:hAnsi="仿宋_GB2312" w:eastAsia="仿宋_GB2312" w:cs="仿宋_GB2312"/>
              <w:sz w:val="32"/>
              <w:szCs w:val="32"/>
            </w:rPr>
            <w:t>研讨阶段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_Toc7862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10</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0710CBC3">
          <w:pPr>
            <w:pStyle w:val="12"/>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_Toc1296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sz w:val="32"/>
              <w:szCs w:val="32"/>
              <w:lang w:val="en-US" w:eastAsia="zh-CN"/>
            </w:rPr>
            <w:t>6.3</w:t>
          </w:r>
          <w:r>
            <w:rPr>
              <w:rFonts w:hint="default" w:ascii="仿宋_GB2312" w:hAnsi="仿宋_GB2312" w:eastAsia="仿宋_GB2312" w:cs="仿宋_GB2312"/>
              <w:sz w:val="32"/>
              <w:szCs w:val="32"/>
            </w:rPr>
            <w:t>征求意见阶段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_Toc1296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10</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5858EF64">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_Toc590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7.</w:t>
          </w:r>
          <w:r>
            <w:rPr>
              <w:rFonts w:hint="default" w:ascii="仿宋_GB2312" w:hAnsi="仿宋_GB2312" w:eastAsia="仿宋_GB2312" w:cs="仿宋_GB2312"/>
              <w:bCs w:val="0"/>
              <w:sz w:val="32"/>
              <w:szCs w:val="32"/>
            </w:rPr>
            <w:t>技术指标设置的科学性与可行性</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_Toc590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10</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1F409147">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_Toc19360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8</w:t>
          </w:r>
          <w:r>
            <w:rPr>
              <w:rFonts w:hint="default" w:ascii="仿宋_GB2312" w:hAnsi="仿宋_GB2312" w:eastAsia="仿宋_GB2312" w:cs="仿宋_GB2312"/>
              <w:bCs w:val="0"/>
              <w:sz w:val="32"/>
              <w:szCs w:val="32"/>
            </w:rPr>
            <w:t>.与国内外同类标准对比及采标情况</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_Toc19360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12</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133BCC18">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_Toc30389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9.</w:t>
          </w:r>
          <w:r>
            <w:rPr>
              <w:rFonts w:hint="default" w:ascii="仿宋_GB2312" w:hAnsi="仿宋_GB2312" w:eastAsia="仿宋_GB2312" w:cs="仿宋_GB2312"/>
              <w:bCs w:val="0"/>
              <w:sz w:val="32"/>
              <w:szCs w:val="32"/>
            </w:rPr>
            <w:t>涉及专利的有关说明</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_Toc30389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13</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2EF9A6C4">
          <w:pPr>
            <w:pStyle w:val="11"/>
            <w:tabs>
              <w:tab w:val="right" w:leader="dot" w:pos="8306"/>
            </w:tabs>
            <w:spacing w:line="240" w:lineRule="atLeast"/>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\l _Toc16842 </w:instrText>
          </w:r>
          <w:r>
            <w:rPr>
              <w:rFonts w:ascii="仿宋_GB2312" w:hAnsi="仿宋_GB2312" w:eastAsia="仿宋_GB2312" w:cs="仿宋_GB2312"/>
              <w:sz w:val="32"/>
              <w:szCs w:val="32"/>
            </w:rPr>
            <w:fldChar w:fldCharType="separate"/>
          </w:r>
          <w:r>
            <w:rPr>
              <w:rFonts w:hint="default" w:ascii="仿宋_GB2312" w:hAnsi="仿宋_GB2312" w:eastAsia="仿宋_GB2312" w:cs="仿宋_GB2312"/>
              <w:bCs w:val="0"/>
              <w:sz w:val="32"/>
              <w:szCs w:val="32"/>
              <w:lang w:val="en-US" w:eastAsia="zh-CN"/>
            </w:rPr>
            <w:t>10.其他应当说明的事项</w:t>
          </w:r>
          <w:r>
            <w:rPr>
              <w:rFonts w:ascii="仿宋_GB2312" w:hAnsi="仿宋_GB2312" w:eastAsia="仿宋_GB2312" w:cs="仿宋_GB2312"/>
              <w:sz w:val="32"/>
              <w:szCs w:val="32"/>
            </w:rPr>
            <w:tab/>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PAGEREF _Toc16842 \h </w:instrText>
          </w:r>
          <w:r>
            <w:rPr>
              <w:rFonts w:ascii="仿宋_GB2312" w:hAnsi="仿宋_GB2312" w:eastAsia="仿宋_GB2312" w:cs="仿宋_GB2312"/>
              <w:sz w:val="32"/>
              <w:szCs w:val="32"/>
            </w:rPr>
            <w:fldChar w:fldCharType="separate"/>
          </w:r>
          <w:r>
            <w:rPr>
              <w:rFonts w:ascii="仿宋_GB2312" w:hAnsi="仿宋_GB2312" w:eastAsia="仿宋_GB2312" w:cs="仿宋_GB2312"/>
              <w:sz w:val="32"/>
              <w:szCs w:val="32"/>
            </w:rPr>
            <w:t>13</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fldChar w:fldCharType="end"/>
          </w:r>
        </w:p>
        <w:p w14:paraId="5DBF5124">
          <w:pPr>
            <w:spacing w:line="240" w:lineRule="atLeast"/>
            <w:rPr>
              <w:rFonts w:ascii="仿宋_GB2312" w:hAnsi="仿宋_GB2312" w:eastAsia="仿宋_GB2312" w:cs="仿宋_GB2312"/>
              <w:kern w:val="2"/>
              <w:sz w:val="32"/>
              <w:szCs w:val="32"/>
              <w:lang w:val="en-US" w:eastAsia="zh-CN" w:bidi="ar-SA"/>
            </w:rPr>
          </w:pPr>
          <w:r>
            <w:rPr>
              <w:rFonts w:ascii="仿宋_GB2312" w:hAnsi="仿宋_GB2312" w:eastAsia="仿宋_GB2312" w:cs="仿宋_GB2312"/>
              <w:kern w:val="2"/>
              <w:sz w:val="32"/>
              <w:szCs w:val="32"/>
              <w:lang w:val="en-US" w:eastAsia="zh-CN" w:bidi="ar-SA"/>
            </w:rPr>
            <w:fldChar w:fldCharType="end"/>
          </w:r>
        </w:p>
      </w:sdtContent>
    </w:sdt>
    <w:p w14:paraId="380CA68C"/>
    <w:p w14:paraId="04FFE61B">
      <w:pPr>
        <w:ind w:firstLine="643" w:firstLineChars="200"/>
        <w:outlineLvl w:val="0"/>
        <w:rPr>
          <w:rFonts w:hint="eastAsia" w:ascii="Times New Roman" w:hAnsi="Times New Roman" w:eastAsia="仿宋_GB2312" w:cs="Times New Roman"/>
          <w:b/>
          <w:bCs/>
          <w:sz w:val="32"/>
          <w:szCs w:val="32"/>
          <w:lang w:val="en-US" w:eastAsia="zh-CN"/>
        </w:rPr>
        <w:sectPr>
          <w:pgSz w:w="11906" w:h="16838"/>
          <w:pgMar w:top="1440" w:right="1800" w:bottom="1440" w:left="1800" w:header="851" w:footer="992" w:gutter="0"/>
          <w:cols w:space="425" w:num="1"/>
          <w:docGrid w:type="lines" w:linePitch="312" w:charSpace="0"/>
        </w:sectPr>
      </w:pPr>
      <w:bookmarkStart w:id="0" w:name="_Toc16781"/>
    </w:p>
    <w:p w14:paraId="65F500AC">
      <w:pPr>
        <w:ind w:firstLine="643" w:firstLineChars="200"/>
        <w:outlineLvl w:val="0"/>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rPr>
        <w:t>工作简况</w:t>
      </w:r>
      <w:bookmarkEnd w:id="0"/>
    </w:p>
    <w:p w14:paraId="6BD5EEA1">
      <w:pPr>
        <w:numPr>
          <w:ilvl w:val="255"/>
          <w:numId w:val="0"/>
        </w:numPr>
        <w:ind w:firstLine="640" w:firstLineChars="200"/>
        <w:outlineLvl w:val="1"/>
        <w:rPr>
          <w:rFonts w:hint="default" w:ascii="仿宋_GB2312" w:hAnsi="仿宋_GB2312" w:eastAsia="仿宋_GB2312" w:cs="仿宋_GB2312"/>
          <w:sz w:val="32"/>
          <w:szCs w:val="32"/>
        </w:rPr>
      </w:pPr>
      <w:bookmarkStart w:id="1" w:name="_Toc15632"/>
      <w:r>
        <w:rPr>
          <w:rFonts w:hint="eastAsia" w:ascii="仿宋_GB2312" w:hAnsi="仿宋_GB2312" w:eastAsia="仿宋_GB2312" w:cs="仿宋_GB2312"/>
          <w:sz w:val="32"/>
          <w:szCs w:val="32"/>
          <w:lang w:val="en-US" w:eastAsia="zh-CN"/>
        </w:rPr>
        <w:t>1.1</w:t>
      </w:r>
      <w:r>
        <w:rPr>
          <w:rFonts w:hint="default" w:ascii="仿宋_GB2312" w:hAnsi="仿宋_GB2312" w:eastAsia="仿宋_GB2312" w:cs="仿宋_GB2312"/>
          <w:sz w:val="32"/>
          <w:szCs w:val="32"/>
        </w:rPr>
        <w:t>任务来源</w:t>
      </w:r>
      <w:bookmarkEnd w:id="1"/>
    </w:p>
    <w:p w14:paraId="62E3C6B5">
      <w:pPr>
        <w:numPr>
          <w:ilvl w:val="255"/>
          <w:numId w:val="0"/>
        </w:numPr>
        <w:ind w:firstLine="640" w:firstLineChars="200"/>
        <w:rPr>
          <w:rFonts w:hint="default" w:ascii="仿宋_GB2312" w:hAnsi="仿宋_GB2312" w:eastAsia="仿宋_GB2312" w:cs="仿宋_GB2312"/>
          <w:sz w:val="32"/>
          <w:szCs w:val="32"/>
          <w:highlight w:val="yellow"/>
        </w:rPr>
      </w:pPr>
      <w:r>
        <w:rPr>
          <w:rFonts w:hint="eastAsia" w:ascii="仿宋_GB2312" w:hAnsi="仿宋_GB2312" w:eastAsia="仿宋_GB2312" w:cs="仿宋_GB2312"/>
          <w:sz w:val="32"/>
          <w:szCs w:val="32"/>
          <w:lang w:val="en-US" w:eastAsia="zh-CN"/>
        </w:rPr>
        <w:t>本标准根据</w:t>
      </w:r>
      <w:r>
        <w:rPr>
          <w:rFonts w:hint="default" w:ascii="仿宋_GB2312" w:hAnsi="仿宋_GB2312" w:eastAsia="仿宋_GB2312" w:cs="仿宋_GB2312"/>
          <w:sz w:val="32"/>
          <w:szCs w:val="32"/>
        </w:rPr>
        <w:t>中国电力建设企业协会</w:t>
      </w:r>
      <w:r>
        <w:rPr>
          <w:rFonts w:hint="eastAsia" w:ascii="仿宋_GB2312" w:hAnsi="仿宋_GB2312" w:eastAsia="仿宋_GB2312" w:cs="仿宋_GB2312"/>
          <w:sz w:val="32"/>
          <w:szCs w:val="32"/>
          <w:lang w:val="en-US" w:eastAsia="zh-CN"/>
        </w:rPr>
        <w:t>2025年标准计划</w:t>
      </w:r>
      <w:r>
        <w:rPr>
          <w:rFonts w:hint="default" w:ascii="仿宋_GB2312" w:hAnsi="仿宋_GB2312" w:eastAsia="仿宋_GB2312" w:cs="仿宋_GB2312"/>
          <w:sz w:val="32"/>
          <w:szCs w:val="32"/>
        </w:rPr>
        <w:t>《关于征集2025年度第一批中国电力建设企业协会标准的通知》（中电建〔2025〕24号），立项批准由中国电建集团核电工程有限公司牵头编制《调相机安装及验收规范》（团体标准，</w:t>
      </w:r>
      <w:r>
        <w:rPr>
          <w:rFonts w:hint="eastAsia" w:ascii="仿宋_GB2312" w:hAnsi="仿宋_GB2312" w:eastAsia="仿宋_GB2312" w:cs="仿宋_GB2312"/>
          <w:sz w:val="32"/>
          <w:szCs w:val="32"/>
          <w:lang w:val="en-US" w:eastAsia="zh-CN"/>
        </w:rPr>
        <w:t>计划</w:t>
      </w:r>
      <w:r>
        <w:rPr>
          <w:rFonts w:hint="default" w:ascii="仿宋_GB2312" w:hAnsi="仿宋_GB2312" w:eastAsia="仿宋_GB2312" w:cs="仿宋_GB2312"/>
          <w:sz w:val="32"/>
          <w:szCs w:val="32"/>
        </w:rPr>
        <w:t>编号：</w:t>
      </w:r>
      <w:r>
        <w:rPr>
          <w:rFonts w:hint="eastAsia" w:ascii="仿宋_GB2312" w:hAnsi="仿宋_GB2312" w:eastAsia="仿宋_GB2312" w:cs="仿宋_GB2312"/>
          <w:sz w:val="32"/>
          <w:szCs w:val="32"/>
          <w:lang w:val="en-US" w:eastAsia="zh-CN"/>
        </w:rPr>
        <w:t>T/CEPCA2025087</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highlight w:val="none"/>
          <w:lang w:val="en-US" w:eastAsia="zh-CN"/>
        </w:rPr>
        <w:t>计划2026年11月发布。</w:t>
      </w:r>
    </w:p>
    <w:p w14:paraId="1577B32F">
      <w:pPr>
        <w:numPr>
          <w:ilvl w:val="255"/>
          <w:numId w:val="0"/>
        </w:numPr>
        <w:ind w:firstLine="640" w:firstLineChars="200"/>
        <w:outlineLvl w:val="1"/>
        <w:rPr>
          <w:rFonts w:hint="default" w:ascii="仿宋_GB2312" w:hAnsi="仿宋_GB2312" w:eastAsia="仿宋_GB2312" w:cs="仿宋_GB2312"/>
          <w:sz w:val="32"/>
          <w:szCs w:val="32"/>
          <w:lang w:val="en-US" w:eastAsia="zh-CN"/>
        </w:rPr>
      </w:pPr>
      <w:bookmarkStart w:id="2" w:name="_Toc31680"/>
      <w:r>
        <w:rPr>
          <w:rFonts w:hint="eastAsia" w:ascii="仿宋_GB2312" w:hAnsi="仿宋_GB2312" w:eastAsia="仿宋_GB2312" w:cs="仿宋_GB2312"/>
          <w:sz w:val="32"/>
          <w:szCs w:val="32"/>
          <w:lang w:val="en-US" w:eastAsia="zh-CN"/>
        </w:rPr>
        <w:t>1.2起草主体和起草分工</w:t>
      </w:r>
      <w:bookmarkEnd w:id="2"/>
    </w:p>
    <w:p w14:paraId="436275FA">
      <w:pPr>
        <w:numPr>
          <w:ilvl w:val="255"/>
          <w:numId w:val="0"/>
        </w:num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该文件起草单位为：中国电建集团核电工程有限公司、</w:t>
      </w:r>
      <w:r>
        <w:rPr>
          <w:rFonts w:hint="eastAsia" w:ascii="仿宋_GB2312" w:hAnsi="仿宋_GB2312" w:eastAsia="仿宋_GB2312" w:cs="仿宋_GB2312"/>
          <w:sz w:val="32"/>
          <w:szCs w:val="32"/>
          <w:highlight w:val="none"/>
          <w:lang w:val="en-US" w:eastAsia="zh-CN"/>
        </w:rPr>
        <w:t>中国华能甘肃能源开发有限公司、</w:t>
      </w:r>
      <w:r>
        <w:rPr>
          <w:rFonts w:hint="eastAsia" w:ascii="仿宋_GB2312" w:hAnsi="仿宋_GB2312" w:eastAsia="仿宋_GB2312" w:cs="仿宋_GB2312"/>
          <w:sz w:val="32"/>
          <w:szCs w:val="32"/>
          <w:lang w:val="en-US" w:eastAsia="zh-CN"/>
        </w:rPr>
        <w:t>华能陇东能源有限责任公司、东方电气集团东方电机有限公司、东方电气集团电力工程设计有限公司、中国能源建设集团天津电力建设有限公司、兰州陇能电力科技有限公司、辉圣实业集团有限公司、山东拓能核电检测有限公司、山东电建建设集团有限公司、中达安股份有限公司、山东省环能设计院股份有限公、中国电建集团江西省水电工程局有限公司、</w:t>
      </w:r>
      <w:r>
        <w:rPr>
          <w:rFonts w:hint="eastAsia" w:ascii="仿宋_GB2312" w:hAnsi="仿宋_GB2312" w:eastAsia="仿宋_GB2312" w:cs="仿宋_GB2312"/>
          <w:sz w:val="32"/>
          <w:szCs w:val="32"/>
          <w:highlight w:val="none"/>
          <w:lang w:val="en-US" w:eastAsia="zh-CN"/>
        </w:rPr>
        <w:t>山东铁投能源投资集团有限公司、</w:t>
      </w:r>
      <w:r>
        <w:rPr>
          <w:rFonts w:hint="eastAsia" w:ascii="仿宋_GB2312" w:hAnsi="仿宋_GB2312" w:eastAsia="仿宋_GB2312" w:cs="仿宋_GB2312"/>
          <w:sz w:val="32"/>
          <w:szCs w:val="32"/>
          <w:lang w:val="en-US" w:eastAsia="zh-CN"/>
        </w:rPr>
        <w:t>北京能高自动化技术股份有限公司、木垒上电申华新能源有限公司、东方电气(德阳)电动机技术有限责任公司、山东广帮建筑安装有限公司、山东海金建筑工程有限公司、陕西唐鼎电力有限公司、平凉林凯机电系统工程有限公司、</w:t>
      </w:r>
      <w:r>
        <w:rPr>
          <w:rFonts w:hint="eastAsia" w:ascii="仿宋_GB2312" w:hAnsi="仿宋_GB2312" w:eastAsia="仿宋_GB2312" w:cs="仿宋_GB2312"/>
          <w:sz w:val="32"/>
          <w:szCs w:val="32"/>
          <w:highlight w:val="none"/>
          <w:lang w:val="en-US" w:eastAsia="zh-CN"/>
        </w:rPr>
        <w:t>山东银晖电力工程有限公司、四川钟志诚建设工程有限公司、宁夏宏恩电力工程有限公司</w:t>
      </w:r>
    </w:p>
    <w:p w14:paraId="6C36729E">
      <w:pPr>
        <w:numPr>
          <w:ilvl w:val="255"/>
          <w:numId w:val="0"/>
        </w:num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主要起草人为：</w:t>
      </w:r>
      <w:r>
        <w:rPr>
          <w:rFonts w:hint="eastAsia" w:ascii="仿宋_GB2312" w:hAnsi="仿宋_GB2312" w:eastAsia="仿宋_GB2312" w:cs="仿宋_GB2312"/>
          <w:sz w:val="32"/>
          <w:szCs w:val="32"/>
          <w:highlight w:val="none"/>
          <w:lang w:val="en-US" w:eastAsia="zh-CN"/>
        </w:rPr>
        <w:t>王振、</w:t>
      </w:r>
      <w:r>
        <w:rPr>
          <w:rFonts w:hint="eastAsia" w:ascii="仿宋_GB2312" w:hAnsi="仿宋_GB2312" w:eastAsia="仿宋_GB2312" w:cs="仿宋_GB2312"/>
          <w:sz w:val="32"/>
          <w:szCs w:val="32"/>
          <w:highlight w:val="none"/>
        </w:rPr>
        <w:t>刘顺刚、王涛、肖玉桥、</w:t>
      </w:r>
      <w:r>
        <w:rPr>
          <w:rFonts w:hint="eastAsia" w:ascii="仿宋_GB2312" w:hAnsi="仿宋_GB2312" w:eastAsia="仿宋_GB2312" w:cs="仿宋_GB2312"/>
          <w:sz w:val="32"/>
          <w:szCs w:val="32"/>
          <w:highlight w:val="none"/>
          <w:lang w:val="en-US" w:eastAsia="zh-CN"/>
        </w:rPr>
        <w:t>褚鹏、刘树昌、</w:t>
      </w:r>
      <w:r>
        <w:rPr>
          <w:rFonts w:hint="eastAsia" w:ascii="仿宋_GB2312" w:hAnsi="仿宋_GB2312" w:eastAsia="仿宋_GB2312" w:cs="仿宋_GB2312"/>
          <w:sz w:val="32"/>
          <w:szCs w:val="32"/>
          <w:highlight w:val="none"/>
        </w:rPr>
        <w:t>王航、钟亮、张猛、谭泳玲、刘柯、刘博、谭江平、王永鑫、王兆龙、王得勇、鲍英豪、赵卫军、任元太</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张耸、</w:t>
      </w:r>
      <w:r>
        <w:rPr>
          <w:rFonts w:hint="eastAsia" w:ascii="仿宋_GB2312" w:hAnsi="仿宋_GB2312" w:eastAsia="仿宋_GB2312" w:cs="仿宋_GB2312"/>
          <w:sz w:val="32"/>
          <w:szCs w:val="32"/>
          <w:highlight w:val="none"/>
          <w:lang w:val="en-US" w:eastAsia="zh-CN"/>
        </w:rPr>
        <w:t>宋建勋、</w:t>
      </w:r>
      <w:r>
        <w:rPr>
          <w:rFonts w:hint="eastAsia" w:ascii="仿宋_GB2312" w:hAnsi="仿宋_GB2312" w:eastAsia="仿宋_GB2312" w:cs="仿宋_GB2312"/>
          <w:sz w:val="32"/>
          <w:szCs w:val="32"/>
          <w:highlight w:val="none"/>
        </w:rPr>
        <w:t>辛波、商旺旺、颜杰、陈博来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王锡聪、杨学慧、孙超、陈晴雯、刘娇、穆建程、</w:t>
      </w:r>
      <w:bookmarkStart w:id="22" w:name="_GoBack"/>
      <w:bookmarkEnd w:id="22"/>
      <w:r>
        <w:rPr>
          <w:rFonts w:hint="eastAsia" w:ascii="仿宋_GB2312" w:hAnsi="仿宋_GB2312" w:eastAsia="仿宋_GB2312" w:cs="仿宋_GB2312"/>
          <w:sz w:val="32"/>
          <w:szCs w:val="32"/>
          <w:highlight w:val="none"/>
          <w:lang w:val="en-US" w:eastAsia="zh-CN"/>
        </w:rPr>
        <w:t>任建强、</w:t>
      </w:r>
      <w:r>
        <w:rPr>
          <w:rFonts w:hint="eastAsia" w:ascii="仿宋_GB2312" w:hAnsi="仿宋_GB2312" w:eastAsia="仿宋_GB2312" w:cs="仿宋_GB2312"/>
          <w:sz w:val="32"/>
          <w:szCs w:val="32"/>
          <w:highlight w:val="none"/>
        </w:rPr>
        <w:t>张林、谭广大、王付志、周运涛、吴昊、郭星河、王世鑫、张明丽、李磊</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赵骎、祝建斌、刘树胜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叶大强、王心坦、杨运全、裴化强、吴琨、薛萍、朱佳敏、李善庆、安宏斌、李晓龙</w:t>
      </w:r>
    </w:p>
    <w:p w14:paraId="1A191587">
      <w:pPr>
        <w:numPr>
          <w:ilvl w:val="255"/>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起草分工为：中国电建集团核电工程有限公司：统筹标准全编制工作，主编目次、前言、引言、范围、术语和定义、总体要求、施工准备、调相机本体及附属设备安装、附录、参考文献，参与调相机电气装置安装、工程验收及记录编制；</w:t>
      </w:r>
    </w:p>
    <w:p w14:paraId="158CA877">
      <w:pPr>
        <w:numPr>
          <w:ilvl w:val="255"/>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中国华能甘肃能源开发有限公司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负责标准编制的总体管控，标准相关资料的搜集与调研、标准框架编制、标准内容起草、反馈意见整理、组织协调等工作。</w:t>
      </w:r>
    </w:p>
    <w:p w14:paraId="567E0A69">
      <w:pPr>
        <w:numPr>
          <w:ilvl w:val="255"/>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兰州陇能电力科技有限公司：主编规范性引用文件，联合编制总体要求，配合完成术语和定义、调整试验、参考文献相关内容；</w:t>
      </w:r>
    </w:p>
    <w:p w14:paraId="00043D5F">
      <w:pPr>
        <w:numPr>
          <w:ilvl w:val="255"/>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东方电气集团电力工程设计有限公司：主编调相机电气装置安装章节，配合调相机本体及附属设备安装编制；</w:t>
      </w:r>
    </w:p>
    <w:p w14:paraId="2A70E907">
      <w:pPr>
        <w:numPr>
          <w:ilvl w:val="255"/>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中国能源建设集团天津电力建设有限公司、中国电建集团江西省水电工程局有限公司：联合主编调相机本体及附属设备安装、调相机电气装置安装，参与工程验收及记录编制；</w:t>
      </w:r>
    </w:p>
    <w:p w14:paraId="6990EE75">
      <w:pPr>
        <w:numPr>
          <w:ilvl w:val="255"/>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山东铁投能源投资集团有限公司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参与标准体系框架设计，负责安装施工及启动调试等章节的编制，参与关键技术指标研讨与论证，并承担标准技术要求的符合性审查工作。</w:t>
      </w:r>
    </w:p>
    <w:p w14:paraId="25D4582F">
      <w:pPr>
        <w:numPr>
          <w:ilvl w:val="255"/>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北京能高自动化技术股份有限公司：联合主编调相机电气装置安装，配合施工准备、本体安装章节编制；</w:t>
      </w:r>
    </w:p>
    <w:p w14:paraId="7740F665">
      <w:pPr>
        <w:numPr>
          <w:ilvl w:val="255"/>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木垒上电申华新能源有限公司：参与规范性引用文件、施工准备章节编制；</w:t>
      </w:r>
    </w:p>
    <w:p w14:paraId="0E71C1B0">
      <w:pPr>
        <w:numPr>
          <w:ilvl w:val="255"/>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中达安股份有限公司、山东省环能设计院股份有限公司：联合主编工程验收及记录章节；</w:t>
      </w:r>
    </w:p>
    <w:p w14:paraId="2EB53914">
      <w:pPr>
        <w:numPr>
          <w:ilvl w:val="255"/>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华能陇东能源有限责任公司：配合总体要求章节编制，承办三稿讨论会、征求意见稿定稿会；</w:t>
      </w:r>
    </w:p>
    <w:p w14:paraId="27EF4A4D">
      <w:pPr>
        <w:numPr>
          <w:ilvl w:val="255"/>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东方电气集团东方电机有限公司、东方电气 (德阳) 电动机技术有限责任公司：配合调相机本体及附属设备安装、施工准备章节编制；</w:t>
      </w:r>
    </w:p>
    <w:p w14:paraId="20287E53">
      <w:pPr>
        <w:numPr>
          <w:ilvl w:val="255"/>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辉圣实业集团有限公司、山东广帮建筑安装有限公司、山东银晖电力工程有限公司、山东拓能核电检测有限公司、山东电建建设集团有限公司、山东海金建筑工程有限公司、陕西唐鼎电力有限公司、四川钟志诚建设工程有限公司、宁夏宏恩电力工程有限公司：分别配合施工准备、本体安装、电气安装、工程验收相关章节编制。</w:t>
      </w:r>
    </w:p>
    <w:p w14:paraId="3A0FC801">
      <w:pPr>
        <w:numPr>
          <w:ilvl w:val="255"/>
          <w:numId w:val="0"/>
        </w:numPr>
        <w:ind w:firstLine="640" w:firstLineChars="200"/>
        <w:outlineLvl w:val="1"/>
        <w:rPr>
          <w:rFonts w:hint="default" w:ascii="仿宋_GB2312" w:hAnsi="仿宋_GB2312" w:eastAsia="仿宋_GB2312" w:cs="仿宋_GB2312"/>
          <w:color w:val="auto"/>
          <w:sz w:val="32"/>
          <w:szCs w:val="32"/>
          <w:lang w:val="en-US" w:eastAsia="zh-CN"/>
        </w:rPr>
      </w:pPr>
      <w:bookmarkStart w:id="3" w:name="_Toc29175"/>
      <w:r>
        <w:rPr>
          <w:rFonts w:hint="eastAsia" w:ascii="仿宋_GB2312" w:hAnsi="仿宋_GB2312" w:eastAsia="仿宋_GB2312" w:cs="仿宋_GB2312"/>
          <w:color w:val="auto"/>
          <w:sz w:val="32"/>
          <w:szCs w:val="32"/>
          <w:lang w:val="en-US" w:eastAsia="zh-CN"/>
        </w:rPr>
        <w:t>1.3起草过程</w:t>
      </w:r>
      <w:bookmarkEnd w:id="3"/>
    </w:p>
    <w:p w14:paraId="461F7F3F">
      <w:pPr>
        <w:numPr>
          <w:ilvl w:val="255"/>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2025年1月-3月：</w:t>
      </w:r>
      <w:r>
        <w:rPr>
          <w:rFonts w:hint="eastAsia" w:ascii="仿宋_GB2312" w:hAnsi="仿宋_GB2312" w:eastAsia="仿宋_GB2312" w:cs="仿宋_GB2312"/>
          <w:sz w:val="32"/>
          <w:szCs w:val="32"/>
        </w:rPr>
        <w:t>组建标准起草工作组，开展前期行业调研与标准查新，梳理调相机工程建设现状与标准化需求，形成标准立项申请材料与编制大纲，完成立项审批。</w:t>
      </w:r>
    </w:p>
    <w:p w14:paraId="49B77A2A">
      <w:pPr>
        <w:numPr>
          <w:ilvl w:val="255"/>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2025年6月</w:t>
      </w:r>
      <w:r>
        <w:rPr>
          <w:rFonts w:hint="eastAsia" w:ascii="仿宋_GB2312" w:hAnsi="仿宋_GB2312" w:eastAsia="仿宋_GB2312" w:cs="仿宋_GB2312"/>
          <w:sz w:val="32"/>
          <w:szCs w:val="32"/>
          <w:lang w:val="en-US" w:eastAsia="zh-CN"/>
        </w:rPr>
        <w:t>完成立项。</w:t>
      </w:r>
    </w:p>
    <w:p w14:paraId="1CB8E206">
      <w:pPr>
        <w:numPr>
          <w:ilvl w:val="255"/>
          <w:numId w:val="0"/>
        </w:numPr>
        <w:ind w:firstLine="640"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rPr>
        <w:t>2026年5月</w:t>
      </w:r>
      <w:r>
        <w:rPr>
          <w:rFonts w:hint="eastAsia" w:ascii="仿宋_GB2312" w:hAnsi="仿宋_GB2312" w:eastAsia="仿宋_GB2312" w:cs="仿宋_GB2312"/>
          <w:sz w:val="32"/>
          <w:szCs w:val="32"/>
          <w:lang w:val="en-US" w:eastAsia="zh-CN"/>
        </w:rPr>
        <w:t>形成征求意见稿并计划在8月开始广泛调研。</w:t>
      </w:r>
    </w:p>
    <w:p w14:paraId="1E74320D">
      <w:pPr>
        <w:ind w:firstLine="643" w:firstLineChars="200"/>
        <w:outlineLvl w:val="0"/>
        <w:rPr>
          <w:rFonts w:hint="default" w:ascii="Times New Roman" w:hAnsi="Times New Roman" w:eastAsia="仿宋_GB2312" w:cs="Times New Roman"/>
          <w:b/>
          <w:bCs/>
          <w:sz w:val="32"/>
          <w:szCs w:val="32"/>
          <w:lang w:val="en-US" w:eastAsia="zh-CN"/>
        </w:rPr>
      </w:pPr>
      <w:bookmarkStart w:id="4" w:name="_Toc26287"/>
      <w:r>
        <w:rPr>
          <w:rFonts w:hint="default" w:ascii="Times New Roman" w:hAnsi="Times New Roman" w:eastAsia="仿宋_GB2312" w:cs="Times New Roman"/>
          <w:b/>
          <w:bCs/>
          <w:sz w:val="32"/>
          <w:szCs w:val="32"/>
          <w:lang w:val="en-US" w:eastAsia="zh-CN"/>
        </w:rPr>
        <w:t>2.立项的必要性</w:t>
      </w:r>
      <w:bookmarkEnd w:id="4"/>
    </w:p>
    <w:p w14:paraId="39AD8A08">
      <w:pPr>
        <w:numPr>
          <w:ilvl w:val="255"/>
          <w:numId w:val="0"/>
        </w:numPr>
        <w:ind w:firstLine="640" w:firstLineChars="200"/>
        <w:outlineLvl w:val="9"/>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2.1</w:t>
      </w:r>
      <w:r>
        <w:rPr>
          <w:rFonts w:hint="default" w:ascii="仿宋_GB2312" w:hAnsi="仿宋_GB2312" w:eastAsia="仿宋_GB2312" w:cs="仿宋_GB2312"/>
          <w:sz w:val="32"/>
          <w:szCs w:val="32"/>
        </w:rPr>
        <w:t>行业发展现状</w:t>
      </w:r>
    </w:p>
    <w:p w14:paraId="72AB0521">
      <w:pPr>
        <w:numPr>
          <w:ilvl w:val="255"/>
          <w:numId w:val="0"/>
        </w:numPr>
        <w:ind w:firstLine="640" w:firstLineChars="200"/>
        <w:outlineLvl w:val="9"/>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随着新型电力系统建设深入推进，高比例新能源持续并网，电网电压稳定与动态无功支撑需求显著提升，同步调相机作为提升电网暂态电压稳定性的核心装备，已在特高压换流站、新能源汇集站、枢纽变电站等场景广泛应用，装机规模稳步增长。</w:t>
      </w:r>
    </w:p>
    <w:p w14:paraId="332DA221">
      <w:pPr>
        <w:numPr>
          <w:ilvl w:val="255"/>
          <w:numId w:val="0"/>
        </w:numPr>
        <w:ind w:firstLine="640" w:firstLineChars="200"/>
        <w:outlineLvl w:val="9"/>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当前国内电力建设标准体系中，尚无专门针对调相机安装及验收的专项标准，相关技术要求分散于GB50170《电气装置安装工程旋转电机施工及验收标准》、DL/T5190.3《电力建设施工技术规范第3部分：汽轮发电机组》、DL/T2122《大型同步调相机调试技术规范》等通用标准中，对调相机本体结构、附属系统、涉网配置的专项针对性不足，难以全面指导工程现场施工与质量验收。</w:t>
      </w:r>
    </w:p>
    <w:p w14:paraId="4759EC79">
      <w:pPr>
        <w:numPr>
          <w:ilvl w:val="255"/>
          <w:numId w:val="0"/>
        </w:numPr>
        <w:ind w:firstLine="640" w:firstLineChars="200"/>
        <w:outlineLvl w:val="9"/>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2.2</w:t>
      </w:r>
      <w:r>
        <w:rPr>
          <w:rFonts w:hint="default" w:ascii="仿宋_GB2312" w:hAnsi="仿宋_GB2312" w:eastAsia="仿宋_GB2312" w:cs="仿宋_GB2312"/>
          <w:sz w:val="32"/>
          <w:szCs w:val="32"/>
        </w:rPr>
        <w:t>行业现存痛点</w:t>
      </w:r>
    </w:p>
    <w:p w14:paraId="7B177452">
      <w:pPr>
        <w:numPr>
          <w:ilvl w:val="255"/>
          <w:numId w:val="0"/>
        </w:numPr>
        <w:ind w:firstLine="640" w:firstLineChars="200"/>
        <w:outlineLvl w:val="9"/>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标准覆盖存在短板：缺少调相机全流程安装验收专项规范，机务、电气、热控、调试等专业要求分散在十余项通用标准中，现场执行需跨标准检索，易出现要求遗漏、尺度不一的问题。</w:t>
      </w:r>
    </w:p>
    <w:p w14:paraId="09318D1F">
      <w:pPr>
        <w:numPr>
          <w:ilvl w:val="255"/>
          <w:numId w:val="0"/>
        </w:numPr>
        <w:ind w:firstLine="640" w:firstLineChars="200"/>
        <w:outlineLvl w:val="9"/>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施工验收尺度不统一：不同工程对关键工序（如转子穿装、磁力中心调整、励磁系统接线、保护定值校验）的质量把控标准不一致，验收层级与资料归档要求差异较大，工程质量同质化水平不足。</w:t>
      </w:r>
    </w:p>
    <w:p w14:paraId="6A821C0F">
      <w:pPr>
        <w:numPr>
          <w:ilvl w:val="255"/>
          <w:numId w:val="0"/>
        </w:numPr>
        <w:ind w:firstLine="640" w:firstLineChars="200"/>
        <w:outlineLvl w:val="9"/>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过程追溯体系不完善：调相机关键工序与隐蔽工程的验收要点、影像留存、资料归档缺乏统一规定，部分工程质量追溯资料不完整，不利于后期运维与缺陷溯源。</w:t>
      </w:r>
    </w:p>
    <w:p w14:paraId="58685D93">
      <w:pPr>
        <w:numPr>
          <w:ilvl w:val="255"/>
          <w:numId w:val="0"/>
        </w:numPr>
        <w:ind w:firstLine="640" w:firstLineChars="200"/>
        <w:outlineLvl w:val="9"/>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2.3</w:t>
      </w:r>
      <w:r>
        <w:rPr>
          <w:rFonts w:hint="default" w:ascii="仿宋_GB2312" w:hAnsi="仿宋_GB2312" w:eastAsia="仿宋_GB2312" w:cs="仿宋_GB2312"/>
          <w:sz w:val="32"/>
          <w:szCs w:val="32"/>
        </w:rPr>
        <w:t>本标准拟解决的核心问题</w:t>
      </w:r>
    </w:p>
    <w:p w14:paraId="6CEF1D3A">
      <w:pPr>
        <w:numPr>
          <w:ilvl w:val="255"/>
          <w:numId w:val="0"/>
        </w:numPr>
        <w:ind w:firstLine="640" w:firstLineChars="200"/>
        <w:outlineLvl w:val="9"/>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填补专项标准空白：系统整合调相机安装、调试、验收全流程技术要求，形成专项规范，补充现有通用标准在调相机细分领域的覆盖短板。</w:t>
      </w:r>
    </w:p>
    <w:p w14:paraId="79217C6A">
      <w:pPr>
        <w:numPr>
          <w:ilvl w:val="255"/>
          <w:numId w:val="0"/>
        </w:numPr>
        <w:ind w:firstLine="640" w:firstLineChars="200"/>
        <w:outlineLvl w:val="9"/>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统一施工验收尺度：明确各专业安装精度指标、关键工序管控要求、四级验收划分标准，为建设、监理、施工、制造、调试单位提供统一执行依据，减少工程争议，提升施工效率。</w:t>
      </w:r>
    </w:p>
    <w:p w14:paraId="3C3D6D36">
      <w:pPr>
        <w:numPr>
          <w:ilvl w:val="255"/>
          <w:numId w:val="0"/>
        </w:numPr>
        <w:ind w:firstLine="640" w:firstLineChars="200"/>
        <w:outlineLvl w:val="9"/>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完善质量追溯体系：规范关键工序联合验收、隐蔽工程影像留存、质量控制资料归档要求，构建全过程可追溯的质量管理闭环。</w:t>
      </w:r>
    </w:p>
    <w:p w14:paraId="573FB936">
      <w:pPr>
        <w:numPr>
          <w:ilvl w:val="255"/>
          <w:numId w:val="0"/>
        </w:numPr>
        <w:ind w:firstLine="640" w:firstLineChars="200"/>
        <w:outlineLvl w:val="9"/>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sz w:val="32"/>
          <w:szCs w:val="32"/>
        </w:rPr>
        <w:t>支撑行业高质量发展：通过标准化手段提升调相机工程建设质量，保障设备长期可靠运行，强化电网动态无功支撑能力，服务新型电力系统安全稳定运行。</w:t>
      </w:r>
    </w:p>
    <w:p w14:paraId="75727B8F">
      <w:pPr>
        <w:ind w:firstLine="643" w:firstLineChars="200"/>
        <w:outlineLvl w:val="0"/>
        <w:rPr>
          <w:rFonts w:hint="default" w:ascii="仿宋_GB2312" w:hAnsi="仿宋_GB2312" w:eastAsia="仿宋_GB2312" w:cs="仿宋_GB2312"/>
          <w:sz w:val="32"/>
          <w:szCs w:val="32"/>
          <w:lang w:val="en-US" w:eastAsia="zh-CN"/>
        </w:rPr>
      </w:pPr>
      <w:bookmarkStart w:id="5" w:name="_Toc30684"/>
      <w:r>
        <w:rPr>
          <w:rFonts w:hint="eastAsia"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rPr>
        <w:t>编制原则、主要内容及其确定依据</w:t>
      </w:r>
      <w:bookmarkEnd w:id="5"/>
    </w:p>
    <w:p w14:paraId="7C525FBB">
      <w:pPr>
        <w:numPr>
          <w:ilvl w:val="255"/>
          <w:numId w:val="0"/>
        </w:numPr>
        <w:ind w:firstLine="640" w:firstLineChars="200"/>
        <w:outlineLvl w:val="1"/>
        <w:rPr>
          <w:rFonts w:hint="default" w:ascii="仿宋_GB2312" w:hAnsi="仿宋_GB2312" w:eastAsia="仿宋_GB2312" w:cs="仿宋_GB2312"/>
          <w:sz w:val="32"/>
          <w:szCs w:val="32"/>
          <w:lang w:val="en-US" w:eastAsia="zh-CN"/>
        </w:rPr>
      </w:pPr>
      <w:bookmarkStart w:id="6" w:name="_Toc22023"/>
      <w:r>
        <w:rPr>
          <w:rFonts w:hint="eastAsia" w:ascii="仿宋_GB2312" w:hAnsi="仿宋_GB2312" w:eastAsia="仿宋_GB2312" w:cs="仿宋_GB2312"/>
          <w:sz w:val="32"/>
          <w:szCs w:val="32"/>
          <w:lang w:val="en-US" w:eastAsia="zh-CN"/>
        </w:rPr>
        <w:t>3.1标准编制原则</w:t>
      </w:r>
      <w:bookmarkEnd w:id="6"/>
    </w:p>
    <w:p w14:paraId="3C7DD96C">
      <w:pPr>
        <w:numPr>
          <w:ilvl w:val="255"/>
          <w:numId w:val="0"/>
        </w:numPr>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一是</w:t>
      </w:r>
      <w:r>
        <w:rPr>
          <w:rFonts w:hint="default" w:ascii="仿宋_GB2312" w:hAnsi="仿宋_GB2312" w:eastAsia="仿宋_GB2312" w:cs="仿宋_GB2312"/>
          <w:sz w:val="32"/>
          <w:szCs w:val="32"/>
        </w:rPr>
        <w:t>合规性与协调性原则</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严格遵循《中华人民共和国标准化法》《建设工程质量管理条例》等法律法规，按照GB/T1.1—2020《标准化工作导则第1部分：标准化文件的结构和起草规则》要求编写。条款内容与现行电力建设国家、行业标准保持协调一致，定位为专项补充规范，不替代、不抵触通用标准。</w:t>
      </w:r>
    </w:p>
    <w:p w14:paraId="59BE5F62">
      <w:pPr>
        <w:numPr>
          <w:ilvl w:val="255"/>
          <w:numId w:val="0"/>
        </w:numPr>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二是</w:t>
      </w:r>
      <w:r>
        <w:rPr>
          <w:rFonts w:hint="default" w:ascii="仿宋_GB2312" w:hAnsi="仿宋_GB2312" w:eastAsia="仿宋_GB2312" w:cs="仿宋_GB2312"/>
          <w:sz w:val="32"/>
          <w:szCs w:val="32"/>
        </w:rPr>
        <w:t>科学性与先进性原则</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吸纳电力建设成熟施工工艺与先进管控理念，结合调相机设备技术发展与电网运行要求，明确双重化配置、三取二保护、全过程影像追溯等先进管控要求，推动行业施工质量升级。</w:t>
      </w:r>
    </w:p>
    <w:p w14:paraId="74000CB9">
      <w:pPr>
        <w:numPr>
          <w:ilvl w:val="255"/>
          <w:numId w:val="0"/>
        </w:numPr>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三是</w:t>
      </w:r>
      <w:r>
        <w:rPr>
          <w:rFonts w:hint="default" w:ascii="仿宋_GB2312" w:hAnsi="仿宋_GB2312" w:eastAsia="仿宋_GB2312" w:cs="仿宋_GB2312"/>
          <w:sz w:val="32"/>
          <w:szCs w:val="32"/>
        </w:rPr>
        <w:t>实用性与可操作性原则</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总结国内已投运调相机成熟工程经验，兼顾大型、分布式两类机型当前调相机设备类型及施工场景，工艺简洁、指标明确、可操作性强，便于一线人员执行。</w:t>
      </w:r>
    </w:p>
    <w:p w14:paraId="4EC55F2C">
      <w:pPr>
        <w:numPr>
          <w:ilvl w:val="255"/>
          <w:numId w:val="0"/>
        </w:numPr>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四是系统性原则</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覆盖施工准备—本体及附属安装—电气安装—调整试验—工程验收全流程，明确关键工序联合验收、质量管控要求，形成闭环技术体系。</w:t>
      </w:r>
    </w:p>
    <w:p w14:paraId="0986838F">
      <w:pPr>
        <w:numPr>
          <w:ilvl w:val="255"/>
          <w:numId w:val="0"/>
        </w:numPr>
        <w:ind w:firstLine="640" w:firstLineChars="200"/>
        <w:outlineLvl w:val="1"/>
        <w:rPr>
          <w:rFonts w:hint="eastAsia" w:ascii="仿宋_GB2312" w:hAnsi="仿宋_GB2312" w:eastAsia="仿宋_GB2312" w:cs="仿宋_GB2312"/>
          <w:sz w:val="32"/>
          <w:szCs w:val="32"/>
          <w:lang w:val="en-US" w:eastAsia="zh-CN"/>
        </w:rPr>
      </w:pPr>
      <w:bookmarkStart w:id="7" w:name="_Toc10076"/>
      <w:r>
        <w:rPr>
          <w:rFonts w:hint="eastAsia" w:ascii="仿宋_GB2312" w:hAnsi="仿宋_GB2312" w:eastAsia="仿宋_GB2312" w:cs="仿宋_GB2312"/>
          <w:sz w:val="32"/>
          <w:szCs w:val="32"/>
          <w:lang w:val="en-US" w:eastAsia="zh-CN"/>
        </w:rPr>
        <w:t>3.2标准的主要内容</w:t>
      </w:r>
      <w:bookmarkEnd w:id="7"/>
    </w:p>
    <w:p w14:paraId="76835942">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本文件规定了调相机安装及验收的总体要求、施工准备、本体及附属设备安装、电气装置安装、调整试验、工程验收及记录等内容，适用于新建、改建、扩建工程调相机安装及验收。具体内容如下：</w:t>
      </w:r>
    </w:p>
    <w:p w14:paraId="78205653">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总体要求：规定了调相机组安装验收的基本原则、管理体系建设、计量器具管理、图纸技术交底、现场环境管控、安全与绿色施工等通用管控要求。</w:t>
      </w:r>
    </w:p>
    <w:p w14:paraId="78E32606">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施工准备：规定了基础交付验收、设备保管、开箱验收等前期工作的技术要求与验收标准。</w:t>
      </w:r>
    </w:p>
    <w:p w14:paraId="3B351E44">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调相机本体及附属设备安装：规定了垫铁、地脚螺栓与台板安装，定子检查安装、转子安装、轴承座与轴承安装、进水支座及冷却器安装、盘车装置安装、风扇及端盖安装、附属系统安装、隔音罩安装及二次灌浆养护等机务专业施工的技术要求与质量标准。</w:t>
      </w:r>
    </w:p>
    <w:p w14:paraId="4AAD3BA4">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调相机电气装置安装：规定了励磁系统、静止变频启动系统、分散控制系统、定子引出线、继电保护及自动控制装置、热工仪表与TSI系统等电气与热控专业的安装要求与管控要点。</w:t>
      </w:r>
    </w:p>
    <w:p w14:paraId="0EE5AB64">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调相机组调整试验：规定了电气、机务、热控、化学各专业单体调试、分系统调试、整套启动及涉网试验的工作内容与前置条件。</w:t>
      </w:r>
    </w:p>
    <w:p w14:paraId="3A3500B4">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工程验收及记录：规定了检验批、分项、分部、单位工程四级验收的组织方式与合格标准，明确了关键工序联合验收项目与质量控制资料分类、保存期限要求。</w:t>
      </w:r>
    </w:p>
    <w:p w14:paraId="07BD5DF9">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rPr>
        <w:t>附录：配套提供了机务、电气、热控专业施工质量验收范围划分表与验收规范，以及验收档案资料清单、拖动/启动验收试运鉴定书、移交生产验收鉴定书、竣工验收鉴定书等标准化模板。</w:t>
      </w:r>
    </w:p>
    <w:p w14:paraId="564379D5">
      <w:pPr>
        <w:numPr>
          <w:ilvl w:val="255"/>
          <w:numId w:val="0"/>
        </w:numPr>
        <w:ind w:firstLine="640" w:firstLineChars="200"/>
        <w:outlineLvl w:val="1"/>
        <w:rPr>
          <w:rFonts w:hint="eastAsia" w:ascii="仿宋_GB2312" w:hAnsi="仿宋_GB2312" w:eastAsia="仿宋_GB2312" w:cs="仿宋_GB2312"/>
          <w:sz w:val="32"/>
          <w:szCs w:val="32"/>
          <w:lang w:val="en-US" w:eastAsia="zh-CN"/>
        </w:rPr>
      </w:pPr>
      <w:bookmarkStart w:id="8" w:name="_Toc19726"/>
      <w:r>
        <w:rPr>
          <w:rFonts w:hint="eastAsia" w:ascii="仿宋_GB2312" w:hAnsi="仿宋_GB2312" w:eastAsia="仿宋_GB2312" w:cs="仿宋_GB2312"/>
          <w:sz w:val="32"/>
          <w:szCs w:val="32"/>
          <w:lang w:val="en-US" w:eastAsia="zh-CN"/>
        </w:rPr>
        <w:t>3.3编制依据</w:t>
      </w:r>
      <w:bookmarkEnd w:id="8"/>
    </w:p>
    <w:p w14:paraId="211C8B24">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标准主要内容的形成主要参考了以下方面的文献、标准及政策文件。</w:t>
      </w:r>
    </w:p>
    <w:p w14:paraId="35EAC810">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一是法律法规和政策文件方面，主要依据了《中华人民共和国标准化法》《建设工程质量管理条例》《建设工程安全生产管理条例》，以及新型电力系统建设、电力安全生产、绿色施工相关政策要求。</w:t>
      </w:r>
    </w:p>
    <w:p w14:paraId="73C23CA8">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是国家标准和行业标准方面，参照了GB/T1.1《标准化工作导则第1部分：标准化文件的结构和起草规则》、GB50150《电气装置安装工程电气设备交接试验标准》、GB50170《电气装置安装工程旋转电机施工及验收标准》、DL/T5190.3《电力建设施工技术规范第3部分：汽轮发电机组》、DL/T2122《大型同步调相机调试技术规范》、DL/T5210系列电力建设施工质量验收规程等国家及行业标准。</w:t>
      </w:r>
    </w:p>
    <w:p w14:paraId="26690D4D">
      <w:pPr>
        <w:ind w:firstLine="640"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是实践经验和行业规范方面，参考了国内主流调相机制造厂的安装技术文件与出厂验收要求，总结了国内多个调相机工程的施工、调试、验收实践经验，吸纳了电力建设行业成熟的施工工艺与质量管控经验，经行业专家充分论证形成共识。</w:t>
      </w:r>
    </w:p>
    <w:p w14:paraId="59F20FD2">
      <w:pPr>
        <w:ind w:firstLine="643" w:firstLineChars="200"/>
        <w:outlineLvl w:val="0"/>
        <w:rPr>
          <w:rFonts w:hint="default" w:ascii="Times New Roman" w:hAnsi="Times New Roman" w:eastAsia="仿宋_GB2312" w:cs="Times New Roman"/>
          <w:b/>
          <w:bCs/>
          <w:sz w:val="32"/>
          <w:szCs w:val="32"/>
          <w:lang w:val="en-US" w:eastAsia="zh-CN"/>
        </w:rPr>
      </w:pPr>
      <w:bookmarkStart w:id="9" w:name="_Toc14170"/>
      <w:r>
        <w:rPr>
          <w:rFonts w:hint="default" w:ascii="Times New Roman" w:hAnsi="Times New Roman" w:eastAsia="仿宋_GB2312" w:cs="Times New Roman"/>
          <w:b/>
          <w:bCs/>
          <w:sz w:val="32"/>
          <w:szCs w:val="32"/>
          <w:lang w:val="en-US" w:eastAsia="zh-CN"/>
        </w:rPr>
        <w:t>4.与有关法律、行政法规及相关标准的关系</w:t>
      </w:r>
      <w:bookmarkEnd w:id="9"/>
    </w:p>
    <w:p w14:paraId="6DF91BDC">
      <w:pPr>
        <w:ind w:firstLine="640" w:firstLineChars="200"/>
        <w:outlineLvl w:val="9"/>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本标准在DL/T5190.3、DL/T5210.4、DL/T2122、GB50150等现行标准基础上开展专项补充与细化，覆盖“施工—调试—验收”全流程链条，与上述标准无技术冲突。本标准严格遵循国家及行业强制性标准要求，与相关推荐性国家标准、行业标准协调衔接，不替代现有标准，形成对通用标准的专项补充与场景延伸。</w:t>
      </w:r>
    </w:p>
    <w:p w14:paraId="5D16DBA9">
      <w:pPr>
        <w:ind w:firstLine="643" w:firstLineChars="200"/>
        <w:outlineLvl w:val="0"/>
        <w:rPr>
          <w:rFonts w:hint="default" w:ascii="Times New Roman" w:hAnsi="Times New Roman" w:eastAsia="仿宋_GB2312" w:cs="Times New Roman"/>
          <w:b/>
          <w:bCs/>
          <w:sz w:val="32"/>
          <w:szCs w:val="32"/>
        </w:rPr>
      </w:pPr>
      <w:bookmarkStart w:id="10" w:name="_Toc11518"/>
      <w:r>
        <w:rPr>
          <w:rFonts w:hint="default" w:ascii="Times New Roman" w:hAnsi="Times New Roman" w:eastAsia="仿宋_GB2312" w:cs="Times New Roman"/>
          <w:b/>
          <w:bCs/>
          <w:sz w:val="32"/>
          <w:szCs w:val="32"/>
          <w:lang w:val="en-US" w:eastAsia="zh-CN"/>
        </w:rPr>
        <w:t>5.</w:t>
      </w:r>
      <w:r>
        <w:rPr>
          <w:rFonts w:hint="default" w:ascii="Times New Roman" w:hAnsi="Times New Roman" w:eastAsia="仿宋_GB2312" w:cs="Times New Roman"/>
          <w:b/>
          <w:bCs/>
          <w:sz w:val="32"/>
          <w:szCs w:val="32"/>
        </w:rPr>
        <w:t>标准的先进性与特色性</w:t>
      </w:r>
      <w:bookmarkEnd w:id="10"/>
    </w:p>
    <w:p w14:paraId="5FB64CE7">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本标准的制定严格响应《中华人民共和国标准化法》第十三条要求，以技术先进为核心、经济合理为基础，兼顾良好的社会效益与生态效益，全方位体现标准的科学性、适用性与引领性。</w:t>
      </w:r>
    </w:p>
    <w:p w14:paraId="0D5EF85D">
      <w:pPr>
        <w:numPr>
          <w:ilvl w:val="255"/>
          <w:numId w:val="0"/>
        </w:numPr>
        <w:ind w:firstLine="640" w:firstLineChars="200"/>
        <w:outlineLvl w:val="1"/>
        <w:rPr>
          <w:rFonts w:hint="default" w:ascii="仿宋_GB2312" w:hAnsi="仿宋_GB2312" w:eastAsia="仿宋_GB2312" w:cs="仿宋_GB2312"/>
          <w:sz w:val="32"/>
          <w:szCs w:val="32"/>
          <w:lang w:val="en-US" w:eastAsia="zh-CN"/>
        </w:rPr>
      </w:pPr>
      <w:bookmarkStart w:id="11" w:name="_Toc6756"/>
      <w:r>
        <w:rPr>
          <w:rFonts w:hint="eastAsia" w:ascii="仿宋_GB2312" w:hAnsi="仿宋_GB2312" w:eastAsia="仿宋_GB2312" w:cs="仿宋_GB2312"/>
          <w:sz w:val="32"/>
          <w:szCs w:val="32"/>
          <w:lang w:val="en-US" w:eastAsia="zh-CN"/>
        </w:rPr>
        <w:t>5.1</w:t>
      </w:r>
      <w:r>
        <w:rPr>
          <w:rFonts w:hint="default" w:ascii="仿宋_GB2312" w:hAnsi="仿宋_GB2312" w:eastAsia="仿宋_GB2312" w:cs="仿宋_GB2312"/>
          <w:sz w:val="32"/>
          <w:szCs w:val="32"/>
          <w:lang w:val="en-US" w:eastAsia="zh-CN"/>
        </w:rPr>
        <w:t>先进性体现</w:t>
      </w:r>
      <w:bookmarkEnd w:id="11"/>
    </w:p>
    <w:p w14:paraId="023E372F">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技术先进：填补专项标准空白，升级施工管控水平</w:t>
      </w:r>
    </w:p>
    <w:p w14:paraId="4A8ED9E7">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在现行旋转电机、汽轮发电机组通用安装标准基础上，首次形成调相机安装验收专项规范，系统性整合机务、电气、热控、调试、验收全专业技术要求，填补了国内调相机专项施工验收标准的空白。标准吸纳电力建设先进管控理念，明确励磁系统、继电保护、冷却系统的双重化配置要求，规范三取二保护回路独立性、关键工序联合验收、隐蔽工程影像留存等管控机制，细化转子穿装、磁力中心调整、定子严密性试验等核心工序精度要求，技术管控要求匹配当前电网对调相机高可靠运行的需求，推动调相机工程施工质量整体升级。</w:t>
      </w:r>
    </w:p>
    <w:p w14:paraId="792FF4F2">
      <w:pPr>
        <w:numPr>
          <w:ilvl w:val="255"/>
          <w:numId w:val="0"/>
        </w:numPr>
        <w:ind w:firstLine="640" w:firstLineChars="200"/>
        <w:outlineLvl w:val="1"/>
        <w:rPr>
          <w:rFonts w:hint="default" w:ascii="仿宋_GB2312" w:hAnsi="仿宋_GB2312" w:eastAsia="仿宋_GB2312" w:cs="仿宋_GB2312"/>
          <w:sz w:val="32"/>
          <w:szCs w:val="32"/>
          <w:lang w:val="en-US" w:eastAsia="zh-CN"/>
        </w:rPr>
      </w:pPr>
      <w:bookmarkStart w:id="12" w:name="_Toc25455"/>
      <w:r>
        <w:rPr>
          <w:rFonts w:hint="eastAsia" w:ascii="仿宋_GB2312" w:hAnsi="仿宋_GB2312" w:eastAsia="仿宋_GB2312" w:cs="仿宋_GB2312"/>
          <w:sz w:val="32"/>
          <w:szCs w:val="32"/>
          <w:lang w:val="en-US" w:eastAsia="zh-CN"/>
        </w:rPr>
        <w:t>5.2</w:t>
      </w:r>
      <w:r>
        <w:rPr>
          <w:rFonts w:hint="default" w:ascii="仿宋_GB2312" w:hAnsi="仿宋_GB2312" w:eastAsia="仿宋_GB2312" w:cs="仿宋_GB2312"/>
          <w:sz w:val="32"/>
          <w:szCs w:val="32"/>
          <w:lang w:val="en-US" w:eastAsia="zh-CN"/>
        </w:rPr>
        <w:t>经济合理</w:t>
      </w:r>
      <w:bookmarkEnd w:id="12"/>
    </w:p>
    <w:p w14:paraId="62E0D38E">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统一调相机工程施工工艺、质量验收、资料归档标准，有效减少不同参建方的尺度分歧与质量争议，降低沟通与返工成本；标准化的作业流程与验收表式可直接复用，提升施工与验收工作效率，缩短工程建设周期；规范统一的质量追溯资料，可降低后期运维阶段的缺陷溯源与设备检修成本，实现工程建设全生命周期降本增效。</w:t>
      </w:r>
    </w:p>
    <w:p w14:paraId="20AF82D3">
      <w:pPr>
        <w:numPr>
          <w:ilvl w:val="255"/>
          <w:numId w:val="0"/>
        </w:numPr>
        <w:ind w:firstLine="640" w:firstLineChars="200"/>
        <w:outlineLvl w:val="1"/>
        <w:rPr>
          <w:rFonts w:hint="default" w:ascii="仿宋_GB2312" w:hAnsi="仿宋_GB2312" w:eastAsia="仿宋_GB2312" w:cs="仿宋_GB2312"/>
          <w:sz w:val="32"/>
          <w:szCs w:val="32"/>
          <w:lang w:val="en-US" w:eastAsia="zh-CN"/>
        </w:rPr>
      </w:pPr>
      <w:bookmarkStart w:id="13" w:name="_Toc8200"/>
      <w:r>
        <w:rPr>
          <w:rFonts w:hint="eastAsia" w:ascii="仿宋_GB2312" w:hAnsi="仿宋_GB2312" w:eastAsia="仿宋_GB2312" w:cs="仿宋_GB2312"/>
          <w:sz w:val="32"/>
          <w:szCs w:val="32"/>
          <w:lang w:val="en-US" w:eastAsia="zh-CN"/>
        </w:rPr>
        <w:t>5.3</w:t>
      </w:r>
      <w:r>
        <w:rPr>
          <w:rFonts w:hint="default" w:ascii="仿宋_GB2312" w:hAnsi="仿宋_GB2312" w:eastAsia="仿宋_GB2312" w:cs="仿宋_GB2312"/>
          <w:sz w:val="32"/>
          <w:szCs w:val="32"/>
          <w:lang w:val="en-US" w:eastAsia="zh-CN"/>
        </w:rPr>
        <w:t>特色性体现</w:t>
      </w:r>
      <w:bookmarkEnd w:id="13"/>
    </w:p>
    <w:p w14:paraId="58115774">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场景特色：聚焦调相机涉网专属属性，精准匹配工程需求</w:t>
      </w:r>
    </w:p>
    <w:p w14:paraId="4E0608CE">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区别于通用旋转电机安装标准，本标准充分考量调相机运行</w:t>
      </w:r>
      <w:r>
        <w:rPr>
          <w:rFonts w:hint="eastAsia" w:ascii="仿宋_GB2312" w:hAnsi="仿宋_GB2312" w:eastAsia="仿宋_GB2312" w:cs="仿宋_GB2312"/>
          <w:sz w:val="32"/>
          <w:szCs w:val="32"/>
          <w:lang w:val="en-US" w:eastAsia="zh-CN"/>
        </w:rPr>
        <w:t>的</w:t>
      </w:r>
      <w:r>
        <w:rPr>
          <w:rFonts w:hint="default" w:ascii="仿宋_GB2312" w:hAnsi="仿宋_GB2312" w:eastAsia="仿宋_GB2312" w:cs="仿宋_GB2312"/>
          <w:sz w:val="32"/>
          <w:szCs w:val="32"/>
          <w:lang w:val="en-US" w:eastAsia="zh-CN"/>
        </w:rPr>
        <w:t>专属定位，精准适调相机工程的建设场景，解决通用标准对调相机涉网特性覆盖不足的问题。</w:t>
      </w:r>
    </w:p>
    <w:p w14:paraId="53DD0CC1">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体系特色：构建全专业闭环体系，配套落地执行工具</w:t>
      </w:r>
    </w:p>
    <w:p w14:paraId="03182F00">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构建“施工准备—本体安装—电气安装—调整试验—工程验收”全流程、全专业管控体系，打破通用标准跨专业分散的局限。同步配套机务、电气、热控专业质量验收划分表与验收规范，以及验收档案清单、试运鉴定书、移交验收鉴定书等标准化模板，形成“技术要求+验收工具+资料模板”的完整落地体系，现场可直接参照执行，实用性显著优于零散的通用标准。</w:t>
      </w:r>
    </w:p>
    <w:p w14:paraId="2F6D4F84">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管控特色：强化全过程质量追溯，细化关键工序管控</w:t>
      </w:r>
    </w:p>
    <w:p w14:paraId="33F3CD3B">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突出调相机关键设备的过程管控，相比通用施工标准，过程管控颗粒度更细，质量追溯要求更明确，适配调相机作为电网核心支撑设备的高可靠性管控需求。</w:t>
      </w:r>
    </w:p>
    <w:p w14:paraId="7865FAF9">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核心价值</w:t>
      </w:r>
    </w:p>
    <w:p w14:paraId="73992083">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通过填补调相机专项安装验收标准空白、强化涉网场景专属适配、细化全过程质量追溯管控，精准践行《标准化法》倡导的技术先进性、经济合理性与社会效益、生态效益的统一，为调相机工程建设提供专项、系统、可落地的标准化依据，树立电力细分领域团体标准的编制典范。</w:t>
      </w:r>
    </w:p>
    <w:p w14:paraId="589D3E96">
      <w:pPr>
        <w:numPr>
          <w:ilvl w:val="-1"/>
          <w:numId w:val="0"/>
        </w:numPr>
        <w:ind w:firstLine="643" w:firstLineChars="200"/>
        <w:outlineLvl w:val="0"/>
        <w:rPr>
          <w:rFonts w:hint="default" w:ascii="Times New Roman" w:hAnsi="Times New Roman" w:eastAsia="仿宋_GB2312" w:cs="Times New Roman"/>
          <w:b/>
          <w:bCs/>
          <w:sz w:val="32"/>
          <w:szCs w:val="32"/>
        </w:rPr>
      </w:pPr>
      <w:bookmarkStart w:id="14" w:name="_Toc186"/>
      <w:r>
        <w:rPr>
          <w:rFonts w:hint="default" w:ascii="Times New Roman" w:hAnsi="Times New Roman" w:eastAsia="仿宋_GB2312" w:cs="Times New Roman"/>
          <w:b/>
          <w:bCs/>
          <w:sz w:val="32"/>
          <w:szCs w:val="32"/>
          <w:lang w:val="en-US" w:eastAsia="zh-CN"/>
        </w:rPr>
        <w:t>6.标</w:t>
      </w:r>
      <w:r>
        <w:rPr>
          <w:rFonts w:hint="default" w:ascii="Times New Roman" w:hAnsi="Times New Roman" w:eastAsia="仿宋_GB2312" w:cs="Times New Roman"/>
          <w:b/>
          <w:bCs/>
          <w:sz w:val="32"/>
          <w:szCs w:val="32"/>
        </w:rPr>
        <w:t>准调研、研讨及征求意见情况</w:t>
      </w:r>
      <w:bookmarkEnd w:id="14"/>
    </w:p>
    <w:p w14:paraId="2AC49599">
      <w:pPr>
        <w:numPr>
          <w:ilvl w:val="255"/>
          <w:numId w:val="0"/>
        </w:numPr>
        <w:ind w:firstLine="640" w:firstLineChars="200"/>
        <w:outlineLvl w:val="1"/>
        <w:rPr>
          <w:rFonts w:hint="default" w:ascii="仿宋_GB2312" w:hAnsi="仿宋_GB2312" w:eastAsia="仿宋_GB2312" w:cs="仿宋_GB2312"/>
          <w:sz w:val="32"/>
          <w:szCs w:val="32"/>
        </w:rPr>
      </w:pPr>
      <w:bookmarkStart w:id="15" w:name="_Toc16926"/>
      <w:r>
        <w:rPr>
          <w:rFonts w:hint="eastAsia" w:ascii="仿宋_GB2312" w:hAnsi="仿宋_GB2312" w:eastAsia="仿宋_GB2312" w:cs="仿宋_GB2312"/>
          <w:sz w:val="32"/>
          <w:szCs w:val="32"/>
          <w:lang w:eastAsia="zh-CN"/>
        </w:rPr>
        <w:t>6</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rPr>
        <w:t>调研阶段</w:t>
      </w:r>
      <w:bookmarkEnd w:id="15"/>
    </w:p>
    <w:p w14:paraId="323FCBAB">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rPr>
        <w:t>年1月—3月，起草组通过实地走访、资料调研、定向访谈等方式，调研了</w:t>
      </w:r>
      <w:r>
        <w:rPr>
          <w:rFonts w:hint="default" w:ascii="仿宋_GB2312" w:hAnsi="仿宋_GB2312" w:eastAsia="仿宋_GB2312" w:cs="仿宋_GB2312"/>
          <w:sz w:val="32"/>
          <w:szCs w:val="32"/>
          <w:highlight w:val="none"/>
        </w:rPr>
        <w:t>国内</w:t>
      </w:r>
      <w:r>
        <w:rPr>
          <w:rFonts w:hint="eastAsia" w:ascii="仿宋_GB2312" w:hAnsi="仿宋_GB2312" w:eastAsia="仿宋_GB2312" w:cs="仿宋_GB2312"/>
          <w:sz w:val="32"/>
          <w:szCs w:val="32"/>
          <w:highlight w:val="none"/>
          <w:lang w:val="en-US" w:eastAsia="zh-CN"/>
        </w:rPr>
        <w:t>两个</w:t>
      </w:r>
      <w:r>
        <w:rPr>
          <w:rFonts w:hint="default" w:ascii="仿宋_GB2312" w:hAnsi="仿宋_GB2312" w:eastAsia="仿宋_GB2312" w:cs="仿宋_GB2312"/>
          <w:sz w:val="32"/>
          <w:szCs w:val="32"/>
          <w:highlight w:val="none"/>
        </w:rPr>
        <w:t>典型调相机工程、</w:t>
      </w:r>
      <w:r>
        <w:rPr>
          <w:rFonts w:hint="eastAsia" w:ascii="仿宋_GB2312" w:hAnsi="仿宋_GB2312" w:eastAsia="仿宋_GB2312" w:cs="仿宋_GB2312"/>
          <w:sz w:val="32"/>
          <w:szCs w:val="32"/>
          <w:highlight w:val="none"/>
          <w:lang w:val="en-US" w:eastAsia="zh-CN"/>
        </w:rPr>
        <w:t>三</w:t>
      </w:r>
      <w:r>
        <w:rPr>
          <w:rFonts w:hint="default" w:ascii="仿宋_GB2312" w:hAnsi="仿宋_GB2312" w:eastAsia="仿宋_GB2312" w:cs="仿宋_GB2312"/>
          <w:sz w:val="32"/>
          <w:szCs w:val="32"/>
          <w:highlight w:val="none"/>
        </w:rPr>
        <w:t>家主流设备制造厂、</w:t>
      </w:r>
      <w:r>
        <w:rPr>
          <w:rFonts w:hint="eastAsia" w:ascii="仿宋_GB2312" w:hAnsi="仿宋_GB2312" w:eastAsia="仿宋_GB2312" w:cs="仿宋_GB2312"/>
          <w:sz w:val="32"/>
          <w:szCs w:val="32"/>
          <w:highlight w:val="none"/>
          <w:lang w:val="en-US" w:eastAsia="zh-CN"/>
        </w:rPr>
        <w:t>二十二</w:t>
      </w:r>
      <w:r>
        <w:rPr>
          <w:rFonts w:hint="default" w:ascii="仿宋_GB2312" w:hAnsi="仿宋_GB2312" w:eastAsia="仿宋_GB2312" w:cs="仿宋_GB2312"/>
          <w:sz w:val="32"/>
          <w:szCs w:val="32"/>
          <w:highlight w:val="none"/>
        </w:rPr>
        <w:t>家电力建设施工单位与</w:t>
      </w:r>
      <w:r>
        <w:rPr>
          <w:rFonts w:hint="eastAsia" w:ascii="仿宋_GB2312" w:hAnsi="仿宋_GB2312" w:eastAsia="仿宋_GB2312" w:cs="仿宋_GB2312"/>
          <w:sz w:val="32"/>
          <w:szCs w:val="32"/>
          <w:highlight w:val="none"/>
          <w:lang w:val="en-US" w:eastAsia="zh-CN"/>
        </w:rPr>
        <w:t>一</w:t>
      </w:r>
      <w:r>
        <w:rPr>
          <w:rFonts w:hint="default" w:ascii="仿宋_GB2312" w:hAnsi="仿宋_GB2312" w:eastAsia="仿宋_GB2312" w:cs="仿宋_GB2312"/>
          <w:sz w:val="32"/>
          <w:szCs w:val="32"/>
          <w:highlight w:val="none"/>
        </w:rPr>
        <w:t>家电网运</w:t>
      </w:r>
      <w:r>
        <w:rPr>
          <w:rFonts w:hint="default" w:ascii="仿宋_GB2312" w:hAnsi="仿宋_GB2312" w:eastAsia="仿宋_GB2312" w:cs="仿宋_GB2312"/>
          <w:sz w:val="32"/>
          <w:szCs w:val="32"/>
        </w:rPr>
        <w:t>行单位，系统梳理调相机施工工艺、质量管控、验收流程现状，收集工程现场痛点与标准化需求，形成《调相机安装验收行业现状调研报告》，为标准框架设计与指标设定奠定实践基础。</w:t>
      </w:r>
    </w:p>
    <w:p w14:paraId="4539E4C6">
      <w:pPr>
        <w:numPr>
          <w:ilvl w:val="255"/>
          <w:numId w:val="0"/>
        </w:numPr>
        <w:ind w:firstLine="640" w:firstLineChars="200"/>
        <w:outlineLvl w:val="1"/>
        <w:rPr>
          <w:rFonts w:hint="default" w:ascii="仿宋_GB2312" w:hAnsi="仿宋_GB2312" w:eastAsia="仿宋_GB2312" w:cs="仿宋_GB2312"/>
          <w:sz w:val="32"/>
          <w:szCs w:val="32"/>
        </w:rPr>
      </w:pPr>
      <w:bookmarkStart w:id="16" w:name="_Toc7862"/>
      <w:r>
        <w:rPr>
          <w:rFonts w:hint="eastAsia" w:ascii="仿宋_GB2312" w:hAnsi="仿宋_GB2312" w:eastAsia="仿宋_GB2312" w:cs="仿宋_GB2312"/>
          <w:sz w:val="32"/>
          <w:szCs w:val="32"/>
          <w:lang w:val="en-US" w:eastAsia="zh-CN"/>
        </w:rPr>
        <w:t>6.2</w:t>
      </w:r>
      <w:r>
        <w:rPr>
          <w:rFonts w:hint="default" w:ascii="仿宋_GB2312" w:hAnsi="仿宋_GB2312" w:eastAsia="仿宋_GB2312" w:cs="仿宋_GB2312"/>
          <w:sz w:val="32"/>
          <w:szCs w:val="32"/>
        </w:rPr>
        <w:t>研讨阶段</w:t>
      </w:r>
      <w:bookmarkEnd w:id="16"/>
    </w:p>
    <w:p w14:paraId="5675A341">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default" w:ascii="仿宋_GB2312" w:hAnsi="仿宋_GB2312" w:eastAsia="仿宋_GB2312" w:cs="仿宋_GB2312"/>
          <w:sz w:val="32"/>
          <w:szCs w:val="32"/>
        </w:rPr>
        <w:t>月与</w:t>
      </w:r>
      <w:r>
        <w:rPr>
          <w:rFonts w:hint="eastAsia" w:ascii="仿宋_GB2312" w:hAnsi="仿宋_GB2312" w:eastAsia="仿宋_GB2312" w:cs="仿宋_GB2312"/>
          <w:sz w:val="32"/>
          <w:szCs w:val="32"/>
          <w:lang w:val="en-US" w:eastAsia="zh-CN"/>
        </w:rPr>
        <w:t>2026年7</w:t>
      </w:r>
      <w:r>
        <w:rPr>
          <w:rFonts w:hint="default" w:ascii="仿宋_GB2312" w:hAnsi="仿宋_GB2312" w:eastAsia="仿宋_GB2312" w:cs="仿宋_GB2312"/>
          <w:sz w:val="32"/>
          <w:szCs w:val="32"/>
        </w:rPr>
        <w:t>月，起草组先后组织</w:t>
      </w:r>
      <w:r>
        <w:rPr>
          <w:rFonts w:hint="eastAsia" w:ascii="仿宋_GB2312" w:hAnsi="仿宋_GB2312" w:eastAsia="仿宋_GB2312" w:cs="仿宋_GB2312"/>
          <w:sz w:val="32"/>
          <w:szCs w:val="32"/>
          <w:highlight w:val="none"/>
          <w:lang w:val="en-US" w:eastAsia="zh-CN"/>
        </w:rPr>
        <w:t>八</w:t>
      </w:r>
      <w:r>
        <w:rPr>
          <w:rFonts w:hint="default" w:ascii="仿宋_GB2312" w:hAnsi="仿宋_GB2312" w:eastAsia="仿宋_GB2312" w:cs="仿宋_GB2312"/>
          <w:sz w:val="32"/>
          <w:szCs w:val="32"/>
          <w:highlight w:val="none"/>
        </w:rPr>
        <w:t>次</w:t>
      </w:r>
      <w:r>
        <w:rPr>
          <w:rFonts w:hint="default" w:ascii="仿宋_GB2312" w:hAnsi="仿宋_GB2312" w:eastAsia="仿宋_GB2312" w:cs="仿宋_GB2312"/>
          <w:sz w:val="32"/>
          <w:szCs w:val="32"/>
        </w:rPr>
        <w:t>专家研讨会，邀请电力建设、电网运行、设备制造、标准化领域的</w:t>
      </w:r>
      <w:r>
        <w:rPr>
          <w:rFonts w:hint="eastAsia" w:ascii="仿宋_GB2312" w:hAnsi="仿宋_GB2312" w:eastAsia="仿宋_GB2312" w:cs="仿宋_GB2312"/>
          <w:sz w:val="32"/>
          <w:szCs w:val="32"/>
          <w:lang w:val="en-US" w:eastAsia="zh-CN"/>
        </w:rPr>
        <w:t>多</w:t>
      </w:r>
      <w:r>
        <w:rPr>
          <w:rFonts w:hint="default" w:ascii="仿宋_GB2312" w:hAnsi="仿宋_GB2312" w:eastAsia="仿宋_GB2312" w:cs="仿宋_GB2312"/>
          <w:sz w:val="32"/>
          <w:szCs w:val="32"/>
        </w:rPr>
        <w:t>位专家参会，围绕标准框架、关键技术指标、验收划分体系、专业衔接等核心内容开展深入论证，达成一致意见后优化形成标准征求意见稿。</w:t>
      </w:r>
    </w:p>
    <w:p w14:paraId="57E613E7">
      <w:pPr>
        <w:numPr>
          <w:ilvl w:val="255"/>
          <w:numId w:val="0"/>
        </w:numPr>
        <w:ind w:firstLine="640" w:firstLineChars="200"/>
        <w:outlineLvl w:val="1"/>
        <w:rPr>
          <w:rFonts w:hint="default" w:ascii="仿宋_GB2312" w:hAnsi="仿宋_GB2312" w:eastAsia="仿宋_GB2312" w:cs="仿宋_GB2312"/>
          <w:sz w:val="32"/>
          <w:szCs w:val="32"/>
        </w:rPr>
      </w:pPr>
      <w:bookmarkStart w:id="17" w:name="_Toc1296"/>
      <w:r>
        <w:rPr>
          <w:rFonts w:hint="eastAsia" w:ascii="仿宋_GB2312" w:hAnsi="仿宋_GB2312" w:eastAsia="仿宋_GB2312" w:cs="仿宋_GB2312"/>
          <w:sz w:val="32"/>
          <w:szCs w:val="32"/>
          <w:lang w:val="en-US" w:eastAsia="zh-CN"/>
        </w:rPr>
        <w:t>6.3</w:t>
      </w:r>
      <w:r>
        <w:rPr>
          <w:rFonts w:hint="default" w:ascii="仿宋_GB2312" w:hAnsi="仿宋_GB2312" w:eastAsia="仿宋_GB2312" w:cs="仿宋_GB2312"/>
          <w:sz w:val="32"/>
          <w:szCs w:val="32"/>
        </w:rPr>
        <w:t>征求意见阶段</w:t>
      </w:r>
      <w:bookmarkEnd w:id="17"/>
    </w:p>
    <w:p w14:paraId="26F8BE8D">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本稿为标准征求意见稿，拟通过中国电力建设企业协会官方渠道、定向发函等方式，面向全行业会员单位、工程建设相关单位公开征求意见，征求周期不少于30天。对回收的意见建议，起草组将逐一分析论证，按“采纳、部分采纳、不采纳”分类处置，形成意见处理汇总表，对标准文本进行优化完善；对不予采纳的意见，将向提出单位说明理由并留存记录。</w:t>
      </w:r>
    </w:p>
    <w:p w14:paraId="1D1A84D7">
      <w:pPr>
        <w:numPr>
          <w:ilvl w:val="-1"/>
          <w:numId w:val="0"/>
        </w:numPr>
        <w:ind w:firstLine="643" w:firstLineChars="200"/>
        <w:outlineLvl w:val="0"/>
        <w:rPr>
          <w:rFonts w:hint="default" w:ascii="Times New Roman" w:hAnsi="Times New Roman" w:eastAsia="仿宋_GB2312" w:cs="Times New Roman"/>
          <w:b/>
          <w:bCs/>
          <w:sz w:val="32"/>
          <w:szCs w:val="32"/>
        </w:rPr>
      </w:pPr>
      <w:bookmarkStart w:id="18" w:name="_Toc590"/>
      <w:r>
        <w:rPr>
          <w:rFonts w:hint="default" w:ascii="Times New Roman" w:hAnsi="Times New Roman" w:eastAsia="仿宋_GB2312" w:cs="Times New Roman"/>
          <w:b/>
          <w:bCs/>
          <w:sz w:val="32"/>
          <w:szCs w:val="32"/>
          <w:lang w:val="en-US" w:eastAsia="zh-CN"/>
        </w:rPr>
        <w:t>7.</w:t>
      </w:r>
      <w:r>
        <w:rPr>
          <w:rFonts w:hint="default" w:ascii="Times New Roman" w:hAnsi="Times New Roman" w:eastAsia="仿宋_GB2312" w:cs="Times New Roman"/>
          <w:b/>
          <w:bCs/>
          <w:sz w:val="32"/>
          <w:szCs w:val="32"/>
        </w:rPr>
        <w:t>技术指标设置的科学性与可行性</w:t>
      </w:r>
      <w:bookmarkEnd w:id="18"/>
    </w:p>
    <w:p w14:paraId="497E9C86">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（1）平垫铁上表面水平度：无制造厂要求时，纵向、横向水平应不大于0.10mm/m</w:t>
      </w:r>
    </w:p>
    <w:p w14:paraId="056FAB0B">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该指标参照DL/T5190.3《电力建设施工技术规范第3部分：汽轮发电机组》通用要求设定，符合重型旋转设备基础找正的力学原理，可保证台板与设备本体安装精度，避免因基础及底铁水平不符合制造厂要求从而引发轴系振动超标。现场采用合像水平仪或框式水平即可完成检测，是电力设备安装领域长期工程验证的成熟精度阈值，兼顾安装质量与施工效率。</w:t>
      </w:r>
    </w:p>
    <w:p w14:paraId="62FFBB17">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（2）轴承座灌油试验：灌油24h后检查应无渗漏</w:t>
      </w:r>
    </w:p>
    <w:p w14:paraId="7E8B0F14">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24h静置试漏是电力行业油系统密封性能检验的通用成熟方法，可充分暴露焊缝、壳体结合面的微小渗漏缺陷。本指标与DL/T5190.3相关要求保持一致，经大量火电、新能源工程实践验证，可有效排查轴承座油室渗漏隐患，方法简便、判定直观，现场可直接执行。</w:t>
      </w:r>
    </w:p>
    <w:p w14:paraId="0AFA396C">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（3）同期并网参数：电压差≤5%额定电压、合闸相位差＜10°</w:t>
      </w:r>
    </w:p>
    <w:p w14:paraId="0D86E1EC">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该指标依据电网并网安全运行规则设定，参考电力系统同期装置通用技术水平与调相机涉网运行要求。5%电压差、10°合闸相位差的阈值可将并网瞬间的冲击电流控制在设备与电网可承受范围内，避免冲击损伤设备绕组、影响电网电压稳定，是电力系统并网管控的成熟技术阈值，具备充分的运行实践验证。</w:t>
      </w:r>
    </w:p>
    <w:p w14:paraId="29E787C7">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（4）垫铁配置要求：每叠垫铁不宜超过3块、不得超过5块，斜垫铁搭接长度应超过垫铁自身长度的2/3并在机组最终转子扬度调整完成后需点焊牢固。</w:t>
      </w:r>
    </w:p>
    <w:p w14:paraId="7D113155">
      <w:pPr>
        <w:numPr>
          <w:ilvl w:val="255"/>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rPr>
        <w:t>该要求参照DL/T5190.3相关规定，基于基础支撑刚度与受力稳定性原理设定。控制垫铁叠数可避免垫铁组失稳、沉降不均，保证设备长期运行基础可靠；规定斜垫铁搭接比例可保障接触面受力均匀，防止垫铁滑移。该配置方式是电力设备基础安装的通用成熟做法，兼顾安装调整便利性与结构可靠性，具备广泛的工程实践基础。</w:t>
      </w:r>
    </w:p>
    <w:p w14:paraId="41B3488D">
      <w:pPr>
        <w:ind w:firstLine="643" w:firstLineChars="200"/>
        <w:outlineLvl w:val="0"/>
        <w:rPr>
          <w:rFonts w:hint="default" w:ascii="Times New Roman" w:hAnsi="Times New Roman" w:eastAsia="仿宋_GB2312" w:cs="Times New Roman"/>
          <w:b/>
          <w:bCs/>
          <w:color w:val="00B0F0"/>
          <w:sz w:val="32"/>
          <w:szCs w:val="32"/>
        </w:rPr>
      </w:pPr>
      <w:bookmarkStart w:id="19" w:name="_Toc19360"/>
      <w:r>
        <w:rPr>
          <w:rFonts w:hint="eastAsia" w:ascii="Times New Roman" w:hAnsi="Times New Roman" w:eastAsia="仿宋_GB2312" w:cs="Times New Roman"/>
          <w:b/>
          <w:bCs/>
          <w:sz w:val="32"/>
          <w:szCs w:val="32"/>
          <w:lang w:val="en-US" w:eastAsia="zh-CN"/>
        </w:rPr>
        <w:t>8</w:t>
      </w:r>
      <w:r>
        <w:rPr>
          <w:rFonts w:hint="default" w:ascii="Times New Roman" w:hAnsi="Times New Roman" w:eastAsia="仿宋_GB2312" w:cs="Times New Roman"/>
          <w:b/>
          <w:bCs/>
          <w:sz w:val="32"/>
          <w:szCs w:val="32"/>
        </w:rPr>
        <w:t>.与国内外同类标准对比及采标情况</w:t>
      </w:r>
      <w:bookmarkEnd w:id="19"/>
    </w:p>
    <w:p w14:paraId="42C2A81D">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目前国内尚无专门针对调相机安装及验收的国家、行业标准，相关要求分散于旋转电机、汽轮发电机组、电气装置等通用标准中。本标准与通用标准相比，具备以下特点：</w:t>
      </w:r>
    </w:p>
    <w:p w14:paraId="54BF721A">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针对性更强：聚焦调相机专属设备结构与涉网特性，专项规范静止变频启动、励磁系统、调相机保护等特有内容，避免通用标准的宽泛性。</w:t>
      </w:r>
    </w:p>
    <w:p w14:paraId="1E54AF63">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体系更完整：覆盖机务、电气、热控、调试、验收全专业全流程，配套完整的验收划分表与资料模板，现场可直接套用执行。</w:t>
      </w:r>
    </w:p>
    <w:p w14:paraId="698BE33B">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管控更精细：明确关键工序联合验收要求、影像追溯要求、资料归档期限，强化全过程质量管控。</w:t>
      </w:r>
    </w:p>
    <w:p w14:paraId="57BD7BAC">
      <w:pPr>
        <w:keepNext w:val="0"/>
        <w:keepLines w:val="0"/>
        <w:widowControl/>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left"/>
        <w:rPr>
          <w:rFonts w:ascii="仿宋_GB2312" w:hAnsi="仿宋_GB2312" w:eastAsia="仿宋_GB2312" w:cs="仿宋_GB2312"/>
          <w:sz w:val="32"/>
          <w:szCs w:val="32"/>
        </w:rPr>
      </w:pPr>
      <w:r>
        <w:rPr>
          <w:rFonts w:ascii="仿宋_GB2312" w:hAnsi="仿宋_GB2312" w:eastAsia="仿宋_GB2312" w:cs="仿宋_GB2312"/>
          <w:kern w:val="2"/>
          <w:sz w:val="32"/>
          <w:szCs w:val="32"/>
          <w:lang w:val="en-US" w:eastAsia="zh-CN" w:bidi="ar"/>
        </w:rPr>
        <w:t>经检索，IS</w:t>
      </w:r>
      <w:r>
        <w:rPr>
          <w:rFonts w:hint="eastAsia" w:ascii="仿宋_GB2312" w:hAnsi="仿宋_GB2312" w:eastAsia="仿宋_GB2312" w:cs="仿宋_GB2312"/>
          <w:kern w:val="2"/>
          <w:sz w:val="32"/>
          <w:szCs w:val="32"/>
          <w:lang w:val="en-US" w:eastAsia="zh-CN" w:bidi="ar"/>
        </w:rPr>
        <w:t>O</w:t>
      </w:r>
      <w:r>
        <w:rPr>
          <w:rFonts w:ascii="仿宋_GB2312" w:hAnsi="仿宋_GB2312" w:eastAsia="仿宋_GB2312" w:cs="仿宋_GB2312"/>
          <w:kern w:val="2"/>
          <w:sz w:val="32"/>
          <w:szCs w:val="32"/>
          <w:lang w:val="en-US" w:eastAsia="zh-CN" w:bidi="ar"/>
        </w:rPr>
        <w:t>、IEC 等国际标准化组织未发布专门的同步调相机安装验收标准，相关通用旋转电机标准仅规定基础通用要求，不覆盖调相机专项施工工艺、涉网配置、工程验收等内容。本标准结合我国电力建设体系与调相机应用场景制定，本土化适配性更强。本标准技术内容立足国内电力建设实践、设备制造水平与电网运行要求，符合国内工程实际，具备本土化适用性。</w:t>
      </w:r>
    </w:p>
    <w:p w14:paraId="305620DD">
      <w:pPr>
        <w:ind w:firstLine="643" w:firstLineChars="200"/>
        <w:outlineLvl w:val="0"/>
        <w:rPr>
          <w:rFonts w:hint="default" w:ascii="Times New Roman" w:hAnsi="Times New Roman" w:eastAsia="仿宋_GB2312" w:cs="Times New Roman"/>
          <w:b/>
          <w:bCs/>
          <w:sz w:val="32"/>
          <w:szCs w:val="32"/>
        </w:rPr>
      </w:pPr>
      <w:bookmarkStart w:id="20" w:name="_Toc30389"/>
      <w:r>
        <w:rPr>
          <w:rFonts w:hint="eastAsia" w:ascii="Times New Roman" w:hAnsi="Times New Roman" w:eastAsia="仿宋_GB2312" w:cs="Times New Roman"/>
          <w:b/>
          <w:bCs/>
          <w:sz w:val="32"/>
          <w:szCs w:val="32"/>
          <w:lang w:val="en-US" w:eastAsia="zh-CN"/>
        </w:rPr>
        <w:t>9.</w:t>
      </w:r>
      <w:r>
        <w:rPr>
          <w:rFonts w:hint="default" w:ascii="Times New Roman" w:hAnsi="Times New Roman" w:eastAsia="仿宋_GB2312" w:cs="Times New Roman"/>
          <w:b/>
          <w:bCs/>
          <w:sz w:val="32"/>
          <w:szCs w:val="32"/>
        </w:rPr>
        <w:t>涉及专利的有关说明</w:t>
      </w:r>
      <w:bookmarkEnd w:id="20"/>
    </w:p>
    <w:p w14:paraId="787FAAC8">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标准制定过程中，项目组通过多渠道全面检索和分析了国内外相关专利。截至发布之日，未发现标准技术内容涉及任何有效专利。因此在说明中明确宣告:“本标准不涉及任何专利内容”。</w:t>
      </w:r>
    </w:p>
    <w:p w14:paraId="40931F5F">
      <w:pPr>
        <w:ind w:firstLine="643" w:firstLineChars="200"/>
        <w:outlineLvl w:val="0"/>
        <w:rPr>
          <w:rFonts w:hint="default" w:ascii="仿宋_GB2312" w:hAnsi="仿宋_GB2312" w:eastAsia="仿宋_GB2312" w:cs="仿宋_GB2312"/>
          <w:sz w:val="32"/>
          <w:szCs w:val="32"/>
        </w:rPr>
      </w:pPr>
      <w:bookmarkStart w:id="21" w:name="_Toc16842"/>
      <w:r>
        <w:rPr>
          <w:rFonts w:hint="eastAsia" w:ascii="Times New Roman" w:hAnsi="Times New Roman" w:eastAsia="仿宋_GB2312" w:cs="Times New Roman"/>
          <w:b/>
          <w:bCs/>
          <w:sz w:val="32"/>
          <w:szCs w:val="32"/>
          <w:lang w:val="en-US" w:eastAsia="zh-CN"/>
        </w:rPr>
        <w:t>10.其他应当说明的事项</w:t>
      </w:r>
      <w:bookmarkEnd w:id="21"/>
    </w:p>
    <w:p w14:paraId="04469605">
      <w:pPr>
        <w:numPr>
          <w:ilvl w:val="255"/>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本标准面向全行业开放适用，不设置不合理技术壁垒，不限制市场准入，不排除、限制任何合法市场主体参与竞争。标准内容为调相机安装验收通用技术要求，不针对特定经营者作出差异化、排他性规定，不涉及给予特定主体优惠待遇的内容，不影响商品要素自由流动，不违反公平竞争相关规定。本标准编制严格遵循团体标准管理规定，征求意见、试验验证、报批等程序合规</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主编、参编单位及起草人无变更</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标准内容无其他特殊说明。</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2D1D8E-B9C3-489F-8A11-2966A21F2E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echnicLite">
    <w:panose1 w:val="000004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2" w:fontKey="{4A30D3E5-8414-4419-BE83-5A3C0A0528BF}"/>
  </w:font>
  <w:font w:name="仿宋_GB2312">
    <w:panose1 w:val="02010609030101010101"/>
    <w:charset w:val="86"/>
    <w:family w:val="modern"/>
    <w:pitch w:val="default"/>
    <w:sig w:usb0="00000001" w:usb1="080E0000" w:usb2="00000000" w:usb3="00000000" w:csb0="00040000" w:csb1="00000000"/>
    <w:embedRegular r:id="rId3" w:fontKey="{352C8322-A992-4D31-82C1-EA8C3FA0B172}"/>
  </w:font>
  <w:font w:name="WPSEMBED1">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CF48D">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EA1CDA">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EA1CDA">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4E115480"/>
    <w:rsid w:val="000069D7"/>
    <w:rsid w:val="001A54A8"/>
    <w:rsid w:val="001D4206"/>
    <w:rsid w:val="002D2929"/>
    <w:rsid w:val="003B1A5D"/>
    <w:rsid w:val="003E222E"/>
    <w:rsid w:val="003F52FD"/>
    <w:rsid w:val="004B2645"/>
    <w:rsid w:val="00505A9F"/>
    <w:rsid w:val="005468B7"/>
    <w:rsid w:val="0060723C"/>
    <w:rsid w:val="00634B5D"/>
    <w:rsid w:val="006B4844"/>
    <w:rsid w:val="00702EBC"/>
    <w:rsid w:val="00760722"/>
    <w:rsid w:val="008A1279"/>
    <w:rsid w:val="00935788"/>
    <w:rsid w:val="009576EF"/>
    <w:rsid w:val="009650E5"/>
    <w:rsid w:val="00A01A07"/>
    <w:rsid w:val="00AC4623"/>
    <w:rsid w:val="00B07DA8"/>
    <w:rsid w:val="00BB15B4"/>
    <w:rsid w:val="00CA5AD7"/>
    <w:rsid w:val="00CE501A"/>
    <w:rsid w:val="00D4778B"/>
    <w:rsid w:val="00E56993"/>
    <w:rsid w:val="00E67FB7"/>
    <w:rsid w:val="00F54690"/>
    <w:rsid w:val="00F9002A"/>
    <w:rsid w:val="00F918CA"/>
    <w:rsid w:val="00FC3709"/>
    <w:rsid w:val="016025FC"/>
    <w:rsid w:val="01B841E6"/>
    <w:rsid w:val="02766859"/>
    <w:rsid w:val="04142E23"/>
    <w:rsid w:val="064029FC"/>
    <w:rsid w:val="07041C7C"/>
    <w:rsid w:val="071F0864"/>
    <w:rsid w:val="08FD6983"/>
    <w:rsid w:val="094E3682"/>
    <w:rsid w:val="0955045F"/>
    <w:rsid w:val="0BC65752"/>
    <w:rsid w:val="0CEE6D0E"/>
    <w:rsid w:val="0D132C19"/>
    <w:rsid w:val="0D8713A0"/>
    <w:rsid w:val="0D9569E1"/>
    <w:rsid w:val="0F5A3229"/>
    <w:rsid w:val="0FBF0E36"/>
    <w:rsid w:val="0FF26B15"/>
    <w:rsid w:val="0FFF7484"/>
    <w:rsid w:val="120E7E53"/>
    <w:rsid w:val="12260CF8"/>
    <w:rsid w:val="12593627"/>
    <w:rsid w:val="13D80718"/>
    <w:rsid w:val="142D3CA5"/>
    <w:rsid w:val="144933C4"/>
    <w:rsid w:val="14C34F24"/>
    <w:rsid w:val="14D07641"/>
    <w:rsid w:val="14D26F15"/>
    <w:rsid w:val="15075231"/>
    <w:rsid w:val="1573694A"/>
    <w:rsid w:val="15916DD0"/>
    <w:rsid w:val="15993A76"/>
    <w:rsid w:val="16E16D46"/>
    <w:rsid w:val="17575DF8"/>
    <w:rsid w:val="1896773C"/>
    <w:rsid w:val="18B35F28"/>
    <w:rsid w:val="191F5723"/>
    <w:rsid w:val="193463F1"/>
    <w:rsid w:val="1A93205A"/>
    <w:rsid w:val="1B0B4F2F"/>
    <w:rsid w:val="1C163B8C"/>
    <w:rsid w:val="1CED6FE2"/>
    <w:rsid w:val="1E256308"/>
    <w:rsid w:val="1E927D7E"/>
    <w:rsid w:val="1EE47F71"/>
    <w:rsid w:val="1FCC231E"/>
    <w:rsid w:val="200C3C23"/>
    <w:rsid w:val="204607B7"/>
    <w:rsid w:val="213571AA"/>
    <w:rsid w:val="2164183D"/>
    <w:rsid w:val="221943D6"/>
    <w:rsid w:val="22432B4E"/>
    <w:rsid w:val="230E380E"/>
    <w:rsid w:val="23654DD1"/>
    <w:rsid w:val="23957A8C"/>
    <w:rsid w:val="23B720F8"/>
    <w:rsid w:val="23C12F77"/>
    <w:rsid w:val="2403362A"/>
    <w:rsid w:val="258B4548"/>
    <w:rsid w:val="260B672B"/>
    <w:rsid w:val="26B648E9"/>
    <w:rsid w:val="26DB434F"/>
    <w:rsid w:val="27194E78"/>
    <w:rsid w:val="27D36DD5"/>
    <w:rsid w:val="2835183D"/>
    <w:rsid w:val="28B430AA"/>
    <w:rsid w:val="28FC48AF"/>
    <w:rsid w:val="294D2BB7"/>
    <w:rsid w:val="297A3E18"/>
    <w:rsid w:val="2A3224D8"/>
    <w:rsid w:val="2A41271B"/>
    <w:rsid w:val="2A4D0323"/>
    <w:rsid w:val="2A805C7D"/>
    <w:rsid w:val="2BB86A0D"/>
    <w:rsid w:val="2BC058C2"/>
    <w:rsid w:val="2C0927B9"/>
    <w:rsid w:val="2CE101E6"/>
    <w:rsid w:val="2D90125B"/>
    <w:rsid w:val="2E156399"/>
    <w:rsid w:val="2EE6563F"/>
    <w:rsid w:val="30093CDB"/>
    <w:rsid w:val="30110DE2"/>
    <w:rsid w:val="30F46739"/>
    <w:rsid w:val="3126266B"/>
    <w:rsid w:val="317B29B7"/>
    <w:rsid w:val="31B9528D"/>
    <w:rsid w:val="31D10829"/>
    <w:rsid w:val="32316565"/>
    <w:rsid w:val="32586854"/>
    <w:rsid w:val="326A47D9"/>
    <w:rsid w:val="326C2300"/>
    <w:rsid w:val="32D63C1D"/>
    <w:rsid w:val="33022C64"/>
    <w:rsid w:val="339A10EE"/>
    <w:rsid w:val="37531CE0"/>
    <w:rsid w:val="37D03331"/>
    <w:rsid w:val="38595180"/>
    <w:rsid w:val="385B709E"/>
    <w:rsid w:val="388151F4"/>
    <w:rsid w:val="39160DB7"/>
    <w:rsid w:val="394C69E7"/>
    <w:rsid w:val="3B0B4EDD"/>
    <w:rsid w:val="3C456A27"/>
    <w:rsid w:val="3C5A58BF"/>
    <w:rsid w:val="3D127F47"/>
    <w:rsid w:val="3DBF3A9D"/>
    <w:rsid w:val="3E171CB9"/>
    <w:rsid w:val="3E965F19"/>
    <w:rsid w:val="3F676329"/>
    <w:rsid w:val="3FA24034"/>
    <w:rsid w:val="3FDB17EE"/>
    <w:rsid w:val="41412BA9"/>
    <w:rsid w:val="41727207"/>
    <w:rsid w:val="433D6BDD"/>
    <w:rsid w:val="43AA0EDA"/>
    <w:rsid w:val="44775260"/>
    <w:rsid w:val="45E958C2"/>
    <w:rsid w:val="46625A9C"/>
    <w:rsid w:val="469C74C5"/>
    <w:rsid w:val="48142DC6"/>
    <w:rsid w:val="48CE11C6"/>
    <w:rsid w:val="48F873C3"/>
    <w:rsid w:val="495E03EC"/>
    <w:rsid w:val="4A140E14"/>
    <w:rsid w:val="4A1B043B"/>
    <w:rsid w:val="4A282B58"/>
    <w:rsid w:val="4A83494B"/>
    <w:rsid w:val="4AEE5B50"/>
    <w:rsid w:val="4B4340EE"/>
    <w:rsid w:val="4B555BCF"/>
    <w:rsid w:val="4BC66D8F"/>
    <w:rsid w:val="4CDB0356"/>
    <w:rsid w:val="4DB12E65"/>
    <w:rsid w:val="4E115480"/>
    <w:rsid w:val="4E7B76FB"/>
    <w:rsid w:val="4ED25642"/>
    <w:rsid w:val="4F416B96"/>
    <w:rsid w:val="4FEC63D6"/>
    <w:rsid w:val="50A3118B"/>
    <w:rsid w:val="50B769E4"/>
    <w:rsid w:val="50C51101"/>
    <w:rsid w:val="50E61077"/>
    <w:rsid w:val="511916B3"/>
    <w:rsid w:val="516A3A56"/>
    <w:rsid w:val="52974D1F"/>
    <w:rsid w:val="52A80CDA"/>
    <w:rsid w:val="535B75CD"/>
    <w:rsid w:val="53F65621"/>
    <w:rsid w:val="53F73CC7"/>
    <w:rsid w:val="544B4013"/>
    <w:rsid w:val="544B7BAF"/>
    <w:rsid w:val="55AD6B1D"/>
    <w:rsid w:val="55EE2EA8"/>
    <w:rsid w:val="561072C2"/>
    <w:rsid w:val="564C5FB4"/>
    <w:rsid w:val="56A65531"/>
    <w:rsid w:val="56B440F1"/>
    <w:rsid w:val="56D848CE"/>
    <w:rsid w:val="56DF518E"/>
    <w:rsid w:val="57805D82"/>
    <w:rsid w:val="57976078"/>
    <w:rsid w:val="58044C05"/>
    <w:rsid w:val="585D074D"/>
    <w:rsid w:val="58615BB3"/>
    <w:rsid w:val="58E97957"/>
    <w:rsid w:val="58F72073"/>
    <w:rsid w:val="590B3D71"/>
    <w:rsid w:val="5921524A"/>
    <w:rsid w:val="596D2336"/>
    <w:rsid w:val="5A184997"/>
    <w:rsid w:val="5A4968FF"/>
    <w:rsid w:val="5AA004E9"/>
    <w:rsid w:val="5B841BB9"/>
    <w:rsid w:val="5C813644"/>
    <w:rsid w:val="5DD554A7"/>
    <w:rsid w:val="5E6F08FE"/>
    <w:rsid w:val="5E6F4DA2"/>
    <w:rsid w:val="5E9A37EC"/>
    <w:rsid w:val="5E9B16F3"/>
    <w:rsid w:val="5EAB402C"/>
    <w:rsid w:val="5EE543DC"/>
    <w:rsid w:val="5F0955FB"/>
    <w:rsid w:val="5FEB66AA"/>
    <w:rsid w:val="60275934"/>
    <w:rsid w:val="60716BAF"/>
    <w:rsid w:val="60D96503"/>
    <w:rsid w:val="61774699"/>
    <w:rsid w:val="620036D7"/>
    <w:rsid w:val="62C05BCC"/>
    <w:rsid w:val="634467FD"/>
    <w:rsid w:val="63A4104A"/>
    <w:rsid w:val="63AE1EC8"/>
    <w:rsid w:val="63FE2D80"/>
    <w:rsid w:val="64713622"/>
    <w:rsid w:val="64C5396E"/>
    <w:rsid w:val="657E1D96"/>
    <w:rsid w:val="661204ED"/>
    <w:rsid w:val="66F70DFE"/>
    <w:rsid w:val="67087B42"/>
    <w:rsid w:val="67AD0D27"/>
    <w:rsid w:val="67D0240D"/>
    <w:rsid w:val="690F71C7"/>
    <w:rsid w:val="69EC72A7"/>
    <w:rsid w:val="6A113E14"/>
    <w:rsid w:val="6A3327E0"/>
    <w:rsid w:val="6A714E92"/>
    <w:rsid w:val="6AC470BB"/>
    <w:rsid w:val="6AFE4BC5"/>
    <w:rsid w:val="6B297183"/>
    <w:rsid w:val="6B673A76"/>
    <w:rsid w:val="6C9205D9"/>
    <w:rsid w:val="6D0A4613"/>
    <w:rsid w:val="6D501733"/>
    <w:rsid w:val="6D5B09CB"/>
    <w:rsid w:val="6D761CA9"/>
    <w:rsid w:val="6D9E2FAE"/>
    <w:rsid w:val="6DFB3F5C"/>
    <w:rsid w:val="6E5B49FB"/>
    <w:rsid w:val="6EF56BFD"/>
    <w:rsid w:val="6F1654F2"/>
    <w:rsid w:val="6F6E431D"/>
    <w:rsid w:val="6F8710DE"/>
    <w:rsid w:val="6FBB7E47"/>
    <w:rsid w:val="706C2EEF"/>
    <w:rsid w:val="725473E3"/>
    <w:rsid w:val="72DF3E4C"/>
    <w:rsid w:val="73CD639B"/>
    <w:rsid w:val="746A1E3C"/>
    <w:rsid w:val="75BA46FD"/>
    <w:rsid w:val="779C40BA"/>
    <w:rsid w:val="77DA2E34"/>
    <w:rsid w:val="782A5B6A"/>
    <w:rsid w:val="787768D5"/>
    <w:rsid w:val="78A3770E"/>
    <w:rsid w:val="78D87374"/>
    <w:rsid w:val="79101DAE"/>
    <w:rsid w:val="79E41D48"/>
    <w:rsid w:val="7A9750AD"/>
    <w:rsid w:val="7AD85D51"/>
    <w:rsid w:val="7BA75723"/>
    <w:rsid w:val="7BD5403F"/>
    <w:rsid w:val="7C501917"/>
    <w:rsid w:val="7CD673E6"/>
    <w:rsid w:val="7D943A85"/>
    <w:rsid w:val="7DAC5273"/>
    <w:rsid w:val="7EF40C80"/>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120" w:after="120"/>
      <w:outlineLvl w:val="1"/>
    </w:pPr>
    <w:rPr>
      <w:rFonts w:ascii="Arial" w:hAnsi="Arial" w:eastAsia="仿宋"/>
      <w:b/>
      <w:sz w:val="28"/>
    </w:rPr>
  </w:style>
  <w:style w:type="paragraph" w:styleId="4">
    <w:name w:val="heading 3"/>
    <w:basedOn w:val="1"/>
    <w:next w:val="1"/>
    <w:semiHidden/>
    <w:unhideWhenUsed/>
    <w:qFormat/>
    <w:uiPriority w:val="0"/>
    <w:pPr>
      <w:keepNext/>
      <w:keepLines/>
      <w:spacing w:before="260" w:after="260" w:line="413" w:lineRule="auto"/>
      <w:outlineLvl w:val="2"/>
    </w:pPr>
    <w:rPr>
      <w:rFonts w:cs="宋体"/>
      <w:b/>
      <w:sz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99"/>
  </w:style>
  <w:style w:type="paragraph" w:styleId="7">
    <w:name w:val="Intense Quote"/>
    <w:next w:val="1"/>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8">
    <w:name w:val="toc 3"/>
    <w:basedOn w:val="1"/>
    <w:next w:val="1"/>
    <w:qFormat/>
    <w:uiPriority w:val="0"/>
    <w:pPr>
      <w:ind w:left="840" w:leftChars="400"/>
    </w:pPr>
  </w:style>
  <w:style w:type="paragraph" w:styleId="9">
    <w:name w:val="footer"/>
    <w:basedOn w:val="1"/>
    <w:link w:val="31"/>
    <w:qFormat/>
    <w:uiPriority w:val="0"/>
    <w:pPr>
      <w:tabs>
        <w:tab w:val="center" w:pos="4153"/>
        <w:tab w:val="right" w:pos="8306"/>
      </w:tabs>
      <w:snapToGrid w:val="0"/>
      <w:jc w:val="left"/>
    </w:pPr>
    <w:rPr>
      <w:sz w:val="18"/>
      <w:szCs w:val="18"/>
    </w:rPr>
  </w:style>
  <w:style w:type="paragraph" w:styleId="10">
    <w:name w:val="header"/>
    <w:basedOn w:val="1"/>
    <w:link w:val="30"/>
    <w:qFormat/>
    <w:uiPriority w:val="0"/>
    <w:pP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Title"/>
    <w:basedOn w:val="1"/>
    <w:qFormat/>
    <w:uiPriority w:val="0"/>
    <w:pPr>
      <w:spacing w:before="240" w:after="60"/>
      <w:jc w:val="center"/>
      <w:outlineLvl w:val="0"/>
    </w:pPr>
    <w:rPr>
      <w:rFonts w:ascii="Arial" w:hAnsi="Arial"/>
      <w:b/>
      <w:sz w:val="32"/>
    </w:rPr>
  </w:style>
  <w:style w:type="paragraph" w:customStyle="1" w:styleId="16">
    <w:name w:val="标题1"/>
    <w:basedOn w:val="2"/>
    <w:qFormat/>
    <w:uiPriority w:val="0"/>
    <w:rPr>
      <w:rFonts w:hint="eastAsia" w:ascii="黑体" w:hAnsi="黑体" w:eastAsia="黑体" w:cs="黑体"/>
      <w:kern w:val="2"/>
      <w:sz w:val="32"/>
      <w:szCs w:val="32"/>
    </w:rPr>
  </w:style>
  <w:style w:type="paragraph" w:customStyle="1" w:styleId="17">
    <w:name w:val="2标题"/>
    <w:basedOn w:val="13"/>
    <w:qFormat/>
    <w:uiPriority w:val="0"/>
    <w:pPr>
      <w:keepNext/>
      <w:keepLines/>
      <w:spacing w:after="240" w:line="500" w:lineRule="exact"/>
      <w:outlineLvl w:val="1"/>
    </w:pPr>
    <w:rPr>
      <w:rFonts w:hint="eastAsia" w:ascii="仿宋" w:hAnsi="仿宋" w:eastAsia="仿宋" w:cs="Arial"/>
      <w:bCs/>
      <w:color w:val="FF0000"/>
      <w:kern w:val="0"/>
      <w:szCs w:val="32"/>
    </w:rPr>
  </w:style>
  <w:style w:type="paragraph" w:customStyle="1" w:styleId="18">
    <w:name w:val="3标题"/>
    <w:basedOn w:val="13"/>
    <w:qFormat/>
    <w:uiPriority w:val="0"/>
    <w:pPr>
      <w:adjustRightInd w:val="0"/>
      <w:snapToGrid w:val="0"/>
      <w:spacing w:line="360" w:lineRule="auto"/>
      <w:ind w:firstLine="560" w:firstLineChars="200"/>
      <w:jc w:val="left"/>
      <w:outlineLvl w:val="2"/>
    </w:pPr>
    <w:rPr>
      <w:rFonts w:hint="eastAsia" w:ascii="仿宋" w:hAnsi="仿宋" w:eastAsia="仿宋" w:cs="楷体"/>
      <w:bCs/>
      <w:kern w:val="0"/>
      <w:szCs w:val="32"/>
    </w:rPr>
  </w:style>
  <w:style w:type="paragraph" w:customStyle="1" w:styleId="19">
    <w:name w:val="正文表格表头"/>
    <w:basedOn w:val="1"/>
    <w:qFormat/>
    <w:uiPriority w:val="0"/>
    <w:pPr>
      <w:snapToGrid w:val="0"/>
      <w:jc w:val="center"/>
    </w:pPr>
    <w:rPr>
      <w:rFonts w:hint="eastAsia" w:ascii="仿宋" w:hAnsi="仿宋" w:eastAsia="仿宋" w:cs="仿宋"/>
      <w:b/>
      <w:bCs/>
      <w:color w:val="000000" w:themeColor="text1"/>
      <w:kern w:val="0"/>
      <w:szCs w:val="21"/>
      <w14:textFill>
        <w14:solidFill>
          <w14:schemeClr w14:val="tx1"/>
        </w14:solidFill>
      </w14:textFill>
    </w:rPr>
  </w:style>
  <w:style w:type="paragraph" w:customStyle="1" w:styleId="20">
    <w:name w:val="正文表格"/>
    <w:basedOn w:val="1"/>
    <w:qFormat/>
    <w:uiPriority w:val="0"/>
    <w:pPr>
      <w:snapToGrid w:val="0"/>
      <w:jc w:val="left"/>
    </w:pPr>
    <w:rPr>
      <w:rFonts w:hint="eastAsia" w:ascii="仿宋" w:hAnsi="仿宋" w:eastAsia="仿宋" w:cs="仿宋"/>
      <w:szCs w:val="21"/>
    </w:rPr>
  </w:style>
  <w:style w:type="paragraph" w:customStyle="1" w:styleId="21">
    <w:name w:val="样式1"/>
    <w:basedOn w:val="1"/>
    <w:next w:val="1"/>
    <w:qFormat/>
    <w:uiPriority w:val="0"/>
    <w:pPr>
      <w:keepNext/>
      <w:keepLines/>
      <w:ind w:firstLine="482"/>
      <w:outlineLvl w:val="2"/>
    </w:pPr>
    <w:rPr>
      <w:rFonts w:eastAsia="仿宋"/>
      <w:b/>
      <w:sz w:val="28"/>
    </w:rPr>
  </w:style>
  <w:style w:type="paragraph" w:customStyle="1" w:styleId="22">
    <w:name w:val="三（三）标题"/>
    <w:basedOn w:val="1"/>
    <w:next w:val="1"/>
    <w:qFormat/>
    <w:uiPriority w:val="0"/>
    <w:pPr>
      <w:keepNext/>
      <w:keepLines/>
      <w:ind w:firstLine="482"/>
      <w:outlineLvl w:val="2"/>
    </w:pPr>
    <w:rPr>
      <w:rFonts w:eastAsia="仿宋"/>
      <w:b/>
      <w:sz w:val="28"/>
    </w:rPr>
  </w:style>
  <w:style w:type="paragraph" w:customStyle="1" w:styleId="23">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4">
    <w:name w:val="表格1"/>
    <w:basedOn w:val="1"/>
    <w:qFormat/>
    <w:uiPriority w:val="0"/>
    <w:pPr>
      <w:keepNext/>
      <w:keepLines/>
      <w:outlineLvl w:val="2"/>
    </w:pPr>
    <w:rPr>
      <w:rFonts w:hint="eastAsia" w:ascii="黑体" w:hAnsi="黑体" w:eastAsia="黑体" w:cs="黑体"/>
      <w:b/>
      <w:bCs/>
      <w:sz w:val="32"/>
      <w:szCs w:val="32"/>
    </w:rPr>
  </w:style>
  <w:style w:type="paragraph" w:customStyle="1" w:styleId="25">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6">
    <w:name w:val="表正文"/>
    <w:basedOn w:val="1"/>
    <w:qFormat/>
    <w:uiPriority w:val="0"/>
    <w:pPr>
      <w:snapToGrid w:val="0"/>
      <w:jc w:val="left"/>
    </w:pPr>
    <w:rPr>
      <w:rFonts w:hint="eastAsia" w:ascii="仿宋" w:hAnsi="仿宋" w:eastAsia="宋体" w:cs="仿宋"/>
      <w:sz w:val="24"/>
      <w:szCs w:val="21"/>
    </w:rPr>
  </w:style>
  <w:style w:type="paragraph" w:customStyle="1" w:styleId="27">
    <w:name w:val="1.1.1"/>
    <w:basedOn w:val="8"/>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28">
    <w:name w:val="标题一"/>
    <w:basedOn w:val="1"/>
    <w:qFormat/>
    <w:uiPriority w:val="0"/>
    <w:pPr>
      <w:jc w:val="left"/>
      <w:outlineLvl w:val="0"/>
    </w:pPr>
    <w:rPr>
      <w:rFonts w:ascii="黑体" w:hAnsi="黑体" w:eastAsia="黑体" w:cs="黑体"/>
      <w:sz w:val="32"/>
      <w:szCs w:val="32"/>
    </w:rPr>
  </w:style>
  <w:style w:type="paragraph" w:styleId="29">
    <w:name w:val="List Paragraph"/>
    <w:basedOn w:val="1"/>
    <w:unhideWhenUsed/>
    <w:qFormat/>
    <w:uiPriority w:val="99"/>
    <w:pPr>
      <w:ind w:firstLine="420" w:firstLineChars="200"/>
    </w:pPr>
  </w:style>
  <w:style w:type="character" w:customStyle="1" w:styleId="30">
    <w:name w:val="页眉 字符"/>
    <w:basedOn w:val="15"/>
    <w:link w:val="10"/>
    <w:qFormat/>
    <w:uiPriority w:val="0"/>
    <w:rPr>
      <w:kern w:val="2"/>
      <w:sz w:val="18"/>
      <w:szCs w:val="18"/>
    </w:rPr>
  </w:style>
  <w:style w:type="character" w:customStyle="1" w:styleId="31">
    <w:name w:val="页脚 字符"/>
    <w:basedOn w:val="15"/>
    <w:link w:val="9"/>
    <w:qFormat/>
    <w:uiPriority w:val="0"/>
    <w:rPr>
      <w:kern w:val="2"/>
      <w:sz w:val="18"/>
      <w:szCs w:val="18"/>
    </w:rPr>
  </w:style>
  <w:style w:type="paragraph" w:customStyle="1" w:styleId="32">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7040</Words>
  <Characters>7322</Characters>
  <Lines>110</Lines>
  <Paragraphs>78</Paragraphs>
  <TotalTime>1</TotalTime>
  <ScaleCrop>false</ScaleCrop>
  <LinksUpToDate>false</LinksUpToDate>
  <CharactersWithSpaces>7393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2026-01-08T03:46:00Z</dcterms:created>
  <dc:creator>会员部</dc:creator>
  <cp:lastModifiedBy>此程无解</cp:lastModifiedBy>
  <dcterms:modified xsi:type="dcterms:W3CDTF">2026-08-21T08:54:41Z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CB8604AC6C7346EAA710CCE24C07ECCD_13</vt:lpwstr>
  </property>
  <property fmtid="{D5CDD505-2E9C-101B-9397-08002B2CF9AE}" pid="4" name="KSOTemplateDocerSaveRecord">
    <vt:lpwstr>eyJoZGlkIjoiODAwNDJkMDQxZWRkMDMyZWExYmUyNjU5NjNmYjQ2ODQiLCJ1c2VySWQiOiIyNDIzMjYxNjkifQ==</vt:lpwstr>
  </property>
</Properties>
</file>